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E687" w14:textId="77777777" w:rsidR="004C40C9" w:rsidRPr="004C40C9" w:rsidRDefault="004C40C9" w:rsidP="002158F3">
      <w:pPr>
        <w:spacing w:after="0" w:line="240" w:lineRule="auto"/>
        <w:rPr>
          <w:rFonts w:ascii="Calibri" w:eastAsia="Times New Roman" w:hAnsi="Calibri" w:cs="Arial"/>
          <w:b/>
          <w:bCs/>
          <w:kern w:val="0"/>
          <w:sz w:val="22"/>
          <w:szCs w:val="22"/>
          <w:lang w:val="fr-FR" w:eastAsia="fr-FR" w:bidi="fr-FR"/>
          <w14:ligatures w14:val="none"/>
        </w:rPr>
      </w:pPr>
      <w:r w:rsidRPr="004C40C9">
        <w:rPr>
          <w:rFonts w:ascii="Calibri" w:eastAsia="Times New Roman" w:hAnsi="Calibri" w:cs="Times New Roman"/>
          <w:b/>
          <w:kern w:val="0"/>
          <w:sz w:val="22"/>
          <w:lang w:val="fr-FR" w:eastAsia="fr-FR" w:bidi="fr-FR"/>
          <w14:ligatures w14:val="none"/>
        </w:rPr>
        <w:t>PRÉVISION ET LIVRAISON DES ACHATS</w:t>
      </w:r>
    </w:p>
    <w:p w14:paraId="1274A0C9" w14:textId="77777777" w:rsidR="004C40C9" w:rsidRPr="004C40C9" w:rsidRDefault="004C40C9" w:rsidP="004C40C9">
      <w:pPr>
        <w:spacing w:after="0" w:line="240" w:lineRule="auto"/>
        <w:jc w:val="center"/>
        <w:rPr>
          <w:rFonts w:ascii="Calibri" w:eastAsia="Times New Roman" w:hAnsi="Calibri" w:cs="Arial"/>
          <w:b/>
          <w:bCs/>
          <w:kern w:val="0"/>
          <w:sz w:val="22"/>
          <w:szCs w:val="22"/>
          <w:lang w:val="fr-FR" w:eastAsia="fr-FR" w:bidi="fr-FR"/>
          <w14:ligatures w14:val="none"/>
        </w:rPr>
      </w:pPr>
    </w:p>
    <w:p w14:paraId="1F490D66" w14:textId="77777777" w:rsidR="004C40C9" w:rsidRPr="004C40C9" w:rsidRDefault="004C40C9" w:rsidP="004C40C9">
      <w:pPr>
        <w:spacing w:after="0" w:line="240" w:lineRule="auto"/>
        <w:jc w:val="both"/>
        <w:rPr>
          <w:rFonts w:ascii="Calibri" w:eastAsia="Times New Roman" w:hAnsi="Calibri" w:cs="Arial"/>
          <w:b/>
          <w:bCs/>
          <w:kern w:val="0"/>
          <w:sz w:val="22"/>
          <w:szCs w:val="22"/>
          <w:u w:val="single"/>
          <w:lang w:val="fr-FR" w:eastAsia="fr-FR" w:bidi="fr-FR"/>
          <w14:ligatures w14:val="none"/>
        </w:rPr>
      </w:pPr>
      <w:r w:rsidRPr="004C40C9">
        <w:rPr>
          <w:rFonts w:ascii="Calibri" w:eastAsia="Times New Roman" w:hAnsi="Calibri" w:cs="Times New Roman"/>
          <w:b/>
          <w:kern w:val="0"/>
          <w:sz w:val="22"/>
          <w:lang w:val="fr-FR" w:eastAsia="fr-FR" w:bidi="fr-FR"/>
          <w14:ligatures w14:val="none"/>
        </w:rPr>
        <w:t>2.0</w:t>
      </w:r>
      <w:r w:rsidRPr="004C40C9">
        <w:rPr>
          <w:rFonts w:ascii="Times New Roman" w:eastAsia="Times New Roman" w:hAnsi="Times New Roman" w:cs="Times New Roman"/>
          <w:kern w:val="0"/>
          <w:lang w:val="fr-FR" w:eastAsia="fr-FR" w:bidi="fr-FR"/>
          <w14:ligatures w14:val="none"/>
        </w:rPr>
        <w:tab/>
      </w:r>
      <w:r w:rsidRPr="004C40C9">
        <w:rPr>
          <w:rFonts w:ascii="Calibri" w:eastAsia="Times New Roman" w:hAnsi="Calibri" w:cs="Times New Roman"/>
          <w:b/>
          <w:kern w:val="0"/>
          <w:sz w:val="22"/>
          <w:u w:val="single"/>
          <w:lang w:val="fr-FR" w:eastAsia="fr-FR" w:bidi="fr-FR"/>
          <w14:ligatures w14:val="none"/>
        </w:rPr>
        <w:t>Politique</w:t>
      </w:r>
    </w:p>
    <w:p w14:paraId="5093B561" w14:textId="77777777" w:rsidR="004C40C9" w:rsidRPr="004C40C9" w:rsidRDefault="004C40C9" w:rsidP="004C40C9">
      <w:pPr>
        <w:spacing w:after="0" w:line="240" w:lineRule="auto"/>
        <w:jc w:val="both"/>
        <w:rPr>
          <w:rFonts w:ascii="Calibri" w:eastAsia="Times New Roman" w:hAnsi="Calibri" w:cs="Arial"/>
          <w:b/>
          <w:bCs/>
          <w:kern w:val="0"/>
          <w:sz w:val="22"/>
          <w:szCs w:val="22"/>
          <w:lang w:val="fr-FR" w:eastAsia="fr-FR" w:bidi="fr-FR"/>
          <w14:ligatures w14:val="none"/>
        </w:rPr>
      </w:pPr>
    </w:p>
    <w:p w14:paraId="4DA23456" w14:textId="77777777" w:rsidR="004C40C9" w:rsidRPr="004C40C9" w:rsidRDefault="004C40C9" w:rsidP="004C40C9">
      <w:pPr>
        <w:numPr>
          <w:ilvl w:val="0"/>
          <w:numId w:val="1"/>
        </w:numPr>
        <w:shd w:val="clear" w:color="auto" w:fill="FFFFFF"/>
        <w:spacing w:after="0" w:line="240" w:lineRule="auto"/>
        <w:jc w:val="both"/>
        <w:rPr>
          <w:rFonts w:ascii="Calibri" w:eastAsia="Times New Roman" w:hAnsi="Calibri" w:cs="Times New Roman"/>
          <w:kern w:val="0"/>
          <w:sz w:val="22"/>
          <w:lang w:val="fr-FR" w:eastAsia="fr-FR" w:bidi="fr-FR"/>
          <w14:ligatures w14:val="none"/>
        </w:rPr>
      </w:pPr>
      <w:r w:rsidRPr="004C40C9">
        <w:rPr>
          <w:rFonts w:ascii="Calibri" w:eastAsia="Times New Roman" w:hAnsi="Calibri" w:cs="Times New Roman"/>
          <w:b/>
          <w:kern w:val="0"/>
          <w:sz w:val="22"/>
          <w:lang w:val="fr-FR" w:eastAsia="fr-FR" w:bidi="fr-FR"/>
          <w14:ligatures w14:val="none"/>
        </w:rPr>
        <w:t>La prévision et la livraison des achats (planification des achats) sont essentielles pour un projet et une gestion des risques efficaces</w:t>
      </w:r>
      <w:r w:rsidRPr="004C40C9">
        <w:rPr>
          <w:rFonts w:ascii="Calibri" w:eastAsia="Times New Roman" w:hAnsi="Calibri" w:cs="Times New Roman"/>
          <w:kern w:val="0"/>
          <w:sz w:val="22"/>
          <w:lang w:val="fr-FR" w:eastAsia="fr-FR" w:bidi="fr-FR"/>
          <w14:ligatures w14:val="none"/>
        </w:rPr>
        <w:t>, et, par conséquent, la performance globale de l’organisation.</w:t>
      </w:r>
    </w:p>
    <w:p w14:paraId="62BEA8DF" w14:textId="77777777" w:rsidR="004C40C9" w:rsidRPr="004C40C9" w:rsidRDefault="004C40C9" w:rsidP="004C40C9">
      <w:pPr>
        <w:shd w:val="clear" w:color="auto" w:fill="FFFFFF"/>
        <w:spacing w:after="0" w:line="240" w:lineRule="auto"/>
        <w:ind w:left="720"/>
        <w:jc w:val="both"/>
        <w:rPr>
          <w:rFonts w:ascii="Calibri" w:eastAsia="Times New Roman" w:hAnsi="Calibri" w:cs="Arial"/>
          <w:kern w:val="0"/>
          <w:sz w:val="22"/>
          <w:szCs w:val="22"/>
          <w:lang w:val="fr-FR" w:eastAsia="fr-FR" w:bidi="fr-FR"/>
          <w14:ligatures w14:val="none"/>
        </w:rPr>
      </w:pPr>
    </w:p>
    <w:p w14:paraId="476166DA" w14:textId="77777777" w:rsidR="004C40C9" w:rsidRPr="004C40C9" w:rsidRDefault="004C40C9" w:rsidP="004C40C9">
      <w:pPr>
        <w:numPr>
          <w:ilvl w:val="0"/>
          <w:numId w:val="1"/>
        </w:numPr>
        <w:shd w:val="clear" w:color="auto" w:fill="FFFFFF"/>
        <w:spacing w:after="0" w:line="240" w:lineRule="auto"/>
        <w:jc w:val="both"/>
        <w:rPr>
          <w:rFonts w:ascii="Calibri" w:eastAsia="Times New Roman" w:hAnsi="Calibri" w:cs="Arial"/>
          <w:kern w:val="0"/>
          <w:sz w:val="22"/>
          <w:szCs w:val="22"/>
          <w:lang w:val="fr-FR" w:eastAsia="fr-FR" w:bidi="fr-FR"/>
          <w14:ligatures w14:val="none"/>
        </w:rPr>
      </w:pPr>
      <w:r w:rsidRPr="004C40C9">
        <w:rPr>
          <w:rFonts w:ascii="Calibri" w:eastAsia="Times New Roman" w:hAnsi="Calibri" w:cs="Times New Roman"/>
          <w:kern w:val="0"/>
          <w:sz w:val="22"/>
          <w:lang w:val="fr-FR" w:eastAsia="fr-FR" w:bidi="fr-FR"/>
          <w14:ligatures w14:val="none"/>
        </w:rPr>
        <w:t>L’achat doit faire partie intégrante du cycle de gestion des projets et doit être synchronisé avec la planification des autres activités de projet. La prévision et la livraison des achats doivent être appliqués à tous les projets de développement et de gestion. Le Bureau de la gestion, par l’intermédiaire du Bureau des achats, offre tout soutien supplémentaire nécessaire aux unités opérationnelles tout au long du cycle de prévision et de livraison des achats.</w:t>
      </w:r>
    </w:p>
    <w:p w14:paraId="7EB38BFD" w14:textId="77777777" w:rsidR="004C40C9" w:rsidRPr="004C40C9" w:rsidRDefault="004C40C9" w:rsidP="004C40C9">
      <w:pPr>
        <w:shd w:val="clear" w:color="auto" w:fill="FFFFFF"/>
        <w:spacing w:after="0" w:line="240" w:lineRule="auto"/>
        <w:jc w:val="both"/>
        <w:rPr>
          <w:rFonts w:ascii="Calibri" w:eastAsia="Times New Roman" w:hAnsi="Calibri" w:cs="Arial"/>
          <w:kern w:val="0"/>
          <w:sz w:val="22"/>
          <w:szCs w:val="22"/>
          <w:lang w:val="fr-FR" w:eastAsia="fr-FR" w:bidi="fr-FR"/>
          <w14:ligatures w14:val="none"/>
        </w:rPr>
      </w:pPr>
    </w:p>
    <w:p w14:paraId="490E5E19" w14:textId="77777777" w:rsidR="004C40C9" w:rsidRPr="004C40C9" w:rsidRDefault="004C40C9" w:rsidP="004C40C9">
      <w:pPr>
        <w:numPr>
          <w:ilvl w:val="0"/>
          <w:numId w:val="1"/>
        </w:numPr>
        <w:shd w:val="clear" w:color="auto" w:fill="FFFFFF"/>
        <w:spacing w:after="0" w:line="240" w:lineRule="auto"/>
        <w:jc w:val="both"/>
        <w:rPr>
          <w:rFonts w:ascii="Calibri" w:eastAsia="Times New Roman" w:hAnsi="Calibri" w:cs="Arial"/>
          <w:kern w:val="0"/>
          <w:sz w:val="22"/>
          <w:szCs w:val="22"/>
          <w:lang w:val="fr-FR" w:eastAsia="fr-FR" w:bidi="fr-FR"/>
          <w14:ligatures w14:val="none"/>
        </w:rPr>
      </w:pPr>
      <w:r w:rsidRPr="004C40C9">
        <w:rPr>
          <w:rFonts w:ascii="Calibri" w:eastAsia="Times New Roman" w:hAnsi="Calibri" w:cs="Times New Roman"/>
          <w:kern w:val="0"/>
          <w:sz w:val="22"/>
          <w:lang w:val="fr-FR" w:eastAsia="fr-FR" w:bidi="fr-FR"/>
          <w14:ligatures w14:val="none"/>
        </w:rPr>
        <w:t>Les unités opérationnelles opérant en vertu de la modalité NIM peuvent utiliser les plans des partenaires si ces documents existent.</w:t>
      </w:r>
    </w:p>
    <w:p w14:paraId="473CC238" w14:textId="77777777" w:rsidR="004C40C9" w:rsidRPr="004C40C9" w:rsidRDefault="004C40C9" w:rsidP="004C40C9">
      <w:pPr>
        <w:shd w:val="clear" w:color="auto" w:fill="FFFFFF"/>
        <w:spacing w:after="0" w:line="240" w:lineRule="auto"/>
        <w:ind w:left="360"/>
        <w:jc w:val="both"/>
        <w:rPr>
          <w:rFonts w:ascii="Calibri" w:eastAsia="Times New Roman" w:hAnsi="Calibri" w:cs="Arial"/>
          <w:kern w:val="0"/>
          <w:sz w:val="22"/>
          <w:szCs w:val="22"/>
          <w:lang w:val="fr-FR" w:eastAsia="fr-FR" w:bidi="fr-FR"/>
          <w14:ligatures w14:val="none"/>
        </w:rPr>
      </w:pPr>
    </w:p>
    <w:p w14:paraId="00F3AFB8" w14:textId="77777777" w:rsidR="004C40C9" w:rsidRPr="004C40C9" w:rsidRDefault="004C40C9" w:rsidP="004C40C9">
      <w:pPr>
        <w:numPr>
          <w:ilvl w:val="0"/>
          <w:numId w:val="1"/>
        </w:numPr>
        <w:shd w:val="clear" w:color="auto" w:fill="FFFFFF"/>
        <w:spacing w:after="0" w:line="240" w:lineRule="auto"/>
        <w:jc w:val="both"/>
        <w:rPr>
          <w:rFonts w:ascii="Calibri" w:eastAsia="Times New Roman" w:hAnsi="Calibri" w:cs="Arial"/>
          <w:kern w:val="0"/>
          <w:sz w:val="22"/>
          <w:szCs w:val="22"/>
          <w:lang w:val="fr-FR" w:eastAsia="fr-FR" w:bidi="fr-FR"/>
          <w14:ligatures w14:val="none"/>
        </w:rPr>
      </w:pPr>
      <w:r w:rsidRPr="004C40C9">
        <w:rPr>
          <w:rFonts w:ascii="Calibri" w:eastAsia="Times New Roman" w:hAnsi="Calibri" w:cs="Times New Roman"/>
          <w:kern w:val="0"/>
          <w:sz w:val="22"/>
          <w:lang w:val="fr-FR" w:eastAsia="fr-FR" w:bidi="fr-FR"/>
          <w14:ligatures w14:val="none"/>
        </w:rPr>
        <w:t>Les projets de relèvement de crise et d’interventions d’urgence peuvent influer sur le calendrier et la répartition des activités en vertu de cette politique afin que l’exécution soit accélérée</w:t>
      </w:r>
    </w:p>
    <w:p w14:paraId="1FA8E35D" w14:textId="77777777" w:rsidR="004C40C9" w:rsidRPr="004C40C9" w:rsidRDefault="004C40C9" w:rsidP="004C40C9">
      <w:pPr>
        <w:shd w:val="clear" w:color="auto" w:fill="FFFFFF"/>
        <w:spacing w:after="0" w:line="240" w:lineRule="auto"/>
        <w:ind w:left="720"/>
        <w:jc w:val="both"/>
        <w:rPr>
          <w:rFonts w:ascii="Calibri" w:eastAsia="Times New Roman" w:hAnsi="Calibri" w:cs="Arial"/>
          <w:kern w:val="0"/>
          <w:sz w:val="22"/>
          <w:szCs w:val="22"/>
          <w:lang w:val="fr-FR" w:eastAsia="fr-FR" w:bidi="fr-FR"/>
          <w14:ligatures w14:val="none"/>
        </w:rPr>
      </w:pPr>
    </w:p>
    <w:p w14:paraId="2D271F22" w14:textId="77777777" w:rsidR="004C40C9" w:rsidRPr="004C40C9" w:rsidRDefault="004C40C9" w:rsidP="004C40C9">
      <w:pPr>
        <w:numPr>
          <w:ilvl w:val="0"/>
          <w:numId w:val="1"/>
        </w:numPr>
        <w:shd w:val="clear" w:color="auto" w:fill="FFFFFF"/>
        <w:spacing w:after="0" w:line="240" w:lineRule="auto"/>
        <w:jc w:val="both"/>
        <w:rPr>
          <w:rFonts w:ascii="Calibri" w:eastAsia="Times New Roman" w:hAnsi="Calibri" w:cs="Arial"/>
          <w:kern w:val="0"/>
          <w:sz w:val="22"/>
          <w:szCs w:val="22"/>
          <w:lang w:val="fr-FR" w:eastAsia="fr-FR" w:bidi="fr-FR"/>
          <w14:ligatures w14:val="none"/>
        </w:rPr>
      </w:pPr>
      <w:r w:rsidRPr="004C40C9">
        <w:rPr>
          <w:rFonts w:ascii="Calibri" w:eastAsia="Times New Roman" w:hAnsi="Calibri" w:cs="Times New Roman"/>
          <w:kern w:val="0"/>
          <w:sz w:val="22"/>
          <w:lang w:val="fr-FR" w:eastAsia="fr-FR" w:bidi="fr-FR"/>
          <w14:ligatures w14:val="none"/>
        </w:rPr>
        <w:t>Les personnels chargés de l’élaboration des programmes et des opérations doivent collaborer de manière systématique. Les responsables de la gestion des unités opérationnelles et des bureaux de pays facilitent cette collaboration et confirment sa mise en place.</w:t>
      </w:r>
    </w:p>
    <w:p w14:paraId="50E2311B" w14:textId="77777777" w:rsidR="004C40C9" w:rsidRPr="004C40C9" w:rsidRDefault="004C40C9" w:rsidP="004C40C9">
      <w:pPr>
        <w:shd w:val="clear" w:color="auto" w:fill="FFFFFF"/>
        <w:spacing w:after="0" w:line="240" w:lineRule="auto"/>
        <w:ind w:left="720"/>
        <w:jc w:val="both"/>
        <w:rPr>
          <w:rFonts w:ascii="Calibri" w:eastAsia="Times New Roman" w:hAnsi="Calibri" w:cs="Arial"/>
          <w:kern w:val="0"/>
          <w:sz w:val="22"/>
          <w:szCs w:val="22"/>
          <w:lang w:val="fr-FR" w:eastAsia="fr-FR" w:bidi="fr-FR"/>
          <w14:ligatures w14:val="none"/>
        </w:rPr>
      </w:pPr>
    </w:p>
    <w:p w14:paraId="1082C186" w14:textId="77777777" w:rsidR="004C40C9" w:rsidRPr="004C40C9" w:rsidRDefault="004C40C9" w:rsidP="004C40C9">
      <w:pPr>
        <w:numPr>
          <w:ilvl w:val="0"/>
          <w:numId w:val="1"/>
        </w:numPr>
        <w:shd w:val="clear" w:color="auto" w:fill="FFFFFF"/>
        <w:spacing w:after="0" w:line="240" w:lineRule="auto"/>
        <w:jc w:val="both"/>
        <w:rPr>
          <w:rFonts w:ascii="Calibri" w:eastAsia="Times New Roman" w:hAnsi="Calibri" w:cs="Arial"/>
          <w:kern w:val="0"/>
          <w:sz w:val="22"/>
          <w:szCs w:val="22"/>
          <w:lang w:val="fr-FR" w:eastAsia="fr-FR" w:bidi="fr-FR"/>
          <w14:ligatures w14:val="none"/>
        </w:rPr>
      </w:pPr>
      <w:r w:rsidRPr="004C40C9">
        <w:rPr>
          <w:rFonts w:ascii="Calibri" w:eastAsia="Times New Roman" w:hAnsi="Calibri" w:cs="Times New Roman"/>
          <w:kern w:val="0"/>
          <w:sz w:val="22"/>
          <w:lang w:val="fr-FR" w:eastAsia="fr-FR" w:bidi="fr-FR"/>
          <w14:ligatures w14:val="none"/>
        </w:rPr>
        <w:t>Il est recommandé que la planification en Quantum des achats fasse partie du cycle de gestion des projets, pour tous les projets. Il est cependant obligatoire qu’un plan d’achat soit en place pour les projets ayant des besoins opérationnels complexes et qui sont importants pour la performance ou la réputation du PNUD.</w:t>
      </w:r>
    </w:p>
    <w:p w14:paraId="0346F246" w14:textId="77777777" w:rsidR="004C40C9" w:rsidRPr="004C40C9" w:rsidRDefault="004C40C9" w:rsidP="004C40C9">
      <w:pPr>
        <w:shd w:val="clear" w:color="auto" w:fill="FFFFFF"/>
        <w:spacing w:after="0" w:line="240" w:lineRule="auto"/>
        <w:ind w:left="720"/>
        <w:jc w:val="both"/>
        <w:rPr>
          <w:rFonts w:ascii="Calibri" w:eastAsia="Times New Roman" w:hAnsi="Calibri" w:cs="Arial"/>
          <w:kern w:val="0"/>
          <w:sz w:val="22"/>
          <w:szCs w:val="22"/>
          <w:lang w:val="fr-FR" w:eastAsia="fr-FR" w:bidi="fr-FR"/>
          <w14:ligatures w14:val="none"/>
        </w:rPr>
      </w:pPr>
    </w:p>
    <w:p w14:paraId="53C90A92" w14:textId="77777777" w:rsidR="004C40C9" w:rsidRPr="004C40C9" w:rsidRDefault="004C40C9" w:rsidP="004C40C9">
      <w:pPr>
        <w:numPr>
          <w:ilvl w:val="0"/>
          <w:numId w:val="1"/>
        </w:numPr>
        <w:pBdr>
          <w:top w:val="nil"/>
          <w:left w:val="nil"/>
          <w:bottom w:val="nil"/>
          <w:right w:val="nil"/>
          <w:between w:val="nil"/>
          <w:bar w:val="nil"/>
        </w:pBdr>
        <w:tabs>
          <w:tab w:val="left" w:pos="2552"/>
        </w:tabs>
        <w:spacing w:after="240" w:line="240" w:lineRule="auto"/>
        <w:contextualSpacing/>
        <w:jc w:val="both"/>
        <w:rPr>
          <w:rFonts w:ascii="Calibri" w:eastAsia="Arial Unicode MS" w:hAnsi="Calibri" w:cs="Calibri"/>
          <w:kern w:val="0"/>
          <w:szCs w:val="22"/>
          <w:bdr w:val="nil"/>
          <w:lang w:val="fr-FR" w:eastAsia="fr-FR" w:bidi="fr-FR"/>
          <w14:ligatures w14:val="none"/>
        </w:rPr>
      </w:pPr>
      <w:r w:rsidRPr="004C40C9">
        <w:rPr>
          <w:rFonts w:ascii="Calibri" w:eastAsia="Arial Unicode MS" w:hAnsi="Calibri" w:cs="Calibri"/>
          <w:kern w:val="0"/>
          <w:sz w:val="22"/>
          <w:szCs w:val="20"/>
          <w:bdr w:val="nil"/>
          <w:lang w:val="fr-FR" w:eastAsia="fr-FR" w:bidi="fr-FR"/>
          <w14:ligatures w14:val="none"/>
        </w:rPr>
        <w:t xml:space="preserve">Les projets ayant des </w:t>
      </w:r>
      <w:r w:rsidRPr="004C40C9">
        <w:rPr>
          <w:rFonts w:ascii="Calibri" w:eastAsia="Arial Unicode MS" w:hAnsi="Calibri" w:cs="Calibri"/>
          <w:b/>
          <w:kern w:val="0"/>
          <w:sz w:val="22"/>
          <w:szCs w:val="20"/>
          <w:u w:val="single"/>
          <w:bdr w:val="nil"/>
          <w:lang w:val="fr-FR" w:eastAsia="fr-FR" w:bidi="fr-FR"/>
          <w14:ligatures w14:val="none"/>
        </w:rPr>
        <w:t>« besoins opérationnels complexes »</w:t>
      </w:r>
      <w:r w:rsidRPr="004C40C9">
        <w:rPr>
          <w:rFonts w:ascii="Calibri" w:eastAsia="Arial Unicode MS" w:hAnsi="Calibri" w:cs="Calibri"/>
          <w:kern w:val="0"/>
          <w:sz w:val="22"/>
          <w:szCs w:val="20"/>
          <w:bdr w:val="nil"/>
          <w:lang w:val="fr-FR" w:eastAsia="fr-FR" w:bidi="fr-FR"/>
          <w14:ligatures w14:val="none"/>
        </w:rPr>
        <w:t xml:space="preserve"> sont ceux qui remplissent </w:t>
      </w:r>
      <w:r w:rsidRPr="004C40C9">
        <w:rPr>
          <w:rFonts w:ascii="Calibri" w:eastAsia="Arial Unicode MS" w:hAnsi="Calibri" w:cs="Calibri"/>
          <w:b/>
          <w:kern w:val="0"/>
          <w:sz w:val="22"/>
          <w:szCs w:val="20"/>
          <w:u w:val="single"/>
          <w:bdr w:val="nil"/>
          <w:lang w:val="fr-FR" w:eastAsia="fr-FR" w:bidi="fr-FR"/>
          <w14:ligatures w14:val="none"/>
        </w:rPr>
        <w:t>au moins l’une</w:t>
      </w:r>
      <w:r w:rsidRPr="004C40C9">
        <w:rPr>
          <w:rFonts w:ascii="Calibri" w:eastAsia="Arial Unicode MS" w:hAnsi="Calibri" w:cs="Calibri"/>
          <w:kern w:val="0"/>
          <w:sz w:val="22"/>
          <w:szCs w:val="20"/>
          <w:bdr w:val="nil"/>
          <w:lang w:val="fr-FR" w:eastAsia="fr-FR" w:bidi="fr-FR"/>
          <w14:ligatures w14:val="none"/>
        </w:rPr>
        <w:t xml:space="preserve"> des conditions suivantes :</w:t>
      </w:r>
    </w:p>
    <w:p w14:paraId="62A76426" w14:textId="77777777" w:rsidR="004C40C9" w:rsidRPr="004C40C9" w:rsidRDefault="004C40C9" w:rsidP="004C40C9">
      <w:pPr>
        <w:numPr>
          <w:ilvl w:val="1"/>
          <w:numId w:val="2"/>
        </w:numPr>
        <w:spacing w:after="240" w:line="240" w:lineRule="auto"/>
        <w:ind w:left="1080"/>
        <w:contextualSpacing/>
        <w:jc w:val="both"/>
        <w:rPr>
          <w:rFonts w:ascii="Calibri" w:eastAsia="Times New Roman" w:hAnsi="Calibri" w:cs="Arial"/>
          <w:kern w:val="0"/>
          <w:sz w:val="22"/>
          <w:szCs w:val="22"/>
          <w:lang w:val="fr-FR" w:eastAsia="fr-FR" w:bidi="fr-FR"/>
          <w14:ligatures w14:val="none"/>
        </w:rPr>
      </w:pPr>
      <w:r w:rsidRPr="004C40C9">
        <w:rPr>
          <w:rFonts w:ascii="Calibri" w:eastAsia="Times New Roman" w:hAnsi="Calibri" w:cs="Times New Roman"/>
          <w:kern w:val="0"/>
          <w:sz w:val="22"/>
          <w:lang w:val="fr-FR" w:eastAsia="fr-FR" w:bidi="fr-FR"/>
          <w14:ligatures w14:val="none"/>
        </w:rPr>
        <w:t>Le budget total du projet dépasse un million de dollars des États-Unis (ou équivalent dans la devise du pays de programme) ;</w:t>
      </w:r>
    </w:p>
    <w:p w14:paraId="4AB9DFDE" w14:textId="77777777" w:rsidR="004C40C9" w:rsidRPr="004C40C9" w:rsidRDefault="004C40C9" w:rsidP="004C40C9">
      <w:pPr>
        <w:spacing w:after="240" w:line="240" w:lineRule="auto"/>
        <w:ind w:left="1080"/>
        <w:contextualSpacing/>
        <w:jc w:val="both"/>
        <w:rPr>
          <w:rFonts w:ascii="Calibri" w:eastAsia="Times New Roman" w:hAnsi="Calibri" w:cs="Arial"/>
          <w:kern w:val="0"/>
          <w:sz w:val="22"/>
          <w:szCs w:val="22"/>
          <w:lang w:val="fr-FR" w:eastAsia="fr-FR" w:bidi="fr-FR"/>
          <w14:ligatures w14:val="none"/>
        </w:rPr>
      </w:pPr>
    </w:p>
    <w:p w14:paraId="57CE2E39" w14:textId="77777777" w:rsidR="004C40C9" w:rsidRPr="004C40C9" w:rsidRDefault="004C40C9" w:rsidP="004C40C9">
      <w:pPr>
        <w:numPr>
          <w:ilvl w:val="1"/>
          <w:numId w:val="2"/>
        </w:numPr>
        <w:spacing w:after="240" w:line="240" w:lineRule="auto"/>
        <w:ind w:left="1080"/>
        <w:contextualSpacing/>
        <w:jc w:val="both"/>
        <w:rPr>
          <w:rFonts w:ascii="Calibri" w:eastAsia="Times New Roman" w:hAnsi="Calibri" w:cs="Arial"/>
          <w:kern w:val="0"/>
          <w:sz w:val="22"/>
          <w:szCs w:val="22"/>
          <w:lang w:val="fr-FR" w:eastAsia="fr-FR" w:bidi="fr-FR"/>
          <w14:ligatures w14:val="none"/>
        </w:rPr>
      </w:pPr>
      <w:r w:rsidRPr="004C40C9">
        <w:rPr>
          <w:rFonts w:ascii="Calibri" w:eastAsia="Times New Roman" w:hAnsi="Calibri" w:cs="Times New Roman"/>
          <w:kern w:val="0"/>
          <w:sz w:val="22"/>
          <w:lang w:val="fr-FR" w:eastAsia="fr-FR" w:bidi="fr-FR"/>
          <w14:ligatures w14:val="none"/>
        </w:rPr>
        <w:t>Les achats représentent plus de 60 % du budget total du projet ;</w:t>
      </w:r>
    </w:p>
    <w:p w14:paraId="1BD03419" w14:textId="77777777" w:rsidR="004C40C9" w:rsidRPr="004C40C9" w:rsidRDefault="004C40C9" w:rsidP="004C40C9">
      <w:pPr>
        <w:spacing w:after="0" w:line="240" w:lineRule="auto"/>
        <w:ind w:left="1080"/>
        <w:contextualSpacing/>
        <w:rPr>
          <w:rFonts w:ascii="Calibri" w:eastAsia="Times New Roman" w:hAnsi="Calibri" w:cs="Arial"/>
          <w:kern w:val="0"/>
          <w:sz w:val="22"/>
          <w:szCs w:val="22"/>
          <w:lang w:val="fr-FR" w:eastAsia="fr-FR" w:bidi="fr-FR"/>
          <w14:ligatures w14:val="none"/>
        </w:rPr>
      </w:pPr>
    </w:p>
    <w:p w14:paraId="1D6B726F" w14:textId="77777777" w:rsidR="004C40C9" w:rsidRPr="004C40C9" w:rsidRDefault="004C40C9" w:rsidP="004C40C9">
      <w:pPr>
        <w:numPr>
          <w:ilvl w:val="1"/>
          <w:numId w:val="2"/>
        </w:numPr>
        <w:spacing w:after="240" w:line="240" w:lineRule="auto"/>
        <w:ind w:left="1080"/>
        <w:contextualSpacing/>
        <w:jc w:val="both"/>
        <w:rPr>
          <w:rFonts w:ascii="Calibri" w:eastAsia="Times New Roman" w:hAnsi="Calibri" w:cs="Arial"/>
          <w:kern w:val="0"/>
          <w:sz w:val="22"/>
          <w:szCs w:val="22"/>
          <w:lang w:val="fr-FR" w:eastAsia="fr-FR" w:bidi="fr-FR"/>
          <w14:ligatures w14:val="none"/>
        </w:rPr>
      </w:pPr>
      <w:r w:rsidRPr="004C40C9">
        <w:rPr>
          <w:rFonts w:ascii="Calibri" w:eastAsia="Times New Roman" w:hAnsi="Calibri" w:cs="Times New Roman"/>
          <w:kern w:val="0"/>
          <w:sz w:val="22"/>
          <w:lang w:val="fr-FR" w:eastAsia="fr-FR" w:bidi="fr-FR"/>
          <w14:ligatures w14:val="none"/>
        </w:rPr>
        <w:t>Les responsables de la gestion de l’unité opérationnelle considèrent le projet comme étant primordial pour sa performance globale, dans les années en cours ou à venir ;</w:t>
      </w:r>
    </w:p>
    <w:p w14:paraId="3E11CD83" w14:textId="77777777" w:rsidR="004C40C9" w:rsidRPr="004C40C9" w:rsidRDefault="004C40C9" w:rsidP="004C40C9">
      <w:pPr>
        <w:spacing w:after="240" w:line="240" w:lineRule="auto"/>
        <w:ind w:left="720"/>
        <w:contextualSpacing/>
        <w:jc w:val="both"/>
        <w:rPr>
          <w:rFonts w:ascii="Calibri" w:eastAsia="Times New Roman" w:hAnsi="Calibri" w:cs="Arial"/>
          <w:kern w:val="0"/>
          <w:sz w:val="22"/>
          <w:szCs w:val="22"/>
          <w:lang w:val="fr-FR" w:eastAsia="fr-FR" w:bidi="fr-FR"/>
          <w14:ligatures w14:val="none"/>
        </w:rPr>
      </w:pPr>
    </w:p>
    <w:p w14:paraId="4C05F57A" w14:textId="77777777" w:rsidR="004C40C9" w:rsidRPr="004C40C9" w:rsidRDefault="004C40C9" w:rsidP="004C40C9">
      <w:pPr>
        <w:numPr>
          <w:ilvl w:val="1"/>
          <w:numId w:val="2"/>
        </w:numPr>
        <w:spacing w:after="240" w:line="240" w:lineRule="auto"/>
        <w:ind w:left="1080"/>
        <w:contextualSpacing/>
        <w:jc w:val="both"/>
        <w:rPr>
          <w:rFonts w:ascii="Calibri" w:eastAsia="Times New Roman" w:hAnsi="Calibri" w:cs="Arial"/>
          <w:kern w:val="0"/>
          <w:sz w:val="22"/>
          <w:szCs w:val="22"/>
          <w:lang w:val="fr-FR" w:eastAsia="fr-FR" w:bidi="fr-FR"/>
          <w14:ligatures w14:val="none"/>
        </w:rPr>
      </w:pPr>
      <w:r w:rsidRPr="004C40C9">
        <w:rPr>
          <w:rFonts w:ascii="Calibri" w:eastAsia="Times New Roman" w:hAnsi="Calibri" w:cs="Times New Roman"/>
          <w:kern w:val="0"/>
          <w:sz w:val="22"/>
          <w:lang w:val="fr-FR" w:eastAsia="fr-FR" w:bidi="fr-FR"/>
          <w14:ligatures w14:val="none"/>
        </w:rPr>
        <w:t>La nature du projet exige des activités d’achat pour lesquelles l’unité opérationnelle ne dispose d’aucune expérience, et a besoin de quantités importantes des catégories suivantes, considérées comme comportant un « risque élevé » :</w:t>
      </w:r>
    </w:p>
    <w:p w14:paraId="1BA72FD3" w14:textId="77777777" w:rsidR="004C40C9" w:rsidRPr="004C40C9" w:rsidRDefault="004C40C9" w:rsidP="004C40C9">
      <w:pPr>
        <w:spacing w:after="240" w:line="480" w:lineRule="auto"/>
        <w:ind w:left="1080"/>
        <w:contextualSpacing/>
        <w:jc w:val="both"/>
        <w:rPr>
          <w:rFonts w:ascii="Calibri" w:eastAsia="Times New Roman" w:hAnsi="Calibri" w:cs="Arial"/>
          <w:i/>
          <w:kern w:val="0"/>
          <w:sz w:val="22"/>
          <w:szCs w:val="22"/>
          <w:lang w:val="fr-FR" w:eastAsia="fr-FR" w:bidi="fr-FR"/>
          <w14:ligatures w14:val="none"/>
        </w:rPr>
      </w:pPr>
    </w:p>
    <w:p w14:paraId="77E277B5" w14:textId="77777777" w:rsidR="004C40C9" w:rsidRPr="004C40C9" w:rsidRDefault="004C40C9" w:rsidP="004C40C9">
      <w:pPr>
        <w:numPr>
          <w:ilvl w:val="2"/>
          <w:numId w:val="2"/>
        </w:numPr>
        <w:spacing w:after="240" w:line="480" w:lineRule="auto"/>
        <w:ind w:left="1800" w:hanging="360"/>
        <w:contextualSpacing/>
        <w:jc w:val="both"/>
        <w:rPr>
          <w:rFonts w:ascii="Calibri" w:eastAsia="Times New Roman" w:hAnsi="Calibri" w:cs="Arial"/>
          <w:i/>
          <w:kern w:val="0"/>
          <w:sz w:val="22"/>
          <w:szCs w:val="22"/>
          <w:lang w:val="fr-FR" w:eastAsia="fr-FR" w:bidi="fr-FR"/>
          <w14:ligatures w14:val="none"/>
        </w:rPr>
      </w:pPr>
      <w:r w:rsidRPr="004C40C9">
        <w:rPr>
          <w:rFonts w:ascii="Calibri" w:eastAsia="Times New Roman" w:hAnsi="Calibri" w:cs="Times New Roman"/>
          <w:i/>
          <w:kern w:val="0"/>
          <w:sz w:val="22"/>
          <w:lang w:val="fr-FR" w:eastAsia="fr-FR" w:bidi="fr-FR"/>
          <w14:ligatures w14:val="none"/>
        </w:rPr>
        <w:t>Médicaments et produits pharmaceutiques ;</w:t>
      </w:r>
    </w:p>
    <w:p w14:paraId="46175496" w14:textId="77777777" w:rsidR="004C40C9" w:rsidRPr="004C40C9" w:rsidRDefault="004C40C9" w:rsidP="004C40C9">
      <w:pPr>
        <w:numPr>
          <w:ilvl w:val="2"/>
          <w:numId w:val="2"/>
        </w:numPr>
        <w:spacing w:after="240" w:line="480" w:lineRule="auto"/>
        <w:ind w:left="1800" w:hanging="360"/>
        <w:contextualSpacing/>
        <w:jc w:val="both"/>
        <w:rPr>
          <w:rFonts w:ascii="Calibri" w:eastAsia="Times New Roman" w:hAnsi="Calibri" w:cs="Arial"/>
          <w:i/>
          <w:kern w:val="0"/>
          <w:sz w:val="22"/>
          <w:szCs w:val="22"/>
          <w:lang w:val="fr-FR" w:eastAsia="fr-FR" w:bidi="fr-FR"/>
          <w14:ligatures w14:val="none"/>
        </w:rPr>
      </w:pPr>
      <w:r w:rsidRPr="004C40C9">
        <w:rPr>
          <w:rFonts w:ascii="Calibri" w:eastAsia="Times New Roman" w:hAnsi="Calibri" w:cs="Times New Roman"/>
          <w:i/>
          <w:kern w:val="0"/>
          <w:sz w:val="22"/>
          <w:lang w:val="fr-FR" w:eastAsia="fr-FR" w:bidi="fr-FR"/>
          <w14:ligatures w14:val="none"/>
        </w:rPr>
        <w:t>Services de sécurité ;</w:t>
      </w:r>
    </w:p>
    <w:p w14:paraId="0814E5D2" w14:textId="77777777" w:rsidR="004C40C9" w:rsidRPr="004C40C9" w:rsidRDefault="004C40C9" w:rsidP="004C40C9">
      <w:pPr>
        <w:numPr>
          <w:ilvl w:val="2"/>
          <w:numId w:val="2"/>
        </w:numPr>
        <w:spacing w:after="240" w:line="480" w:lineRule="auto"/>
        <w:ind w:left="1800" w:hanging="360"/>
        <w:contextualSpacing/>
        <w:jc w:val="both"/>
        <w:rPr>
          <w:rFonts w:ascii="Calibri" w:eastAsia="Times New Roman" w:hAnsi="Calibri" w:cs="Arial"/>
          <w:i/>
          <w:kern w:val="0"/>
          <w:sz w:val="22"/>
          <w:szCs w:val="22"/>
          <w:lang w:val="fr-FR" w:eastAsia="fr-FR" w:bidi="fr-FR"/>
          <w14:ligatures w14:val="none"/>
        </w:rPr>
      </w:pPr>
      <w:r w:rsidRPr="004C40C9">
        <w:rPr>
          <w:rFonts w:ascii="Calibri" w:eastAsia="Times New Roman" w:hAnsi="Calibri" w:cs="Times New Roman"/>
          <w:i/>
          <w:kern w:val="0"/>
          <w:sz w:val="22"/>
          <w:lang w:val="fr-FR" w:eastAsia="fr-FR" w:bidi="fr-FR"/>
          <w14:ligatures w14:val="none"/>
        </w:rPr>
        <w:lastRenderedPageBreak/>
        <w:t>Équipement de laboratoire et fournitures médicales ;</w:t>
      </w:r>
    </w:p>
    <w:p w14:paraId="24C16F46" w14:textId="77777777" w:rsidR="004C40C9" w:rsidRPr="004C40C9" w:rsidRDefault="004C40C9" w:rsidP="004C40C9">
      <w:pPr>
        <w:numPr>
          <w:ilvl w:val="2"/>
          <w:numId w:val="2"/>
        </w:numPr>
        <w:spacing w:after="240" w:line="480" w:lineRule="auto"/>
        <w:ind w:left="1800" w:hanging="360"/>
        <w:contextualSpacing/>
        <w:jc w:val="both"/>
        <w:rPr>
          <w:rFonts w:ascii="Calibri" w:eastAsia="Times New Roman" w:hAnsi="Calibri" w:cs="Arial"/>
          <w:i/>
          <w:kern w:val="0"/>
          <w:sz w:val="22"/>
          <w:szCs w:val="22"/>
          <w:lang w:val="fr-FR" w:eastAsia="fr-FR" w:bidi="fr-FR"/>
          <w14:ligatures w14:val="none"/>
        </w:rPr>
      </w:pPr>
      <w:r w:rsidRPr="004C40C9">
        <w:rPr>
          <w:rFonts w:ascii="Calibri" w:eastAsia="Times New Roman" w:hAnsi="Calibri" w:cs="Times New Roman"/>
          <w:i/>
          <w:kern w:val="0"/>
          <w:sz w:val="22"/>
          <w:lang w:val="fr-FR" w:eastAsia="fr-FR" w:bidi="fr-FR"/>
          <w14:ligatures w14:val="none"/>
        </w:rPr>
        <w:t>Kits médicaux (si spécialisation) ;</w:t>
      </w:r>
    </w:p>
    <w:p w14:paraId="2BD69CEF" w14:textId="77777777" w:rsidR="004C40C9" w:rsidRPr="004C40C9" w:rsidRDefault="004C40C9" w:rsidP="004C40C9">
      <w:pPr>
        <w:numPr>
          <w:ilvl w:val="2"/>
          <w:numId w:val="2"/>
        </w:numPr>
        <w:spacing w:after="240" w:line="480" w:lineRule="auto"/>
        <w:ind w:left="1800" w:hanging="360"/>
        <w:contextualSpacing/>
        <w:jc w:val="both"/>
        <w:rPr>
          <w:rFonts w:ascii="Calibri" w:eastAsia="Times New Roman" w:hAnsi="Calibri" w:cs="Arial"/>
          <w:i/>
          <w:kern w:val="0"/>
          <w:sz w:val="22"/>
          <w:szCs w:val="22"/>
          <w:lang w:val="fr-FR" w:eastAsia="fr-FR" w:bidi="fr-FR"/>
          <w14:ligatures w14:val="none"/>
        </w:rPr>
      </w:pPr>
      <w:r w:rsidRPr="004C40C9">
        <w:rPr>
          <w:rFonts w:ascii="Calibri" w:eastAsia="Times New Roman" w:hAnsi="Calibri" w:cs="Times New Roman"/>
          <w:i/>
          <w:kern w:val="0"/>
          <w:sz w:val="22"/>
          <w:lang w:val="fr-FR" w:eastAsia="fr-FR" w:bidi="fr-FR"/>
          <w14:ligatures w14:val="none"/>
        </w:rPr>
        <w:t>Contraceptifs ;</w:t>
      </w:r>
    </w:p>
    <w:p w14:paraId="634F41C2" w14:textId="77777777" w:rsidR="004C40C9" w:rsidRPr="004C40C9" w:rsidRDefault="004C40C9" w:rsidP="004C40C9">
      <w:pPr>
        <w:numPr>
          <w:ilvl w:val="2"/>
          <w:numId w:val="2"/>
        </w:numPr>
        <w:spacing w:after="240" w:line="480" w:lineRule="auto"/>
        <w:ind w:left="1800" w:hanging="360"/>
        <w:contextualSpacing/>
        <w:jc w:val="both"/>
        <w:rPr>
          <w:rFonts w:ascii="Calibri" w:eastAsia="Times New Roman" w:hAnsi="Calibri" w:cs="Arial"/>
          <w:i/>
          <w:kern w:val="0"/>
          <w:sz w:val="22"/>
          <w:szCs w:val="22"/>
          <w:lang w:val="fr-FR" w:eastAsia="fr-FR" w:bidi="fr-FR"/>
          <w14:ligatures w14:val="none"/>
        </w:rPr>
      </w:pPr>
      <w:r w:rsidRPr="004C40C9">
        <w:rPr>
          <w:rFonts w:ascii="Calibri" w:eastAsia="Times New Roman" w:hAnsi="Calibri" w:cs="Times New Roman"/>
          <w:i/>
          <w:kern w:val="0"/>
          <w:sz w:val="22"/>
          <w:lang w:val="fr-FR" w:eastAsia="fr-FR" w:bidi="fr-FR"/>
          <w14:ligatures w14:val="none"/>
        </w:rPr>
        <w:t>Équipement pour élections ;</w:t>
      </w:r>
    </w:p>
    <w:p w14:paraId="729A8D82" w14:textId="77777777" w:rsidR="004C40C9" w:rsidRPr="004C40C9" w:rsidRDefault="004C40C9" w:rsidP="004C40C9">
      <w:pPr>
        <w:numPr>
          <w:ilvl w:val="2"/>
          <w:numId w:val="2"/>
        </w:numPr>
        <w:spacing w:after="240" w:line="480" w:lineRule="auto"/>
        <w:ind w:left="1800" w:hanging="360"/>
        <w:contextualSpacing/>
        <w:jc w:val="both"/>
        <w:rPr>
          <w:rFonts w:ascii="Calibri" w:eastAsia="Times New Roman" w:hAnsi="Calibri" w:cs="Arial"/>
          <w:i/>
          <w:kern w:val="0"/>
          <w:sz w:val="22"/>
          <w:szCs w:val="22"/>
          <w:lang w:val="fr-FR" w:eastAsia="fr-FR" w:bidi="fr-FR"/>
          <w14:ligatures w14:val="none"/>
        </w:rPr>
      </w:pPr>
      <w:r w:rsidRPr="004C40C9">
        <w:rPr>
          <w:rFonts w:ascii="Calibri" w:eastAsia="Times New Roman" w:hAnsi="Calibri" w:cs="Times New Roman"/>
          <w:i/>
          <w:kern w:val="0"/>
          <w:sz w:val="22"/>
          <w:lang w:val="fr-FR" w:eastAsia="fr-FR" w:bidi="fr-FR"/>
          <w14:ligatures w14:val="none"/>
        </w:rPr>
        <w:t>Services de sociétés de conseils ;</w:t>
      </w:r>
    </w:p>
    <w:p w14:paraId="2E33B2DB" w14:textId="77777777" w:rsidR="004C40C9" w:rsidRPr="004C40C9" w:rsidRDefault="004C40C9" w:rsidP="004C40C9">
      <w:pPr>
        <w:numPr>
          <w:ilvl w:val="2"/>
          <w:numId w:val="2"/>
        </w:numPr>
        <w:spacing w:after="240" w:line="480" w:lineRule="auto"/>
        <w:ind w:left="1800" w:hanging="360"/>
        <w:contextualSpacing/>
        <w:jc w:val="both"/>
        <w:rPr>
          <w:rFonts w:ascii="Calibri" w:eastAsia="Times New Roman" w:hAnsi="Calibri" w:cs="Arial"/>
          <w:i/>
          <w:kern w:val="0"/>
          <w:sz w:val="22"/>
          <w:szCs w:val="22"/>
          <w:lang w:val="fr-FR" w:eastAsia="fr-FR" w:bidi="fr-FR"/>
          <w14:ligatures w14:val="none"/>
        </w:rPr>
      </w:pPr>
      <w:r w:rsidRPr="004C40C9">
        <w:rPr>
          <w:rFonts w:ascii="Calibri" w:eastAsia="Times New Roman" w:hAnsi="Calibri" w:cs="Times New Roman"/>
          <w:i/>
          <w:kern w:val="0"/>
          <w:sz w:val="22"/>
          <w:lang w:val="fr-FR" w:eastAsia="fr-FR" w:bidi="fr-FR"/>
          <w14:ligatures w14:val="none"/>
        </w:rPr>
        <w:t>Structures permanentes ;</w:t>
      </w:r>
    </w:p>
    <w:p w14:paraId="10615480" w14:textId="77777777" w:rsidR="004C40C9" w:rsidRPr="004C40C9" w:rsidRDefault="004C40C9" w:rsidP="004C40C9">
      <w:pPr>
        <w:numPr>
          <w:ilvl w:val="2"/>
          <w:numId w:val="2"/>
        </w:numPr>
        <w:spacing w:after="240" w:line="480" w:lineRule="auto"/>
        <w:ind w:left="1800" w:hanging="360"/>
        <w:contextualSpacing/>
        <w:jc w:val="both"/>
        <w:rPr>
          <w:rFonts w:ascii="Calibri" w:eastAsia="Times New Roman" w:hAnsi="Calibri" w:cs="Arial"/>
          <w:i/>
          <w:kern w:val="0"/>
          <w:sz w:val="22"/>
          <w:szCs w:val="22"/>
          <w:lang w:val="fr-FR" w:eastAsia="fr-FR" w:bidi="fr-FR"/>
          <w14:ligatures w14:val="none"/>
        </w:rPr>
      </w:pPr>
      <w:r w:rsidRPr="004C40C9">
        <w:rPr>
          <w:rFonts w:ascii="Calibri" w:eastAsia="Times New Roman" w:hAnsi="Calibri" w:cs="Times New Roman"/>
          <w:i/>
          <w:kern w:val="0"/>
          <w:sz w:val="22"/>
          <w:lang w:val="fr-FR" w:eastAsia="fr-FR" w:bidi="fr-FR"/>
          <w14:ligatures w14:val="none"/>
        </w:rPr>
        <w:t>Services de construction ;</w:t>
      </w:r>
    </w:p>
    <w:p w14:paraId="1819F146" w14:textId="528E71F2" w:rsidR="004C40C9" w:rsidRPr="004F487C" w:rsidRDefault="004C40C9" w:rsidP="004F487C">
      <w:pPr>
        <w:numPr>
          <w:ilvl w:val="2"/>
          <w:numId w:val="2"/>
        </w:numPr>
        <w:spacing w:after="240" w:line="480" w:lineRule="auto"/>
        <w:ind w:left="1800" w:hanging="360"/>
        <w:contextualSpacing/>
        <w:jc w:val="both"/>
        <w:rPr>
          <w:rFonts w:ascii="Calibri" w:eastAsia="Times New Roman" w:hAnsi="Calibri" w:cs="Arial"/>
          <w:i/>
          <w:kern w:val="0"/>
          <w:sz w:val="22"/>
          <w:szCs w:val="22"/>
          <w:lang w:val="fr-FR" w:eastAsia="fr-FR" w:bidi="fr-FR"/>
          <w14:ligatures w14:val="none"/>
        </w:rPr>
      </w:pPr>
      <w:r w:rsidRPr="004C40C9">
        <w:rPr>
          <w:rFonts w:ascii="Calibri" w:eastAsia="Times New Roman" w:hAnsi="Calibri" w:cs="Times New Roman"/>
          <w:i/>
          <w:kern w:val="0"/>
          <w:sz w:val="22"/>
          <w:lang w:val="fr-FR" w:eastAsia="fr-FR" w:bidi="fr-FR"/>
          <w14:ligatures w14:val="none"/>
        </w:rPr>
        <w:t xml:space="preserve">Études techniques (lorsqu’elles sont hautement spécialisées et peuvent influer sur le travail en aval) ; </w:t>
      </w:r>
    </w:p>
    <w:p w14:paraId="3649D429" w14:textId="77777777" w:rsidR="004C40C9" w:rsidRPr="004C40C9" w:rsidRDefault="004C40C9" w:rsidP="004C40C9">
      <w:pPr>
        <w:numPr>
          <w:ilvl w:val="0"/>
          <w:numId w:val="1"/>
        </w:numPr>
        <w:shd w:val="clear" w:color="auto" w:fill="FFFFFF"/>
        <w:spacing w:after="0" w:line="240" w:lineRule="auto"/>
        <w:jc w:val="both"/>
        <w:rPr>
          <w:rFonts w:ascii="Calibri" w:eastAsia="Times New Roman" w:hAnsi="Calibri" w:cs="Arial"/>
          <w:kern w:val="0"/>
          <w:sz w:val="22"/>
          <w:szCs w:val="22"/>
          <w:lang w:val="fr-FR" w:eastAsia="fr-FR" w:bidi="fr-FR"/>
          <w14:ligatures w14:val="none"/>
        </w:rPr>
      </w:pPr>
      <w:r w:rsidRPr="004C40C9">
        <w:rPr>
          <w:rFonts w:ascii="Calibri" w:eastAsia="Times New Roman" w:hAnsi="Calibri" w:cs="Times New Roman"/>
          <w:kern w:val="0"/>
          <w:sz w:val="22"/>
          <w:lang w:val="fr-FR" w:eastAsia="fr-FR" w:bidi="fr-FR"/>
          <w14:ligatures w14:val="none"/>
        </w:rPr>
        <w:t>Les unités opérationnelles doivent veiller à ce que les projets désignés comme ayant des « besoins opérationnels complexes » reçoivent les ressources en matière de gestion et l’attention nécessaires pour garantir une livraison et un contrôle qualité réussis, notamment en alertant le Bureau des achats et en demandant son soutien.</w:t>
      </w:r>
    </w:p>
    <w:p w14:paraId="495D040B" w14:textId="77777777" w:rsidR="004C40C9" w:rsidRPr="002158F3" w:rsidRDefault="004C40C9" w:rsidP="004C40C9">
      <w:pPr>
        <w:spacing w:after="0" w:line="240" w:lineRule="auto"/>
        <w:rPr>
          <w:rFonts w:ascii="Calibri" w:eastAsia="Times New Roman" w:hAnsi="Calibri" w:cs="Times New Roman"/>
          <w:kern w:val="0"/>
          <w:sz w:val="22"/>
          <w:szCs w:val="22"/>
          <w:lang w:val="fr-FR" w:eastAsia="fr-FR" w:bidi="fr-FR"/>
          <w14:ligatures w14:val="none"/>
        </w:rPr>
      </w:pPr>
    </w:p>
    <w:p w14:paraId="43BC9C40" w14:textId="77777777" w:rsidR="004C40C9" w:rsidRPr="002158F3" w:rsidRDefault="004C40C9" w:rsidP="004C40C9">
      <w:pPr>
        <w:spacing w:after="0" w:line="240" w:lineRule="auto"/>
        <w:rPr>
          <w:rFonts w:ascii="Calibri" w:eastAsia="Times New Roman" w:hAnsi="Calibri" w:cs="Times New Roman"/>
          <w:kern w:val="0"/>
          <w:sz w:val="22"/>
          <w:szCs w:val="22"/>
          <w:lang w:val="fr-FR" w:eastAsia="fr-FR" w:bidi="fr-FR"/>
          <w14:ligatures w14:val="none"/>
        </w:rPr>
      </w:pPr>
    </w:p>
    <w:p w14:paraId="2858B342" w14:textId="77777777" w:rsidR="004C40C9" w:rsidRPr="00AF56F8" w:rsidRDefault="004C40C9" w:rsidP="004C40C9">
      <w:pPr>
        <w:spacing w:line="259" w:lineRule="auto"/>
        <w:rPr>
          <w:rFonts w:ascii="Calibri" w:eastAsia="MS Mincho" w:hAnsi="Calibri" w:cs="Times New Roman"/>
          <w:i/>
          <w:iCs/>
          <w:kern w:val="0"/>
          <w:sz w:val="22"/>
          <w:szCs w:val="22"/>
          <w:lang w:val="fr-FR"/>
          <w14:ligatures w14:val="none"/>
        </w:rPr>
      </w:pPr>
      <w:r w:rsidRPr="00AF56F8">
        <w:rPr>
          <w:rFonts w:ascii="Calibri" w:eastAsia="MS Mincho" w:hAnsi="Calibri" w:cs="Times New Roman"/>
          <w:b/>
          <w:i/>
          <w:iCs/>
          <w:kern w:val="0"/>
          <w:sz w:val="22"/>
          <w:szCs w:val="22"/>
          <w:lang w:val="fr-FR"/>
          <w14:ligatures w14:val="none"/>
        </w:rPr>
        <w:t>Avertissement</w:t>
      </w:r>
      <w:r w:rsidRPr="00AF56F8">
        <w:rPr>
          <w:rFonts w:ascii="Calibri" w:eastAsia="MS Mincho" w:hAnsi="Calibri" w:cs="Times New Roman"/>
          <w:i/>
          <w:iCs/>
          <w:kern w:val="0"/>
          <w:sz w:val="22"/>
          <w:szCs w:val="22"/>
          <w:lang w:val="fr-FR"/>
          <w14:ligatures w14:val="none"/>
        </w:rPr>
        <w:t xml:space="preserve"> : Ce document a été traduit de l'anglais vers le français. En cas de divergence entre cette traduction et le document anglais original, le document anglais original prévaudra.</w:t>
      </w:r>
    </w:p>
    <w:p w14:paraId="6DE1B647" w14:textId="77777777" w:rsidR="004C40C9" w:rsidRPr="00AF56F8" w:rsidRDefault="004C40C9" w:rsidP="004C40C9">
      <w:pPr>
        <w:spacing w:line="259" w:lineRule="auto"/>
        <w:rPr>
          <w:rFonts w:ascii="Calibri" w:eastAsia="MS Mincho" w:hAnsi="Calibri" w:cs="Times New Roman"/>
          <w:i/>
          <w:iCs/>
          <w:kern w:val="0"/>
          <w:sz w:val="22"/>
          <w:szCs w:val="22"/>
          <w14:ligatures w14:val="none"/>
        </w:rPr>
      </w:pPr>
      <w:r w:rsidRPr="00AF56F8">
        <w:rPr>
          <w:rFonts w:ascii="Calibri" w:eastAsia="MS Mincho" w:hAnsi="Calibri" w:cs="Times New Roman"/>
          <w:b/>
          <w:i/>
          <w:iCs/>
          <w:kern w:val="0"/>
          <w:sz w:val="22"/>
          <w:szCs w:val="22"/>
          <w14:ligatures w14:val="none"/>
        </w:rPr>
        <w:t>Disclaimer:</w:t>
      </w:r>
      <w:r w:rsidRPr="00AF56F8">
        <w:rPr>
          <w:rFonts w:ascii="Calibri" w:eastAsia="MS Mincho" w:hAnsi="Calibri" w:cs="Times New Roman"/>
          <w:i/>
          <w:iCs/>
          <w:kern w:val="0"/>
          <w:sz w:val="22"/>
          <w:szCs w:val="22"/>
          <w14:ligatures w14:val="none"/>
        </w:rPr>
        <w:t xml:space="preserve"> This document was translated from English into French. In the event of any discrepancy between this translation and the original English document, the original English document shall prevail.</w:t>
      </w:r>
    </w:p>
    <w:p w14:paraId="5AF62B81" w14:textId="77777777" w:rsidR="004C40C9" w:rsidRPr="004C40C9" w:rsidRDefault="004C40C9" w:rsidP="004C40C9">
      <w:pPr>
        <w:spacing w:after="0" w:line="240" w:lineRule="auto"/>
        <w:ind w:left="360"/>
        <w:rPr>
          <w:rFonts w:ascii="Calibri" w:eastAsia="Times New Roman" w:hAnsi="Calibri" w:cs="Times New Roman"/>
          <w:kern w:val="0"/>
          <w:lang w:val="fr-FR" w:eastAsia="fr-FR" w:bidi="fr-FR"/>
          <w14:ligatures w14:val="none"/>
        </w:rPr>
      </w:pPr>
    </w:p>
    <w:p w14:paraId="0C98276C" w14:textId="77777777" w:rsidR="00DA504D" w:rsidRDefault="00DA504D"/>
    <w:sectPr w:rsidR="00DA504D" w:rsidSect="002158F3">
      <w:headerReference w:type="default" r:id="rId7"/>
      <w:footerReference w:type="default" r:id="rId8"/>
      <w:pgSz w:w="12240" w:h="15840"/>
      <w:pgMar w:top="18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6B54" w14:textId="77777777" w:rsidR="00F1760E" w:rsidRDefault="00F1760E" w:rsidP="004C40C9">
      <w:pPr>
        <w:spacing w:after="0" w:line="240" w:lineRule="auto"/>
      </w:pPr>
      <w:r>
        <w:separator/>
      </w:r>
    </w:p>
  </w:endnote>
  <w:endnote w:type="continuationSeparator" w:id="0">
    <w:p w14:paraId="4B5B8C50" w14:textId="77777777" w:rsidR="00F1760E" w:rsidRDefault="00F1760E" w:rsidP="004C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0DE4" w14:textId="26743800" w:rsidR="004C40C9" w:rsidRPr="002158F3" w:rsidRDefault="004C40C9">
    <w:pPr>
      <w:pStyle w:val="Footer"/>
      <w:rPr>
        <w:rFonts w:ascii="Calibri" w:hAnsi="Calibri" w:cs="Calibri"/>
        <w:sz w:val="22"/>
        <w:szCs w:val="22"/>
        <w:lang w:val="en-GB"/>
      </w:rPr>
    </w:pPr>
    <w:r w:rsidRPr="002158F3">
      <w:rPr>
        <w:rFonts w:ascii="Calibri" w:hAnsi="Calibri" w:cs="Calibri"/>
        <w:sz w:val="22"/>
        <w:szCs w:val="22"/>
        <w:lang w:val="en-GB"/>
      </w:rPr>
      <w:t xml:space="preserve">Page </w:t>
    </w:r>
    <w:r w:rsidRPr="002158F3">
      <w:rPr>
        <w:rFonts w:ascii="Calibri" w:hAnsi="Calibri" w:cs="Calibri"/>
        <w:b/>
        <w:bCs/>
        <w:sz w:val="22"/>
        <w:szCs w:val="22"/>
      </w:rPr>
      <w:fldChar w:fldCharType="begin"/>
    </w:r>
    <w:r w:rsidRPr="002158F3">
      <w:rPr>
        <w:rFonts w:ascii="Calibri" w:hAnsi="Calibri" w:cs="Calibri"/>
        <w:b/>
        <w:bCs/>
        <w:sz w:val="22"/>
        <w:szCs w:val="22"/>
        <w:lang w:val="en-GB"/>
      </w:rPr>
      <w:instrText xml:space="preserve"> PAGE  \* Arabic  \* MERGEFORMAT </w:instrText>
    </w:r>
    <w:r w:rsidRPr="002158F3">
      <w:rPr>
        <w:rFonts w:ascii="Calibri" w:hAnsi="Calibri" w:cs="Calibri"/>
        <w:b/>
        <w:bCs/>
        <w:sz w:val="22"/>
        <w:szCs w:val="22"/>
      </w:rPr>
      <w:fldChar w:fldCharType="separate"/>
    </w:r>
    <w:r w:rsidRPr="002158F3">
      <w:rPr>
        <w:rFonts w:ascii="Calibri" w:hAnsi="Calibri" w:cs="Calibri"/>
        <w:b/>
        <w:bCs/>
        <w:noProof/>
        <w:sz w:val="22"/>
        <w:szCs w:val="22"/>
        <w:lang w:val="en-GB"/>
      </w:rPr>
      <w:t>1</w:t>
    </w:r>
    <w:r w:rsidRPr="002158F3">
      <w:rPr>
        <w:rFonts w:ascii="Calibri" w:hAnsi="Calibri" w:cs="Calibri"/>
        <w:b/>
        <w:bCs/>
        <w:sz w:val="22"/>
        <w:szCs w:val="22"/>
      </w:rPr>
      <w:fldChar w:fldCharType="end"/>
    </w:r>
    <w:r w:rsidRPr="002158F3">
      <w:rPr>
        <w:rFonts w:ascii="Calibri" w:hAnsi="Calibri" w:cs="Calibri"/>
        <w:sz w:val="22"/>
        <w:szCs w:val="22"/>
        <w:lang w:val="en-GB"/>
      </w:rPr>
      <w:t xml:space="preserve"> </w:t>
    </w:r>
    <w:r>
      <w:rPr>
        <w:rFonts w:ascii="Calibri" w:hAnsi="Calibri" w:cs="Calibri"/>
        <w:sz w:val="22"/>
        <w:szCs w:val="22"/>
        <w:lang w:val="en-GB"/>
      </w:rPr>
      <w:t>sur</w:t>
    </w:r>
    <w:r w:rsidRPr="002158F3">
      <w:rPr>
        <w:rFonts w:ascii="Calibri" w:hAnsi="Calibri" w:cs="Calibri"/>
        <w:sz w:val="22"/>
        <w:szCs w:val="22"/>
        <w:lang w:val="en-GB"/>
      </w:rPr>
      <w:t xml:space="preserve"> </w:t>
    </w:r>
    <w:r w:rsidRPr="002158F3">
      <w:rPr>
        <w:rFonts w:ascii="Calibri" w:hAnsi="Calibri" w:cs="Calibri"/>
        <w:b/>
        <w:bCs/>
        <w:sz w:val="22"/>
        <w:szCs w:val="22"/>
      </w:rPr>
      <w:fldChar w:fldCharType="begin"/>
    </w:r>
    <w:r w:rsidRPr="002158F3">
      <w:rPr>
        <w:rFonts w:ascii="Calibri" w:hAnsi="Calibri" w:cs="Calibri"/>
        <w:b/>
        <w:bCs/>
        <w:sz w:val="22"/>
        <w:szCs w:val="22"/>
        <w:lang w:val="en-GB"/>
      </w:rPr>
      <w:instrText xml:space="preserve"> NUMPAGES  \* Arabic  \* MERGEFORMAT </w:instrText>
    </w:r>
    <w:r w:rsidRPr="002158F3">
      <w:rPr>
        <w:rFonts w:ascii="Calibri" w:hAnsi="Calibri" w:cs="Calibri"/>
        <w:b/>
        <w:bCs/>
        <w:sz w:val="22"/>
        <w:szCs w:val="22"/>
      </w:rPr>
      <w:fldChar w:fldCharType="separate"/>
    </w:r>
    <w:r w:rsidRPr="002158F3">
      <w:rPr>
        <w:rFonts w:ascii="Calibri" w:hAnsi="Calibri" w:cs="Calibri"/>
        <w:b/>
        <w:bCs/>
        <w:noProof/>
        <w:sz w:val="22"/>
        <w:szCs w:val="22"/>
        <w:lang w:val="en-GB"/>
      </w:rPr>
      <w:t>2</w:t>
    </w:r>
    <w:r w:rsidRPr="002158F3">
      <w:rPr>
        <w:rFonts w:ascii="Calibri" w:hAnsi="Calibri" w:cs="Calibri"/>
        <w:b/>
        <w:bCs/>
        <w:sz w:val="22"/>
        <w:szCs w:val="22"/>
      </w:rPr>
      <w:fldChar w:fldCharType="end"/>
    </w:r>
    <w:r w:rsidRPr="002158F3">
      <w:rPr>
        <w:rFonts w:ascii="Calibri" w:hAnsi="Calibri" w:cs="Calibri"/>
        <w:sz w:val="22"/>
        <w:szCs w:val="22"/>
      </w:rPr>
      <w:ptab w:relativeTo="margin" w:alignment="center" w:leader="none"/>
    </w:r>
    <w:r w:rsidRPr="004C40C9">
      <w:rPr>
        <w:rFonts w:ascii="Calibri" w:hAnsi="Calibri" w:cs="Calibri"/>
        <w:sz w:val="22"/>
        <w:szCs w:val="22"/>
      </w:rPr>
      <w:t>Date d'entrée en vigueur</w:t>
    </w:r>
    <w:r w:rsidRPr="002158F3">
      <w:rPr>
        <w:rFonts w:ascii="Calibri" w:hAnsi="Calibri" w:cs="Calibri"/>
        <w:sz w:val="22"/>
        <w:szCs w:val="22"/>
      </w:rPr>
      <w:t xml:space="preserve"> : 06/02/2018 </w:t>
    </w:r>
    <w:r w:rsidRPr="002158F3">
      <w:rPr>
        <w:rFonts w:ascii="Calibri" w:hAnsi="Calibri" w:cs="Calibri"/>
        <w:sz w:val="22"/>
        <w:szCs w:val="22"/>
      </w:rPr>
      <w:ptab w:relativeTo="margin" w:alignment="right" w:leader="none"/>
    </w:r>
    <w:r w:rsidRPr="002158F3">
      <w:rPr>
        <w:rFonts w:ascii="Calibri" w:hAnsi="Calibri" w:cs="Calibri"/>
        <w:sz w:val="22"/>
        <w:szCs w:val="22"/>
      </w:rPr>
      <w:t>Version #</w:t>
    </w:r>
    <w:r>
      <w:rPr>
        <w:rFonts w:ascii="Calibri" w:hAnsi="Calibri" w:cs="Calibri"/>
        <w:sz w:val="22"/>
        <w:szCs w:val="22"/>
      </w:rPr>
      <w:t xml:space="preserve"> : </w:t>
    </w:r>
    <w:sdt>
      <w:sdtPr>
        <w:rPr>
          <w:rFonts w:ascii="Calibri" w:hAnsi="Calibri" w:cs="Calibri"/>
          <w:sz w:val="22"/>
          <w:szCs w:val="22"/>
        </w:rPr>
        <w:alias w:val="POPPRefItemVersion"/>
        <w:tag w:val="UNDP_POPP_REFITEM_VERSION"/>
        <w:id w:val="166929067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3B75DAA-77FE-4D94-8FB8-5D747C844BC0}"/>
        <w:text/>
      </w:sdtPr>
      <w:sdtContent>
        <w:r w:rsidRPr="002158F3">
          <w:rPr>
            <w:rFonts w:ascii="Calibri" w:hAnsi="Calibri" w:cs="Calibri"/>
            <w:sz w:val="22"/>
            <w:szCs w:val="22"/>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7E45" w14:textId="77777777" w:rsidR="00F1760E" w:rsidRDefault="00F1760E" w:rsidP="004C40C9">
      <w:pPr>
        <w:spacing w:after="0" w:line="240" w:lineRule="auto"/>
      </w:pPr>
      <w:r>
        <w:separator/>
      </w:r>
    </w:p>
  </w:footnote>
  <w:footnote w:type="continuationSeparator" w:id="0">
    <w:p w14:paraId="64CDE154" w14:textId="77777777" w:rsidR="00F1760E" w:rsidRDefault="00F1760E" w:rsidP="004C4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B9A" w14:textId="7B6F6EAB" w:rsidR="004C40C9" w:rsidRDefault="004C40C9" w:rsidP="00063ACB">
    <w:pPr>
      <w:pStyle w:val="Header"/>
      <w:jc w:val="right"/>
    </w:pPr>
    <w:r>
      <w:rPr>
        <w:noProof/>
      </w:rPr>
      <w:drawing>
        <wp:anchor distT="0" distB="0" distL="114300" distR="114300" simplePos="0" relativeHeight="251659264" behindDoc="0" locked="0" layoutInCell="1" allowOverlap="1" wp14:anchorId="2E29C6E1" wp14:editId="0A2FB8DC">
          <wp:simplePos x="0" y="0"/>
          <wp:positionH relativeFrom="rightMargin">
            <wp:posOffset>-274320</wp:posOffset>
          </wp:positionH>
          <wp:positionV relativeFrom="paragraph">
            <wp:posOffset>-99060</wp:posOffset>
          </wp:positionV>
          <wp:extent cx="283210" cy="553085"/>
          <wp:effectExtent l="0" t="0" r="2540" b="0"/>
          <wp:wrapNone/>
          <wp:docPr id="252740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461"/>
    <w:multiLevelType w:val="hybridMultilevel"/>
    <w:tmpl w:val="A934BE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B6778"/>
    <w:multiLevelType w:val="hybridMultilevel"/>
    <w:tmpl w:val="BE5A35C4"/>
    <w:lvl w:ilvl="0" w:tplc="0409000F">
      <w:start w:val="1"/>
      <w:numFmt w:val="decimal"/>
      <w:lvlText w:val="%1."/>
      <w:lvlJc w:val="left"/>
      <w:pPr>
        <w:ind w:left="720" w:hanging="360"/>
      </w:pPr>
    </w:lvl>
    <w:lvl w:ilvl="1" w:tplc="04090019">
      <w:start w:val="1"/>
      <w:numFmt w:val="lowerLetter"/>
      <w:lvlText w:val="%2."/>
      <w:lvlJc w:val="left"/>
      <w:pPr>
        <w:ind w:left="450" w:hanging="360"/>
      </w:pPr>
    </w:lvl>
    <w:lvl w:ilvl="2" w:tplc="996E9FB0">
      <w:start w:val="1"/>
      <w:numFmt w:val="lowerRoman"/>
      <w:lvlText w:val="%3."/>
      <w:lvlJc w:val="left"/>
      <w:pPr>
        <w:ind w:left="90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340007">
    <w:abstractNumId w:val="0"/>
  </w:num>
  <w:num w:numId="2" w16cid:durableId="142734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C9"/>
    <w:rsid w:val="002158F3"/>
    <w:rsid w:val="00497778"/>
    <w:rsid w:val="004C40C9"/>
    <w:rsid w:val="004F487C"/>
    <w:rsid w:val="0093771F"/>
    <w:rsid w:val="00C61B9D"/>
    <w:rsid w:val="00DA504D"/>
    <w:rsid w:val="00F1760E"/>
    <w:rsid w:val="00F95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C5F20"/>
  <w15:chartTrackingRefBased/>
  <w15:docId w15:val="{609D786A-0E32-4F4C-B2E9-2CA1C371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0C9"/>
    <w:rPr>
      <w:rFonts w:eastAsiaTheme="majorEastAsia" w:cstheme="majorBidi"/>
      <w:color w:val="272727" w:themeColor="text1" w:themeTint="D8"/>
    </w:rPr>
  </w:style>
  <w:style w:type="paragraph" w:styleId="Title">
    <w:name w:val="Title"/>
    <w:basedOn w:val="Normal"/>
    <w:next w:val="Normal"/>
    <w:link w:val="TitleChar"/>
    <w:uiPriority w:val="10"/>
    <w:qFormat/>
    <w:rsid w:val="004C4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0C9"/>
    <w:pPr>
      <w:spacing w:before="160"/>
      <w:jc w:val="center"/>
    </w:pPr>
    <w:rPr>
      <w:i/>
      <w:iCs/>
      <w:color w:val="404040" w:themeColor="text1" w:themeTint="BF"/>
    </w:rPr>
  </w:style>
  <w:style w:type="character" w:customStyle="1" w:styleId="QuoteChar">
    <w:name w:val="Quote Char"/>
    <w:basedOn w:val="DefaultParagraphFont"/>
    <w:link w:val="Quote"/>
    <w:uiPriority w:val="29"/>
    <w:rsid w:val="004C40C9"/>
    <w:rPr>
      <w:i/>
      <w:iCs/>
      <w:color w:val="404040" w:themeColor="text1" w:themeTint="BF"/>
    </w:rPr>
  </w:style>
  <w:style w:type="paragraph" w:styleId="ListParagraph">
    <w:name w:val="List Paragraph"/>
    <w:basedOn w:val="Normal"/>
    <w:uiPriority w:val="34"/>
    <w:qFormat/>
    <w:rsid w:val="004C40C9"/>
    <w:pPr>
      <w:ind w:left="720"/>
      <w:contextualSpacing/>
    </w:pPr>
  </w:style>
  <w:style w:type="character" w:styleId="IntenseEmphasis">
    <w:name w:val="Intense Emphasis"/>
    <w:basedOn w:val="DefaultParagraphFont"/>
    <w:uiPriority w:val="21"/>
    <w:qFormat/>
    <w:rsid w:val="004C40C9"/>
    <w:rPr>
      <w:i/>
      <w:iCs/>
      <w:color w:val="0F4761" w:themeColor="accent1" w:themeShade="BF"/>
    </w:rPr>
  </w:style>
  <w:style w:type="paragraph" w:styleId="IntenseQuote">
    <w:name w:val="Intense Quote"/>
    <w:basedOn w:val="Normal"/>
    <w:next w:val="Normal"/>
    <w:link w:val="IntenseQuoteChar"/>
    <w:uiPriority w:val="30"/>
    <w:qFormat/>
    <w:rsid w:val="004C4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0C9"/>
    <w:rPr>
      <w:i/>
      <w:iCs/>
      <w:color w:val="0F4761" w:themeColor="accent1" w:themeShade="BF"/>
    </w:rPr>
  </w:style>
  <w:style w:type="character" w:styleId="IntenseReference">
    <w:name w:val="Intense Reference"/>
    <w:basedOn w:val="DefaultParagraphFont"/>
    <w:uiPriority w:val="32"/>
    <w:qFormat/>
    <w:rsid w:val="004C40C9"/>
    <w:rPr>
      <w:b/>
      <w:bCs/>
      <w:smallCaps/>
      <w:color w:val="0F4761" w:themeColor="accent1" w:themeShade="BF"/>
      <w:spacing w:val="5"/>
    </w:rPr>
  </w:style>
  <w:style w:type="paragraph" w:styleId="Header">
    <w:name w:val="header"/>
    <w:basedOn w:val="Normal"/>
    <w:link w:val="HeaderChar"/>
    <w:uiPriority w:val="99"/>
    <w:unhideWhenUsed/>
    <w:rsid w:val="004C40C9"/>
    <w:pPr>
      <w:tabs>
        <w:tab w:val="center" w:pos="4680"/>
        <w:tab w:val="right" w:pos="9360"/>
      </w:tabs>
      <w:spacing w:after="0" w:line="240" w:lineRule="auto"/>
    </w:pPr>
    <w:rPr>
      <w:rFonts w:ascii="Times New Roman" w:eastAsia="Times New Roman" w:hAnsi="Times New Roman" w:cs="Times New Roman"/>
      <w:kern w:val="0"/>
      <w:lang w:val="fr-FR" w:eastAsia="fr-FR" w:bidi="fr-FR"/>
      <w14:ligatures w14:val="none"/>
    </w:rPr>
  </w:style>
  <w:style w:type="character" w:customStyle="1" w:styleId="HeaderChar">
    <w:name w:val="Header Char"/>
    <w:basedOn w:val="DefaultParagraphFont"/>
    <w:link w:val="Header"/>
    <w:uiPriority w:val="99"/>
    <w:rsid w:val="004C40C9"/>
    <w:rPr>
      <w:rFonts w:ascii="Times New Roman" w:eastAsia="Times New Roman" w:hAnsi="Times New Roman" w:cs="Times New Roman"/>
      <w:kern w:val="0"/>
      <w:lang w:val="fr-FR" w:eastAsia="fr-FR" w:bidi="fr-FR"/>
      <w14:ligatures w14:val="none"/>
    </w:rPr>
  </w:style>
  <w:style w:type="paragraph" w:styleId="Footer">
    <w:name w:val="footer"/>
    <w:basedOn w:val="Normal"/>
    <w:link w:val="FooterChar"/>
    <w:uiPriority w:val="99"/>
    <w:unhideWhenUsed/>
    <w:rsid w:val="004C40C9"/>
    <w:pPr>
      <w:tabs>
        <w:tab w:val="center" w:pos="4680"/>
        <w:tab w:val="right" w:pos="9360"/>
      </w:tabs>
      <w:spacing w:after="0" w:line="240" w:lineRule="auto"/>
    </w:pPr>
    <w:rPr>
      <w:rFonts w:ascii="Times New Roman" w:eastAsia="Times New Roman" w:hAnsi="Times New Roman" w:cs="Times New Roman"/>
      <w:kern w:val="0"/>
      <w:lang w:val="fr-FR" w:eastAsia="fr-FR" w:bidi="fr-FR"/>
      <w14:ligatures w14:val="none"/>
    </w:rPr>
  </w:style>
  <w:style w:type="character" w:customStyle="1" w:styleId="FooterChar">
    <w:name w:val="Footer Char"/>
    <w:basedOn w:val="DefaultParagraphFont"/>
    <w:link w:val="Footer"/>
    <w:uiPriority w:val="99"/>
    <w:rsid w:val="004C40C9"/>
    <w:rPr>
      <w:rFonts w:ascii="Times New Roman" w:eastAsia="Times New Roman" w:hAnsi="Times New Roman" w:cs="Times New Roman"/>
      <w:kern w:val="0"/>
      <w:lang w:val="fr-FR" w:eastAsia="fr-FR" w:bidi="fr-FR"/>
      <w14:ligatures w14:val="none"/>
    </w:rPr>
  </w:style>
  <w:style w:type="paragraph" w:styleId="Revision">
    <w:name w:val="Revision"/>
    <w:hidden/>
    <w:uiPriority w:val="99"/>
    <w:semiHidden/>
    <w:rsid w:val="004C40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2026-05-12T21:45:00Z</dcterms:created>
  <dcterms:modified xsi:type="dcterms:W3CDTF">2026-05-12T21:52:00Z</dcterms:modified>
</cp:coreProperties>
</file>