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BB96" w14:textId="77777777" w:rsidR="00074D09" w:rsidRPr="00B85663" w:rsidRDefault="00074D09" w:rsidP="00074D09">
      <w:pPr>
        <w:jc w:val="center"/>
        <w:rPr>
          <w:rFonts w:asciiTheme="minorHAnsi" w:hAnsiTheme="minorHAnsi" w:cs="Arial"/>
          <w:b/>
          <w:bCs/>
          <w:sz w:val="22"/>
          <w:szCs w:val="22"/>
        </w:rPr>
      </w:pPr>
      <w:r w:rsidRPr="00B85663">
        <w:rPr>
          <w:rFonts w:asciiTheme="minorHAnsi" w:hAnsiTheme="minorHAnsi" w:cs="Arial"/>
          <w:b/>
          <w:bCs/>
          <w:sz w:val="22"/>
          <w:szCs w:val="22"/>
        </w:rPr>
        <w:t>PROCUREMENT FORECASTING AND DELIVERY</w:t>
      </w:r>
    </w:p>
    <w:p w14:paraId="151440C9" w14:textId="77777777" w:rsidR="00074D09" w:rsidRPr="00B85663" w:rsidRDefault="00074D09" w:rsidP="00074D09">
      <w:pPr>
        <w:jc w:val="center"/>
        <w:rPr>
          <w:rFonts w:asciiTheme="minorHAnsi" w:hAnsiTheme="minorHAnsi" w:cs="Arial"/>
          <w:b/>
          <w:bCs/>
          <w:sz w:val="22"/>
          <w:szCs w:val="22"/>
        </w:rPr>
      </w:pPr>
    </w:p>
    <w:p w14:paraId="450629F3" w14:textId="77777777" w:rsidR="00074D09" w:rsidRPr="00B85663" w:rsidRDefault="00074D09" w:rsidP="00074D09">
      <w:pPr>
        <w:jc w:val="both"/>
        <w:rPr>
          <w:rFonts w:asciiTheme="minorHAnsi" w:hAnsiTheme="minorHAnsi" w:cs="Arial"/>
          <w:b/>
          <w:bCs/>
          <w:sz w:val="22"/>
          <w:szCs w:val="22"/>
          <w:u w:val="single"/>
        </w:rPr>
      </w:pPr>
      <w:r w:rsidRPr="00B85663">
        <w:rPr>
          <w:rFonts w:asciiTheme="minorHAnsi" w:hAnsiTheme="minorHAnsi" w:cs="Arial"/>
          <w:b/>
          <w:bCs/>
          <w:sz w:val="22"/>
          <w:szCs w:val="22"/>
        </w:rPr>
        <w:t>2.0</w:t>
      </w:r>
      <w:r w:rsidRPr="00B85663">
        <w:rPr>
          <w:rFonts w:asciiTheme="minorHAnsi" w:hAnsiTheme="minorHAnsi" w:cs="Arial"/>
          <w:b/>
          <w:bCs/>
          <w:sz w:val="22"/>
          <w:szCs w:val="22"/>
        </w:rPr>
        <w:tab/>
      </w:r>
      <w:r w:rsidRPr="00B85663">
        <w:rPr>
          <w:rFonts w:asciiTheme="minorHAnsi" w:hAnsiTheme="minorHAnsi" w:cs="Arial"/>
          <w:b/>
          <w:bCs/>
          <w:sz w:val="22"/>
          <w:szCs w:val="22"/>
          <w:u w:val="single"/>
        </w:rPr>
        <w:t xml:space="preserve">Policy </w:t>
      </w:r>
    </w:p>
    <w:p w14:paraId="18841B55" w14:textId="77777777" w:rsidR="00074D09" w:rsidRPr="00B85663" w:rsidRDefault="00074D09" w:rsidP="00074D09">
      <w:pPr>
        <w:jc w:val="both"/>
        <w:rPr>
          <w:rFonts w:asciiTheme="minorHAnsi" w:hAnsiTheme="minorHAnsi" w:cs="Arial"/>
          <w:b/>
          <w:bCs/>
          <w:sz w:val="22"/>
          <w:szCs w:val="22"/>
        </w:rPr>
      </w:pPr>
    </w:p>
    <w:p w14:paraId="1F194D5E"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b/>
          <w:sz w:val="22"/>
          <w:szCs w:val="22"/>
        </w:rPr>
        <w:t>Procurement Forecasting and Delivery (Procurement Planning) is essential to effective project and risk management</w:t>
      </w:r>
      <w:r w:rsidRPr="00B85663">
        <w:rPr>
          <w:rFonts w:asciiTheme="minorHAnsi" w:hAnsiTheme="minorHAnsi" w:cs="Arial"/>
          <w:sz w:val="22"/>
          <w:szCs w:val="22"/>
        </w:rPr>
        <w:t xml:space="preserve">, and therefore to the overall performance of the organization. </w:t>
      </w:r>
    </w:p>
    <w:p w14:paraId="28B9DF8C"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7DC1D3E0"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color w:val="333333"/>
          <w:sz w:val="22"/>
          <w:szCs w:val="22"/>
        </w:rPr>
        <w:t>Procurement must be an integral part of project cycle management and synchronized with the planning of other project activities. Procurement Forecasting and Delivery (PFD) should be applied to all development and management projects. The Bureau of Management</w:t>
      </w:r>
      <w:r>
        <w:rPr>
          <w:rFonts w:asciiTheme="minorHAnsi" w:hAnsiTheme="minorHAnsi" w:cs="Arial"/>
          <w:color w:val="333333"/>
          <w:sz w:val="22"/>
          <w:szCs w:val="22"/>
        </w:rPr>
        <w:t xml:space="preserve"> Services</w:t>
      </w:r>
      <w:r w:rsidRPr="00B85663">
        <w:rPr>
          <w:rFonts w:asciiTheme="minorHAnsi" w:hAnsiTheme="minorHAnsi" w:cs="Arial"/>
          <w:color w:val="333333"/>
          <w:sz w:val="22"/>
          <w:szCs w:val="22"/>
        </w:rPr>
        <w:t xml:space="preserve">, through its </w:t>
      </w:r>
      <w:r>
        <w:rPr>
          <w:rFonts w:asciiTheme="minorHAnsi" w:hAnsiTheme="minorHAnsi" w:cs="Arial"/>
          <w:color w:val="333333"/>
          <w:sz w:val="22"/>
          <w:szCs w:val="22"/>
        </w:rPr>
        <w:t xml:space="preserve">Office of </w:t>
      </w:r>
      <w:r w:rsidRPr="00B85663">
        <w:rPr>
          <w:rFonts w:asciiTheme="minorHAnsi" w:hAnsiTheme="minorHAnsi" w:cs="Arial"/>
          <w:color w:val="333333"/>
          <w:sz w:val="22"/>
          <w:szCs w:val="22"/>
        </w:rPr>
        <w:t>Procurement e (</w:t>
      </w:r>
      <w:r>
        <w:rPr>
          <w:rFonts w:asciiTheme="minorHAnsi" w:hAnsiTheme="minorHAnsi" w:cs="Arial"/>
          <w:color w:val="333333"/>
          <w:sz w:val="22"/>
          <w:szCs w:val="22"/>
        </w:rPr>
        <w:t>O</w:t>
      </w:r>
      <w:r w:rsidRPr="00B85663">
        <w:rPr>
          <w:rFonts w:asciiTheme="minorHAnsi" w:hAnsiTheme="minorHAnsi" w:cs="Arial"/>
          <w:color w:val="333333"/>
          <w:sz w:val="22"/>
          <w:szCs w:val="22"/>
        </w:rPr>
        <w:t xml:space="preserve">P), shall provide any necessary additional support to Business Units throughout the PFD cycle. </w:t>
      </w:r>
    </w:p>
    <w:p w14:paraId="0FEA264C" w14:textId="77777777" w:rsidR="00074D09" w:rsidRPr="00B85663" w:rsidRDefault="00074D09" w:rsidP="00074D09">
      <w:pPr>
        <w:shd w:val="clear" w:color="auto" w:fill="FFFFFF"/>
        <w:jc w:val="both"/>
        <w:rPr>
          <w:rFonts w:asciiTheme="minorHAnsi" w:hAnsiTheme="minorHAnsi" w:cs="Arial"/>
          <w:color w:val="333333"/>
          <w:sz w:val="22"/>
          <w:szCs w:val="22"/>
        </w:rPr>
      </w:pPr>
    </w:p>
    <w:p w14:paraId="24CBF712"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color w:val="333333"/>
          <w:sz w:val="22"/>
          <w:szCs w:val="22"/>
        </w:rPr>
        <w:t xml:space="preserve">Business Units implementing under the NIM modality may utilize partner’s plans if such documents exist. </w:t>
      </w:r>
    </w:p>
    <w:p w14:paraId="3FD22FA0"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7D79EEE7"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color w:val="333333"/>
          <w:sz w:val="22"/>
          <w:szCs w:val="22"/>
        </w:rPr>
        <w:t xml:space="preserve">Crisis recovery and emergency response projects may alter the timing and sequencing of activities under this policy, in order to expedite execution.   </w:t>
      </w:r>
    </w:p>
    <w:p w14:paraId="49CF15B2"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28801838"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proofErr w:type="spellStart"/>
      <w:r w:rsidRPr="00B85663">
        <w:rPr>
          <w:rFonts w:asciiTheme="minorHAnsi" w:hAnsiTheme="minorHAnsi" w:cs="Arial"/>
          <w:color w:val="333333"/>
          <w:sz w:val="22"/>
          <w:szCs w:val="22"/>
        </w:rPr>
        <w:t>Programme</w:t>
      </w:r>
      <w:proofErr w:type="spellEnd"/>
      <w:r w:rsidRPr="00B85663">
        <w:rPr>
          <w:rFonts w:asciiTheme="minorHAnsi" w:hAnsiTheme="minorHAnsi" w:cs="Arial"/>
          <w:color w:val="333333"/>
          <w:sz w:val="22"/>
          <w:szCs w:val="22"/>
        </w:rPr>
        <w:t xml:space="preserve"> and Operations staff</w:t>
      </w:r>
      <w:r w:rsidRPr="00B85663" w:rsidDel="00A051E8">
        <w:rPr>
          <w:rFonts w:asciiTheme="minorHAnsi" w:hAnsiTheme="minorHAnsi" w:cs="Arial"/>
          <w:color w:val="333333"/>
          <w:sz w:val="22"/>
          <w:szCs w:val="22"/>
        </w:rPr>
        <w:t xml:space="preserve"> </w:t>
      </w:r>
      <w:r w:rsidRPr="00B85663">
        <w:rPr>
          <w:rFonts w:asciiTheme="minorHAnsi" w:hAnsiTheme="minorHAnsi" w:cs="Arial"/>
          <w:color w:val="333333"/>
          <w:sz w:val="22"/>
          <w:szCs w:val="22"/>
        </w:rPr>
        <w:t>are required to collaborate systematically. Senior management of Business Units/Country Offices enable this collaboration and confirm that it has taken place.</w:t>
      </w:r>
    </w:p>
    <w:p w14:paraId="552DEBEB"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5DC06C76"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color w:val="333333"/>
          <w:sz w:val="22"/>
          <w:szCs w:val="22"/>
        </w:rPr>
        <w:t xml:space="preserve">Procurement Planning </w:t>
      </w:r>
      <w:r>
        <w:rPr>
          <w:rFonts w:asciiTheme="minorHAnsi" w:hAnsiTheme="minorHAnsi" w:cs="Arial"/>
          <w:color w:val="333333"/>
          <w:sz w:val="22"/>
          <w:szCs w:val="22"/>
        </w:rPr>
        <w:t xml:space="preserve">in Quantum </w:t>
      </w:r>
      <w:r w:rsidRPr="00B85663">
        <w:rPr>
          <w:rFonts w:asciiTheme="minorHAnsi" w:hAnsiTheme="minorHAnsi" w:cs="Arial"/>
          <w:color w:val="333333"/>
          <w:sz w:val="22"/>
          <w:szCs w:val="22"/>
        </w:rPr>
        <w:t>is recommended to be part of project management cycle for any project. Meanwhile, it is mandatory for projects with complex business needs and which are significant to UNDP’s performance and/or reputation to have a Procurement Plan</w:t>
      </w:r>
      <w:r w:rsidRPr="00B85663">
        <w:rPr>
          <w:rFonts w:asciiTheme="minorHAnsi" w:hAnsiTheme="minorHAnsi" w:cs="Arial"/>
          <w:b/>
          <w:color w:val="333333"/>
          <w:sz w:val="22"/>
          <w:szCs w:val="22"/>
        </w:rPr>
        <w:t xml:space="preserve"> </w:t>
      </w:r>
      <w:r w:rsidRPr="00B85663">
        <w:rPr>
          <w:rFonts w:asciiTheme="minorHAnsi" w:hAnsiTheme="minorHAnsi" w:cs="Arial"/>
          <w:color w:val="333333"/>
          <w:sz w:val="22"/>
          <w:szCs w:val="22"/>
        </w:rPr>
        <w:t xml:space="preserve">in place. </w:t>
      </w:r>
    </w:p>
    <w:p w14:paraId="3A0DDFC2"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414DD6BD" w14:textId="77777777" w:rsidR="00074D09" w:rsidRPr="00B85663" w:rsidRDefault="00074D09" w:rsidP="00074D09">
      <w:pPr>
        <w:pStyle w:val="Body"/>
        <w:numPr>
          <w:ilvl w:val="0"/>
          <w:numId w:val="1"/>
        </w:numPr>
        <w:tabs>
          <w:tab w:val="left" w:pos="2552"/>
        </w:tabs>
        <w:spacing w:after="240" w:line="240" w:lineRule="auto"/>
        <w:contextualSpacing/>
        <w:jc w:val="both"/>
        <w:rPr>
          <w:rFonts w:asciiTheme="minorHAnsi" w:hAnsiTheme="minorHAnsi" w:cs="Arial"/>
          <w:sz w:val="22"/>
          <w:szCs w:val="22"/>
          <w:lang w:val="en-US"/>
        </w:rPr>
      </w:pPr>
      <w:r w:rsidRPr="00B85663">
        <w:rPr>
          <w:rFonts w:asciiTheme="minorHAnsi" w:hAnsiTheme="minorHAnsi" w:cs="Arial"/>
          <w:color w:val="333333"/>
          <w:sz w:val="22"/>
          <w:szCs w:val="22"/>
          <w:lang w:val="en-US"/>
        </w:rPr>
        <w:t xml:space="preserve">Projects with </w:t>
      </w:r>
      <w:r w:rsidRPr="00B85663">
        <w:rPr>
          <w:rFonts w:asciiTheme="minorHAnsi" w:hAnsiTheme="minorHAnsi" w:cs="Arial"/>
          <w:b/>
          <w:sz w:val="22"/>
          <w:szCs w:val="22"/>
          <w:u w:val="single"/>
          <w:lang w:val="en-US"/>
        </w:rPr>
        <w:t>“Complex Business Needs”</w:t>
      </w:r>
      <w:r w:rsidRPr="00B85663">
        <w:rPr>
          <w:rFonts w:asciiTheme="minorHAnsi" w:hAnsiTheme="minorHAnsi" w:cs="Arial"/>
          <w:sz w:val="22"/>
          <w:szCs w:val="22"/>
          <w:lang w:val="en-US"/>
        </w:rPr>
        <w:t xml:space="preserve"> are defined as being those that meet </w:t>
      </w:r>
      <w:r w:rsidRPr="00B85663">
        <w:rPr>
          <w:rFonts w:asciiTheme="minorHAnsi" w:hAnsiTheme="minorHAnsi" w:cs="Arial"/>
          <w:b/>
          <w:sz w:val="22"/>
          <w:szCs w:val="22"/>
          <w:u w:val="single"/>
          <w:lang w:val="en-US"/>
        </w:rPr>
        <w:t>one or more</w:t>
      </w:r>
      <w:r w:rsidRPr="00B85663">
        <w:rPr>
          <w:rFonts w:asciiTheme="minorHAnsi" w:hAnsiTheme="minorHAnsi" w:cs="Arial"/>
          <w:sz w:val="22"/>
          <w:szCs w:val="22"/>
          <w:lang w:val="en-US"/>
        </w:rPr>
        <w:t xml:space="preserve"> of the following conditions:</w:t>
      </w:r>
    </w:p>
    <w:p w14:paraId="6233F284" w14:textId="77777777" w:rsidR="00074D09" w:rsidRPr="00B85663" w:rsidRDefault="00074D09" w:rsidP="00074D09">
      <w:pPr>
        <w:pStyle w:val="ListParagraph"/>
        <w:numPr>
          <w:ilvl w:val="1"/>
          <w:numId w:val="2"/>
        </w:numPr>
        <w:spacing w:after="240"/>
        <w:ind w:left="1080"/>
        <w:jc w:val="both"/>
        <w:rPr>
          <w:rFonts w:asciiTheme="minorHAnsi" w:hAnsiTheme="minorHAnsi" w:cs="Arial"/>
          <w:sz w:val="22"/>
          <w:szCs w:val="22"/>
        </w:rPr>
      </w:pPr>
      <w:r w:rsidRPr="00B85663">
        <w:rPr>
          <w:rFonts w:asciiTheme="minorHAnsi" w:hAnsiTheme="minorHAnsi" w:cs="Arial"/>
          <w:sz w:val="22"/>
          <w:szCs w:val="22"/>
        </w:rPr>
        <w:t xml:space="preserve">Total project budget is above US$1 million (or their equivalent in the local currency of the </w:t>
      </w:r>
      <w:proofErr w:type="spellStart"/>
      <w:r w:rsidRPr="00B85663">
        <w:rPr>
          <w:rFonts w:asciiTheme="minorHAnsi" w:hAnsiTheme="minorHAnsi" w:cs="Arial"/>
          <w:sz w:val="22"/>
          <w:szCs w:val="22"/>
        </w:rPr>
        <w:t>programme</w:t>
      </w:r>
      <w:proofErr w:type="spellEnd"/>
      <w:r w:rsidRPr="00B85663">
        <w:rPr>
          <w:rFonts w:asciiTheme="minorHAnsi" w:hAnsiTheme="minorHAnsi" w:cs="Arial"/>
          <w:sz w:val="22"/>
          <w:szCs w:val="22"/>
        </w:rPr>
        <w:t xml:space="preserve"> country);</w:t>
      </w:r>
    </w:p>
    <w:p w14:paraId="7DEB9455" w14:textId="77777777" w:rsidR="00074D09" w:rsidRPr="00B85663" w:rsidRDefault="00074D09" w:rsidP="00074D09">
      <w:pPr>
        <w:pStyle w:val="ListParagraph"/>
        <w:spacing w:after="240"/>
        <w:ind w:left="1080"/>
        <w:jc w:val="both"/>
        <w:rPr>
          <w:rFonts w:asciiTheme="minorHAnsi" w:hAnsiTheme="minorHAnsi" w:cs="Arial"/>
          <w:sz w:val="22"/>
          <w:szCs w:val="22"/>
        </w:rPr>
      </w:pPr>
    </w:p>
    <w:p w14:paraId="51A66DAD" w14:textId="77777777" w:rsidR="00074D09" w:rsidRPr="00B85663" w:rsidRDefault="00074D09" w:rsidP="00074D09">
      <w:pPr>
        <w:pStyle w:val="ListParagraph"/>
        <w:numPr>
          <w:ilvl w:val="1"/>
          <w:numId w:val="2"/>
        </w:numPr>
        <w:spacing w:after="240"/>
        <w:ind w:left="1080"/>
        <w:jc w:val="both"/>
        <w:rPr>
          <w:rFonts w:asciiTheme="minorHAnsi" w:hAnsiTheme="minorHAnsi" w:cs="Arial"/>
          <w:sz w:val="22"/>
          <w:szCs w:val="22"/>
        </w:rPr>
      </w:pPr>
      <w:r w:rsidRPr="00B85663">
        <w:rPr>
          <w:rFonts w:asciiTheme="minorHAnsi" w:hAnsiTheme="minorHAnsi" w:cs="Arial"/>
          <w:sz w:val="22"/>
          <w:szCs w:val="22"/>
        </w:rPr>
        <w:t xml:space="preserve">Procurement accounts for more than 60% of the total project budget; </w:t>
      </w:r>
    </w:p>
    <w:p w14:paraId="78CA55CB" w14:textId="77777777" w:rsidR="00074D09" w:rsidRPr="00B85663" w:rsidRDefault="00074D09" w:rsidP="00074D09">
      <w:pPr>
        <w:pStyle w:val="ListParagraph"/>
        <w:ind w:left="1080"/>
        <w:rPr>
          <w:rFonts w:asciiTheme="minorHAnsi" w:hAnsiTheme="minorHAnsi" w:cs="Arial"/>
          <w:sz w:val="22"/>
          <w:szCs w:val="22"/>
        </w:rPr>
      </w:pPr>
    </w:p>
    <w:p w14:paraId="054A45AF" w14:textId="77777777" w:rsidR="00074D09" w:rsidRPr="00B85663" w:rsidRDefault="00074D09" w:rsidP="00074D09">
      <w:pPr>
        <w:pStyle w:val="ListParagraph"/>
        <w:numPr>
          <w:ilvl w:val="1"/>
          <w:numId w:val="2"/>
        </w:numPr>
        <w:spacing w:after="240"/>
        <w:ind w:left="1080"/>
        <w:jc w:val="both"/>
        <w:rPr>
          <w:rFonts w:asciiTheme="minorHAnsi" w:hAnsiTheme="minorHAnsi" w:cs="Arial"/>
          <w:sz w:val="22"/>
          <w:szCs w:val="22"/>
        </w:rPr>
      </w:pPr>
      <w:r w:rsidRPr="00B85663">
        <w:rPr>
          <w:rFonts w:asciiTheme="minorHAnsi" w:hAnsiTheme="minorHAnsi" w:cs="Arial"/>
          <w:sz w:val="22"/>
          <w:szCs w:val="22"/>
        </w:rPr>
        <w:t>The Business Unit’s senior management considers the project to be of primary significance to its overall performance, in the current and/or subsequent years; and/or</w:t>
      </w:r>
    </w:p>
    <w:p w14:paraId="0D6004A6" w14:textId="77777777" w:rsidR="00074D09" w:rsidRPr="00B85663" w:rsidRDefault="00074D09" w:rsidP="00074D09">
      <w:pPr>
        <w:pStyle w:val="ListParagraph"/>
        <w:spacing w:after="240"/>
        <w:jc w:val="both"/>
        <w:rPr>
          <w:rFonts w:asciiTheme="minorHAnsi" w:hAnsiTheme="minorHAnsi" w:cs="Arial"/>
          <w:sz w:val="22"/>
          <w:szCs w:val="22"/>
        </w:rPr>
      </w:pPr>
    </w:p>
    <w:p w14:paraId="379EFF04" w14:textId="77777777" w:rsidR="00074D09" w:rsidRPr="00B85663" w:rsidRDefault="00074D09" w:rsidP="00074D09">
      <w:pPr>
        <w:pStyle w:val="ListParagraph"/>
        <w:numPr>
          <w:ilvl w:val="1"/>
          <w:numId w:val="2"/>
        </w:numPr>
        <w:spacing w:after="240"/>
        <w:ind w:left="1080"/>
        <w:jc w:val="both"/>
        <w:rPr>
          <w:rFonts w:asciiTheme="minorHAnsi" w:hAnsiTheme="minorHAnsi" w:cs="Arial"/>
          <w:sz w:val="22"/>
          <w:szCs w:val="22"/>
        </w:rPr>
      </w:pPr>
      <w:r w:rsidRPr="00B85663">
        <w:rPr>
          <w:rFonts w:asciiTheme="minorHAnsi" w:hAnsiTheme="minorHAnsi" w:cs="Arial"/>
          <w:sz w:val="22"/>
          <w:szCs w:val="22"/>
        </w:rPr>
        <w:t xml:space="preserve">The nature of the project requires procurement activities that the BU does not have prior experience in, and requires significant quantities of any of the following “high risk” categories </w:t>
      </w:r>
    </w:p>
    <w:p w14:paraId="69AA0475" w14:textId="77777777" w:rsidR="00074D09" w:rsidRPr="00B85663" w:rsidRDefault="00074D09" w:rsidP="00074D09">
      <w:pPr>
        <w:pStyle w:val="ListParagraph"/>
        <w:spacing w:after="240" w:line="480" w:lineRule="auto"/>
        <w:ind w:left="1080"/>
        <w:jc w:val="both"/>
        <w:rPr>
          <w:rFonts w:asciiTheme="minorHAnsi" w:hAnsiTheme="minorHAnsi" w:cs="Arial"/>
          <w:i/>
          <w:sz w:val="22"/>
          <w:szCs w:val="22"/>
        </w:rPr>
      </w:pPr>
    </w:p>
    <w:p w14:paraId="3A79EBB3"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Drugs &amp; Pharmaceuticals</w:t>
      </w:r>
    </w:p>
    <w:p w14:paraId="7253FAC8"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Security Services</w:t>
      </w:r>
    </w:p>
    <w:p w14:paraId="1AC8B2CF"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Laboratory Equipment &amp; Medical Supplies</w:t>
      </w:r>
    </w:p>
    <w:p w14:paraId="20807542"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lastRenderedPageBreak/>
        <w:t>Medical kits (when specialized)</w:t>
      </w:r>
    </w:p>
    <w:p w14:paraId="7B1F3872"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Contraceptives</w:t>
      </w:r>
    </w:p>
    <w:p w14:paraId="77C55496"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Elections Equipment</w:t>
      </w:r>
    </w:p>
    <w:p w14:paraId="684B0357"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Consultancy Firm Services</w:t>
      </w:r>
    </w:p>
    <w:p w14:paraId="20CBFC65"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Permanent Structures</w:t>
      </w:r>
    </w:p>
    <w:p w14:paraId="4C9E75B9"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Construction Services</w:t>
      </w:r>
    </w:p>
    <w:p w14:paraId="76171B89" w14:textId="77777777" w:rsidR="00074D09" w:rsidRPr="00B85663" w:rsidRDefault="00074D09" w:rsidP="00074D09">
      <w:pPr>
        <w:pStyle w:val="ListParagraph"/>
        <w:numPr>
          <w:ilvl w:val="2"/>
          <w:numId w:val="2"/>
        </w:numPr>
        <w:spacing w:after="240" w:line="480" w:lineRule="auto"/>
        <w:ind w:left="1800" w:hanging="360"/>
        <w:jc w:val="both"/>
        <w:rPr>
          <w:rFonts w:asciiTheme="minorHAnsi" w:hAnsiTheme="minorHAnsi" w:cs="Arial"/>
          <w:i/>
          <w:sz w:val="22"/>
          <w:szCs w:val="22"/>
        </w:rPr>
      </w:pPr>
      <w:r w:rsidRPr="00B85663">
        <w:rPr>
          <w:rFonts w:asciiTheme="minorHAnsi" w:hAnsiTheme="minorHAnsi" w:cs="Arial"/>
          <w:i/>
          <w:sz w:val="22"/>
          <w:szCs w:val="22"/>
        </w:rPr>
        <w:t xml:space="preserve">Technical Studies (when they are highly specialized and could impact downstream work) </w:t>
      </w:r>
    </w:p>
    <w:p w14:paraId="6F885519" w14:textId="77777777" w:rsidR="00074D09" w:rsidRPr="00B85663" w:rsidRDefault="00074D09" w:rsidP="00074D09">
      <w:pPr>
        <w:pStyle w:val="ListParagraph"/>
        <w:shd w:val="clear" w:color="auto" w:fill="FFFFFF"/>
        <w:contextualSpacing w:val="0"/>
        <w:jc w:val="both"/>
        <w:rPr>
          <w:rFonts w:asciiTheme="minorHAnsi" w:hAnsiTheme="minorHAnsi" w:cs="Arial"/>
          <w:color w:val="333333"/>
          <w:sz w:val="22"/>
          <w:szCs w:val="22"/>
        </w:rPr>
      </w:pPr>
    </w:p>
    <w:p w14:paraId="5C358383" w14:textId="77777777" w:rsidR="00074D09" w:rsidRPr="00B85663" w:rsidRDefault="00074D09" w:rsidP="00074D09">
      <w:pPr>
        <w:pStyle w:val="ListParagraph"/>
        <w:numPr>
          <w:ilvl w:val="0"/>
          <w:numId w:val="1"/>
        </w:numPr>
        <w:shd w:val="clear" w:color="auto" w:fill="FFFFFF"/>
        <w:contextualSpacing w:val="0"/>
        <w:jc w:val="both"/>
        <w:rPr>
          <w:rFonts w:asciiTheme="minorHAnsi" w:hAnsiTheme="minorHAnsi" w:cs="Arial"/>
          <w:color w:val="333333"/>
          <w:sz w:val="22"/>
          <w:szCs w:val="22"/>
        </w:rPr>
      </w:pPr>
      <w:r w:rsidRPr="00B85663">
        <w:rPr>
          <w:rFonts w:asciiTheme="minorHAnsi" w:hAnsiTheme="minorHAnsi" w:cs="Arial"/>
          <w:color w:val="333333"/>
          <w:sz w:val="22"/>
          <w:szCs w:val="22"/>
        </w:rPr>
        <w:t xml:space="preserve">Business Units must ensure that projects identified as having “Complex Business Needs” receive the management resources and attention necessary to ensure successful delivery and quality control, including through alerting and accessing support from </w:t>
      </w:r>
      <w:r>
        <w:rPr>
          <w:rFonts w:asciiTheme="minorHAnsi" w:hAnsiTheme="minorHAnsi" w:cs="Arial"/>
          <w:color w:val="333333"/>
          <w:sz w:val="22"/>
          <w:szCs w:val="22"/>
        </w:rPr>
        <w:t>OP</w:t>
      </w:r>
      <w:r w:rsidRPr="00B85663">
        <w:rPr>
          <w:rFonts w:asciiTheme="minorHAnsi" w:hAnsiTheme="minorHAnsi" w:cs="Arial"/>
          <w:color w:val="333333"/>
          <w:sz w:val="22"/>
          <w:szCs w:val="22"/>
        </w:rPr>
        <w:t xml:space="preserve">. </w:t>
      </w:r>
      <w:r w:rsidRPr="00B85663" w:rsidDel="0046388E">
        <w:rPr>
          <w:rFonts w:asciiTheme="minorHAnsi" w:hAnsiTheme="minorHAnsi" w:cs="Arial"/>
          <w:color w:val="333333"/>
          <w:sz w:val="22"/>
          <w:szCs w:val="22"/>
        </w:rPr>
        <w:t xml:space="preserve"> </w:t>
      </w:r>
    </w:p>
    <w:p w14:paraId="0C0313EE" w14:textId="77777777" w:rsidR="00074D09" w:rsidRPr="00B85663" w:rsidRDefault="00074D09" w:rsidP="00074D09">
      <w:pPr>
        <w:rPr>
          <w:rFonts w:asciiTheme="minorHAnsi" w:hAnsiTheme="minorHAnsi"/>
        </w:rPr>
      </w:pPr>
    </w:p>
    <w:p w14:paraId="57E72A72" w14:textId="77777777" w:rsidR="00FE4B9D" w:rsidRPr="00074D09" w:rsidRDefault="00074D09" w:rsidP="00074D09"/>
    <w:sectPr w:rsidR="00FE4B9D" w:rsidRPr="00074D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1ACB" w14:textId="77777777" w:rsidR="00E163C0" w:rsidRDefault="00E163C0" w:rsidP="00E163C0">
      <w:r>
        <w:separator/>
      </w:r>
    </w:p>
  </w:endnote>
  <w:endnote w:type="continuationSeparator" w:id="0">
    <w:p w14:paraId="1380D33D" w14:textId="77777777" w:rsidR="00E163C0" w:rsidRDefault="00E163C0" w:rsidP="00E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E9F4" w14:textId="77777777" w:rsidR="00517AEC" w:rsidRDefault="0051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C67A" w14:textId="1B892F77" w:rsidR="00E163C0" w:rsidRDefault="00B77820" w:rsidP="00996A14">
    <w:pPr>
      <w:pStyle w:val="Footer"/>
      <w:tabs>
        <w:tab w:val="left" w:pos="3855"/>
      </w:tabs>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sdt>
      <w:sdtPr>
        <w:alias w:val="Effective Date"/>
        <w:tag w:val="UNDP_POPP_EFFECTIVEDATE"/>
        <w:id w:val="-331600034"/>
        <w:placeholder>
          <w:docPart w:val="33026D08517A4F3EA1A318BB1329FF8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3B75DAA-77FE-4D94-8FB8-5D747C844BC0}"/>
        <w:date w:fullDate="2018-02-06T00:00:00Z">
          <w:dateFormat w:val="dd/MM/yyyy"/>
          <w:lid w:val="en-NL"/>
          <w:storeMappedDataAs w:val="dateTime"/>
          <w:calendar w:val="gregorian"/>
        </w:date>
      </w:sdtPr>
      <w:sdtEndPr/>
      <w:sdtContent>
        <w:r>
          <w:rPr>
            <w:lang w:val="en-NL"/>
          </w:rPr>
          <w:t>06/02/2018</w:t>
        </w:r>
      </w:sdtContent>
    </w:sdt>
    <w:r>
      <w:ptab w:relativeTo="margin" w:alignment="right" w:leader="none"/>
    </w:r>
    <w:r>
      <w:t xml:space="preserve">Version: </w:t>
    </w:r>
    <w:sdt>
      <w:sdtPr>
        <w:alias w:val="POPPRefItemVersion"/>
        <w:tag w:val="UNDP_POPP_REFITEM_VERSION"/>
        <w:id w:val="1238674838"/>
        <w:placeholder>
          <w:docPart w:val="D1C619DDF53C4D6282BDFD4C98654D8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3B75DAA-77FE-4D94-8FB8-5D747C844BC0}"/>
        <w:text/>
      </w:sdtPr>
      <w:sdtEndPr/>
      <w:sdtContent>
        <w: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9272" w14:textId="77777777" w:rsidR="00517AEC" w:rsidRDefault="0051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D0B8" w14:textId="77777777" w:rsidR="00E163C0" w:rsidRDefault="00E163C0" w:rsidP="00E163C0">
      <w:r>
        <w:separator/>
      </w:r>
    </w:p>
  </w:footnote>
  <w:footnote w:type="continuationSeparator" w:id="0">
    <w:p w14:paraId="5668AC9F" w14:textId="77777777" w:rsidR="00E163C0" w:rsidRDefault="00E163C0" w:rsidP="00E1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FC75" w14:textId="77777777" w:rsidR="00517AEC" w:rsidRDefault="0051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9AC3" w14:textId="5FE94BD0" w:rsidR="00517AEC" w:rsidRDefault="00517AEC" w:rsidP="00517AEC">
    <w:pPr>
      <w:pStyle w:val="Header"/>
      <w:ind w:left="10080"/>
    </w:pPr>
    <w:r>
      <w:rPr>
        <w:noProof/>
      </w:rPr>
      <w:drawing>
        <wp:inline distT="0" distB="0" distL="0" distR="0" wp14:anchorId="140E526B" wp14:editId="047C7CE9">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E83B" w14:textId="77777777" w:rsidR="00517AEC" w:rsidRDefault="00517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0461"/>
    <w:multiLevelType w:val="hybridMultilevel"/>
    <w:tmpl w:val="A934BE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B6778"/>
    <w:multiLevelType w:val="hybridMultilevel"/>
    <w:tmpl w:val="BE5A35C4"/>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996E9FB0">
      <w:start w:val="1"/>
      <w:numFmt w:val="lowerRoman"/>
      <w:lvlText w:val="%3."/>
      <w:lvlJc w:val="lef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51852">
    <w:abstractNumId w:val="0"/>
  </w:num>
  <w:num w:numId="2" w16cid:durableId="6456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E5"/>
    <w:rsid w:val="00074D09"/>
    <w:rsid w:val="001E1D26"/>
    <w:rsid w:val="001F0520"/>
    <w:rsid w:val="004D22D4"/>
    <w:rsid w:val="00517AEC"/>
    <w:rsid w:val="00554D1B"/>
    <w:rsid w:val="00566C8E"/>
    <w:rsid w:val="00996A14"/>
    <w:rsid w:val="00B77820"/>
    <w:rsid w:val="00B85663"/>
    <w:rsid w:val="00D645E5"/>
    <w:rsid w:val="00E1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72A4D"/>
  <w15:docId w15:val="{E8841172-4E7A-4089-89EF-8FAF5659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5E5"/>
    <w:pPr>
      <w:ind w:left="720"/>
      <w:contextualSpacing/>
    </w:pPr>
  </w:style>
  <w:style w:type="paragraph" w:customStyle="1" w:styleId="Body">
    <w:name w:val="Body"/>
    <w:rsid w:val="00D645E5"/>
    <w:pPr>
      <w:pBdr>
        <w:top w:val="nil"/>
        <w:left w:val="nil"/>
        <w:bottom w:val="nil"/>
        <w:right w:val="nil"/>
        <w:between w:val="nil"/>
        <w:bar w:val="nil"/>
      </w:pBdr>
      <w:spacing w:after="0" w:line="288" w:lineRule="auto"/>
    </w:pPr>
    <w:rPr>
      <w:rFonts w:ascii="Helvetica Neue" w:eastAsia="Arial Unicode MS" w:hAnsi="Arial Unicode MS" w:cs="Arial Unicode MS"/>
      <w:color w:val="000000"/>
      <w:sz w:val="20"/>
      <w:szCs w:val="20"/>
      <w:bdr w:val="nil"/>
      <w:lang w:val="es-ES_tradnl"/>
    </w:rPr>
  </w:style>
  <w:style w:type="paragraph" w:styleId="Header">
    <w:name w:val="header"/>
    <w:basedOn w:val="Normal"/>
    <w:link w:val="HeaderChar"/>
    <w:uiPriority w:val="99"/>
    <w:unhideWhenUsed/>
    <w:rsid w:val="00E163C0"/>
    <w:pPr>
      <w:tabs>
        <w:tab w:val="center" w:pos="4680"/>
        <w:tab w:val="right" w:pos="9360"/>
      </w:tabs>
    </w:pPr>
  </w:style>
  <w:style w:type="character" w:customStyle="1" w:styleId="HeaderChar">
    <w:name w:val="Header Char"/>
    <w:basedOn w:val="DefaultParagraphFont"/>
    <w:link w:val="Header"/>
    <w:uiPriority w:val="99"/>
    <w:rsid w:val="00E163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3C0"/>
    <w:pPr>
      <w:tabs>
        <w:tab w:val="center" w:pos="4680"/>
        <w:tab w:val="right" w:pos="9360"/>
      </w:tabs>
    </w:pPr>
  </w:style>
  <w:style w:type="character" w:customStyle="1" w:styleId="FooterChar">
    <w:name w:val="Footer Char"/>
    <w:basedOn w:val="DefaultParagraphFont"/>
    <w:link w:val="Footer"/>
    <w:uiPriority w:val="99"/>
    <w:rsid w:val="00E163C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63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26D08517A4F3EA1A318BB1329FF8C"/>
        <w:category>
          <w:name w:val="General"/>
          <w:gallery w:val="placeholder"/>
        </w:category>
        <w:types>
          <w:type w:val="bbPlcHdr"/>
        </w:types>
        <w:behaviors>
          <w:behavior w:val="content"/>
        </w:behaviors>
        <w:guid w:val="{DA8873A6-389F-4D10-B69D-5DAED54E8FAD}"/>
      </w:docPartPr>
      <w:docPartBody>
        <w:p w:rsidR="001A3B6F" w:rsidRDefault="001A7736">
          <w:r w:rsidRPr="00A4467C">
            <w:rPr>
              <w:rStyle w:val="PlaceholderText"/>
            </w:rPr>
            <w:t>[Effective Date]</w:t>
          </w:r>
        </w:p>
      </w:docPartBody>
    </w:docPart>
    <w:docPart>
      <w:docPartPr>
        <w:name w:val="D1C619DDF53C4D6282BDFD4C98654D82"/>
        <w:category>
          <w:name w:val="General"/>
          <w:gallery w:val="placeholder"/>
        </w:category>
        <w:types>
          <w:type w:val="bbPlcHdr"/>
        </w:types>
        <w:behaviors>
          <w:behavior w:val="content"/>
        </w:behaviors>
        <w:guid w:val="{573F6920-09F6-4C36-8654-C92D89B786C7}"/>
      </w:docPartPr>
      <w:docPartBody>
        <w:p w:rsidR="001A3B6F" w:rsidRDefault="001A7736">
          <w:r w:rsidRPr="00A4467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4F"/>
    <w:rsid w:val="001A3B6F"/>
    <w:rsid w:val="001A7736"/>
    <w:rsid w:val="00262E81"/>
    <w:rsid w:val="003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4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7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06/02/2018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2018-02-05T23:00:00+00:00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Procurement Forecasting and Delivery </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POPP-11-2526</_dlc_DocId>
    <_dlc_DocIdUrl xmlns="8264c5cc-ec60-4b56-8111-ce635d3d139a">
      <Url>https://popp.undp.org/_layouts/15/DocIdRedir.aspx?ID=POPP-11-2526</Url>
      <Description>POPP-11-2526</Description>
    </_dlc_DocIdUrl>
    <DLCPolicyLabelValue xmlns="e560140e-7b2f-4392-90df-e7567e3021a3">Effective Date: 06/02/2018                                                Version #: 4</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89576-5BEE-4E1C-9A4F-EA10571D6B8C}">
  <ds:schemaRefs>
    <ds:schemaRef ds:uri="office.server.policy"/>
  </ds:schemaRefs>
</ds:datastoreItem>
</file>

<file path=customXml/itemProps2.xml><?xml version="1.0" encoding="utf-8"?>
<ds:datastoreItem xmlns:ds="http://schemas.openxmlformats.org/officeDocument/2006/customXml" ds:itemID="{9246F413-7E49-4AC7-87BA-E2AB8BD61C93}">
  <ds:schemaRefs>
    <ds:schemaRef ds:uri="http://schemas.microsoft.com/sharepoint/events"/>
  </ds:schemaRefs>
</ds:datastoreItem>
</file>

<file path=customXml/itemProps3.xml><?xml version="1.0" encoding="utf-8"?>
<ds:datastoreItem xmlns:ds="http://schemas.openxmlformats.org/officeDocument/2006/customXml" ds:itemID="{A811A656-CA4E-419F-8F26-5F0F7A510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75DAA-77FE-4D94-8FB8-5D747C844BC0}">
  <ds:schemaRefs>
    <ds:schemaRef ds:uri="http://schemas.microsoft.com/office/infopath/2007/PartnerControls"/>
    <ds:schemaRef ds:uri="http://www.w3.org/XML/1998/namespace"/>
    <ds:schemaRef ds:uri="http://purl.org/dc/elements/1.1/"/>
    <ds:schemaRef ds:uri="http://schemas.microsoft.com/sharepoint/v3"/>
    <ds:schemaRef ds:uri="http://schemas.microsoft.com/office/2006/documentManagement/types"/>
    <ds:schemaRef ds:uri="http://schemas.openxmlformats.org/package/2006/metadata/core-properties"/>
    <ds:schemaRef ds:uri="e560140e-7b2f-4392-90df-e7567e3021a3"/>
    <ds:schemaRef ds:uri="8264c5cc-ec60-4b56-8111-ce635d3d139a"/>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84858007-47A9-4E96-9DBF-815218B87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Sander</dc:creator>
  <cp:lastModifiedBy>Pablo Morete</cp:lastModifiedBy>
  <cp:revision>9</cp:revision>
  <dcterms:created xsi:type="dcterms:W3CDTF">2018-02-03T01:08:00Z</dcterms:created>
  <dcterms:modified xsi:type="dcterms:W3CDTF">2023-05-02T10:49:00Z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cec81a84-f28b-487d-bbdb-c769e56fb1cb</vt:lpwstr>
  </property>
  <property fmtid="{D5CDD505-2E9C-101B-9397-08002B2CF9AE}" pid="4" name="POPPBusinessProcess">
    <vt:lpwstr/>
  </property>
  <property fmtid="{D5CDD505-2E9C-101B-9397-08002B2CF9AE}" pid="5" name="UNDP_POPP_BUSINESSUNIT">
    <vt:lpwstr>355;#Procurement|254a9f96-b883-476a-8ef8-e81f93a2b38d</vt:lpwstr>
  </property>
</Properties>
</file>