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3D94B" w14:textId="77777777" w:rsidR="008F0277" w:rsidRPr="00C70D6C" w:rsidRDefault="00221689">
      <w:pPr>
        <w:spacing w:after="0" w:line="259" w:lineRule="auto"/>
        <w:ind w:left="0" w:firstLine="0"/>
        <w:jc w:val="left"/>
      </w:pPr>
      <w:r>
        <w:rPr>
          <w:b/>
          <w:sz w:val="28"/>
        </w:rPr>
        <w:t>Dernier jour de rémunération</w:t>
      </w:r>
    </w:p>
    <w:p w14:paraId="3083DD40" w14:textId="77777777" w:rsidR="008F0277" w:rsidRPr="00203A5A" w:rsidRDefault="008F0277">
      <w:pPr>
        <w:spacing w:after="12" w:line="259" w:lineRule="auto"/>
        <w:ind w:left="0" w:firstLine="0"/>
        <w:jc w:val="left"/>
        <w:rPr>
          <w:sz w:val="20"/>
        </w:rPr>
      </w:pPr>
    </w:p>
    <w:p w14:paraId="4DCBB345" w14:textId="77777777" w:rsidR="00203A5A" w:rsidRPr="00203A5A" w:rsidRDefault="00221689" w:rsidP="00203A5A">
      <w:pPr>
        <w:pStyle w:val="ListParagraph"/>
        <w:numPr>
          <w:ilvl w:val="0"/>
          <w:numId w:val="5"/>
        </w:numPr>
        <w:rPr>
          <w:sz w:val="22"/>
        </w:rPr>
      </w:pPr>
      <w:r w:rsidRPr="00203A5A">
        <w:rPr>
          <w:sz w:val="22"/>
        </w:rPr>
        <w:t>La section ci-dessous explique quand le versement du traitement, des indemnités et des autres prestations prend fin à la cessation de service d</w:t>
      </w:r>
      <w:r w:rsidR="00203A5A">
        <w:rPr>
          <w:sz w:val="22"/>
        </w:rPr>
        <w:t>’</w:t>
      </w:r>
      <w:r w:rsidRPr="00203A5A">
        <w:rPr>
          <w:sz w:val="22"/>
        </w:rPr>
        <w:t>un fonctionnaire.</w:t>
      </w:r>
    </w:p>
    <w:p w14:paraId="1AA941CC" w14:textId="77777777" w:rsidR="008F0277" w:rsidRPr="00C70D6C" w:rsidRDefault="008F0277" w:rsidP="00203A5A">
      <w:pPr>
        <w:pStyle w:val="ListParagraph"/>
        <w:ind w:left="705"/>
      </w:pPr>
    </w:p>
    <w:p w14:paraId="6A4DFFE1" w14:textId="77777777" w:rsidR="008F0277" w:rsidRPr="00C70D6C" w:rsidRDefault="00221689">
      <w:pPr>
        <w:pStyle w:val="Heading1"/>
        <w:ind w:left="-5"/>
      </w:pPr>
      <w:r>
        <w:t>Dispositions générales</w:t>
      </w:r>
    </w:p>
    <w:p w14:paraId="4D5E5399" w14:textId="77777777" w:rsidR="008F0277" w:rsidRPr="00C70D6C" w:rsidRDefault="008F0277">
      <w:pPr>
        <w:spacing w:after="12" w:line="259" w:lineRule="auto"/>
        <w:ind w:left="720" w:firstLine="0"/>
        <w:jc w:val="left"/>
      </w:pPr>
    </w:p>
    <w:p w14:paraId="36B9EDE6" w14:textId="77777777" w:rsidR="008F0277" w:rsidRPr="00C70D6C" w:rsidRDefault="00221689">
      <w:pPr>
        <w:numPr>
          <w:ilvl w:val="0"/>
          <w:numId w:val="1"/>
        </w:numPr>
        <w:ind w:hanging="360"/>
      </w:pPr>
      <w:r>
        <w:t>Lorsqu</w:t>
      </w:r>
      <w:r w:rsidR="00203A5A">
        <w:t>’</w:t>
      </w:r>
      <w:r>
        <w:t>un fonctionnaire est licencié, le versement de son traitement, de ses indemnités et de ses autres prestations prend fin à la fermeture des bureaux (COB) à la date d</w:t>
      </w:r>
      <w:r w:rsidR="00203A5A">
        <w:t>’</w:t>
      </w:r>
      <w:r>
        <w:t>entrée en vigueur de la cessation de service, c</w:t>
      </w:r>
      <w:r w:rsidR="00203A5A">
        <w:t>’</w:t>
      </w:r>
      <w:r>
        <w:t>est-à-dire</w:t>
      </w:r>
      <w:r w:rsidR="00203A5A">
        <w:t> :</w:t>
      </w:r>
    </w:p>
    <w:p w14:paraId="15E857D0" w14:textId="77777777" w:rsidR="008F0277" w:rsidRPr="00C70D6C" w:rsidRDefault="008F0277" w:rsidP="009C2BBF">
      <w:pPr>
        <w:spacing w:after="12" w:line="259" w:lineRule="auto"/>
        <w:jc w:val="left"/>
        <w:rPr>
          <w:sz w:val="10"/>
          <w:szCs w:val="10"/>
        </w:rPr>
      </w:pPr>
    </w:p>
    <w:p w14:paraId="0D7D9671" w14:textId="77777777" w:rsidR="008F0277" w:rsidRPr="00C70D6C" w:rsidRDefault="009C2BBF">
      <w:pPr>
        <w:numPr>
          <w:ilvl w:val="1"/>
          <w:numId w:val="1"/>
        </w:numPr>
        <w:ind w:hanging="360"/>
      </w:pPr>
      <w:r>
        <w:t>d</w:t>
      </w:r>
      <w:r w:rsidR="00221689">
        <w:t>émission</w:t>
      </w:r>
      <w:r w:rsidR="00203A5A">
        <w:t> :</w:t>
      </w:r>
      <w:r w:rsidR="00221689">
        <w:rPr>
          <w:b/>
        </w:rPr>
        <w:t xml:space="preserve"> </w:t>
      </w:r>
      <w:r w:rsidR="00221689">
        <w:t>soit la date d</w:t>
      </w:r>
      <w:r w:rsidR="00203A5A">
        <w:t>’</w:t>
      </w:r>
      <w:r w:rsidR="00221689">
        <w:t>expiration du délai de préavis ou toute autre date acceptée par l</w:t>
      </w:r>
      <w:r w:rsidR="00203A5A">
        <w:t>’</w:t>
      </w:r>
      <w:r w:rsidR="00221689">
        <w:t>administrateur ou le chef du bureau</w:t>
      </w:r>
      <w:r>
        <w:t> ;</w:t>
      </w:r>
    </w:p>
    <w:p w14:paraId="2601124B" w14:textId="77777777" w:rsidR="008F0277" w:rsidRPr="00C70D6C" w:rsidRDefault="008F0277" w:rsidP="00203A5A">
      <w:pPr>
        <w:spacing w:after="12" w:line="259" w:lineRule="auto"/>
        <w:jc w:val="left"/>
        <w:rPr>
          <w:sz w:val="10"/>
          <w:szCs w:val="10"/>
        </w:rPr>
      </w:pPr>
    </w:p>
    <w:p w14:paraId="1227854A" w14:textId="77777777" w:rsidR="008F0277" w:rsidRPr="00C70D6C" w:rsidRDefault="009C2BBF">
      <w:pPr>
        <w:numPr>
          <w:ilvl w:val="1"/>
          <w:numId w:val="1"/>
        </w:numPr>
        <w:ind w:hanging="360"/>
      </w:pPr>
      <w:r>
        <w:t>e</w:t>
      </w:r>
      <w:r w:rsidR="00221689">
        <w:t>xpiration d</w:t>
      </w:r>
      <w:r w:rsidR="00203A5A">
        <w:t>’</w:t>
      </w:r>
      <w:r w:rsidR="00221689">
        <w:t>un engagement à durée déterminée</w:t>
      </w:r>
      <w:r w:rsidR="00203A5A">
        <w:t> :</w:t>
      </w:r>
      <w:r w:rsidR="00221689">
        <w:t xml:space="preserve"> la date indiquée dans la lettre de nomination</w:t>
      </w:r>
      <w:r>
        <w:t> ;</w:t>
      </w:r>
    </w:p>
    <w:p w14:paraId="11312AA6" w14:textId="77777777" w:rsidR="008F0277" w:rsidRPr="00C70D6C" w:rsidRDefault="008F0277" w:rsidP="00203A5A">
      <w:pPr>
        <w:spacing w:after="12" w:line="259" w:lineRule="auto"/>
        <w:jc w:val="left"/>
        <w:rPr>
          <w:sz w:val="10"/>
          <w:szCs w:val="10"/>
        </w:rPr>
      </w:pPr>
    </w:p>
    <w:p w14:paraId="263DCFB7" w14:textId="77777777" w:rsidR="008F0277" w:rsidRPr="00C70D6C" w:rsidRDefault="009C2BBF">
      <w:pPr>
        <w:numPr>
          <w:ilvl w:val="1"/>
          <w:numId w:val="1"/>
        </w:numPr>
        <w:ind w:hanging="360"/>
      </w:pPr>
      <w:r>
        <w:t>l</w:t>
      </w:r>
      <w:r w:rsidR="00221689">
        <w:t>icenciement</w:t>
      </w:r>
      <w:r w:rsidR="00203A5A">
        <w:t> :</w:t>
      </w:r>
      <w:r w:rsidR="00221689">
        <w:t xml:space="preserve"> la date indiquée dans le préavis de licenciement</w:t>
      </w:r>
      <w:r>
        <w:t> ;</w:t>
      </w:r>
    </w:p>
    <w:p w14:paraId="2C5655CE" w14:textId="77777777" w:rsidR="008F0277" w:rsidRPr="00C70D6C" w:rsidRDefault="008F0277" w:rsidP="00203A5A">
      <w:pPr>
        <w:spacing w:after="12" w:line="259" w:lineRule="auto"/>
        <w:jc w:val="left"/>
        <w:rPr>
          <w:sz w:val="10"/>
          <w:szCs w:val="10"/>
        </w:rPr>
      </w:pPr>
    </w:p>
    <w:p w14:paraId="07268DC4" w14:textId="77777777" w:rsidR="008F0277" w:rsidRPr="00C70D6C" w:rsidRDefault="009C2BBF">
      <w:pPr>
        <w:numPr>
          <w:ilvl w:val="1"/>
          <w:numId w:val="1"/>
        </w:numPr>
        <w:ind w:hanging="360"/>
      </w:pPr>
      <w:r>
        <w:t>r</w:t>
      </w:r>
      <w:r w:rsidR="00221689">
        <w:t>envoi</w:t>
      </w:r>
      <w:r w:rsidR="00203A5A">
        <w:t> :</w:t>
      </w:r>
      <w:r w:rsidR="00221689">
        <w:t xml:space="preserve"> la date indiquée dans le préavis de cessation de service</w:t>
      </w:r>
      <w:r>
        <w:t> ;</w:t>
      </w:r>
    </w:p>
    <w:p w14:paraId="6D194814" w14:textId="77777777" w:rsidR="008F0277" w:rsidRPr="00C70D6C" w:rsidRDefault="008F0277" w:rsidP="00203A5A">
      <w:pPr>
        <w:spacing w:after="12" w:line="259" w:lineRule="auto"/>
        <w:jc w:val="left"/>
        <w:rPr>
          <w:sz w:val="10"/>
          <w:szCs w:val="10"/>
        </w:rPr>
      </w:pPr>
    </w:p>
    <w:p w14:paraId="7DEF2A16" w14:textId="77777777" w:rsidR="008F0277" w:rsidRPr="00C70D6C" w:rsidRDefault="009C2BBF">
      <w:pPr>
        <w:numPr>
          <w:ilvl w:val="1"/>
          <w:numId w:val="1"/>
        </w:numPr>
        <w:ind w:hanging="360"/>
      </w:pPr>
      <w:r>
        <w:t>r</w:t>
      </w:r>
      <w:r w:rsidR="00221689">
        <w:t>envoi sans préavis</w:t>
      </w:r>
      <w:r w:rsidR="00203A5A">
        <w:t> :</w:t>
      </w:r>
      <w:r w:rsidR="00221689">
        <w:t xml:space="preserve"> la date du licenciement décidée par l</w:t>
      </w:r>
      <w:r w:rsidR="00203A5A">
        <w:t>’</w:t>
      </w:r>
      <w:r w:rsidR="00221689">
        <w:t>Administrateur</w:t>
      </w:r>
      <w:r>
        <w:t> ;</w:t>
      </w:r>
    </w:p>
    <w:p w14:paraId="5B2E93E3" w14:textId="77777777" w:rsidR="008F0277" w:rsidRPr="00C70D6C" w:rsidRDefault="008F0277" w:rsidP="00203A5A">
      <w:pPr>
        <w:spacing w:after="12" w:line="259" w:lineRule="auto"/>
        <w:jc w:val="left"/>
        <w:rPr>
          <w:sz w:val="10"/>
          <w:szCs w:val="10"/>
        </w:rPr>
      </w:pPr>
    </w:p>
    <w:p w14:paraId="24EC5C16" w14:textId="77777777" w:rsidR="008F0277" w:rsidRPr="00C70D6C" w:rsidRDefault="009C2BBF">
      <w:pPr>
        <w:numPr>
          <w:ilvl w:val="1"/>
          <w:numId w:val="1"/>
        </w:numPr>
        <w:ind w:hanging="360"/>
      </w:pPr>
      <w:r>
        <w:t>r</w:t>
      </w:r>
      <w:r w:rsidR="00221689">
        <w:t>etraite</w:t>
      </w:r>
      <w:r w:rsidR="00203A5A">
        <w:t> :</w:t>
      </w:r>
      <w:r w:rsidR="00221689">
        <w:t xml:space="preserve"> le dernier jour du mois où le fonctionnaire atteint l</w:t>
      </w:r>
      <w:r w:rsidR="00203A5A">
        <w:t>’</w:t>
      </w:r>
      <w:r w:rsidR="00221689">
        <w:t>âge de 60</w:t>
      </w:r>
      <w:r>
        <w:t> </w:t>
      </w:r>
      <w:r w:rsidR="00221689">
        <w:t>ans, 62</w:t>
      </w:r>
      <w:r>
        <w:t> </w:t>
      </w:r>
      <w:r w:rsidR="00221689">
        <w:t>ans ou 65</w:t>
      </w:r>
      <w:r>
        <w:t> </w:t>
      </w:r>
      <w:r w:rsidR="00221689">
        <w:t>ans ou une date ultérieure qui peut être approuvée</w:t>
      </w:r>
      <w:r>
        <w:t> ;</w:t>
      </w:r>
    </w:p>
    <w:p w14:paraId="1A956BB2" w14:textId="77777777" w:rsidR="008F0277" w:rsidRPr="00C70D6C" w:rsidRDefault="008F0277" w:rsidP="00203A5A">
      <w:pPr>
        <w:spacing w:after="12" w:line="259" w:lineRule="auto"/>
        <w:jc w:val="left"/>
        <w:rPr>
          <w:sz w:val="10"/>
          <w:szCs w:val="10"/>
        </w:rPr>
      </w:pPr>
    </w:p>
    <w:p w14:paraId="71514BE0" w14:textId="77777777" w:rsidR="008F0277" w:rsidRPr="00C70D6C" w:rsidRDefault="009C2BBF" w:rsidP="00C70D6C">
      <w:pPr>
        <w:numPr>
          <w:ilvl w:val="1"/>
          <w:numId w:val="1"/>
        </w:numPr>
        <w:spacing w:after="60" w:line="250" w:lineRule="auto"/>
        <w:ind w:hanging="360"/>
      </w:pPr>
      <w:r>
        <w:t>d</w:t>
      </w:r>
      <w:r w:rsidR="00221689">
        <w:t>écès</w:t>
      </w:r>
      <w:r w:rsidR="00203A5A">
        <w:t> :</w:t>
      </w:r>
      <w:r w:rsidR="00221689">
        <w:t xml:space="preserve"> la date du décès du fonctionnaire, </w:t>
      </w:r>
      <w:r>
        <w:t>à l’exception des cas suivants </w:t>
      </w:r>
      <w:r w:rsidR="00221689">
        <w:t>:</w:t>
      </w:r>
    </w:p>
    <w:p w14:paraId="56D8C3C3" w14:textId="77777777" w:rsidR="008F0277" w:rsidRPr="00C70D6C" w:rsidRDefault="00221689" w:rsidP="00C70D6C">
      <w:pPr>
        <w:numPr>
          <w:ilvl w:val="2"/>
          <w:numId w:val="1"/>
        </w:numPr>
        <w:spacing w:after="60" w:line="276" w:lineRule="auto"/>
        <w:ind w:left="2160" w:hanging="360"/>
      </w:pPr>
      <w:r>
        <w:t>aucun prorata n</w:t>
      </w:r>
      <w:r w:rsidR="00203A5A">
        <w:t>’</w:t>
      </w:r>
      <w:r>
        <w:t>est exigé pour le versement de l</w:t>
      </w:r>
      <w:r w:rsidR="00203A5A">
        <w:t>’</w:t>
      </w:r>
      <w:r>
        <w:t>indemnité pour frais d</w:t>
      </w:r>
      <w:r w:rsidR="00203A5A">
        <w:t>’</w:t>
      </w:r>
      <w:r>
        <w:t>études lorsqu</w:t>
      </w:r>
      <w:r w:rsidR="00203A5A">
        <w:t>’</w:t>
      </w:r>
      <w:r>
        <w:t>un fonctionnaire décède pendant qu</w:t>
      </w:r>
      <w:r w:rsidR="00203A5A">
        <w:t>’</w:t>
      </w:r>
      <w:r>
        <w:t>il est en service après le début de l</w:t>
      </w:r>
      <w:r w:rsidR="00203A5A">
        <w:t>’</w:t>
      </w:r>
      <w:r>
        <w:t>année scolaire et, dans ce cas, le droit à l</w:t>
      </w:r>
      <w:r w:rsidR="00203A5A">
        <w:t>’</w:t>
      </w:r>
      <w:r>
        <w:t>indemnité pour frais d</w:t>
      </w:r>
      <w:r w:rsidR="00203A5A">
        <w:t>’</w:t>
      </w:r>
      <w:r>
        <w:t>études continuera pour la durée d</w:t>
      </w:r>
      <w:r w:rsidR="00203A5A">
        <w:t>’</w:t>
      </w:r>
      <w:r>
        <w:t>une année scolaire commencée</w:t>
      </w:r>
      <w:r w:rsidR="00203A5A">
        <w:t> ;</w:t>
      </w:r>
      <w:r>
        <w:t xml:space="preserve"> et</w:t>
      </w:r>
    </w:p>
    <w:p w14:paraId="54DB058D" w14:textId="77777777" w:rsidR="008F0277" w:rsidRPr="00C70D6C" w:rsidRDefault="00221689" w:rsidP="001A29AE">
      <w:pPr>
        <w:numPr>
          <w:ilvl w:val="2"/>
          <w:numId w:val="1"/>
        </w:numPr>
        <w:spacing w:line="276" w:lineRule="auto"/>
        <w:ind w:hanging="360"/>
      </w:pPr>
      <w:r>
        <w:t>lorsqu</w:t>
      </w:r>
      <w:r w:rsidR="00203A5A">
        <w:t>’</w:t>
      </w:r>
      <w:r>
        <w:t>il y a un conjoint survivant ou un enfant à charge, la date est déterminée conformément au tableau suivant</w:t>
      </w:r>
      <w:r w:rsidR="00203A5A">
        <w:t> :</w:t>
      </w:r>
    </w:p>
    <w:p w14:paraId="7170D9C5" w14:textId="77777777" w:rsidR="00C70D6C" w:rsidRPr="007A6336" w:rsidRDefault="00C70D6C" w:rsidP="00203A5A">
      <w:pPr>
        <w:rPr>
          <w:rFonts w:eastAsia="Times New Roman" w:cs="Arial"/>
          <w:iCs/>
        </w:rPr>
      </w:pPr>
    </w:p>
    <w:tbl>
      <w:tblPr>
        <w:tblW w:w="0" w:type="auto"/>
        <w:tblInd w:w="2160" w:type="dxa"/>
        <w:shd w:val="clear" w:color="auto" w:fill="FFFFFF"/>
        <w:tblCellMar>
          <w:left w:w="0" w:type="dxa"/>
          <w:right w:w="0" w:type="dxa"/>
        </w:tblCellMar>
        <w:tblLook w:val="04A0" w:firstRow="1" w:lastRow="0" w:firstColumn="1" w:lastColumn="0" w:noHBand="0" w:noVBand="1"/>
      </w:tblPr>
      <w:tblGrid>
        <w:gridCol w:w="2775"/>
        <w:gridCol w:w="4229"/>
      </w:tblGrid>
      <w:tr w:rsidR="00C70D6C" w:rsidRPr="00C70D6C" w14:paraId="798DECE3" w14:textId="77777777" w:rsidTr="00C70D6C">
        <w:tc>
          <w:tcPr>
            <w:tcW w:w="2805" w:type="dxa"/>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115F5BD2" w14:textId="77777777" w:rsidR="00C70D6C" w:rsidRPr="00C70D6C" w:rsidRDefault="00C70D6C" w:rsidP="00C70D6C">
            <w:pPr>
              <w:ind w:left="270" w:hanging="270"/>
              <w:jc w:val="center"/>
              <w:rPr>
                <w:rFonts w:cs="Arial"/>
              </w:rPr>
            </w:pPr>
            <w:r>
              <w:rPr>
                <w:b/>
                <w:bCs/>
              </w:rPr>
              <w:t>Années de service complétées</w:t>
            </w:r>
          </w:p>
        </w:tc>
        <w:tc>
          <w:tcPr>
            <w:tcW w:w="4290" w:type="dxa"/>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12524781" w14:textId="77777777" w:rsidR="00C70D6C" w:rsidRPr="00C70D6C" w:rsidRDefault="00C70D6C" w:rsidP="00C70D6C">
            <w:pPr>
              <w:ind w:left="255" w:hanging="180"/>
              <w:jc w:val="center"/>
              <w:rPr>
                <w:rFonts w:cs="Arial"/>
              </w:rPr>
            </w:pPr>
            <w:r>
              <w:rPr>
                <w:b/>
                <w:bCs/>
              </w:rPr>
              <w:t>Mois de prolongation après la date du décès</w:t>
            </w:r>
          </w:p>
        </w:tc>
      </w:tr>
      <w:tr w:rsidR="00C70D6C" w:rsidRPr="00C70D6C" w14:paraId="2C6D0951" w14:textId="77777777" w:rsidTr="00C70D6C">
        <w:tc>
          <w:tcPr>
            <w:tcW w:w="2805" w:type="dxa"/>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54C5B62D" w14:textId="77777777" w:rsidR="00C70D6C" w:rsidRPr="00C70D6C" w:rsidRDefault="00C70D6C" w:rsidP="00C70D6C">
            <w:pPr>
              <w:ind w:left="360"/>
              <w:jc w:val="center"/>
              <w:rPr>
                <w:rFonts w:cs="Arial"/>
              </w:rPr>
            </w:pPr>
            <w:r>
              <w:t>3 ou moins</w:t>
            </w:r>
          </w:p>
        </w:tc>
        <w:tc>
          <w:tcPr>
            <w:tcW w:w="4290" w:type="dxa"/>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3FEAC3F9" w14:textId="77777777" w:rsidR="00C70D6C" w:rsidRPr="00C70D6C" w:rsidRDefault="00C70D6C" w:rsidP="00C70D6C">
            <w:pPr>
              <w:ind w:left="345"/>
              <w:jc w:val="center"/>
              <w:rPr>
                <w:rFonts w:cs="Arial"/>
              </w:rPr>
            </w:pPr>
            <w:r>
              <w:t>3</w:t>
            </w:r>
          </w:p>
        </w:tc>
      </w:tr>
      <w:tr w:rsidR="00C70D6C" w:rsidRPr="00C70D6C" w14:paraId="5FDB27C7" w14:textId="77777777" w:rsidTr="00C70D6C">
        <w:tc>
          <w:tcPr>
            <w:tcW w:w="2805" w:type="dxa"/>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6E0B2471" w14:textId="77777777" w:rsidR="00C70D6C" w:rsidRPr="00C70D6C" w:rsidRDefault="00C70D6C" w:rsidP="00C70D6C">
            <w:pPr>
              <w:ind w:left="360"/>
              <w:jc w:val="center"/>
              <w:rPr>
                <w:rFonts w:cs="Arial"/>
              </w:rPr>
            </w:pPr>
            <w:r>
              <w:t>4</w:t>
            </w:r>
          </w:p>
        </w:tc>
        <w:tc>
          <w:tcPr>
            <w:tcW w:w="4290" w:type="dxa"/>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3C81EFD9" w14:textId="77777777" w:rsidR="00C70D6C" w:rsidRPr="00C70D6C" w:rsidRDefault="00C70D6C" w:rsidP="00C70D6C">
            <w:pPr>
              <w:ind w:left="345"/>
              <w:jc w:val="center"/>
              <w:rPr>
                <w:rFonts w:cs="Arial"/>
              </w:rPr>
            </w:pPr>
            <w:r>
              <w:t>4</w:t>
            </w:r>
          </w:p>
        </w:tc>
      </w:tr>
      <w:tr w:rsidR="00C70D6C" w:rsidRPr="00C70D6C" w14:paraId="41AE3945" w14:textId="77777777" w:rsidTr="00C70D6C">
        <w:tc>
          <w:tcPr>
            <w:tcW w:w="2805" w:type="dxa"/>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7591F639" w14:textId="77777777" w:rsidR="00C70D6C" w:rsidRPr="00C70D6C" w:rsidRDefault="00C70D6C" w:rsidP="00C70D6C">
            <w:pPr>
              <w:ind w:left="360"/>
              <w:jc w:val="center"/>
              <w:rPr>
                <w:rFonts w:cs="Arial"/>
              </w:rPr>
            </w:pPr>
            <w:r>
              <w:t>5</w:t>
            </w:r>
          </w:p>
        </w:tc>
        <w:tc>
          <w:tcPr>
            <w:tcW w:w="4290" w:type="dxa"/>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7B9FEF5A" w14:textId="77777777" w:rsidR="00C70D6C" w:rsidRPr="00C70D6C" w:rsidRDefault="00C70D6C" w:rsidP="00C70D6C">
            <w:pPr>
              <w:ind w:left="345"/>
              <w:jc w:val="center"/>
              <w:rPr>
                <w:rFonts w:cs="Arial"/>
              </w:rPr>
            </w:pPr>
            <w:r>
              <w:t>5</w:t>
            </w:r>
          </w:p>
        </w:tc>
      </w:tr>
      <w:tr w:rsidR="00C70D6C" w:rsidRPr="00C70D6C" w14:paraId="79D247BF" w14:textId="77777777" w:rsidTr="00C70D6C">
        <w:tc>
          <w:tcPr>
            <w:tcW w:w="2805" w:type="dxa"/>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53D7E35B" w14:textId="77777777" w:rsidR="00C70D6C" w:rsidRPr="00C70D6C" w:rsidRDefault="00C70D6C" w:rsidP="00C70D6C">
            <w:pPr>
              <w:ind w:left="360"/>
              <w:jc w:val="center"/>
              <w:rPr>
                <w:rFonts w:cs="Arial"/>
              </w:rPr>
            </w:pPr>
            <w:r>
              <w:t>6</w:t>
            </w:r>
          </w:p>
        </w:tc>
        <w:tc>
          <w:tcPr>
            <w:tcW w:w="4290" w:type="dxa"/>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1C3A0B5A" w14:textId="77777777" w:rsidR="00C70D6C" w:rsidRPr="00C70D6C" w:rsidRDefault="00C70D6C" w:rsidP="00C70D6C">
            <w:pPr>
              <w:ind w:left="345"/>
              <w:jc w:val="center"/>
              <w:rPr>
                <w:rFonts w:cs="Arial"/>
              </w:rPr>
            </w:pPr>
            <w:r>
              <w:t>6</w:t>
            </w:r>
          </w:p>
        </w:tc>
      </w:tr>
      <w:tr w:rsidR="00C70D6C" w:rsidRPr="00C70D6C" w14:paraId="173309B6" w14:textId="77777777" w:rsidTr="00C70D6C">
        <w:tc>
          <w:tcPr>
            <w:tcW w:w="2805" w:type="dxa"/>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1317523E" w14:textId="77777777" w:rsidR="00C70D6C" w:rsidRPr="00C70D6C" w:rsidRDefault="00C70D6C" w:rsidP="00C70D6C">
            <w:pPr>
              <w:ind w:left="360"/>
              <w:jc w:val="center"/>
              <w:rPr>
                <w:rFonts w:cs="Arial"/>
              </w:rPr>
            </w:pPr>
            <w:r>
              <w:t>7</w:t>
            </w:r>
          </w:p>
        </w:tc>
        <w:tc>
          <w:tcPr>
            <w:tcW w:w="4290" w:type="dxa"/>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00BABEB6" w14:textId="77777777" w:rsidR="00C70D6C" w:rsidRPr="00C70D6C" w:rsidRDefault="00C70D6C" w:rsidP="00C70D6C">
            <w:pPr>
              <w:ind w:left="345"/>
              <w:jc w:val="center"/>
              <w:rPr>
                <w:rFonts w:cs="Arial"/>
              </w:rPr>
            </w:pPr>
            <w:r>
              <w:t>7</w:t>
            </w:r>
          </w:p>
        </w:tc>
      </w:tr>
      <w:tr w:rsidR="00C70D6C" w:rsidRPr="00C70D6C" w14:paraId="2B1A8118" w14:textId="77777777" w:rsidTr="00C70D6C">
        <w:tc>
          <w:tcPr>
            <w:tcW w:w="2805" w:type="dxa"/>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1C084A6F" w14:textId="77777777" w:rsidR="00C70D6C" w:rsidRPr="00C70D6C" w:rsidRDefault="00C70D6C" w:rsidP="00C70D6C">
            <w:pPr>
              <w:ind w:left="360"/>
              <w:jc w:val="center"/>
              <w:rPr>
                <w:rFonts w:cs="Arial"/>
              </w:rPr>
            </w:pPr>
            <w:r>
              <w:t>8</w:t>
            </w:r>
          </w:p>
        </w:tc>
        <w:tc>
          <w:tcPr>
            <w:tcW w:w="4290" w:type="dxa"/>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051C55F6" w14:textId="77777777" w:rsidR="00C70D6C" w:rsidRPr="00C70D6C" w:rsidRDefault="00C70D6C" w:rsidP="00C70D6C">
            <w:pPr>
              <w:ind w:left="345"/>
              <w:jc w:val="center"/>
              <w:rPr>
                <w:rFonts w:cs="Arial"/>
              </w:rPr>
            </w:pPr>
            <w:r>
              <w:t>8</w:t>
            </w:r>
          </w:p>
        </w:tc>
      </w:tr>
      <w:tr w:rsidR="00C70D6C" w:rsidRPr="00C70D6C" w14:paraId="2AD3F615" w14:textId="77777777" w:rsidTr="00C70D6C">
        <w:tc>
          <w:tcPr>
            <w:tcW w:w="2805" w:type="dxa"/>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32D732D3" w14:textId="77777777" w:rsidR="00C70D6C" w:rsidRPr="00C70D6C" w:rsidRDefault="00C70D6C" w:rsidP="00C70D6C">
            <w:pPr>
              <w:ind w:left="360"/>
              <w:jc w:val="center"/>
              <w:rPr>
                <w:rFonts w:cs="Arial"/>
              </w:rPr>
            </w:pPr>
            <w:r>
              <w:t>9 ou plus</w:t>
            </w:r>
          </w:p>
        </w:tc>
        <w:tc>
          <w:tcPr>
            <w:tcW w:w="4290" w:type="dxa"/>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04C59439" w14:textId="77777777" w:rsidR="00C70D6C" w:rsidRPr="00C70D6C" w:rsidRDefault="00C70D6C" w:rsidP="00C70D6C">
            <w:pPr>
              <w:ind w:left="345"/>
              <w:jc w:val="center"/>
              <w:rPr>
                <w:rFonts w:cs="Arial"/>
              </w:rPr>
            </w:pPr>
            <w:r>
              <w:t>9</w:t>
            </w:r>
          </w:p>
        </w:tc>
      </w:tr>
    </w:tbl>
    <w:p w14:paraId="20945BA2" w14:textId="77777777" w:rsidR="00C70D6C" w:rsidRPr="00C70D6C" w:rsidRDefault="00C70D6C" w:rsidP="00203A5A">
      <w:pPr>
        <w:ind w:left="0" w:firstLine="0"/>
        <w:rPr>
          <w:lang w:val="en-GB"/>
        </w:rPr>
      </w:pPr>
    </w:p>
    <w:p w14:paraId="768C296E" w14:textId="77777777" w:rsidR="008F0277" w:rsidRPr="00C70D6C" w:rsidRDefault="00221689">
      <w:pPr>
        <w:numPr>
          <w:ilvl w:val="0"/>
          <w:numId w:val="1"/>
        </w:numPr>
        <w:ind w:hanging="360"/>
      </w:pPr>
      <w:r>
        <w:lastRenderedPageBreak/>
        <w:t>Le versement relatif à la période de prolongation au-delà de la date du décès est effectué en une somme en capital dès que les comptes de rémunération et les questions connexes peuvent être fermés. Ce versement ne sera effectué qu</w:t>
      </w:r>
      <w:r w:rsidR="00203A5A">
        <w:t>’</w:t>
      </w:r>
      <w:r>
        <w:t>au conjoint survivant et aux enfants à charge.</w:t>
      </w:r>
    </w:p>
    <w:p w14:paraId="7A1E65C5" w14:textId="77777777" w:rsidR="008F0277" w:rsidRPr="00C70D6C" w:rsidRDefault="008F0277" w:rsidP="00B17FC5">
      <w:pPr>
        <w:spacing w:after="0" w:line="259" w:lineRule="auto"/>
        <w:ind w:left="0" w:firstLine="0"/>
        <w:jc w:val="left"/>
        <w:rPr>
          <w:sz w:val="18"/>
          <w:szCs w:val="18"/>
        </w:rPr>
      </w:pPr>
    </w:p>
    <w:p w14:paraId="7B332216" w14:textId="77777777" w:rsidR="008F0277" w:rsidRPr="00C70D6C" w:rsidRDefault="00221689">
      <w:pPr>
        <w:numPr>
          <w:ilvl w:val="0"/>
          <w:numId w:val="2"/>
        </w:numPr>
        <w:ind w:hanging="360"/>
      </w:pPr>
      <w:r>
        <w:t xml:space="preserve">Si un fonctionnaire est licencié du </w:t>
      </w:r>
      <w:r w:rsidR="009C2BBF">
        <w:t xml:space="preserve">Programme des Nations Unies pour le développement (PNUD) </w:t>
      </w:r>
      <w:r>
        <w:t>alors qu</w:t>
      </w:r>
      <w:r w:rsidR="00203A5A">
        <w:t>’</w:t>
      </w:r>
      <w:r>
        <w:t>il est en congé spécial sans traitement (SLWOP), la date effective de la cessation de service est le dernier jour de service actif. Toutefois, en ce qui concerne la participation à la Caisse commune des pensions du personnel des Nations Unies (UNJSPF), la date d</w:t>
      </w:r>
      <w:r w:rsidR="00203A5A">
        <w:t>’</w:t>
      </w:r>
      <w:r>
        <w:t>entrée en vigueur de la cessation de service aux fins des prestations au titre de la Caisse est la date à laquelle la dernière contribution du fonctionnaire a été créditée à la Caisse. Les versements à la cessation de service sont calculés aux taux salaria</w:t>
      </w:r>
      <w:r w:rsidR="009C2BBF">
        <w:t>ux</w:t>
      </w:r>
      <w:r>
        <w:t xml:space="preserve"> en vigueur au moment de la cessation de service.</w:t>
      </w:r>
    </w:p>
    <w:p w14:paraId="73AF9901" w14:textId="77777777" w:rsidR="008F0277" w:rsidRPr="00C70D6C" w:rsidRDefault="008F0277" w:rsidP="00203A5A">
      <w:pPr>
        <w:spacing w:after="12" w:line="259" w:lineRule="auto"/>
        <w:ind w:left="0" w:firstLine="0"/>
        <w:jc w:val="left"/>
        <w:rPr>
          <w:sz w:val="18"/>
          <w:szCs w:val="18"/>
        </w:rPr>
      </w:pPr>
    </w:p>
    <w:p w14:paraId="328DB4AC" w14:textId="77777777" w:rsidR="008F0277" w:rsidRPr="00C70D6C" w:rsidRDefault="00221689">
      <w:pPr>
        <w:numPr>
          <w:ilvl w:val="0"/>
          <w:numId w:val="2"/>
        </w:numPr>
        <w:ind w:hanging="360"/>
      </w:pPr>
      <w:r>
        <w:t>Lorsqu</w:t>
      </w:r>
      <w:r w:rsidR="00203A5A">
        <w:t>’</w:t>
      </w:r>
      <w:r>
        <w:t>un fonctionnaire international exerce son droit au voyage de retour, le dernier jour de rémunération est soit la date fixée en vertu du premier alinéa ci-dessus, soit la date d</w:t>
      </w:r>
      <w:r w:rsidR="00203A5A">
        <w:t>’</w:t>
      </w:r>
      <w:r>
        <w:t>arrivée estimée au lieu de destination, selon la dernière de ces éventualités. La date d</w:t>
      </w:r>
      <w:r w:rsidR="00203A5A">
        <w:t>’</w:t>
      </w:r>
      <w:r>
        <w:t>arrivée estimée est calculée sur le temps de déplacement approuvé calculé comme nécessaire pour se rendre du lieu d</w:t>
      </w:r>
      <w:r w:rsidR="00203A5A">
        <w:t>’</w:t>
      </w:r>
      <w:r>
        <w:t>affectation au lieu où les prestations sont ouvertes, le voyage commençant au plus tard à la date suivant celle établie en vertu du premier paragraphe ci-dessus.</w:t>
      </w:r>
    </w:p>
    <w:p w14:paraId="01590753" w14:textId="77777777" w:rsidR="008F0277" w:rsidRPr="00C70D6C" w:rsidRDefault="008F0277">
      <w:pPr>
        <w:spacing w:after="0" w:line="259" w:lineRule="auto"/>
        <w:ind w:left="0" w:firstLine="0"/>
        <w:jc w:val="left"/>
        <w:rPr>
          <w:sz w:val="18"/>
          <w:szCs w:val="18"/>
        </w:rPr>
      </w:pPr>
    </w:p>
    <w:p w14:paraId="4F7AB0A7" w14:textId="77777777" w:rsidR="008F0277" w:rsidRPr="00C70D6C" w:rsidRDefault="00221689">
      <w:pPr>
        <w:pStyle w:val="Heading1"/>
        <w:ind w:left="-5"/>
      </w:pPr>
      <w:r>
        <w:t>Congé de maladie</w:t>
      </w:r>
    </w:p>
    <w:p w14:paraId="30D7C4AC" w14:textId="77777777" w:rsidR="008F0277" w:rsidRPr="00C70D6C" w:rsidRDefault="008F0277">
      <w:pPr>
        <w:spacing w:after="12" w:line="259" w:lineRule="auto"/>
        <w:ind w:left="0" w:firstLine="0"/>
        <w:jc w:val="left"/>
        <w:rPr>
          <w:sz w:val="18"/>
          <w:szCs w:val="18"/>
        </w:rPr>
      </w:pPr>
    </w:p>
    <w:p w14:paraId="60A0BCCB" w14:textId="77777777" w:rsidR="008F0277" w:rsidRPr="00C70D6C" w:rsidRDefault="00221689">
      <w:pPr>
        <w:numPr>
          <w:ilvl w:val="0"/>
          <w:numId w:val="3"/>
        </w:numPr>
        <w:ind w:hanging="360"/>
      </w:pPr>
      <w:r>
        <w:t>En cas d</w:t>
      </w:r>
      <w:r w:rsidR="00203A5A">
        <w:t>’</w:t>
      </w:r>
      <w:r>
        <w:t>expiration d</w:t>
      </w:r>
      <w:r w:rsidR="00203A5A">
        <w:t>’</w:t>
      </w:r>
      <w:r>
        <w:t>un engagement de durée déterminée ou en cas de licenciement, la date de la cessation de service peut être différée si le fonctionnaire est en congé de maladie certifié (SL) au moment de la cessation de service pour permettre au fonctionnaire d</w:t>
      </w:r>
      <w:r w:rsidR="00203A5A">
        <w:t>’</w:t>
      </w:r>
      <w:r>
        <w:t>utiliser ses droits aux congés de maladie. Si le fonctionnaire a épuisé ses droits aux congés de maladie, la date est reportée jusqu</w:t>
      </w:r>
      <w:r w:rsidR="00203A5A">
        <w:t>’</w:t>
      </w:r>
      <w:r>
        <w:t>à la fin du congé de maladie certifié.</w:t>
      </w:r>
    </w:p>
    <w:p w14:paraId="1177AE70" w14:textId="77777777" w:rsidR="008F0277" w:rsidRPr="00C70D6C" w:rsidRDefault="008F0277">
      <w:pPr>
        <w:spacing w:after="12" w:line="259" w:lineRule="auto"/>
        <w:ind w:left="720" w:firstLine="0"/>
        <w:jc w:val="left"/>
        <w:rPr>
          <w:sz w:val="18"/>
          <w:szCs w:val="18"/>
        </w:rPr>
      </w:pPr>
    </w:p>
    <w:p w14:paraId="376BA760" w14:textId="77777777" w:rsidR="008F0277" w:rsidRPr="00C70D6C" w:rsidRDefault="00221689">
      <w:pPr>
        <w:numPr>
          <w:ilvl w:val="0"/>
          <w:numId w:val="3"/>
        </w:numPr>
        <w:ind w:hanging="360"/>
      </w:pPr>
      <w:r>
        <w:t>Lorsqu</w:t>
      </w:r>
      <w:r w:rsidR="00203A5A">
        <w:t>’</w:t>
      </w:r>
      <w:r>
        <w:t>une nomination est prolongée uniquement pour permettre à un fonctionnaire d</w:t>
      </w:r>
      <w:r w:rsidR="00203A5A">
        <w:t>’</w:t>
      </w:r>
      <w:r>
        <w:t>utiliser ses droits aux congés de maladie, cette prolongation ne donnera pas droit à une augmentation d</w:t>
      </w:r>
      <w:r w:rsidR="00203A5A">
        <w:t>’</w:t>
      </w:r>
      <w:r>
        <w:t>échelon, de congé annuel, de congé de maladie ou de congé dans les foyers (HL), mais les crédits au titre de la prime de rapatriement (RG) peuvent continuer à s</w:t>
      </w:r>
      <w:r w:rsidR="00203A5A">
        <w:t>’</w:t>
      </w:r>
      <w:r>
        <w:t>accumuler si le fonctionnaire n</w:t>
      </w:r>
      <w:r w:rsidR="00203A5A">
        <w:t>’</w:t>
      </w:r>
      <w:r>
        <w:t>est pas retourné dans son pays d</w:t>
      </w:r>
      <w:r w:rsidR="00203A5A">
        <w:t>’</w:t>
      </w:r>
      <w:r>
        <w:t>origine. En cas de décès pendant la période de prolongation, la période précédant le décès du fonctionnaire peut être prise en compte dans la détermination de l</w:t>
      </w:r>
      <w:r w:rsidR="00203A5A">
        <w:t>’</w:t>
      </w:r>
      <w:r>
        <w:t>indemnisation en cas de décès.</w:t>
      </w:r>
    </w:p>
    <w:p w14:paraId="3800D98E" w14:textId="77777777" w:rsidR="008F0277" w:rsidRPr="00C70D6C" w:rsidRDefault="008F0277">
      <w:pPr>
        <w:spacing w:after="0" w:line="259" w:lineRule="auto"/>
        <w:ind w:left="0" w:firstLine="0"/>
        <w:jc w:val="left"/>
        <w:rPr>
          <w:sz w:val="18"/>
          <w:szCs w:val="18"/>
        </w:rPr>
      </w:pPr>
    </w:p>
    <w:p w14:paraId="13A6E199" w14:textId="77777777" w:rsidR="008F0277" w:rsidRPr="00C70D6C" w:rsidRDefault="00221689">
      <w:pPr>
        <w:pStyle w:val="Heading1"/>
        <w:ind w:left="-5"/>
      </w:pPr>
      <w:r>
        <w:t>Congé de maternité</w:t>
      </w:r>
    </w:p>
    <w:p w14:paraId="0429693A" w14:textId="77777777" w:rsidR="008F0277" w:rsidRPr="00C70D6C" w:rsidRDefault="008F0277">
      <w:pPr>
        <w:spacing w:after="12" w:line="259" w:lineRule="auto"/>
        <w:ind w:left="0" w:firstLine="0"/>
        <w:jc w:val="left"/>
        <w:rPr>
          <w:sz w:val="18"/>
          <w:szCs w:val="18"/>
        </w:rPr>
      </w:pPr>
    </w:p>
    <w:p w14:paraId="43B683DA" w14:textId="77777777" w:rsidR="008F0277" w:rsidRPr="00C70D6C" w:rsidRDefault="00221689" w:rsidP="00E84E34">
      <w:pPr>
        <w:numPr>
          <w:ilvl w:val="0"/>
          <w:numId w:val="4"/>
        </w:numPr>
        <w:spacing w:after="0" w:line="240" w:lineRule="auto"/>
        <w:ind w:hanging="360"/>
      </w:pPr>
      <w:r>
        <w:t>En cas d</w:t>
      </w:r>
      <w:r w:rsidR="00203A5A">
        <w:t>’</w:t>
      </w:r>
      <w:r>
        <w:t>expiration d</w:t>
      </w:r>
      <w:r w:rsidR="00203A5A">
        <w:t>’</w:t>
      </w:r>
      <w:r>
        <w:t>un engagement de durée déterminée ou d</w:t>
      </w:r>
      <w:r w:rsidR="00203A5A">
        <w:t>’</w:t>
      </w:r>
      <w:r>
        <w:t>un licenciement, la date de cessation de service peut être différée si le fonctionnaire est en congé de maternité (ML) au moment de la cessation de service pour permettre au fonctionnaire d</w:t>
      </w:r>
      <w:r w:rsidR="00203A5A">
        <w:t>’</w:t>
      </w:r>
      <w:r>
        <w:t>utiliser ses droits au congé de maladie. Si le membre du personnel a épuisé ses droits au congé de maternité, la date est reportée jusqu</w:t>
      </w:r>
      <w:r w:rsidR="00203A5A">
        <w:t>’</w:t>
      </w:r>
      <w:r>
        <w:t>à la fin du congé de maternité.</w:t>
      </w:r>
    </w:p>
    <w:p w14:paraId="4BED1B5C" w14:textId="77777777" w:rsidR="008F0277" w:rsidRPr="00C70D6C" w:rsidRDefault="008F0277" w:rsidP="00203A5A">
      <w:pPr>
        <w:spacing w:after="12" w:line="259" w:lineRule="auto"/>
        <w:ind w:left="0" w:firstLine="0"/>
        <w:rPr>
          <w:sz w:val="18"/>
          <w:szCs w:val="18"/>
        </w:rPr>
      </w:pPr>
    </w:p>
    <w:p w14:paraId="623F781B" w14:textId="77777777" w:rsidR="008F0277" w:rsidRDefault="00221689" w:rsidP="00E84E34">
      <w:pPr>
        <w:numPr>
          <w:ilvl w:val="0"/>
          <w:numId w:val="4"/>
        </w:numPr>
        <w:spacing w:after="0" w:line="240" w:lineRule="auto"/>
        <w:ind w:hanging="360"/>
      </w:pPr>
      <w:r>
        <w:t>Lorsqu</w:t>
      </w:r>
      <w:r w:rsidR="00203A5A">
        <w:t>’</w:t>
      </w:r>
      <w:r>
        <w:t>une nomination est prolongée uniquement pour permettre à un fonctionnaire d</w:t>
      </w:r>
      <w:r w:rsidR="00203A5A">
        <w:t>’</w:t>
      </w:r>
      <w:r>
        <w:t>utiliser ses droits aux congés de maternité, cette prolongation ne donnera pas droit à une augmentation d</w:t>
      </w:r>
      <w:r w:rsidR="00203A5A">
        <w:t>’</w:t>
      </w:r>
      <w:r>
        <w:t>échelon, de congé annuel, de congé de maladie ou de congé dans les foyers (HL), mais les crédits au titre de la prime de rapatriement peuvent continuer à s</w:t>
      </w:r>
      <w:r w:rsidR="00203A5A">
        <w:t>’</w:t>
      </w:r>
      <w:r>
        <w:t xml:space="preserve">accumuler si le </w:t>
      </w:r>
      <w:r>
        <w:lastRenderedPageBreak/>
        <w:t>fonctionnaire n</w:t>
      </w:r>
      <w:r w:rsidR="00203A5A">
        <w:t>’</w:t>
      </w:r>
      <w:r>
        <w:t>est pas retourné dans son pays d</w:t>
      </w:r>
      <w:r w:rsidR="00203A5A">
        <w:t>’</w:t>
      </w:r>
      <w:r>
        <w:t>origine. En cas de décès pendant la période de prolongation, la période précédant le décès du fonctionnaire peut être prise en compte dans la détermination de l</w:t>
      </w:r>
      <w:r w:rsidR="00203A5A">
        <w:t>’</w:t>
      </w:r>
      <w:r>
        <w:t>indemnisation en cas de décès.</w:t>
      </w:r>
    </w:p>
    <w:p w14:paraId="1DB17D67" w14:textId="77777777" w:rsidR="00F23B16" w:rsidRDefault="00F23B16" w:rsidP="00F23B16">
      <w:pPr>
        <w:spacing w:after="0" w:line="240" w:lineRule="auto"/>
        <w:ind w:left="0" w:firstLine="0"/>
      </w:pPr>
    </w:p>
    <w:p w14:paraId="10D6DB8D" w14:textId="77777777" w:rsidR="00F23B16" w:rsidRDefault="00F23B16" w:rsidP="00F23B16">
      <w:pPr>
        <w:spacing w:after="0" w:line="240" w:lineRule="auto"/>
      </w:pPr>
    </w:p>
    <w:p w14:paraId="29E8DF2D" w14:textId="203539E1" w:rsidR="00F23B16" w:rsidRPr="007A6336" w:rsidRDefault="00F23B16" w:rsidP="00F23B16">
      <w:pPr>
        <w:spacing w:after="0" w:line="240" w:lineRule="auto"/>
        <w:ind w:left="0" w:firstLine="0"/>
        <w:jc w:val="left"/>
        <w:rPr>
          <w:rFonts w:ascii="Times New Roman" w:eastAsia="Times New Roman" w:hAnsi="Times New Roman" w:cs="Times New Roman"/>
          <w:color w:val="auto"/>
          <w:sz w:val="24"/>
          <w:szCs w:val="24"/>
        </w:rPr>
      </w:pPr>
      <w:r w:rsidRPr="00F23B16">
        <w:rPr>
          <w:b/>
          <w:u w:val="single"/>
        </w:rPr>
        <w:t>ATTENTION</w:t>
      </w:r>
      <w:r w:rsidRPr="00F23B16">
        <w:rPr>
          <w:b/>
          <w:color w:val="000000" w:themeColor="text1"/>
          <w:u w:val="single"/>
        </w:rPr>
        <w:t>:</w:t>
      </w:r>
      <w:r w:rsidRPr="00F23B16">
        <w:rPr>
          <w:color w:val="000000" w:themeColor="text1"/>
        </w:rPr>
        <w:t xml:space="preserve"> </w:t>
      </w:r>
      <w:r w:rsidRPr="007A6336">
        <w:rPr>
          <w:rFonts w:eastAsia="Times New Roman" w:cs="Times New Roman"/>
          <w:color w:val="000000" w:themeColor="text1"/>
          <w:shd w:val="clear" w:color="auto" w:fill="FFFFFF"/>
        </w:rPr>
        <w:t>En cas de divergence entre les textes français et anglais de cette politique, le texte anglais fait foi, sauf disposition expresse écrite contraire.</w:t>
      </w:r>
    </w:p>
    <w:p w14:paraId="3D248F57" w14:textId="36A44867" w:rsidR="00F23B16" w:rsidRPr="00C70D6C" w:rsidRDefault="00F23B16" w:rsidP="00F23B16">
      <w:pPr>
        <w:spacing w:after="0" w:line="240" w:lineRule="auto"/>
      </w:pPr>
    </w:p>
    <w:sectPr w:rsidR="00F23B16" w:rsidRPr="00C70D6C" w:rsidSect="00B17FC5">
      <w:headerReference w:type="even" r:id="rId11"/>
      <w:headerReference w:type="default" r:id="rId12"/>
      <w:footerReference w:type="even" r:id="rId13"/>
      <w:footerReference w:type="default" r:id="rId14"/>
      <w:headerReference w:type="first" r:id="rId15"/>
      <w:footerReference w:type="first" r:id="rId16"/>
      <w:pgSz w:w="12240" w:h="15840"/>
      <w:pgMar w:top="1121" w:right="1530" w:bottom="726" w:left="153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22612" w14:textId="77777777" w:rsidR="00591631" w:rsidRDefault="00591631" w:rsidP="00B17FC5">
      <w:pPr>
        <w:spacing w:after="0" w:line="240" w:lineRule="auto"/>
      </w:pPr>
      <w:r>
        <w:separator/>
      </w:r>
    </w:p>
  </w:endnote>
  <w:endnote w:type="continuationSeparator" w:id="0">
    <w:p w14:paraId="04BB5785" w14:textId="77777777" w:rsidR="00591631" w:rsidRDefault="00591631" w:rsidP="00B17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5DBD8" w14:textId="77777777" w:rsidR="007A6336" w:rsidRDefault="007A63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EABA4" w14:textId="77777777" w:rsidR="00B17FC5" w:rsidRPr="00C70D6C" w:rsidRDefault="00C70D6C">
    <w:pPr>
      <w:pStyle w:val="Footer"/>
    </w:pPr>
    <w:r>
      <w:t xml:space="preserve">Page </w:t>
    </w:r>
    <w:r w:rsidR="003F524D" w:rsidRPr="00C70D6C">
      <w:rPr>
        <w:b/>
      </w:rPr>
      <w:fldChar w:fldCharType="begin"/>
    </w:r>
    <w:r w:rsidRPr="00C70D6C">
      <w:rPr>
        <w:b/>
      </w:rPr>
      <w:instrText xml:space="preserve"> PAGE  \* Arabic  \* MERGEFORMAT </w:instrText>
    </w:r>
    <w:r w:rsidR="003F524D" w:rsidRPr="00C70D6C">
      <w:rPr>
        <w:b/>
      </w:rPr>
      <w:fldChar w:fldCharType="separate"/>
    </w:r>
    <w:r w:rsidR="00F23B16">
      <w:rPr>
        <w:b/>
        <w:noProof/>
      </w:rPr>
      <w:t>3</w:t>
    </w:r>
    <w:r w:rsidR="003F524D" w:rsidRPr="00C70D6C">
      <w:rPr>
        <w:b/>
      </w:rPr>
      <w:fldChar w:fldCharType="end"/>
    </w:r>
    <w:r>
      <w:t xml:space="preserve"> de </w:t>
    </w:r>
    <w:r w:rsidR="007A6336">
      <w:fldChar w:fldCharType="begin"/>
    </w:r>
    <w:r w:rsidR="007A6336">
      <w:instrText xml:space="preserve"> NUMPAGES  \* Arabic  \* MERGEFORMAT </w:instrText>
    </w:r>
    <w:r w:rsidR="007A6336">
      <w:fldChar w:fldCharType="separate"/>
    </w:r>
    <w:r w:rsidR="00F23B16" w:rsidRPr="00F23B16">
      <w:rPr>
        <w:b/>
        <w:noProof/>
      </w:rPr>
      <w:t>3</w:t>
    </w:r>
    <w:r w:rsidR="007A6336">
      <w:rPr>
        <w:b/>
        <w:noProof/>
      </w:rPr>
      <w:fldChar w:fldCharType="end"/>
    </w:r>
    <w:r>
      <w:ptab w:relativeTo="margin" w:alignment="center" w:leader="none"/>
    </w:r>
    <w:r>
      <w:t>Date d</w:t>
    </w:r>
    <w:r w:rsidR="00203A5A">
      <w:t>’</w:t>
    </w:r>
    <w:r>
      <w:t>entrée en vigueur</w:t>
    </w:r>
    <w:r w:rsidR="00203A5A">
      <w:t> :</w:t>
    </w:r>
    <w:r>
      <w:t xml:space="preserve"> </w:t>
    </w:r>
    <w:sdt>
      <w:sdtPr>
        <w:alias w:val="Date d’entrée en vigueur"/>
        <w:tag w:val="UNDP_POPP_EFFECTIVEDATE"/>
        <w:id w:val="239993226"/>
        <w:placeholder>
          <w:docPart w:val="27AF33439F8145ED9373958FC3675CFA"/>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EFFECTIVEDATE[1]" w:storeItemID="{A4EA0529-41C7-43AC-B8C5-3C7B49B1BE67}"/>
        <w:date w:fullDate="2004-04-03T00:00:00Z">
          <w:dateFormat w:val="dd/MM/yyyy"/>
          <w:lid w:val="fr-FR"/>
          <w:storeMappedDataAs w:val="dateTime"/>
          <w:calendar w:val="gregorian"/>
        </w:date>
      </w:sdtPr>
      <w:sdtEndPr/>
      <w:sdtContent>
        <w:r>
          <w:t>03/04/2004</w:t>
        </w:r>
      </w:sdtContent>
    </w:sdt>
    <w:r>
      <w:ptab w:relativeTo="margin" w:alignment="right" w:leader="none"/>
    </w:r>
    <w:r>
      <w:t>Version n°</w:t>
    </w:r>
    <w:r w:rsidR="00203A5A">
      <w:t> :</w:t>
    </w:r>
    <w:r>
      <w:t xml:space="preserve"> </w:t>
    </w:r>
    <w:sdt>
      <w:sdtPr>
        <w:alias w:val="POPPRefItemVersion"/>
        <w:tag w:val="UNDP_POPP_REFITEM_VERSION"/>
        <w:id w:val="-1973509314"/>
        <w:placeholder>
          <w:docPart w:val="671C27308BF9472F9DDD888AA83A33AA"/>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A4EA0529-41C7-43AC-B8C5-3C7B49B1BE67}"/>
        <w:text/>
      </w:sdtPr>
      <w:sdtEndPr/>
      <w:sdtContent>
        <w:r>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BA6CD" w14:textId="77777777" w:rsidR="007A6336" w:rsidRDefault="007A63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C7305" w14:textId="77777777" w:rsidR="00591631" w:rsidRDefault="00591631" w:rsidP="00B17FC5">
      <w:pPr>
        <w:spacing w:after="0" w:line="240" w:lineRule="auto"/>
      </w:pPr>
      <w:r>
        <w:separator/>
      </w:r>
    </w:p>
  </w:footnote>
  <w:footnote w:type="continuationSeparator" w:id="0">
    <w:p w14:paraId="119ED75A" w14:textId="77777777" w:rsidR="00591631" w:rsidRDefault="00591631" w:rsidP="00B17F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B5986" w14:textId="77777777" w:rsidR="007A6336" w:rsidRDefault="007A63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5601C" w14:textId="5CDDDA58" w:rsidR="00C70D6C" w:rsidRDefault="007A6336" w:rsidP="00C70D6C">
    <w:pPr>
      <w:pStyle w:val="Header"/>
      <w:jc w:val="right"/>
    </w:pPr>
    <w:r>
      <w:rPr>
        <w:noProof/>
      </w:rPr>
      <w:drawing>
        <wp:inline distT="0" distB="0" distL="0" distR="0" wp14:anchorId="460E50F0" wp14:editId="2E43E167">
          <wp:extent cx="294640" cy="589280"/>
          <wp:effectExtent l="0" t="0" r="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rotWithShape="1">
                  <a:blip r:embed="rId1">
                    <a:extLst>
                      <a:ext uri="{28A0092B-C50C-407E-A947-70E740481C1C}">
                        <a14:useLocalDpi xmlns:a14="http://schemas.microsoft.com/office/drawing/2010/main" val="0"/>
                      </a:ext>
                    </a:extLst>
                  </a:blip>
                  <a:srcRect r="3247" b="16111"/>
                  <a:stretch/>
                </pic:blipFill>
                <pic:spPr bwMode="auto">
                  <a:xfrm>
                    <a:off x="0" y="0"/>
                    <a:ext cx="294640" cy="58928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62B69" w14:textId="77777777" w:rsidR="007A6336" w:rsidRDefault="007A63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85E9E"/>
    <w:multiLevelType w:val="hybridMultilevel"/>
    <w:tmpl w:val="2F984060"/>
    <w:lvl w:ilvl="0" w:tplc="F5765906">
      <w:start w:val="4"/>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AC751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CB8EB5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A4272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822C3B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30C55C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0160A2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E873C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A3E23C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68451D3"/>
    <w:multiLevelType w:val="hybridMultilevel"/>
    <w:tmpl w:val="AC38965A"/>
    <w:lvl w:ilvl="0" w:tplc="6510A856">
      <w:start w:val="2"/>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FCA081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E467FE6">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603370">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130D2C6">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46691A0">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F203C12">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D903758">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225A80">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9D1371B"/>
    <w:multiLevelType w:val="hybridMultilevel"/>
    <w:tmpl w:val="6D4A20FA"/>
    <w:lvl w:ilvl="0" w:tplc="912CBB48">
      <w:start w:val="8"/>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F0CD85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CE290A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D80166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7CC170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CD00C3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65CE36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360636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F0F3D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6DC7ADA"/>
    <w:multiLevelType w:val="hybridMultilevel"/>
    <w:tmpl w:val="89F62720"/>
    <w:lvl w:ilvl="0" w:tplc="63DA320E">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4" w15:restartNumberingAfterBreak="0">
    <w:nsid w:val="66F6482B"/>
    <w:multiLevelType w:val="hybridMultilevel"/>
    <w:tmpl w:val="DC8EB206"/>
    <w:lvl w:ilvl="0" w:tplc="FE7A5C98">
      <w:start w:val="6"/>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C25DA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B62947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BAE1F2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ECF47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65C46D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26962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9A0675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1DA7BB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974682003">
    <w:abstractNumId w:val="1"/>
  </w:num>
  <w:num w:numId="2" w16cid:durableId="1645040822">
    <w:abstractNumId w:val="0"/>
  </w:num>
  <w:num w:numId="3" w16cid:durableId="1229851101">
    <w:abstractNumId w:val="4"/>
  </w:num>
  <w:num w:numId="4" w16cid:durableId="1975327657">
    <w:abstractNumId w:val="2"/>
  </w:num>
  <w:num w:numId="5" w16cid:durableId="11324803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8588760"/>
    <w:rsid w:val="000F4384"/>
    <w:rsid w:val="00124640"/>
    <w:rsid w:val="001A29AE"/>
    <w:rsid w:val="00203A5A"/>
    <w:rsid w:val="00221689"/>
    <w:rsid w:val="002752E7"/>
    <w:rsid w:val="003F524D"/>
    <w:rsid w:val="004D42D2"/>
    <w:rsid w:val="00591631"/>
    <w:rsid w:val="0075212D"/>
    <w:rsid w:val="007A6336"/>
    <w:rsid w:val="00825D98"/>
    <w:rsid w:val="008F0277"/>
    <w:rsid w:val="009C2BBF"/>
    <w:rsid w:val="00A52007"/>
    <w:rsid w:val="00B17FC5"/>
    <w:rsid w:val="00C70D6C"/>
    <w:rsid w:val="00E84E34"/>
    <w:rsid w:val="00F23B16"/>
    <w:rsid w:val="78588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8E9F1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F524D"/>
    <w:pPr>
      <w:spacing w:after="5" w:line="249" w:lineRule="auto"/>
      <w:ind w:left="730" w:hanging="370"/>
      <w:jc w:val="both"/>
    </w:pPr>
    <w:rPr>
      <w:rFonts w:ascii="Calibri" w:eastAsia="Calibri" w:hAnsi="Calibri" w:cs="Calibri"/>
      <w:color w:val="000000"/>
    </w:rPr>
  </w:style>
  <w:style w:type="paragraph" w:styleId="Heading1">
    <w:name w:val="heading 1"/>
    <w:next w:val="Normal"/>
    <w:link w:val="Heading1Char"/>
    <w:uiPriority w:val="9"/>
    <w:unhideWhenUsed/>
    <w:qFormat/>
    <w:rsid w:val="003F524D"/>
    <w:pPr>
      <w:keepNext/>
      <w:keepLines/>
      <w:spacing w:after="0"/>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F524D"/>
    <w:rPr>
      <w:rFonts w:ascii="Calibri" w:eastAsia="Calibri" w:hAnsi="Calibri" w:cs="Calibri"/>
      <w:b/>
      <w:color w:val="000000"/>
      <w:sz w:val="22"/>
    </w:rPr>
  </w:style>
  <w:style w:type="table" w:customStyle="1" w:styleId="TableGrid">
    <w:name w:val="TableGrid"/>
    <w:rsid w:val="003F524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17F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FC5"/>
    <w:rPr>
      <w:rFonts w:ascii="Calibri" w:eastAsia="Calibri" w:hAnsi="Calibri" w:cs="Calibri"/>
      <w:color w:val="000000"/>
    </w:rPr>
  </w:style>
  <w:style w:type="paragraph" w:styleId="Footer">
    <w:name w:val="footer"/>
    <w:basedOn w:val="Normal"/>
    <w:link w:val="FooterChar"/>
    <w:uiPriority w:val="99"/>
    <w:unhideWhenUsed/>
    <w:rsid w:val="00B17F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FC5"/>
    <w:rPr>
      <w:rFonts w:ascii="Calibri" w:eastAsia="Calibri" w:hAnsi="Calibri" w:cs="Calibri"/>
      <w:color w:val="000000"/>
    </w:rPr>
  </w:style>
  <w:style w:type="paragraph" w:styleId="ListParagraph">
    <w:name w:val="List Paragraph"/>
    <w:basedOn w:val="Normal"/>
    <w:uiPriority w:val="34"/>
    <w:qFormat/>
    <w:rsid w:val="00C70D6C"/>
    <w:pPr>
      <w:spacing w:after="0" w:line="240" w:lineRule="auto"/>
      <w:ind w:left="0" w:firstLine="0"/>
      <w:contextualSpacing/>
      <w:jc w:val="left"/>
    </w:pPr>
    <w:rPr>
      <w:rFonts w:asciiTheme="minorHAnsi" w:eastAsiaTheme="minorEastAsia" w:hAnsiTheme="minorHAnsi" w:cstheme="minorBidi"/>
      <w:color w:val="auto"/>
      <w:sz w:val="24"/>
      <w:szCs w:val="24"/>
    </w:rPr>
  </w:style>
  <w:style w:type="paragraph" w:styleId="BalloonText">
    <w:name w:val="Balloon Text"/>
    <w:basedOn w:val="Normal"/>
    <w:link w:val="BalloonTextChar"/>
    <w:uiPriority w:val="99"/>
    <w:semiHidden/>
    <w:unhideWhenUsed/>
    <w:rsid w:val="00C70D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D6C"/>
    <w:rPr>
      <w:rFonts w:ascii="Tahoma" w:eastAsia="Calibri" w:hAnsi="Tahoma" w:cs="Tahoma"/>
      <w:color w:val="000000"/>
      <w:sz w:val="16"/>
      <w:szCs w:val="16"/>
    </w:rPr>
  </w:style>
  <w:style w:type="character" w:styleId="PlaceholderText">
    <w:name w:val="Placeholder Text"/>
    <w:basedOn w:val="DefaultParagraphFont"/>
    <w:uiPriority w:val="99"/>
    <w:semiHidden/>
    <w:rsid w:val="00C70D6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950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AF33439F8145ED9373958FC3675CFA"/>
        <w:category>
          <w:name w:val="General"/>
          <w:gallery w:val="placeholder"/>
        </w:category>
        <w:types>
          <w:type w:val="bbPlcHdr"/>
        </w:types>
        <w:behaviors>
          <w:behavior w:val="content"/>
        </w:behaviors>
        <w:guid w:val="{BC8AFE04-CF7F-45C7-8E32-37145C295FC2}"/>
      </w:docPartPr>
      <w:docPartBody>
        <w:p w:rsidR="006F192A" w:rsidRDefault="00576D09">
          <w:r w:rsidRPr="00FC3A36">
            <w:rPr>
              <w:rStyle w:val="PlaceholderText"/>
            </w:rPr>
            <w:t>[Effective Date]</w:t>
          </w:r>
        </w:p>
      </w:docPartBody>
    </w:docPart>
    <w:docPart>
      <w:docPartPr>
        <w:name w:val="671C27308BF9472F9DDD888AA83A33AA"/>
        <w:category>
          <w:name w:val="General"/>
          <w:gallery w:val="placeholder"/>
        </w:category>
        <w:types>
          <w:type w:val="bbPlcHdr"/>
        </w:types>
        <w:behaviors>
          <w:behavior w:val="content"/>
        </w:behaviors>
        <w:guid w:val="{FF1C8170-AA13-4205-AB45-28447450174F}"/>
      </w:docPartPr>
      <w:docPartBody>
        <w:p w:rsidR="006F192A" w:rsidRDefault="00576D09">
          <w:r w:rsidRPr="00FC3A36">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76D09"/>
    <w:rsid w:val="00183C12"/>
    <w:rsid w:val="00576D09"/>
    <w:rsid w:val="00681B46"/>
    <w:rsid w:val="006F192A"/>
    <w:rsid w:val="00C514AB"/>
    <w:rsid w:val="00E373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373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6D0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UNITBMS-173-514</_dlc_DocId>
    <Location xmlns="e560140e-7b2f-4392-90df-e7567e3021a3">Public</Location>
    <UNDP_POPP_DOCUMENT_TYPE xmlns="8264c5cc-ec60-4b56-8111-ce635d3d139a">Policy</UNDP_POPP_DOCUMENT_TYPE>
    <UNDP_POPP_DOCUMENT_TEMPLATE xmlns="8264c5cc-ec60-4b56-8111-ce635d3d139a" xsi:nil="true"/>
    <TaxCatchAll xmlns="8264c5cc-ec60-4b56-8111-ce635d3d139a">
      <Value>349</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UNDP_POPP_FILEVERSION xmlns="8264c5cc-ec60-4b56-8111-ce635d3d139a">512</UNDP_POPP_FILEVERSION>
    <UNDP_POPP_REFITEM_VERSION xmlns="8264c5cc-ec60-4b56-8111-ce635d3d139a">2</UNDP_POPP_REFITEM_VERSION>
    <UNDP_POPP_ISACTIVE xmlns="8264c5cc-ec60-4b56-8111-ce635d3d139a">true</UNDP_POPP_ISACTIVE>
    <UNDP_POPP_TITLE_EN xmlns="8264c5cc-ec60-4b56-8111-ce635d3d139a">Dernier jour de rémunération</UNDP_POPP_TITLE_EN>
    <_dlc_DocIdUrl xmlns="8264c5cc-ec60-4b56-8111-ce635d3d139a">
      <Url>https://intranet.undp.org/unit/bms/dir/internal/init_popp/_layouts/15/DocIdRedir.aspx?ID=UNITBMS-173-514</Url>
      <Description>UNITBMS-173-514</Description>
    </_dlc_DocIdUrl>
    <DLCPolicyLabelLock xmlns="e560140e-7b2f-4392-90df-e7567e3021a3" xsi:nil="true"/>
    <DLCPolicyLabelClientValue xmlns="e560140e-7b2f-4392-90df-e7567e3021a3" xsi:nil="true"/>
    <UNDP_POPP_BUSINESSUNITID_HIDDEN xmlns="8264c5cc-ec60-4b56-8111-ce635d3d139a" xsi:nil="true"/>
    <DLCPolicyLabelValue xmlns="e560140e-7b2f-4392-90df-e7567e3021a3">Effective Date: {Effective Date}                                                Version #: 2</DLCPolicyLabelVal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7C866B00-2F46-444B-A71E-8F4630B1D790}"/>
</file>

<file path=customXml/itemProps2.xml><?xml version="1.0" encoding="utf-8"?>
<ds:datastoreItem xmlns:ds="http://schemas.openxmlformats.org/officeDocument/2006/customXml" ds:itemID="{74895435-859A-4BC2-94A6-CE0D014E1A73}">
  <ds:schemaRefs>
    <ds:schemaRef ds:uri="http://schemas.microsoft.com/sharepoint/v3/contenttype/forms"/>
  </ds:schemaRefs>
</ds:datastoreItem>
</file>

<file path=customXml/itemProps3.xml><?xml version="1.0" encoding="utf-8"?>
<ds:datastoreItem xmlns:ds="http://schemas.openxmlformats.org/officeDocument/2006/customXml" ds:itemID="{A4EA0529-41C7-43AC-B8C5-3C7B49B1BE67}">
  <ds:schemaRefs>
    <ds:schemaRef ds:uri="http://purl.org/dc/elements/1.1/"/>
    <ds:schemaRef ds:uri="http://schemas.microsoft.com/sharepoint/v3/fields"/>
    <ds:schemaRef ds:uri="http://purl.org/dc/terms/"/>
    <ds:schemaRef ds:uri="http://www.w3.org/XML/1998/namespace"/>
    <ds:schemaRef ds:uri="http://schemas.microsoft.com/office/2006/metadata/properties"/>
    <ds:schemaRef ds:uri="1ed4137b-41b2-488b-8250-6d369ec27664"/>
    <ds:schemaRef ds:uri="http://schemas.microsoft.com/office/2006/documentManagement/types"/>
    <ds:schemaRef ds:uri="http://schemas.microsoft.com/office/infopath/2007/PartnerControls"/>
    <ds:schemaRef ds:uri="http://schemas.openxmlformats.org/package/2006/metadata/core-properties"/>
    <ds:schemaRef ds:uri="39c2ef4d-a13e-4025-8c8a-679686bde336"/>
    <ds:schemaRef ds:uri="http://purl.org/dc/dcmitype/"/>
  </ds:schemaRefs>
</ds:datastoreItem>
</file>

<file path=customXml/itemProps4.xml><?xml version="1.0" encoding="utf-8"?>
<ds:datastoreItem xmlns:ds="http://schemas.openxmlformats.org/officeDocument/2006/customXml" ds:itemID="{C8C037D3-C57D-4A5B-B4DF-38738F172042}">
  <ds:schemaRefs>
    <ds:schemaRef ds:uri="http://schemas.microsoft.com/sharepoint/events"/>
  </ds:schemaRefs>
</ds:datastoreItem>
</file>

<file path=customXml/itemProps5.xml><?xml version="1.0" encoding="utf-8"?>
<ds:datastoreItem xmlns:ds="http://schemas.openxmlformats.org/officeDocument/2006/customXml" ds:itemID="{7F486E29-9FCC-4EE3-93EF-A7D9B57B47E3}"/>
</file>

<file path=docProps/app.xml><?xml version="1.0" encoding="utf-8"?>
<Properties xmlns="http://schemas.openxmlformats.org/officeDocument/2006/extended-properties" xmlns:vt="http://schemas.openxmlformats.org/officeDocument/2006/docPropsVTypes">
  <Template>Normal</Template>
  <TotalTime>2</TotalTime>
  <Pages>3</Pages>
  <Words>810</Words>
  <Characters>4620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B</dc:creator>
  <cp:lastModifiedBy>Pablo Morete</cp:lastModifiedBy>
  <cp:revision>4</cp:revision>
  <dcterms:created xsi:type="dcterms:W3CDTF">2018-09-20T13:32:00Z</dcterms:created>
  <dcterms:modified xsi:type="dcterms:W3CDTF">2022-10-07T13:57:00Z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249c706f-f370-4113-ab4e-da83b06f3b54</vt:lpwstr>
  </property>
  <property fmtid="{D5CDD505-2E9C-101B-9397-08002B2CF9AE}" pid="4" name="UNDP_POPP_BUSINESSUNIT">
    <vt:lpwstr>349;#Human Resources Management|1f57ad6b-760b-4b5a-be19-36e6fe76fd85</vt:lpwstr>
  </property>
  <property fmtid="{D5CDD505-2E9C-101B-9397-08002B2CF9AE}" pid="5" name="POPPBusinessProcess">
    <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UndpUnitMM">
    <vt:lpwstr/>
  </property>
  <property fmtid="{D5CDD505-2E9C-101B-9397-08002B2CF9AE}" pid="12" name="eRegFilingCodeMM">
    <vt:lpwstr/>
  </property>
  <property fmtid="{D5CDD505-2E9C-101B-9397-08002B2CF9AE}" pid="13" name="UNDP_POPP_BUSINESSPROCESS_HIDDEN">
    <vt:lpwstr/>
  </property>
  <property fmtid="{D5CDD505-2E9C-101B-9397-08002B2CF9AE}" pid="14" name="l0e6ef0c43e74560bd7f3acd1f5e8571">
    <vt:lpwstr>Human Resources Management|1f57ad6b-760b-4b5a-be19-36e6fe76fd85</vt:lpwstr>
  </property>
  <property fmtid="{D5CDD505-2E9C-101B-9397-08002B2CF9AE}" pid="15" name="Location">
    <vt:lpwstr>Public</vt:lpwstr>
  </property>
  <property fmtid="{D5CDD505-2E9C-101B-9397-08002B2CF9AE}" pid="16" name="UNDP_POPP_DOCUMENT_TYPE">
    <vt:lpwstr>Policy</vt:lpwstr>
  </property>
  <property fmtid="{D5CDD505-2E9C-101B-9397-08002B2CF9AE}" pid="17" name="UNDP_POPP_VERSION_COMMENTS">
    <vt:lpwstr/>
  </property>
  <property fmtid="{D5CDD505-2E9C-101B-9397-08002B2CF9AE}" pid="18" name="UNDP_POPP_DOCUMENT_LANGUAGE">
    <vt:lpwstr>French</vt:lpwstr>
  </property>
  <property fmtid="{D5CDD505-2E9C-101B-9397-08002B2CF9AE}" pid="19" name="UNDP_POPP_FILEVERSION">
    <vt:r8>512</vt:r8>
  </property>
  <property fmtid="{D5CDD505-2E9C-101B-9397-08002B2CF9AE}" pid="20" name="UNDP_POPP_REFITEM_VERSION">
    <vt:r8>2</vt:r8>
  </property>
  <property fmtid="{D5CDD505-2E9C-101B-9397-08002B2CF9AE}" pid="28" name="UndpDocStatus">
    <vt:lpwstr>Draft</vt:lpwstr>
  </property>
  <property fmtid="{D5CDD505-2E9C-101B-9397-08002B2CF9AE}" pid="32" name="UndpClassificationLevel">
    <vt:lpwstr>Internal Use Only</vt:lpwstr>
  </property>
  <property fmtid="{D5CDD505-2E9C-101B-9397-08002B2CF9AE}" pid="33" name="UndpIsTemplate">
    <vt:lpwstr>No</vt:lpwstr>
  </property>
</Properties>
</file>