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466D" w14:textId="77777777" w:rsidR="005D7AC0" w:rsidRPr="00D93897" w:rsidRDefault="005D7AC0" w:rsidP="005D7AC0">
      <w:pPr>
        <w:shd w:val="clear" w:color="auto" w:fill="FFFFFF" w:themeFill="background1"/>
        <w:spacing w:before="0" w:after="0" w:line="240" w:lineRule="auto"/>
        <w:jc w:val="center"/>
        <w:rPr>
          <w:rFonts w:cs="Arial"/>
          <w:b/>
          <w:sz w:val="22"/>
          <w:szCs w:val="22"/>
          <w:lang w:val="en-GB"/>
        </w:rPr>
      </w:pPr>
      <w:r w:rsidRPr="00D93897">
        <w:rPr>
          <w:rFonts w:cs="Arial"/>
          <w:b/>
          <w:sz w:val="22"/>
          <w:szCs w:val="22"/>
          <w:lang w:val="en-GB"/>
        </w:rPr>
        <w:t>Annex 1</w:t>
      </w:r>
    </w:p>
    <w:p w14:paraId="7757466E" w14:textId="77777777" w:rsidR="005D7AC0" w:rsidRPr="00D93897" w:rsidRDefault="005D7AC0" w:rsidP="005D7AC0">
      <w:pPr>
        <w:shd w:val="clear" w:color="auto" w:fill="FFFFFF" w:themeFill="background1"/>
        <w:spacing w:before="0" w:after="0" w:line="240" w:lineRule="auto"/>
        <w:jc w:val="center"/>
        <w:rPr>
          <w:rFonts w:cs="Arial"/>
          <w:b/>
          <w:sz w:val="22"/>
          <w:szCs w:val="22"/>
          <w:lang w:val="en-GB"/>
        </w:rPr>
      </w:pPr>
    </w:p>
    <w:p w14:paraId="7757466F" w14:textId="77777777" w:rsidR="005D7AC0" w:rsidRPr="00D93897" w:rsidRDefault="005D7AC0" w:rsidP="005D7AC0">
      <w:pPr>
        <w:shd w:val="clear" w:color="auto" w:fill="FFFFFF" w:themeFill="background1"/>
        <w:spacing w:before="0" w:after="0" w:line="240" w:lineRule="auto"/>
        <w:jc w:val="center"/>
        <w:rPr>
          <w:rFonts w:cs="Arial"/>
          <w:b/>
          <w:sz w:val="22"/>
          <w:szCs w:val="22"/>
          <w:lang w:val="en-GB"/>
        </w:rPr>
      </w:pPr>
      <w:r w:rsidRPr="00D93897">
        <w:rPr>
          <w:rFonts w:cs="Arial"/>
          <w:b/>
          <w:sz w:val="22"/>
          <w:szCs w:val="22"/>
          <w:lang w:val="en-GB"/>
        </w:rPr>
        <w:t>Guidance on Cost Methodology</w:t>
      </w:r>
    </w:p>
    <w:p w14:paraId="77574670" w14:textId="77777777" w:rsidR="005D7AC0" w:rsidRPr="00D93897" w:rsidRDefault="005D7AC0" w:rsidP="005D7AC0">
      <w:pPr>
        <w:shd w:val="clear" w:color="auto" w:fill="FFFFFF" w:themeFill="background1"/>
        <w:spacing w:before="0" w:after="0" w:line="240" w:lineRule="auto"/>
        <w:jc w:val="center"/>
        <w:rPr>
          <w:rFonts w:cs="Arial"/>
          <w:b/>
          <w:sz w:val="22"/>
          <w:szCs w:val="22"/>
          <w:lang w:val="en-GB"/>
        </w:rPr>
      </w:pPr>
      <w:r w:rsidRPr="00D93897">
        <w:rPr>
          <w:rFonts w:cs="Arial"/>
          <w:b/>
          <w:sz w:val="22"/>
          <w:szCs w:val="22"/>
          <w:lang w:val="en-GB"/>
        </w:rPr>
        <w:t>(True Hourly Cost Methodology)</w:t>
      </w:r>
    </w:p>
    <w:p w14:paraId="77574671" w14:textId="77777777" w:rsidR="005D7AC0" w:rsidRPr="00D93897" w:rsidRDefault="005D7AC0" w:rsidP="005D7AC0">
      <w:pPr>
        <w:shd w:val="clear" w:color="auto" w:fill="FFFFFF" w:themeFill="background1"/>
        <w:spacing w:before="0" w:after="0" w:line="240" w:lineRule="auto"/>
        <w:rPr>
          <w:rFonts w:cs="Arial"/>
          <w:sz w:val="22"/>
          <w:szCs w:val="22"/>
          <w:lang w:val="en-GB"/>
        </w:rPr>
      </w:pPr>
    </w:p>
    <w:p w14:paraId="77574672" w14:textId="77777777" w:rsidR="005D7AC0" w:rsidRPr="00D93897" w:rsidRDefault="005D7AC0" w:rsidP="005D7AC0">
      <w:pPr>
        <w:shd w:val="clear" w:color="auto" w:fill="FFFFFF" w:themeFill="background1"/>
        <w:spacing w:before="0" w:after="0" w:line="240" w:lineRule="auto"/>
        <w:jc w:val="both"/>
        <w:rPr>
          <w:rFonts w:cs="Arial"/>
          <w:sz w:val="22"/>
          <w:szCs w:val="22"/>
          <w:lang w:val="en-GB"/>
        </w:rPr>
      </w:pPr>
      <w:r w:rsidRPr="00D93897">
        <w:rPr>
          <w:rFonts w:cs="Arial"/>
          <w:sz w:val="22"/>
          <w:szCs w:val="22"/>
          <w:lang w:val="en-GB"/>
        </w:rPr>
        <w:t>The current methodology used involves a work process analysis, which determines the amount of time each person involved spends in providing the service to assess the cost.</w:t>
      </w:r>
    </w:p>
    <w:p w14:paraId="77574673" w14:textId="77777777" w:rsidR="005D7AC0" w:rsidRPr="00D93897" w:rsidRDefault="005D7AC0" w:rsidP="005D7AC0">
      <w:pPr>
        <w:shd w:val="clear" w:color="auto" w:fill="FFFFFF" w:themeFill="background1"/>
        <w:spacing w:before="0" w:after="0" w:line="240" w:lineRule="auto"/>
        <w:jc w:val="both"/>
        <w:rPr>
          <w:rFonts w:cs="Arial"/>
          <w:sz w:val="22"/>
          <w:szCs w:val="22"/>
          <w:lang w:val="en-GB"/>
        </w:rPr>
      </w:pPr>
    </w:p>
    <w:p w14:paraId="77574674" w14:textId="77777777" w:rsidR="005D7AC0" w:rsidRPr="00D93897" w:rsidRDefault="005D7AC0" w:rsidP="005D7AC0">
      <w:pPr>
        <w:shd w:val="clear" w:color="auto" w:fill="FFFFFF" w:themeFill="background1"/>
        <w:spacing w:before="0" w:after="0" w:line="240" w:lineRule="auto"/>
        <w:ind w:firstLine="720"/>
        <w:jc w:val="both"/>
        <w:rPr>
          <w:rFonts w:cs="Arial"/>
          <w:sz w:val="22"/>
          <w:szCs w:val="22"/>
          <w:lang w:val="en-GB"/>
        </w:rPr>
      </w:pPr>
      <w:r w:rsidRPr="00D93897">
        <w:rPr>
          <w:rFonts w:cs="Arial"/>
          <w:b/>
          <w:sz w:val="22"/>
          <w:szCs w:val="22"/>
          <w:lang w:val="en-GB"/>
        </w:rPr>
        <w:t>Space</w:t>
      </w:r>
      <w:r w:rsidRPr="00D93897">
        <w:rPr>
          <w:rFonts w:cs="Arial"/>
          <w:sz w:val="22"/>
          <w:szCs w:val="22"/>
          <w:lang w:val="en-GB"/>
        </w:rPr>
        <w:t>, occupied by each staff member involved in providing services. This figure is converted into a percentage of total space occupied by UNDP. UNDP’s non-personnel cost for rent (if any), utilities, furniture, and IT systems are spread over all UNDP staff based on the amount of space they occupy. Non-personnel costs for which separate reimbursement is in place (e.g. security, outsourced services) were not included. Hence, “Space” is the main driver used to allocate non-personnel cost proportionately, with UNDP covering the cost for all non-service units, and each UN Agency (including UNDP) paying a share of the cost of the service units, based on the amount of services actually received by the agency.</w:t>
      </w:r>
    </w:p>
    <w:p w14:paraId="77574675" w14:textId="77777777" w:rsidR="005D7AC0" w:rsidRPr="00D93897" w:rsidRDefault="005D7AC0" w:rsidP="005D7AC0">
      <w:pPr>
        <w:shd w:val="clear" w:color="auto" w:fill="FFFFFF" w:themeFill="background1"/>
        <w:spacing w:before="0" w:after="0" w:line="240" w:lineRule="auto"/>
        <w:jc w:val="both"/>
        <w:rPr>
          <w:rFonts w:cs="Arial"/>
          <w:sz w:val="22"/>
          <w:szCs w:val="22"/>
          <w:lang w:val="en-GB"/>
        </w:rPr>
      </w:pPr>
    </w:p>
    <w:p w14:paraId="77574676" w14:textId="77777777" w:rsidR="005D7AC0" w:rsidRPr="00D93897" w:rsidRDefault="005D7AC0" w:rsidP="005D7AC0">
      <w:pPr>
        <w:shd w:val="clear" w:color="auto" w:fill="FFFFFF" w:themeFill="background1"/>
        <w:spacing w:before="0" w:after="0" w:line="240" w:lineRule="auto"/>
        <w:ind w:firstLine="720"/>
        <w:jc w:val="both"/>
        <w:rPr>
          <w:rFonts w:cs="Arial"/>
          <w:sz w:val="22"/>
          <w:szCs w:val="22"/>
          <w:lang w:val="en-GB"/>
        </w:rPr>
      </w:pPr>
      <w:r w:rsidRPr="00D93897">
        <w:rPr>
          <w:rFonts w:cs="Arial"/>
          <w:b/>
          <w:sz w:val="22"/>
          <w:szCs w:val="22"/>
          <w:lang w:val="en-GB"/>
        </w:rPr>
        <w:t>Staff</w:t>
      </w:r>
      <w:r w:rsidRPr="00D93897">
        <w:rPr>
          <w:rFonts w:cs="Arial"/>
          <w:sz w:val="22"/>
          <w:szCs w:val="22"/>
          <w:lang w:val="en-GB"/>
        </w:rPr>
        <w:t>, who will actually perform the services, are clearly identified. All staff involved in the process of providing a service are listed, even if their participation in the process was not being charged (e.g. Resident Representative, Junior Professional Officer).</w:t>
      </w:r>
    </w:p>
    <w:p w14:paraId="77574677" w14:textId="77777777" w:rsidR="005D7AC0" w:rsidRPr="00D93897" w:rsidRDefault="005D7AC0" w:rsidP="005D7AC0">
      <w:pPr>
        <w:shd w:val="clear" w:color="auto" w:fill="FFFFFF" w:themeFill="background1"/>
        <w:spacing w:before="0" w:after="0" w:line="240" w:lineRule="auto"/>
        <w:jc w:val="both"/>
        <w:rPr>
          <w:rFonts w:cs="Arial"/>
          <w:b/>
          <w:sz w:val="22"/>
          <w:szCs w:val="22"/>
          <w:lang w:val="en-GB"/>
        </w:rPr>
      </w:pPr>
    </w:p>
    <w:p w14:paraId="77574678" w14:textId="77777777" w:rsidR="005D7AC0" w:rsidRPr="00D93897" w:rsidRDefault="005D7AC0" w:rsidP="005D7AC0">
      <w:pPr>
        <w:shd w:val="clear" w:color="auto" w:fill="FFFFFF" w:themeFill="background1"/>
        <w:spacing w:before="0" w:after="0" w:line="240" w:lineRule="auto"/>
        <w:ind w:firstLine="720"/>
        <w:jc w:val="both"/>
        <w:rPr>
          <w:rFonts w:cs="Arial"/>
          <w:sz w:val="22"/>
          <w:szCs w:val="22"/>
          <w:lang w:val="en-GB"/>
        </w:rPr>
      </w:pPr>
      <w:r w:rsidRPr="00D93897">
        <w:rPr>
          <w:rFonts w:cs="Arial"/>
          <w:b/>
          <w:sz w:val="22"/>
          <w:szCs w:val="22"/>
          <w:lang w:val="en-GB"/>
        </w:rPr>
        <w:t>UN salaries</w:t>
      </w:r>
      <w:r w:rsidRPr="00D93897">
        <w:rPr>
          <w:rFonts w:cs="Arial"/>
          <w:sz w:val="22"/>
          <w:szCs w:val="22"/>
          <w:lang w:val="en-GB"/>
        </w:rPr>
        <w:t>, based on actual cost using monthly payroll for each staff involved in providing the service. This is the total cost of the staff to UNDP, including gross salary, benefits, contributions to pension fund, and insurance. Annual actual staff costs] divided by 12 months divided by 16.845 working days per month divided by 7.5 hours divided by 60 minutes</w:t>
      </w:r>
    </w:p>
    <w:p w14:paraId="77574679" w14:textId="77777777" w:rsidR="005D7AC0" w:rsidRPr="00D93897" w:rsidRDefault="005D7AC0" w:rsidP="005D7AC0">
      <w:pPr>
        <w:shd w:val="clear" w:color="auto" w:fill="FFFFFF" w:themeFill="background1"/>
        <w:spacing w:before="0" w:after="0" w:line="240" w:lineRule="auto"/>
        <w:rPr>
          <w:rFonts w:cs="Arial"/>
          <w:sz w:val="22"/>
          <w:szCs w:val="22"/>
          <w:lang w:val="en-GB"/>
        </w:rPr>
      </w:pPr>
    </w:p>
    <w:p w14:paraId="7757467A"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The number of working days per month consists of:</w:t>
      </w:r>
    </w:p>
    <w:p w14:paraId="7757467B" w14:textId="77777777" w:rsidR="005D7AC0" w:rsidRPr="00D93897" w:rsidRDefault="005D7AC0" w:rsidP="005D7AC0">
      <w:pPr>
        <w:shd w:val="clear" w:color="auto" w:fill="FFFFFF" w:themeFill="background1"/>
        <w:spacing w:before="0" w:after="0" w:line="240" w:lineRule="auto"/>
        <w:rPr>
          <w:rFonts w:cs="Arial"/>
          <w:sz w:val="22"/>
          <w:szCs w:val="22"/>
          <w:lang w:val="en-GB"/>
        </w:rPr>
      </w:pPr>
    </w:p>
    <w:p w14:paraId="7757467C"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Number of working days per year = 261 days</w:t>
      </w:r>
    </w:p>
    <w:p w14:paraId="7757467D"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Less:</w:t>
      </w:r>
    </w:p>
    <w:p w14:paraId="7757467E"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Annual leave</w:t>
      </w:r>
      <w:r w:rsidRPr="00D93897">
        <w:rPr>
          <w:rFonts w:cs="Arial"/>
          <w:sz w:val="22"/>
          <w:szCs w:val="22"/>
          <w:lang w:val="en-GB"/>
        </w:rPr>
        <w:tab/>
      </w:r>
      <w:r w:rsidRPr="00D93897">
        <w:rPr>
          <w:rFonts w:cs="Arial"/>
          <w:sz w:val="22"/>
          <w:szCs w:val="22"/>
          <w:lang w:val="en-GB"/>
        </w:rPr>
        <w:tab/>
        <w:t>30 days</w:t>
      </w:r>
    </w:p>
    <w:p w14:paraId="7757467F"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National holidays</w:t>
      </w:r>
      <w:r w:rsidRPr="00D93897">
        <w:rPr>
          <w:rFonts w:cs="Arial"/>
          <w:sz w:val="22"/>
          <w:szCs w:val="22"/>
          <w:lang w:val="en-GB"/>
        </w:rPr>
        <w:tab/>
        <w:t>10 days</w:t>
      </w:r>
    </w:p>
    <w:p w14:paraId="77574680"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Training days</w:t>
      </w:r>
      <w:r w:rsidRPr="00D93897">
        <w:rPr>
          <w:rFonts w:cs="Arial"/>
          <w:sz w:val="22"/>
          <w:szCs w:val="22"/>
          <w:lang w:val="en-GB"/>
        </w:rPr>
        <w:tab/>
      </w:r>
      <w:r w:rsidRPr="00D93897">
        <w:rPr>
          <w:rFonts w:cs="Arial"/>
          <w:sz w:val="22"/>
          <w:szCs w:val="22"/>
          <w:lang w:val="en-GB"/>
        </w:rPr>
        <w:tab/>
        <w:t>12 days</w:t>
      </w:r>
    </w:p>
    <w:p w14:paraId="77574681"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Sick leave</w:t>
      </w:r>
      <w:r w:rsidRPr="00D93897">
        <w:rPr>
          <w:rFonts w:cs="Arial"/>
          <w:sz w:val="22"/>
          <w:szCs w:val="22"/>
          <w:lang w:val="en-GB"/>
        </w:rPr>
        <w:tab/>
      </w:r>
      <w:r w:rsidRPr="00D93897">
        <w:rPr>
          <w:rFonts w:cs="Arial"/>
          <w:sz w:val="22"/>
          <w:szCs w:val="22"/>
          <w:lang w:val="en-GB"/>
        </w:rPr>
        <w:tab/>
        <w:t xml:space="preserve">  7 days</w:t>
      </w:r>
    </w:p>
    <w:p w14:paraId="77574682"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UOLUPL</w:t>
      </w:r>
    </w:p>
    <w:p w14:paraId="77574683" w14:textId="77777777" w:rsidR="005D7AC0" w:rsidRPr="00D93897" w:rsidRDefault="005D7AC0" w:rsidP="005D7AC0">
      <w:pPr>
        <w:shd w:val="clear" w:color="auto" w:fill="FFFFFF" w:themeFill="background1"/>
        <w:spacing w:before="0" w:after="0" w:line="240" w:lineRule="auto"/>
        <w:rPr>
          <w:rFonts w:cs="Arial"/>
          <w:sz w:val="22"/>
          <w:szCs w:val="22"/>
          <w:lang w:val="en-GB"/>
        </w:rPr>
      </w:pPr>
    </w:p>
    <w:p w14:paraId="77574684" w14:textId="77777777" w:rsidR="005D7AC0" w:rsidRPr="00D93897"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 xml:space="preserve"> Total workday per year                 = 202 days</w:t>
      </w:r>
    </w:p>
    <w:p w14:paraId="77574685" w14:textId="77777777" w:rsidR="005D7AC0" w:rsidRPr="000908E5" w:rsidRDefault="005D7AC0" w:rsidP="005D7AC0">
      <w:pPr>
        <w:shd w:val="clear" w:color="auto" w:fill="FFFFFF" w:themeFill="background1"/>
        <w:spacing w:before="0" w:after="0" w:line="240" w:lineRule="auto"/>
        <w:rPr>
          <w:rFonts w:cs="Arial"/>
          <w:sz w:val="22"/>
          <w:szCs w:val="22"/>
          <w:lang w:val="en-GB"/>
        </w:rPr>
      </w:pPr>
      <w:r w:rsidRPr="00D93897">
        <w:rPr>
          <w:rFonts w:cs="Arial"/>
          <w:sz w:val="22"/>
          <w:szCs w:val="22"/>
          <w:lang w:val="en-GB"/>
        </w:rPr>
        <w:t xml:space="preserve"> Total workdays per month           = 16.84 days</w:t>
      </w:r>
    </w:p>
    <w:p w14:paraId="77574686" w14:textId="77777777" w:rsidR="00727CC3" w:rsidRDefault="00D02234"/>
    <w:sectPr w:rsidR="00727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AC0"/>
    <w:rsid w:val="003E6491"/>
    <w:rsid w:val="005D7AC0"/>
    <w:rsid w:val="009B7611"/>
    <w:rsid w:val="00D0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466D"/>
  <w15:docId w15:val="{9A048634-22AE-4046-95E5-735567FA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AC0"/>
    <w:pPr>
      <w:spacing w:before="200"/>
    </w:pPr>
    <w:rPr>
      <w:rFonts w:eastAsiaTheme="minorEastAs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Annex 1 : Guidance on Cost Methodology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POPP-11-1412</_dlc_DocId>
    <_dlc_DocIdUrl xmlns="8264c5cc-ec60-4b56-8111-ce635d3d139a">
      <Url>https://popp.undp.org/_layouts/15/DocIdRedir.aspx?ID=POPP-11-1412</Url>
      <Description>POPP-11-1412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E76D3-B0D9-4C2F-945B-7140441C5DC6}">
  <ds:schemaRefs>
    <ds:schemaRef ds:uri="http://schemas.microsoft.com/sharepoint/v3/contenttype/forms"/>
  </ds:schemaRefs>
</ds:datastoreItem>
</file>

<file path=customXml/itemProps2.xml><?xml version="1.0" encoding="utf-8"?>
<ds:datastoreItem xmlns:ds="http://schemas.openxmlformats.org/officeDocument/2006/customXml" ds:itemID="{EC1146D0-C292-41FF-8283-C085CAAB9120}">
  <ds:schemaRefs>
    <ds:schemaRef ds:uri="http://schemas.microsoft.com/office/2006/documentManagement/types"/>
    <ds:schemaRef ds:uri="http://schemas.openxmlformats.org/package/2006/metadata/core-properties"/>
    <ds:schemaRef ds:uri="http://schemas.microsoft.com/sharepoint/v3"/>
    <ds:schemaRef ds:uri="http://purl.org/dc/dcmitype/"/>
    <ds:schemaRef ds:uri="8264c5cc-ec60-4b56-8111-ce635d3d139a"/>
    <ds:schemaRef ds:uri="http://schemas.microsoft.com/office/infopath/2007/PartnerControls"/>
    <ds:schemaRef ds:uri="http://purl.org/dc/terms/"/>
    <ds:schemaRef ds:uri="e560140e-7b2f-4392-90df-e7567e3021a3"/>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2051FE46-C2E9-44A6-8F9F-C84828416FCB}">
  <ds:schemaRefs>
    <ds:schemaRef ds:uri="http://schemas.microsoft.com/sharepoint/events"/>
  </ds:schemaRefs>
</ds:datastoreItem>
</file>

<file path=customXml/itemProps4.xml><?xml version="1.0" encoding="utf-8"?>
<ds:datastoreItem xmlns:ds="http://schemas.openxmlformats.org/officeDocument/2006/customXml" ds:itemID="{B03C4442-B104-499F-A5D2-9C098218AB4B}">
  <ds:schemaRefs>
    <ds:schemaRef ds:uri="office.server.policy"/>
  </ds:schemaRefs>
</ds:datastoreItem>
</file>

<file path=customXml/itemProps5.xml><?xml version="1.0" encoding="utf-8"?>
<ds:datastoreItem xmlns:ds="http://schemas.openxmlformats.org/officeDocument/2006/customXml" ds:itemID="{156692A3-867D-4989-BDB4-B2EBC09D5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Jane Gagne</cp:lastModifiedBy>
  <cp:revision>2</cp:revision>
  <dcterms:created xsi:type="dcterms:W3CDTF">2016-05-04T16:17:00Z</dcterms:created>
  <dcterms:modified xsi:type="dcterms:W3CDTF">2021-06-29T14:50:00Z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f70f3ee2-253e-42a4-9055-cc1477a868a9</vt:lpwstr>
  </property>
</Properties>
</file>