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896AD" w14:textId="77777777" w:rsidR="00C75342" w:rsidRPr="00F40B50" w:rsidRDefault="00C75342" w:rsidP="00C75342">
      <w:pPr>
        <w:jc w:val="center"/>
        <w:rPr>
          <w:rFonts w:ascii="Myriad Pro" w:hAnsi="Myriad Pro"/>
          <w:b/>
          <w:sz w:val="22"/>
          <w:szCs w:val="22"/>
        </w:rPr>
      </w:pPr>
      <w:r w:rsidRPr="00F40B50">
        <w:rPr>
          <w:rFonts w:ascii="Myriad Pro" w:hAnsi="Myriad Pro"/>
          <w:b/>
          <w:sz w:val="22"/>
          <w:szCs w:val="22"/>
        </w:rPr>
        <w:t xml:space="preserve">UNDP Contingent Payment </w:t>
      </w:r>
      <w:r>
        <w:rPr>
          <w:rFonts w:ascii="Myriad Pro" w:hAnsi="Myriad Pro"/>
          <w:b/>
          <w:sz w:val="22"/>
          <w:szCs w:val="22"/>
        </w:rPr>
        <w:t>Terms</w:t>
      </w:r>
      <w:r>
        <w:rPr>
          <w:rStyle w:val="FootnoteReference"/>
          <w:rFonts w:ascii="Myriad Pro" w:hAnsi="Myriad Pro"/>
          <w:b/>
          <w:sz w:val="22"/>
          <w:szCs w:val="22"/>
        </w:rPr>
        <w:footnoteReference w:id="1"/>
      </w:r>
    </w:p>
    <w:p w14:paraId="0EF9595F" w14:textId="77777777" w:rsidR="00C75342" w:rsidRPr="00F40B50" w:rsidRDefault="00C75342" w:rsidP="00C75342">
      <w:pPr>
        <w:rPr>
          <w:rFonts w:ascii="Myriad Pro" w:hAnsi="Myriad Pro"/>
          <w:b/>
          <w:sz w:val="20"/>
        </w:rPr>
      </w:pPr>
      <w:r>
        <w:rPr>
          <w:rFonts w:ascii="Myriad Pro" w:hAnsi="Myriad Pro"/>
          <w:b/>
          <w:sz w:val="20"/>
        </w:rPr>
        <w:t xml:space="preserve"> </w:t>
      </w:r>
    </w:p>
    <w:p w14:paraId="0EE658EC" w14:textId="77777777" w:rsidR="00C75342" w:rsidRPr="00F40B50" w:rsidRDefault="00C75342" w:rsidP="00C75342">
      <w:pPr>
        <w:numPr>
          <w:ilvl w:val="0"/>
          <w:numId w:val="1"/>
        </w:numPr>
        <w:contextualSpacing/>
        <w:rPr>
          <w:rFonts w:ascii="Myriad Pro" w:hAnsi="Myriad Pro"/>
          <w:sz w:val="22"/>
          <w:szCs w:val="22"/>
        </w:rPr>
      </w:pPr>
      <w:r w:rsidRPr="00F40B50">
        <w:rPr>
          <w:rFonts w:ascii="Myriad Pro" w:hAnsi="Myriad Pro"/>
          <w:sz w:val="22"/>
          <w:szCs w:val="22"/>
        </w:rPr>
        <w:t>Contingent Payments are payable to UNDP when a Recipient Institution under this Agreement, using UNDP funds, in whole or in part, benefits from:</w:t>
      </w:r>
    </w:p>
    <w:p w14:paraId="35EE0D2F" w14:textId="77777777" w:rsidR="00C75342" w:rsidRPr="00F40B50" w:rsidRDefault="00C75342" w:rsidP="00C75342">
      <w:pPr>
        <w:ind w:left="360"/>
        <w:contextualSpacing/>
        <w:rPr>
          <w:rFonts w:ascii="Myriad Pro" w:hAnsi="Myriad Pro"/>
          <w:sz w:val="22"/>
          <w:szCs w:val="22"/>
        </w:rPr>
      </w:pPr>
    </w:p>
    <w:p w14:paraId="087C8770" w14:textId="77777777" w:rsidR="00C75342" w:rsidRPr="00F40B50" w:rsidRDefault="00C75342" w:rsidP="00C75342">
      <w:pPr>
        <w:numPr>
          <w:ilvl w:val="2"/>
          <w:numId w:val="2"/>
        </w:numPr>
        <w:contextualSpacing/>
        <w:rPr>
          <w:rFonts w:ascii="Myriad Pro" w:hAnsi="Myriad Pro"/>
          <w:sz w:val="22"/>
          <w:szCs w:val="22"/>
        </w:rPr>
      </w:pPr>
      <w:r w:rsidRPr="00F40B50">
        <w:rPr>
          <w:rFonts w:ascii="Myriad Pro" w:hAnsi="Myriad Pro"/>
          <w:sz w:val="22"/>
          <w:szCs w:val="22"/>
        </w:rPr>
        <w:t xml:space="preserve">an </w:t>
      </w:r>
      <w:r w:rsidRPr="000B2AA0">
        <w:rPr>
          <w:rFonts w:ascii="Myriad Pro" w:hAnsi="Myriad Pro"/>
          <w:b/>
          <w:sz w:val="22"/>
          <w:szCs w:val="22"/>
        </w:rPr>
        <w:t>increase in the revenue it generates</w:t>
      </w:r>
      <w:r w:rsidRPr="00F40B50">
        <w:rPr>
          <w:rFonts w:ascii="Myriad Pro" w:hAnsi="Myriad Pro"/>
          <w:sz w:val="22"/>
          <w:szCs w:val="22"/>
        </w:rPr>
        <w:t xml:space="preserve"> (including, but not limited to, resulting from the creation of products and/or services); and/or</w:t>
      </w:r>
      <w:r>
        <w:rPr>
          <w:rFonts w:ascii="Myriad Pro" w:hAnsi="Myriad Pro"/>
          <w:sz w:val="22"/>
          <w:szCs w:val="22"/>
        </w:rPr>
        <w:br/>
      </w:r>
    </w:p>
    <w:p w14:paraId="2C64927B" w14:textId="77777777" w:rsidR="00C75342" w:rsidRPr="00F40B50" w:rsidRDefault="00C75342" w:rsidP="00C75342">
      <w:pPr>
        <w:numPr>
          <w:ilvl w:val="2"/>
          <w:numId w:val="2"/>
        </w:numPr>
        <w:contextualSpacing/>
        <w:rPr>
          <w:rFonts w:ascii="Myriad Pro" w:hAnsi="Myriad Pro"/>
          <w:sz w:val="22"/>
          <w:szCs w:val="22"/>
        </w:rPr>
      </w:pPr>
      <w:r w:rsidRPr="00F40B50">
        <w:rPr>
          <w:rFonts w:ascii="Myriad Pro" w:hAnsi="Myriad Pro"/>
          <w:sz w:val="22"/>
          <w:szCs w:val="22"/>
        </w:rPr>
        <w:t xml:space="preserve">a </w:t>
      </w:r>
      <w:r w:rsidRPr="000B2AA0">
        <w:rPr>
          <w:rFonts w:ascii="Myriad Pro" w:hAnsi="Myriad Pro"/>
          <w:b/>
          <w:sz w:val="22"/>
          <w:szCs w:val="22"/>
        </w:rPr>
        <w:t>reduction in cash expenditures</w:t>
      </w:r>
      <w:r w:rsidRPr="00F40B50">
        <w:rPr>
          <w:rFonts w:ascii="Myriad Pro" w:hAnsi="Myriad Pro"/>
          <w:sz w:val="22"/>
          <w:szCs w:val="22"/>
        </w:rPr>
        <w:t xml:space="preserve"> due to costs avoided/amounts saved; and/or </w:t>
      </w:r>
      <w:r>
        <w:rPr>
          <w:rFonts w:ascii="Myriad Pro" w:hAnsi="Myriad Pro"/>
          <w:sz w:val="22"/>
          <w:szCs w:val="22"/>
        </w:rPr>
        <w:br/>
      </w:r>
    </w:p>
    <w:p w14:paraId="29543467" w14:textId="77777777" w:rsidR="00C75342" w:rsidRDefault="00C75342" w:rsidP="00C75342">
      <w:pPr>
        <w:numPr>
          <w:ilvl w:val="2"/>
          <w:numId w:val="2"/>
        </w:numPr>
        <w:contextualSpacing/>
        <w:jc w:val="both"/>
        <w:rPr>
          <w:rFonts w:ascii="Myriad Pro" w:hAnsi="Myriad Pro"/>
          <w:sz w:val="22"/>
          <w:szCs w:val="22"/>
        </w:rPr>
      </w:pPr>
      <w:r w:rsidRPr="00F40B50">
        <w:rPr>
          <w:rFonts w:ascii="Myriad Pro" w:hAnsi="Myriad Pro"/>
          <w:sz w:val="22"/>
          <w:szCs w:val="22"/>
        </w:rPr>
        <w:t xml:space="preserve">the </w:t>
      </w:r>
      <w:r w:rsidRPr="00103D55">
        <w:rPr>
          <w:rFonts w:ascii="Myriad Pro" w:hAnsi="Myriad Pro"/>
          <w:b/>
          <w:sz w:val="22"/>
          <w:szCs w:val="22"/>
        </w:rPr>
        <w:t>commercialization</w:t>
      </w:r>
      <w:r w:rsidRPr="000B2AA0">
        <w:rPr>
          <w:rFonts w:ascii="Myriad Pro" w:hAnsi="Myriad Pro"/>
          <w:b/>
          <w:sz w:val="22"/>
          <w:szCs w:val="22"/>
        </w:rPr>
        <w:t xml:space="preserve"> of any product/service or related intellectual property rights</w:t>
      </w:r>
      <w:r w:rsidRPr="00F40B50">
        <w:rPr>
          <w:rFonts w:ascii="Myriad Pro" w:hAnsi="Myriad Pro"/>
          <w:sz w:val="22"/>
          <w:szCs w:val="22"/>
        </w:rPr>
        <w:t xml:space="preserve"> that ar</w:t>
      </w:r>
      <w:r>
        <w:rPr>
          <w:rFonts w:ascii="Myriad Pro" w:hAnsi="Myriad Pro"/>
          <w:sz w:val="22"/>
          <w:szCs w:val="22"/>
        </w:rPr>
        <w:t>ise</w:t>
      </w:r>
      <w:r w:rsidRPr="00F40B50">
        <w:rPr>
          <w:rFonts w:ascii="Myriad Pro" w:hAnsi="Myriad Pro"/>
          <w:sz w:val="22"/>
          <w:szCs w:val="22"/>
        </w:rPr>
        <w:t xml:space="preserve"> or </w:t>
      </w:r>
      <w:r>
        <w:rPr>
          <w:rFonts w:ascii="Myriad Pro" w:hAnsi="Myriad Pro"/>
          <w:sz w:val="22"/>
          <w:szCs w:val="22"/>
        </w:rPr>
        <w:t>are</w:t>
      </w:r>
      <w:r w:rsidRPr="00F40B50">
        <w:rPr>
          <w:rFonts w:ascii="Myriad Pro" w:hAnsi="Myriad Pro"/>
          <w:sz w:val="22"/>
          <w:szCs w:val="22"/>
        </w:rPr>
        <w:t xml:space="preserve"> developed </w:t>
      </w:r>
      <w:r>
        <w:rPr>
          <w:rFonts w:ascii="Myriad Pro" w:hAnsi="Myriad Pro"/>
          <w:sz w:val="22"/>
          <w:szCs w:val="22"/>
        </w:rPr>
        <w:t>using</w:t>
      </w:r>
      <w:r w:rsidRPr="00F40B50">
        <w:rPr>
          <w:rFonts w:ascii="Myriad Pro" w:hAnsi="Myriad Pro"/>
          <w:sz w:val="22"/>
          <w:szCs w:val="22"/>
        </w:rPr>
        <w:t xml:space="preserve"> said UNDP funds, and which results in the generation of </w:t>
      </w:r>
      <w:r>
        <w:rPr>
          <w:rFonts w:ascii="Myriad Pro" w:hAnsi="Myriad Pro"/>
          <w:sz w:val="22"/>
          <w:szCs w:val="22"/>
        </w:rPr>
        <w:t xml:space="preserve">revenue </w:t>
      </w:r>
      <w:r w:rsidRPr="00F40B50">
        <w:rPr>
          <w:rFonts w:ascii="Myriad Pro" w:hAnsi="Myriad Pro"/>
          <w:sz w:val="22"/>
          <w:szCs w:val="22"/>
        </w:rPr>
        <w:t>for the Recipient Institution.</w:t>
      </w:r>
    </w:p>
    <w:p w14:paraId="1E6B2458" w14:textId="77777777" w:rsidR="00C75342" w:rsidRDefault="00C75342" w:rsidP="00C75342">
      <w:pPr>
        <w:ind w:left="1080"/>
        <w:contextualSpacing/>
        <w:jc w:val="both"/>
        <w:rPr>
          <w:rFonts w:ascii="Myriad Pro" w:hAnsi="Myriad Pro"/>
          <w:sz w:val="22"/>
          <w:szCs w:val="22"/>
        </w:rPr>
      </w:pPr>
    </w:p>
    <w:p w14:paraId="0F5DFE0B" w14:textId="77777777" w:rsidR="00C75342" w:rsidRPr="00F40B50" w:rsidRDefault="00C75342" w:rsidP="00C75342">
      <w:pPr>
        <w:ind w:left="360"/>
        <w:rPr>
          <w:rFonts w:ascii="Myriad Pro" w:hAnsi="Myriad Pro"/>
          <w:sz w:val="22"/>
          <w:szCs w:val="22"/>
        </w:rPr>
      </w:pPr>
      <w:r w:rsidRPr="00F40B50">
        <w:rPr>
          <w:rFonts w:ascii="Myriad Pro" w:hAnsi="Myriad Pro"/>
          <w:sz w:val="22"/>
          <w:szCs w:val="22"/>
        </w:rPr>
        <w:t xml:space="preserve">Contingent Payments paid to UNDP </w:t>
      </w:r>
      <w:r>
        <w:rPr>
          <w:rFonts w:ascii="Myriad Pro" w:hAnsi="Myriad Pro"/>
          <w:sz w:val="22"/>
          <w:szCs w:val="22"/>
        </w:rPr>
        <w:t>will be</w:t>
      </w:r>
      <w:r w:rsidRPr="00F40B50">
        <w:rPr>
          <w:rFonts w:ascii="Myriad Pro" w:hAnsi="Myriad Pro"/>
          <w:sz w:val="22"/>
          <w:szCs w:val="22"/>
        </w:rPr>
        <w:t xml:space="preserve"> calculated as</w:t>
      </w:r>
      <w:r>
        <w:rPr>
          <w:rFonts w:ascii="Myriad Pro" w:hAnsi="Myriad Pro"/>
          <w:sz w:val="22"/>
          <w:szCs w:val="22"/>
        </w:rPr>
        <w:t xml:space="preserve"> a percentage of revenue gained and/or </w:t>
      </w:r>
      <w:r w:rsidRPr="00F40B50">
        <w:rPr>
          <w:rFonts w:ascii="Myriad Pro" w:hAnsi="Myriad Pro"/>
          <w:sz w:val="22"/>
          <w:szCs w:val="22"/>
        </w:rPr>
        <w:t xml:space="preserve">costs saved by the Recipient Institution </w:t>
      </w:r>
      <w:r>
        <w:rPr>
          <w:rFonts w:ascii="Myriad Pro" w:hAnsi="Myriad Pro"/>
          <w:sz w:val="22"/>
          <w:szCs w:val="22"/>
        </w:rPr>
        <w:t xml:space="preserve">(the “Benefit”) </w:t>
      </w:r>
      <w:r w:rsidRPr="00F40B50">
        <w:rPr>
          <w:rFonts w:ascii="Myriad Pro" w:hAnsi="Myriad Pro"/>
          <w:sz w:val="22"/>
          <w:szCs w:val="22"/>
        </w:rPr>
        <w:t xml:space="preserve">in acknowledgment of UNDP’s financing of the Activities that led to the above-mentioned </w:t>
      </w:r>
      <w:r>
        <w:rPr>
          <w:rFonts w:ascii="Myriad Pro" w:hAnsi="Myriad Pro"/>
          <w:sz w:val="22"/>
          <w:szCs w:val="22"/>
        </w:rPr>
        <w:t>Benefit</w:t>
      </w:r>
      <w:r w:rsidRPr="00F40B50">
        <w:rPr>
          <w:rFonts w:ascii="Myriad Pro" w:hAnsi="Myriad Pro"/>
          <w:sz w:val="22"/>
          <w:szCs w:val="22"/>
        </w:rPr>
        <w:t xml:space="preserve"> to the Recipient Institution.</w:t>
      </w:r>
    </w:p>
    <w:p w14:paraId="23E796B5" w14:textId="77777777" w:rsidR="00C75342" w:rsidRPr="00F40B50" w:rsidRDefault="00C75342" w:rsidP="00C75342">
      <w:pPr>
        <w:rPr>
          <w:rFonts w:ascii="Myriad Pro" w:hAnsi="Myriad Pro"/>
          <w:sz w:val="22"/>
          <w:szCs w:val="22"/>
        </w:rPr>
      </w:pPr>
    </w:p>
    <w:p w14:paraId="068D65C4" w14:textId="77777777" w:rsidR="00C75342" w:rsidRDefault="00C75342" w:rsidP="00C75342">
      <w:pPr>
        <w:numPr>
          <w:ilvl w:val="0"/>
          <w:numId w:val="1"/>
        </w:numPr>
        <w:contextualSpacing/>
        <w:jc w:val="both"/>
        <w:rPr>
          <w:rFonts w:ascii="Myriad Pro" w:hAnsi="Myriad Pro"/>
          <w:sz w:val="22"/>
          <w:szCs w:val="22"/>
        </w:rPr>
      </w:pPr>
      <w:r>
        <w:rPr>
          <w:rFonts w:ascii="Myriad Pro" w:hAnsi="Myriad Pro"/>
          <w:sz w:val="22"/>
          <w:szCs w:val="22"/>
        </w:rPr>
        <w:t xml:space="preserve">By 1 February </w:t>
      </w:r>
      <w:r w:rsidRPr="00F40B50">
        <w:rPr>
          <w:rFonts w:ascii="Myriad Pro" w:hAnsi="Myriad Pro"/>
          <w:sz w:val="22"/>
          <w:szCs w:val="22"/>
        </w:rPr>
        <w:t>of each</w:t>
      </w:r>
      <w:r>
        <w:rPr>
          <w:rFonts w:ascii="Myriad Pro" w:hAnsi="Myriad Pro"/>
          <w:sz w:val="22"/>
          <w:szCs w:val="22"/>
        </w:rPr>
        <w:t xml:space="preserve"> year</w:t>
      </w:r>
      <w:r w:rsidRPr="00F40B50">
        <w:rPr>
          <w:rFonts w:ascii="Myriad Pro" w:hAnsi="Myriad Pro"/>
          <w:sz w:val="22"/>
          <w:szCs w:val="22"/>
        </w:rPr>
        <w:t>, the Recipient Institution will provide UNDP with a</w:t>
      </w:r>
      <w:r>
        <w:rPr>
          <w:rFonts w:ascii="Myriad Pro" w:hAnsi="Myriad Pro"/>
          <w:sz w:val="22"/>
          <w:szCs w:val="22"/>
        </w:rPr>
        <w:t>n annual</w:t>
      </w:r>
      <w:r w:rsidRPr="00F40B50">
        <w:rPr>
          <w:rFonts w:ascii="Myriad Pro" w:hAnsi="Myriad Pro"/>
          <w:sz w:val="22"/>
          <w:szCs w:val="22"/>
        </w:rPr>
        <w:t xml:space="preserve"> report summarizing the Recipient Ins</w:t>
      </w:r>
      <w:r>
        <w:rPr>
          <w:rFonts w:ascii="Myriad Pro" w:hAnsi="Myriad Pro"/>
          <w:sz w:val="22"/>
          <w:szCs w:val="22"/>
        </w:rPr>
        <w:t>titution’s increase in revenue or</w:t>
      </w:r>
      <w:r w:rsidRPr="00F40B50">
        <w:rPr>
          <w:rFonts w:ascii="Myriad Pro" w:hAnsi="Myriad Pro"/>
          <w:sz w:val="22"/>
          <w:szCs w:val="22"/>
        </w:rPr>
        <w:t xml:space="preserve"> costs saved (Benefit)</w:t>
      </w:r>
      <w:r>
        <w:rPr>
          <w:rFonts w:ascii="Myriad Pro" w:hAnsi="Myriad Pro"/>
          <w:sz w:val="22"/>
          <w:szCs w:val="22"/>
        </w:rPr>
        <w:t xml:space="preserve"> in the previous year calendar year (1 January – 31 December)</w:t>
      </w:r>
      <w:r w:rsidRPr="00F40B50">
        <w:rPr>
          <w:rFonts w:ascii="Myriad Pro" w:hAnsi="Myriad Pro"/>
          <w:sz w:val="22"/>
          <w:szCs w:val="22"/>
        </w:rPr>
        <w:t>.</w:t>
      </w:r>
    </w:p>
    <w:p w14:paraId="7985B2AB" w14:textId="77777777" w:rsidR="00C75342" w:rsidRPr="00F40B50" w:rsidRDefault="00C75342" w:rsidP="00C75342">
      <w:pPr>
        <w:contextualSpacing/>
        <w:jc w:val="both"/>
        <w:rPr>
          <w:rFonts w:ascii="Myriad Pro" w:hAnsi="Myriad Pro"/>
          <w:sz w:val="22"/>
          <w:szCs w:val="22"/>
        </w:rPr>
      </w:pPr>
    </w:p>
    <w:p w14:paraId="1924393E" w14:textId="77777777" w:rsidR="00C75342" w:rsidRDefault="00C75342" w:rsidP="00C75342">
      <w:pPr>
        <w:numPr>
          <w:ilvl w:val="0"/>
          <w:numId w:val="1"/>
        </w:numPr>
        <w:contextualSpacing/>
        <w:jc w:val="both"/>
        <w:rPr>
          <w:rFonts w:ascii="Myriad Pro" w:hAnsi="Myriad Pro"/>
          <w:sz w:val="22"/>
          <w:szCs w:val="22"/>
        </w:rPr>
      </w:pPr>
      <w:r w:rsidRPr="00A24E2F">
        <w:rPr>
          <w:rFonts w:ascii="Myriad Pro" w:hAnsi="Myriad Pro"/>
          <w:sz w:val="22"/>
          <w:szCs w:val="22"/>
        </w:rPr>
        <w:t xml:space="preserve">Where the Recipient Institution received a Benefit of </w:t>
      </w:r>
      <w:r>
        <w:rPr>
          <w:rFonts w:ascii="Myriad Pro" w:hAnsi="Myriad Pro"/>
          <w:sz w:val="22"/>
          <w:szCs w:val="22"/>
        </w:rPr>
        <w:t>one thousand dollars (</w:t>
      </w:r>
      <w:r w:rsidRPr="00A24E2F">
        <w:rPr>
          <w:rFonts w:ascii="Myriad Pro" w:hAnsi="Myriad Pro"/>
          <w:sz w:val="22"/>
          <w:szCs w:val="22"/>
        </w:rPr>
        <w:t>$1,000</w:t>
      </w:r>
      <w:r>
        <w:rPr>
          <w:rFonts w:ascii="Myriad Pro" w:hAnsi="Myriad Pro"/>
          <w:sz w:val="22"/>
          <w:szCs w:val="22"/>
        </w:rPr>
        <w:t>.00)</w:t>
      </w:r>
      <w:r w:rsidRPr="00A24E2F">
        <w:rPr>
          <w:rFonts w:ascii="Myriad Pro" w:hAnsi="Myriad Pro"/>
          <w:sz w:val="22"/>
          <w:szCs w:val="22"/>
        </w:rPr>
        <w:t xml:space="preserve"> or more in any calendar year</w:t>
      </w:r>
      <w:r w:rsidRPr="003656A6">
        <w:rPr>
          <w:rFonts w:ascii="Myriad Pro" w:hAnsi="Myriad Pro"/>
          <w:sz w:val="22"/>
          <w:szCs w:val="22"/>
        </w:rPr>
        <w:t xml:space="preserve"> </w:t>
      </w:r>
      <w:r w:rsidRPr="00A24E2F">
        <w:rPr>
          <w:rFonts w:ascii="Myriad Pro" w:hAnsi="Myriad Pro"/>
          <w:sz w:val="22"/>
          <w:szCs w:val="22"/>
        </w:rPr>
        <w:t>beginning on the effective date of the Agreement, the Recipient Institution will pay to UNDP a Contingent Payment</w:t>
      </w:r>
      <w:r>
        <w:rPr>
          <w:rFonts w:ascii="Myriad Pro" w:hAnsi="Myriad Pro"/>
          <w:sz w:val="22"/>
          <w:szCs w:val="22"/>
        </w:rPr>
        <w:t>,</w:t>
      </w:r>
      <w:r w:rsidRPr="00A24E2F">
        <w:rPr>
          <w:rFonts w:ascii="Myriad Pro" w:hAnsi="Myriad Pro"/>
          <w:sz w:val="22"/>
          <w:szCs w:val="22"/>
        </w:rPr>
        <w:t xml:space="preserve"> </w:t>
      </w:r>
      <w:r>
        <w:rPr>
          <w:rFonts w:ascii="Myriad Pro" w:hAnsi="Myriad Pro"/>
          <w:sz w:val="22"/>
          <w:szCs w:val="22"/>
        </w:rPr>
        <w:t xml:space="preserve">along with the </w:t>
      </w:r>
      <w:r w:rsidRPr="00A24E2F">
        <w:rPr>
          <w:rFonts w:ascii="Myriad Pro" w:hAnsi="Myriad Pro"/>
          <w:sz w:val="22"/>
          <w:szCs w:val="22"/>
        </w:rPr>
        <w:t xml:space="preserve">submission of its </w:t>
      </w:r>
      <w:r>
        <w:rPr>
          <w:rFonts w:ascii="Myriad Pro" w:hAnsi="Myriad Pro"/>
          <w:sz w:val="22"/>
          <w:szCs w:val="22"/>
        </w:rPr>
        <w:t xml:space="preserve">annual </w:t>
      </w:r>
      <w:r w:rsidRPr="00A24E2F">
        <w:rPr>
          <w:rFonts w:ascii="Myriad Pro" w:hAnsi="Myriad Pro"/>
          <w:sz w:val="22"/>
          <w:szCs w:val="22"/>
        </w:rPr>
        <w:t xml:space="preserve">report </w:t>
      </w:r>
      <w:r>
        <w:rPr>
          <w:rFonts w:ascii="Myriad Pro" w:hAnsi="Myriad Pro"/>
          <w:sz w:val="22"/>
          <w:szCs w:val="22"/>
        </w:rPr>
        <w:t>to UNDP as set forth in 2 above, as follows:</w:t>
      </w:r>
    </w:p>
    <w:p w14:paraId="1DB4C163" w14:textId="77777777" w:rsidR="00C75342" w:rsidRDefault="00C75342" w:rsidP="00C75342">
      <w:pPr>
        <w:contextualSpacing/>
        <w:jc w:val="both"/>
        <w:rPr>
          <w:rFonts w:ascii="Myriad Pro" w:hAnsi="Myriad Pro"/>
          <w:sz w:val="22"/>
          <w:szCs w:val="22"/>
        </w:rPr>
      </w:pPr>
    </w:p>
    <w:p w14:paraId="3A6BBFD8" w14:textId="77777777" w:rsidR="00C75342" w:rsidRDefault="00C75342" w:rsidP="00C75342">
      <w:pPr>
        <w:numPr>
          <w:ilvl w:val="2"/>
          <w:numId w:val="3"/>
        </w:numPr>
        <w:contextualSpacing/>
        <w:rPr>
          <w:rFonts w:ascii="Myriad Pro" w:hAnsi="Myriad Pro"/>
          <w:sz w:val="22"/>
          <w:szCs w:val="22"/>
        </w:rPr>
      </w:pPr>
      <w:r w:rsidRPr="00A24E2F">
        <w:rPr>
          <w:rFonts w:ascii="Myriad Pro" w:hAnsi="Myriad Pro"/>
          <w:sz w:val="22"/>
          <w:szCs w:val="22"/>
        </w:rPr>
        <w:t>The Recipient Institution will pay UNDP a Contingent Payment of one and one-half percent (1.5%) for every dollar of revenue gained and/or costs saved (Benefit</w:t>
      </w:r>
      <w:r>
        <w:rPr>
          <w:rFonts w:ascii="Myriad Pro" w:hAnsi="Myriad Pro"/>
          <w:sz w:val="22"/>
          <w:szCs w:val="22"/>
        </w:rPr>
        <w:t>) by the Recipient Institution;</w:t>
      </w:r>
      <w:r w:rsidRPr="00A24E2F">
        <w:rPr>
          <w:rFonts w:ascii="Myriad Pro" w:hAnsi="Myriad Pro"/>
          <w:sz w:val="22"/>
          <w:szCs w:val="22"/>
        </w:rPr>
        <w:t xml:space="preserve"> </w:t>
      </w:r>
      <w:r>
        <w:rPr>
          <w:rFonts w:ascii="Myriad Pro" w:hAnsi="Myriad Pro"/>
          <w:sz w:val="22"/>
          <w:szCs w:val="22"/>
        </w:rPr>
        <w:br/>
      </w:r>
    </w:p>
    <w:p w14:paraId="52AB82E1" w14:textId="77777777" w:rsidR="00C75342" w:rsidRDefault="00C75342" w:rsidP="00C75342">
      <w:pPr>
        <w:numPr>
          <w:ilvl w:val="2"/>
          <w:numId w:val="3"/>
        </w:numPr>
        <w:contextualSpacing/>
        <w:jc w:val="both"/>
        <w:rPr>
          <w:rFonts w:ascii="Myriad Pro" w:hAnsi="Myriad Pro"/>
          <w:sz w:val="22"/>
          <w:szCs w:val="22"/>
        </w:rPr>
      </w:pPr>
      <w:r w:rsidRPr="00A24E2F">
        <w:rPr>
          <w:rFonts w:ascii="Myriad Pro" w:hAnsi="Myriad Pro"/>
          <w:sz w:val="22"/>
          <w:szCs w:val="22"/>
        </w:rPr>
        <w:t>The Contingent Payment will be paid by the Recipient Institution to UNDP on an annual basis, and for a period of ten (10) year</w:t>
      </w:r>
      <w:r>
        <w:rPr>
          <w:rFonts w:ascii="Myriad Pro" w:hAnsi="Myriad Pro"/>
          <w:sz w:val="22"/>
          <w:szCs w:val="22"/>
        </w:rPr>
        <w:t>s from the Agreement’s end date;</w:t>
      </w:r>
      <w:r w:rsidRPr="00A24E2F">
        <w:rPr>
          <w:rFonts w:ascii="Myriad Pro" w:hAnsi="Myriad Pro"/>
          <w:sz w:val="22"/>
          <w:szCs w:val="22"/>
        </w:rPr>
        <w:t xml:space="preserve"> </w:t>
      </w:r>
    </w:p>
    <w:p w14:paraId="18C8E189" w14:textId="77777777" w:rsidR="00C75342" w:rsidRDefault="00C75342" w:rsidP="00C75342">
      <w:pPr>
        <w:pStyle w:val="ListParagraph"/>
        <w:jc w:val="both"/>
        <w:rPr>
          <w:rFonts w:ascii="Myriad Pro" w:hAnsi="Myriad Pro"/>
          <w:sz w:val="22"/>
          <w:szCs w:val="22"/>
        </w:rPr>
      </w:pPr>
    </w:p>
    <w:p w14:paraId="6D80F88B" w14:textId="77777777" w:rsidR="00C75342" w:rsidRPr="00A24E2F" w:rsidRDefault="00C75342" w:rsidP="00C75342">
      <w:pPr>
        <w:numPr>
          <w:ilvl w:val="2"/>
          <w:numId w:val="3"/>
        </w:numPr>
        <w:contextualSpacing/>
        <w:jc w:val="both"/>
        <w:rPr>
          <w:rFonts w:ascii="Myriad Pro" w:hAnsi="Myriad Pro"/>
          <w:sz w:val="22"/>
          <w:szCs w:val="22"/>
        </w:rPr>
      </w:pPr>
      <w:r>
        <w:rPr>
          <w:rFonts w:ascii="Myriad Pro" w:hAnsi="Myriad Pro"/>
          <w:sz w:val="22"/>
          <w:szCs w:val="22"/>
        </w:rPr>
        <w:t>The Recipient Institution is not required to make a Contingent Payment for any calendar year in which the Benefit to the Recipient Institution is less than one thousand dollars ($1,000.00).</w:t>
      </w:r>
    </w:p>
    <w:p w14:paraId="07CBDA0C" w14:textId="77777777" w:rsidR="00C75342" w:rsidRPr="00F40B50" w:rsidRDefault="00C75342" w:rsidP="00C75342">
      <w:pPr>
        <w:jc w:val="both"/>
        <w:rPr>
          <w:rFonts w:ascii="Myriad Pro" w:hAnsi="Myriad Pro"/>
          <w:sz w:val="22"/>
          <w:szCs w:val="22"/>
        </w:rPr>
      </w:pPr>
    </w:p>
    <w:p w14:paraId="3278A10D" w14:textId="77777777" w:rsidR="00C75342" w:rsidRPr="00F40B50" w:rsidRDefault="00C75342" w:rsidP="00C75342">
      <w:pPr>
        <w:numPr>
          <w:ilvl w:val="0"/>
          <w:numId w:val="1"/>
        </w:numPr>
        <w:contextualSpacing/>
        <w:jc w:val="both"/>
        <w:rPr>
          <w:rFonts w:ascii="Myriad Pro" w:hAnsi="Myriad Pro"/>
          <w:sz w:val="22"/>
          <w:szCs w:val="22"/>
        </w:rPr>
      </w:pPr>
      <w:r>
        <w:rPr>
          <w:rFonts w:ascii="Myriad Pro" w:hAnsi="Myriad Pro"/>
          <w:sz w:val="22"/>
          <w:szCs w:val="22"/>
        </w:rPr>
        <w:t>The t</w:t>
      </w:r>
      <w:r w:rsidRPr="00F40B50">
        <w:rPr>
          <w:rFonts w:ascii="Myriad Pro" w:hAnsi="Myriad Pro"/>
          <w:sz w:val="22"/>
          <w:szCs w:val="22"/>
        </w:rPr>
        <w:t xml:space="preserve">otal </w:t>
      </w:r>
      <w:r>
        <w:rPr>
          <w:rFonts w:ascii="Myriad Pro" w:hAnsi="Myriad Pro"/>
          <w:sz w:val="22"/>
          <w:szCs w:val="22"/>
        </w:rPr>
        <w:t xml:space="preserve">amount of </w:t>
      </w:r>
      <w:r w:rsidRPr="00F40B50">
        <w:rPr>
          <w:rFonts w:ascii="Myriad Pro" w:hAnsi="Myriad Pro"/>
          <w:sz w:val="22"/>
          <w:szCs w:val="22"/>
        </w:rPr>
        <w:t xml:space="preserve">Contingent Payments by the Recipient Institution to UNDP will be limited to no more than five (5) times the amount of funds paid by UNDP to the Recipient Institution under the Agreement. </w:t>
      </w:r>
    </w:p>
    <w:p w14:paraId="58C74D62" w14:textId="77777777" w:rsidR="00C75342" w:rsidRPr="00F40B50" w:rsidRDefault="00C75342" w:rsidP="00C75342">
      <w:pPr>
        <w:jc w:val="both"/>
        <w:rPr>
          <w:rFonts w:ascii="Myriad Pro" w:hAnsi="Myriad Pro"/>
          <w:sz w:val="22"/>
          <w:szCs w:val="22"/>
        </w:rPr>
      </w:pPr>
    </w:p>
    <w:p w14:paraId="70F08463" w14:textId="77777777" w:rsidR="00C75342" w:rsidRPr="00F40B50" w:rsidRDefault="00C75342" w:rsidP="00C75342">
      <w:pPr>
        <w:numPr>
          <w:ilvl w:val="0"/>
          <w:numId w:val="1"/>
        </w:numPr>
        <w:contextualSpacing/>
        <w:jc w:val="both"/>
        <w:rPr>
          <w:rFonts w:ascii="Myriad Pro" w:hAnsi="Myriad Pro"/>
          <w:sz w:val="22"/>
          <w:szCs w:val="22"/>
        </w:rPr>
      </w:pPr>
      <w:r w:rsidRPr="00F40B50">
        <w:rPr>
          <w:rFonts w:ascii="Myriad Pro" w:hAnsi="Myriad Pro"/>
          <w:sz w:val="22"/>
          <w:szCs w:val="22"/>
        </w:rPr>
        <w:t>If the Benefit to the Recipient Institution was derived or developed in part with match funds during the Agreement term</w:t>
      </w:r>
      <w:r>
        <w:rPr>
          <w:rFonts w:ascii="Myriad Pro" w:hAnsi="Myriad Pro"/>
          <w:sz w:val="22"/>
          <w:szCs w:val="22"/>
        </w:rPr>
        <w:t xml:space="preserve"> (i.e., the Recipient Institution also received funds from other sources)</w:t>
      </w:r>
      <w:r w:rsidRPr="00F40B50">
        <w:rPr>
          <w:rFonts w:ascii="Myriad Pro" w:hAnsi="Myriad Pro"/>
          <w:sz w:val="22"/>
          <w:szCs w:val="22"/>
        </w:rPr>
        <w:t xml:space="preserve">, the Contingent Payment </w:t>
      </w:r>
      <w:r>
        <w:rPr>
          <w:rFonts w:ascii="Myriad Pro" w:hAnsi="Myriad Pro"/>
          <w:sz w:val="22"/>
          <w:szCs w:val="22"/>
        </w:rPr>
        <w:t xml:space="preserve">owed to UNDP will be calculated based on the </w:t>
      </w:r>
      <w:r w:rsidRPr="00F40B50">
        <w:rPr>
          <w:rFonts w:ascii="Myriad Pro" w:hAnsi="Myriad Pro"/>
          <w:sz w:val="22"/>
          <w:szCs w:val="22"/>
        </w:rPr>
        <w:t xml:space="preserve">percentage of </w:t>
      </w:r>
      <w:r>
        <w:rPr>
          <w:rFonts w:ascii="Myriad Pro" w:hAnsi="Myriad Pro"/>
          <w:sz w:val="22"/>
          <w:szCs w:val="22"/>
        </w:rPr>
        <w:t xml:space="preserve">funds provided by UNDP leading </w:t>
      </w:r>
      <w:r w:rsidRPr="00F40B50">
        <w:rPr>
          <w:rFonts w:ascii="Myriad Pro" w:hAnsi="Myriad Pro"/>
          <w:sz w:val="22"/>
          <w:szCs w:val="22"/>
        </w:rPr>
        <w:t xml:space="preserve">to </w:t>
      </w:r>
      <w:r>
        <w:rPr>
          <w:rFonts w:ascii="Myriad Pro" w:hAnsi="Myriad Pro"/>
          <w:sz w:val="22"/>
          <w:szCs w:val="22"/>
        </w:rPr>
        <w:t xml:space="preserve">the Benefit. </w:t>
      </w:r>
      <w:r w:rsidRPr="00F40B50">
        <w:rPr>
          <w:rFonts w:ascii="Myriad Pro" w:hAnsi="Myriad Pro"/>
          <w:sz w:val="22"/>
          <w:szCs w:val="22"/>
        </w:rPr>
        <w:t xml:space="preserve">For example: </w:t>
      </w:r>
    </w:p>
    <w:p w14:paraId="5613B75C" w14:textId="77777777" w:rsidR="00C75342" w:rsidRPr="00F40B50" w:rsidRDefault="00C75342" w:rsidP="00C75342">
      <w:pPr>
        <w:jc w:val="both"/>
        <w:rPr>
          <w:rFonts w:ascii="Myriad Pro" w:hAnsi="Myriad Pro"/>
          <w:sz w:val="22"/>
          <w:szCs w:val="22"/>
        </w:rPr>
      </w:pPr>
    </w:p>
    <w:p w14:paraId="4D6E25C1" w14:textId="77777777" w:rsidR="00C75342" w:rsidRPr="00F40B50" w:rsidRDefault="00C75342" w:rsidP="00C75342">
      <w:pPr>
        <w:numPr>
          <w:ilvl w:val="2"/>
          <w:numId w:val="1"/>
        </w:numPr>
        <w:contextualSpacing/>
        <w:jc w:val="both"/>
        <w:rPr>
          <w:rFonts w:ascii="Myriad Pro" w:hAnsi="Myriad Pro"/>
          <w:sz w:val="22"/>
          <w:szCs w:val="22"/>
        </w:rPr>
      </w:pPr>
      <w:r w:rsidRPr="00F40B50">
        <w:rPr>
          <w:rFonts w:ascii="Myriad Pro" w:hAnsi="Myriad Pro"/>
          <w:sz w:val="22"/>
          <w:szCs w:val="22"/>
        </w:rPr>
        <w:t xml:space="preserve">If 10% of the activities leading to the Benefit were funded with match funds </w:t>
      </w:r>
      <w:r>
        <w:rPr>
          <w:rFonts w:ascii="Myriad Pro" w:hAnsi="Myriad Pro"/>
          <w:sz w:val="22"/>
          <w:szCs w:val="22"/>
        </w:rPr>
        <w:t xml:space="preserve">from a source external to UNDP </w:t>
      </w:r>
      <w:r w:rsidRPr="00F40B50">
        <w:rPr>
          <w:rFonts w:ascii="Myriad Pro" w:hAnsi="Myriad Pro"/>
          <w:sz w:val="22"/>
          <w:szCs w:val="22"/>
        </w:rPr>
        <w:t>during the Agreement</w:t>
      </w:r>
      <w:r>
        <w:rPr>
          <w:rFonts w:ascii="Myriad Pro" w:hAnsi="Myriad Pro"/>
          <w:sz w:val="22"/>
          <w:szCs w:val="22"/>
        </w:rPr>
        <w:t>,</w:t>
      </w:r>
      <w:r w:rsidRPr="00F40B50">
        <w:rPr>
          <w:rFonts w:ascii="Myriad Pro" w:hAnsi="Myriad Pro"/>
          <w:sz w:val="22"/>
          <w:szCs w:val="22"/>
        </w:rPr>
        <w:t xml:space="preserve"> and the Benefit to the Recipient Institution totaled $100,000 in one year, the Recipient Institution would owe UNDP </w:t>
      </w:r>
      <w:r w:rsidRPr="00F40B50">
        <w:rPr>
          <w:rFonts w:ascii="Myriad Pro" w:hAnsi="Myriad Pro"/>
          <w:sz w:val="22"/>
          <w:szCs w:val="22"/>
        </w:rPr>
        <w:lastRenderedPageBreak/>
        <w:t>$1</w:t>
      </w:r>
      <w:r>
        <w:rPr>
          <w:rFonts w:ascii="Myriad Pro" w:hAnsi="Myriad Pro"/>
          <w:sz w:val="22"/>
          <w:szCs w:val="22"/>
        </w:rPr>
        <w:t>,</w:t>
      </w:r>
      <w:r w:rsidRPr="00F40B50">
        <w:rPr>
          <w:rFonts w:ascii="Myriad Pro" w:hAnsi="Myriad Pro"/>
          <w:sz w:val="22"/>
          <w:szCs w:val="22"/>
        </w:rPr>
        <w:t>350 for the year (1.5% of $100,000 = $1</w:t>
      </w:r>
      <w:r>
        <w:rPr>
          <w:rFonts w:ascii="Myriad Pro" w:hAnsi="Myriad Pro"/>
          <w:sz w:val="22"/>
          <w:szCs w:val="22"/>
        </w:rPr>
        <w:t>,</w:t>
      </w:r>
      <w:r w:rsidRPr="00F40B50">
        <w:rPr>
          <w:rFonts w:ascii="Myriad Pro" w:hAnsi="Myriad Pro"/>
          <w:sz w:val="22"/>
          <w:szCs w:val="22"/>
        </w:rPr>
        <w:t>500; 10% of $1</w:t>
      </w:r>
      <w:r>
        <w:rPr>
          <w:rFonts w:ascii="Myriad Pro" w:hAnsi="Myriad Pro"/>
          <w:sz w:val="22"/>
          <w:szCs w:val="22"/>
        </w:rPr>
        <w:t>,</w:t>
      </w:r>
      <w:r w:rsidRPr="00F40B50">
        <w:rPr>
          <w:rFonts w:ascii="Myriad Pro" w:hAnsi="Myriad Pro"/>
          <w:sz w:val="22"/>
          <w:szCs w:val="22"/>
        </w:rPr>
        <w:t>500 = $150; $1</w:t>
      </w:r>
      <w:r>
        <w:rPr>
          <w:rFonts w:ascii="Myriad Pro" w:hAnsi="Myriad Pro"/>
          <w:sz w:val="22"/>
          <w:szCs w:val="22"/>
        </w:rPr>
        <w:t>,</w:t>
      </w:r>
      <w:r w:rsidRPr="00F40B50">
        <w:rPr>
          <w:rFonts w:ascii="Myriad Pro" w:hAnsi="Myriad Pro"/>
          <w:sz w:val="22"/>
          <w:szCs w:val="22"/>
        </w:rPr>
        <w:t>500 - $150 = $1</w:t>
      </w:r>
      <w:r>
        <w:rPr>
          <w:rFonts w:ascii="Myriad Pro" w:hAnsi="Myriad Pro"/>
          <w:sz w:val="22"/>
          <w:szCs w:val="22"/>
        </w:rPr>
        <w:t>,</w:t>
      </w:r>
      <w:r w:rsidRPr="00F40B50">
        <w:rPr>
          <w:rFonts w:ascii="Myriad Pro" w:hAnsi="Myriad Pro"/>
          <w:sz w:val="22"/>
          <w:szCs w:val="22"/>
        </w:rPr>
        <w:t xml:space="preserve">350). </w:t>
      </w:r>
    </w:p>
    <w:p w14:paraId="15AB3515" w14:textId="77777777" w:rsidR="00C75342" w:rsidRPr="00F40B50" w:rsidRDefault="00C75342" w:rsidP="00C75342">
      <w:pPr>
        <w:jc w:val="both"/>
        <w:rPr>
          <w:rFonts w:ascii="Myriad Pro" w:hAnsi="Myriad Pro"/>
          <w:sz w:val="22"/>
          <w:szCs w:val="22"/>
        </w:rPr>
      </w:pPr>
    </w:p>
    <w:p w14:paraId="6420238B" w14:textId="77777777" w:rsidR="00C75342" w:rsidRPr="00F40B50" w:rsidRDefault="00C75342" w:rsidP="00C75342">
      <w:pPr>
        <w:numPr>
          <w:ilvl w:val="0"/>
          <w:numId w:val="1"/>
        </w:numPr>
        <w:contextualSpacing/>
        <w:jc w:val="both"/>
        <w:rPr>
          <w:rFonts w:ascii="Myriad Pro" w:hAnsi="Myriad Pro"/>
          <w:sz w:val="22"/>
          <w:szCs w:val="22"/>
        </w:rPr>
      </w:pPr>
      <w:r>
        <w:rPr>
          <w:rFonts w:ascii="Myriad Pro" w:hAnsi="Myriad Pro"/>
          <w:sz w:val="22"/>
          <w:szCs w:val="22"/>
        </w:rPr>
        <w:t>Benefit to the Recipient Institution, if through the sale of a product/service or commercialization of the related intellectual property, shall be calculated exclusive of any sales tax.</w:t>
      </w:r>
    </w:p>
    <w:p w14:paraId="40007F30" w14:textId="77777777" w:rsidR="00C75342" w:rsidRPr="00F40B50" w:rsidRDefault="00C75342" w:rsidP="00C75342">
      <w:pPr>
        <w:ind w:left="720"/>
        <w:contextualSpacing/>
        <w:jc w:val="both"/>
        <w:rPr>
          <w:rFonts w:ascii="Myriad Pro" w:hAnsi="Myriad Pro"/>
          <w:sz w:val="22"/>
          <w:szCs w:val="22"/>
        </w:rPr>
      </w:pPr>
    </w:p>
    <w:p w14:paraId="6E1C194B" w14:textId="77777777" w:rsidR="00C75342" w:rsidRPr="00F40B50" w:rsidRDefault="00C75342" w:rsidP="00C75342">
      <w:pPr>
        <w:numPr>
          <w:ilvl w:val="0"/>
          <w:numId w:val="1"/>
        </w:numPr>
        <w:contextualSpacing/>
        <w:jc w:val="both"/>
        <w:rPr>
          <w:rFonts w:ascii="Myriad Pro" w:hAnsi="Myriad Pro"/>
          <w:sz w:val="22"/>
          <w:szCs w:val="22"/>
        </w:rPr>
      </w:pPr>
      <w:r w:rsidRPr="00F40B50">
        <w:rPr>
          <w:rFonts w:ascii="Myriad Pro" w:hAnsi="Myriad Pro"/>
          <w:sz w:val="22"/>
          <w:szCs w:val="22"/>
        </w:rPr>
        <w:t>In case of sale by the Recipient Institution to its affiliated entity, followed by resale by the affiliated entity to a third</w:t>
      </w:r>
      <w:r>
        <w:rPr>
          <w:rFonts w:ascii="Myriad Pro" w:hAnsi="Myriad Pro"/>
          <w:sz w:val="22"/>
          <w:szCs w:val="22"/>
        </w:rPr>
        <w:t>-</w:t>
      </w:r>
      <w:r w:rsidRPr="00F40B50">
        <w:rPr>
          <w:rFonts w:ascii="Myriad Pro" w:hAnsi="Myriad Pro"/>
          <w:sz w:val="22"/>
          <w:szCs w:val="22"/>
        </w:rPr>
        <w:t>party customer, the "</w:t>
      </w:r>
      <w:r>
        <w:rPr>
          <w:rFonts w:ascii="Myriad Pro" w:hAnsi="Myriad Pro"/>
          <w:sz w:val="22"/>
          <w:szCs w:val="22"/>
        </w:rPr>
        <w:t>Benefit</w:t>
      </w:r>
      <w:r w:rsidRPr="00F40B50">
        <w:rPr>
          <w:rFonts w:ascii="Myriad Pro" w:hAnsi="Myriad Pro"/>
          <w:sz w:val="22"/>
          <w:szCs w:val="22"/>
        </w:rPr>
        <w:t xml:space="preserve">" is deemed </w:t>
      </w:r>
      <w:r>
        <w:rPr>
          <w:rFonts w:ascii="Myriad Pro" w:hAnsi="Myriad Pro"/>
          <w:sz w:val="22"/>
          <w:szCs w:val="22"/>
        </w:rPr>
        <w:t xml:space="preserve">to be </w:t>
      </w:r>
      <w:r w:rsidRPr="00F40B50">
        <w:rPr>
          <w:rFonts w:ascii="Myriad Pro" w:hAnsi="Myriad Pro"/>
          <w:sz w:val="22"/>
          <w:szCs w:val="22"/>
        </w:rPr>
        <w:t>the consideration received upon such resale to a customer. An "affiliated entity" in this respect means a directly or indirectly controlled or controlling entity, or an entity under common control.</w:t>
      </w:r>
    </w:p>
    <w:p w14:paraId="47034FAD" w14:textId="77777777" w:rsidR="00C75342" w:rsidRPr="00F40B50" w:rsidRDefault="00C75342" w:rsidP="00C75342">
      <w:pPr>
        <w:jc w:val="both"/>
        <w:rPr>
          <w:rFonts w:ascii="Myriad Pro" w:hAnsi="Myriad Pro"/>
          <w:sz w:val="22"/>
          <w:szCs w:val="22"/>
        </w:rPr>
      </w:pPr>
    </w:p>
    <w:p w14:paraId="65147C62" w14:textId="77777777" w:rsidR="00C75342" w:rsidRPr="00F40B50" w:rsidRDefault="00C75342" w:rsidP="00C75342">
      <w:pPr>
        <w:numPr>
          <w:ilvl w:val="0"/>
          <w:numId w:val="1"/>
        </w:numPr>
        <w:contextualSpacing/>
        <w:jc w:val="both"/>
        <w:rPr>
          <w:rFonts w:ascii="Myriad Pro" w:hAnsi="Myriad Pro"/>
          <w:sz w:val="22"/>
          <w:szCs w:val="22"/>
        </w:rPr>
      </w:pPr>
      <w:r w:rsidRPr="00F40B50">
        <w:rPr>
          <w:rFonts w:ascii="Myriad Pro" w:hAnsi="Myriad Pro"/>
          <w:sz w:val="22"/>
          <w:szCs w:val="22"/>
        </w:rPr>
        <w:t>Regarding sales to an affiliated entity which are not for resale, or in special cases of sale for non-monetary consideration</w:t>
      </w:r>
      <w:r>
        <w:rPr>
          <w:rFonts w:ascii="Myriad Pro" w:hAnsi="Myriad Pro"/>
          <w:sz w:val="22"/>
          <w:szCs w:val="22"/>
        </w:rPr>
        <w:t>,</w:t>
      </w:r>
      <w:r w:rsidRPr="00F40B50">
        <w:rPr>
          <w:rFonts w:ascii="Myriad Pro" w:hAnsi="Myriad Pro"/>
          <w:sz w:val="22"/>
          <w:szCs w:val="22"/>
        </w:rPr>
        <w:t xml:space="preserve"> a price affected by a proximate relationship</w:t>
      </w:r>
      <w:r>
        <w:rPr>
          <w:rFonts w:ascii="Myriad Pro" w:hAnsi="Myriad Pro"/>
          <w:sz w:val="22"/>
          <w:szCs w:val="22"/>
        </w:rPr>
        <w:t xml:space="preserve"> or</w:t>
      </w:r>
      <w:r w:rsidRPr="00F40B50">
        <w:rPr>
          <w:rFonts w:ascii="Myriad Pro" w:hAnsi="Myriad Pro"/>
          <w:sz w:val="22"/>
          <w:szCs w:val="22"/>
        </w:rPr>
        <w:t xml:space="preserve"> for consideration other than fair market value</w:t>
      </w:r>
      <w:r>
        <w:rPr>
          <w:rFonts w:ascii="Myriad Pro" w:hAnsi="Myriad Pro"/>
          <w:sz w:val="22"/>
          <w:szCs w:val="22"/>
        </w:rPr>
        <w:t xml:space="preserve">, </w:t>
      </w:r>
      <w:r w:rsidRPr="00F40B50">
        <w:rPr>
          <w:rFonts w:ascii="Myriad Pro" w:hAnsi="Myriad Pro"/>
          <w:sz w:val="22"/>
          <w:szCs w:val="22"/>
        </w:rPr>
        <w:t xml:space="preserve">the </w:t>
      </w:r>
      <w:r>
        <w:rPr>
          <w:rFonts w:ascii="Myriad Pro" w:hAnsi="Myriad Pro"/>
          <w:sz w:val="22"/>
          <w:szCs w:val="22"/>
        </w:rPr>
        <w:t>Benefit</w:t>
      </w:r>
      <w:r w:rsidRPr="00F40B50">
        <w:rPr>
          <w:rFonts w:ascii="Myriad Pro" w:hAnsi="Myriad Pro"/>
          <w:sz w:val="22"/>
          <w:szCs w:val="22"/>
        </w:rPr>
        <w:t xml:space="preserve"> must be determined on the basis of the </w:t>
      </w:r>
      <w:r>
        <w:rPr>
          <w:rFonts w:ascii="Myriad Pro" w:hAnsi="Myriad Pro"/>
          <w:sz w:val="22"/>
          <w:szCs w:val="22"/>
        </w:rPr>
        <w:t>fair</w:t>
      </w:r>
      <w:r w:rsidRPr="00F40B50">
        <w:rPr>
          <w:rFonts w:ascii="Myriad Pro" w:hAnsi="Myriad Pro"/>
          <w:sz w:val="22"/>
          <w:szCs w:val="22"/>
        </w:rPr>
        <w:t xml:space="preserve"> market value.</w:t>
      </w:r>
    </w:p>
    <w:p w14:paraId="5DF4A1F4" w14:textId="77777777" w:rsidR="00C75342" w:rsidRDefault="00C75342" w:rsidP="00C75342">
      <w:pPr>
        <w:ind w:left="360"/>
        <w:contextualSpacing/>
        <w:jc w:val="both"/>
        <w:rPr>
          <w:rFonts w:ascii="Myriad Pro" w:hAnsi="Myriad Pro"/>
          <w:sz w:val="22"/>
          <w:szCs w:val="22"/>
        </w:rPr>
      </w:pPr>
    </w:p>
    <w:p w14:paraId="0CF5EC21" w14:textId="77777777" w:rsidR="00C75342" w:rsidRPr="00F40B50" w:rsidRDefault="00C75342" w:rsidP="00C75342">
      <w:pPr>
        <w:numPr>
          <w:ilvl w:val="0"/>
          <w:numId w:val="1"/>
        </w:numPr>
        <w:contextualSpacing/>
        <w:jc w:val="both"/>
        <w:rPr>
          <w:rFonts w:ascii="Myriad Pro" w:hAnsi="Myriad Pro"/>
          <w:sz w:val="22"/>
          <w:szCs w:val="22"/>
        </w:rPr>
      </w:pPr>
      <w:r w:rsidRPr="00F40B50">
        <w:rPr>
          <w:rFonts w:ascii="Myriad Pro" w:hAnsi="Myriad Pro"/>
          <w:sz w:val="22"/>
          <w:szCs w:val="22"/>
        </w:rPr>
        <w:t>The Recipient Institution may make a</w:t>
      </w:r>
      <w:r>
        <w:rPr>
          <w:rFonts w:ascii="Myriad Pro" w:hAnsi="Myriad Pro"/>
          <w:sz w:val="22"/>
          <w:szCs w:val="22"/>
        </w:rPr>
        <w:t>n early b</w:t>
      </w:r>
      <w:r w:rsidRPr="00F40B50">
        <w:rPr>
          <w:rFonts w:ascii="Myriad Pro" w:hAnsi="Myriad Pro"/>
          <w:sz w:val="22"/>
          <w:szCs w:val="22"/>
        </w:rPr>
        <w:t xml:space="preserve">uyout payment to UNDP, as an alternative to making annual Contingent Payments for ten (10) years following the Agreement’s end date. The </w:t>
      </w:r>
      <w:r>
        <w:rPr>
          <w:rFonts w:ascii="Myriad Pro" w:hAnsi="Myriad Pro"/>
          <w:sz w:val="22"/>
          <w:szCs w:val="22"/>
        </w:rPr>
        <w:t xml:space="preserve">early buyout </w:t>
      </w:r>
      <w:r w:rsidRPr="00F40B50">
        <w:rPr>
          <w:rFonts w:ascii="Myriad Pro" w:hAnsi="Myriad Pro"/>
          <w:sz w:val="22"/>
          <w:szCs w:val="22"/>
        </w:rPr>
        <w:t xml:space="preserve">payment must be in a lump sum amount equal to one and a half (1.5) times the amount of funds paid by UNDP under the Agreement and made within five (5) years of the Agreement’s end date. The payment amount due under the </w:t>
      </w:r>
      <w:r>
        <w:rPr>
          <w:rFonts w:ascii="Myriad Pro" w:hAnsi="Myriad Pro"/>
          <w:sz w:val="22"/>
          <w:szCs w:val="22"/>
        </w:rPr>
        <w:t>early</w:t>
      </w:r>
      <w:r w:rsidRPr="00F40B50">
        <w:rPr>
          <w:rFonts w:ascii="Myriad Pro" w:hAnsi="Myriad Pro"/>
          <w:sz w:val="22"/>
          <w:szCs w:val="22"/>
        </w:rPr>
        <w:t xml:space="preserve"> buyout option will not be reduced by the percentage of match funds as described above, nor by any Contingent Payments already made. </w:t>
      </w:r>
    </w:p>
    <w:p w14:paraId="51706356" w14:textId="77777777" w:rsidR="00C75342" w:rsidRPr="00F40B50" w:rsidRDefault="00C75342" w:rsidP="00C75342">
      <w:pPr>
        <w:jc w:val="both"/>
        <w:rPr>
          <w:rFonts w:ascii="Myriad Pro" w:hAnsi="Myriad Pro"/>
          <w:sz w:val="22"/>
          <w:szCs w:val="22"/>
        </w:rPr>
      </w:pPr>
    </w:p>
    <w:p w14:paraId="5F9FC0AB" w14:textId="77777777" w:rsidR="00C75342" w:rsidRPr="00F40B50" w:rsidRDefault="00C75342" w:rsidP="00C75342">
      <w:pPr>
        <w:numPr>
          <w:ilvl w:val="0"/>
          <w:numId w:val="1"/>
        </w:numPr>
        <w:contextualSpacing/>
        <w:jc w:val="both"/>
        <w:rPr>
          <w:rFonts w:ascii="Myriad Pro" w:hAnsi="Myriad Pro"/>
          <w:sz w:val="22"/>
          <w:szCs w:val="22"/>
        </w:rPr>
      </w:pPr>
      <w:r w:rsidRPr="00F40B50">
        <w:rPr>
          <w:rFonts w:ascii="Myriad Pro" w:hAnsi="Myriad Pro"/>
          <w:sz w:val="22"/>
          <w:szCs w:val="22"/>
        </w:rPr>
        <w:t xml:space="preserve">Contingent Payments not made within fifteen (15) days of the due date will constitute a breach of the Agreement. The Contingent Payments will become debt obligations of the Recipient Institution to UNDP due upon demand and subject to </w:t>
      </w:r>
      <w:r>
        <w:rPr>
          <w:rFonts w:ascii="Myriad Pro" w:hAnsi="Myriad Pro"/>
          <w:sz w:val="22"/>
          <w:szCs w:val="22"/>
        </w:rPr>
        <w:t xml:space="preserve">the prevailing LIBOR </w:t>
      </w:r>
      <w:r w:rsidRPr="00F40B50">
        <w:rPr>
          <w:rFonts w:ascii="Myriad Pro" w:hAnsi="Myriad Pro"/>
          <w:sz w:val="22"/>
          <w:szCs w:val="22"/>
        </w:rPr>
        <w:t>interest rate</w:t>
      </w:r>
      <w:r>
        <w:rPr>
          <w:rFonts w:ascii="Myriad Pro" w:hAnsi="Myriad Pro"/>
          <w:sz w:val="22"/>
          <w:szCs w:val="22"/>
        </w:rPr>
        <w:t>.</w:t>
      </w:r>
    </w:p>
    <w:p w14:paraId="0EAF4594" w14:textId="77777777" w:rsidR="00C75342" w:rsidRPr="00F40B50" w:rsidRDefault="00C75342" w:rsidP="00C75342">
      <w:pPr>
        <w:jc w:val="both"/>
        <w:rPr>
          <w:rFonts w:ascii="Myriad Pro" w:hAnsi="Myriad Pro"/>
          <w:sz w:val="22"/>
          <w:szCs w:val="22"/>
        </w:rPr>
      </w:pPr>
    </w:p>
    <w:p w14:paraId="750CEFFE" w14:textId="77777777" w:rsidR="00C75342" w:rsidRPr="00F40B50" w:rsidRDefault="00C75342" w:rsidP="00C75342">
      <w:pPr>
        <w:numPr>
          <w:ilvl w:val="0"/>
          <w:numId w:val="1"/>
        </w:numPr>
        <w:contextualSpacing/>
        <w:jc w:val="both"/>
        <w:rPr>
          <w:rFonts w:ascii="Myriad Pro" w:hAnsi="Myriad Pro"/>
          <w:sz w:val="22"/>
          <w:szCs w:val="22"/>
        </w:rPr>
      </w:pPr>
      <w:r w:rsidRPr="00F40B50">
        <w:rPr>
          <w:rFonts w:ascii="Myriad Pro" w:hAnsi="Myriad Pro"/>
          <w:sz w:val="22"/>
          <w:szCs w:val="22"/>
        </w:rPr>
        <w:t>The Recipient Institution will include these Contingent Payment provisions in its agreements with all subcontractors who develop or assist with the activities leading to a Benefit to the Recipient Institution.</w:t>
      </w:r>
    </w:p>
    <w:p w14:paraId="0C5FCA14" w14:textId="77777777" w:rsidR="00C75342" w:rsidRPr="00F40B50" w:rsidRDefault="00C75342" w:rsidP="00C75342">
      <w:pPr>
        <w:jc w:val="both"/>
        <w:rPr>
          <w:rFonts w:ascii="Myriad Pro" w:hAnsi="Myriad Pro"/>
          <w:sz w:val="22"/>
          <w:szCs w:val="22"/>
        </w:rPr>
      </w:pPr>
    </w:p>
    <w:p w14:paraId="51D81CD5" w14:textId="77777777" w:rsidR="00C75342" w:rsidRPr="00F40B50" w:rsidRDefault="00C75342" w:rsidP="00C75342">
      <w:pPr>
        <w:numPr>
          <w:ilvl w:val="0"/>
          <w:numId w:val="1"/>
        </w:numPr>
        <w:contextualSpacing/>
        <w:jc w:val="both"/>
        <w:rPr>
          <w:rFonts w:ascii="Myriad Pro" w:hAnsi="Myriad Pro"/>
          <w:sz w:val="22"/>
          <w:szCs w:val="22"/>
        </w:rPr>
      </w:pPr>
      <w:bookmarkStart w:id="0" w:name="_Hlk495671850"/>
      <w:r w:rsidRPr="00F40B50">
        <w:rPr>
          <w:rFonts w:ascii="Myriad Pro" w:hAnsi="Myriad Pro"/>
          <w:sz w:val="22"/>
          <w:szCs w:val="22"/>
        </w:rPr>
        <w:t xml:space="preserve">In the case of </w:t>
      </w:r>
      <w:r>
        <w:rPr>
          <w:rFonts w:ascii="Myriad Pro" w:hAnsi="Myriad Pro"/>
          <w:sz w:val="22"/>
          <w:szCs w:val="22"/>
        </w:rPr>
        <w:t xml:space="preserve">outright </w:t>
      </w:r>
      <w:r w:rsidRPr="00F40B50">
        <w:rPr>
          <w:rFonts w:ascii="Myriad Pro" w:hAnsi="Myriad Pro"/>
          <w:sz w:val="22"/>
          <w:szCs w:val="22"/>
        </w:rPr>
        <w:t>sale of the Recipient Institution</w:t>
      </w:r>
      <w:r>
        <w:rPr>
          <w:rFonts w:ascii="Myriad Pro" w:hAnsi="Myriad Pro"/>
          <w:sz w:val="22"/>
          <w:szCs w:val="22"/>
        </w:rPr>
        <w:t xml:space="preserve"> or its business assets that benefited from the funding provided by UNDP</w:t>
      </w:r>
      <w:r w:rsidRPr="00F40B50">
        <w:rPr>
          <w:rFonts w:ascii="Myriad Pro" w:hAnsi="Myriad Pro"/>
          <w:sz w:val="22"/>
          <w:szCs w:val="22"/>
        </w:rPr>
        <w:t xml:space="preserve">, such activity will obligate the Recipient Institution to repay to UNDP the </w:t>
      </w:r>
      <w:r>
        <w:rPr>
          <w:rFonts w:ascii="Myriad Pro" w:hAnsi="Myriad Pro"/>
          <w:sz w:val="22"/>
          <w:szCs w:val="22"/>
        </w:rPr>
        <w:t>early</w:t>
      </w:r>
      <w:r w:rsidRPr="00F40B50">
        <w:rPr>
          <w:rFonts w:ascii="Myriad Pro" w:hAnsi="Myriad Pro"/>
          <w:sz w:val="22"/>
          <w:szCs w:val="22"/>
        </w:rPr>
        <w:t xml:space="preserve"> buyout amount due within sixty (60) days.</w:t>
      </w:r>
      <w:bookmarkEnd w:id="0"/>
      <w:r w:rsidRPr="00F40B50">
        <w:rPr>
          <w:rFonts w:ascii="Myriad Pro" w:hAnsi="Myriad Pro"/>
          <w:sz w:val="22"/>
          <w:szCs w:val="22"/>
        </w:rPr>
        <w:t xml:space="preserve"> The Recipient Institution will, within a reasonable period of time, submit to UNDP advance notification regarding any proposed sale, which will include the name of the potential buyer, the price and other terms of the proposed sale, as well as other relevant information relating to the proposed sale. </w:t>
      </w:r>
      <w:r>
        <w:rPr>
          <w:rFonts w:ascii="Myriad Pro" w:hAnsi="Myriad Pro"/>
          <w:sz w:val="22"/>
          <w:szCs w:val="22"/>
        </w:rPr>
        <w:t xml:space="preserve">  </w:t>
      </w:r>
    </w:p>
    <w:p w14:paraId="6AD700BA" w14:textId="77777777" w:rsidR="00C75342" w:rsidRPr="00F40B50" w:rsidRDefault="00C75342" w:rsidP="00C75342">
      <w:pPr>
        <w:jc w:val="both"/>
        <w:rPr>
          <w:rFonts w:ascii="Myriad Pro" w:hAnsi="Myriad Pro"/>
          <w:sz w:val="22"/>
          <w:szCs w:val="22"/>
        </w:rPr>
      </w:pPr>
    </w:p>
    <w:p w14:paraId="5543C83F" w14:textId="77777777" w:rsidR="00C75342" w:rsidRPr="00F40B50" w:rsidRDefault="00C75342" w:rsidP="00C75342">
      <w:pPr>
        <w:numPr>
          <w:ilvl w:val="0"/>
          <w:numId w:val="1"/>
        </w:numPr>
        <w:contextualSpacing/>
        <w:jc w:val="both"/>
        <w:rPr>
          <w:rFonts w:ascii="Myriad Pro" w:hAnsi="Myriad Pro"/>
          <w:sz w:val="22"/>
          <w:szCs w:val="22"/>
        </w:rPr>
      </w:pPr>
      <w:r w:rsidRPr="00F40B50">
        <w:rPr>
          <w:rFonts w:ascii="Myriad Pro" w:hAnsi="Myriad Pro"/>
          <w:sz w:val="22"/>
          <w:szCs w:val="22"/>
        </w:rPr>
        <w:t>Additionally, the Recipient Institution will promptly notify UNDP of any transfer of economic control resulting from share sales, or status changes to mergers or acquisitions in relation to the Recipient Institution.</w:t>
      </w:r>
      <w:r>
        <w:rPr>
          <w:rFonts w:ascii="Myriad Pro" w:hAnsi="Myriad Pro"/>
          <w:sz w:val="22"/>
          <w:szCs w:val="22"/>
        </w:rPr>
        <w:t xml:space="preserve"> </w:t>
      </w:r>
    </w:p>
    <w:p w14:paraId="2465E949" w14:textId="77777777" w:rsidR="00C75342" w:rsidRPr="00F40B50" w:rsidRDefault="00C75342" w:rsidP="00C75342">
      <w:pPr>
        <w:jc w:val="both"/>
        <w:rPr>
          <w:rFonts w:ascii="Myriad Pro" w:hAnsi="Myriad Pro"/>
          <w:sz w:val="22"/>
          <w:szCs w:val="22"/>
        </w:rPr>
      </w:pPr>
    </w:p>
    <w:p w14:paraId="74B36B89" w14:textId="77777777" w:rsidR="00C75342" w:rsidRPr="00F40B50" w:rsidRDefault="00C75342" w:rsidP="00C75342">
      <w:pPr>
        <w:numPr>
          <w:ilvl w:val="0"/>
          <w:numId w:val="1"/>
        </w:numPr>
        <w:contextualSpacing/>
        <w:jc w:val="both"/>
        <w:rPr>
          <w:rFonts w:ascii="Myriad Pro" w:hAnsi="Myriad Pro"/>
          <w:sz w:val="22"/>
          <w:szCs w:val="22"/>
        </w:rPr>
      </w:pPr>
      <w:r w:rsidRPr="00F40B50">
        <w:rPr>
          <w:rFonts w:ascii="Myriad Pro" w:hAnsi="Myriad Pro"/>
          <w:sz w:val="22"/>
          <w:szCs w:val="22"/>
        </w:rPr>
        <w:t xml:space="preserve">Where the Benefit to the Recipient Institution involves or is a result of the </w:t>
      </w:r>
      <w:r w:rsidRPr="00F40B50">
        <w:rPr>
          <w:rFonts w:ascii="Myriad Pro" w:hAnsi="Myriad Pro"/>
          <w:b/>
          <w:i/>
          <w:sz w:val="22"/>
          <w:szCs w:val="22"/>
        </w:rPr>
        <w:t>commercialization</w:t>
      </w:r>
      <w:r w:rsidRPr="00F40B50">
        <w:rPr>
          <w:rFonts w:ascii="Myriad Pro" w:hAnsi="Myriad Pro"/>
          <w:sz w:val="22"/>
          <w:szCs w:val="22"/>
        </w:rPr>
        <w:t xml:space="preserve"> of any products/services or related intellectual property rights as set out in paragraph 1 (c) above, </w:t>
      </w:r>
      <w:r>
        <w:rPr>
          <w:rFonts w:ascii="Myriad Pro" w:hAnsi="Myriad Pro"/>
          <w:sz w:val="22"/>
          <w:szCs w:val="22"/>
        </w:rPr>
        <w:t>the</w:t>
      </w:r>
      <w:r w:rsidRPr="00F40B50">
        <w:rPr>
          <w:rFonts w:ascii="Myriad Pro" w:hAnsi="Myriad Pro"/>
          <w:sz w:val="22"/>
          <w:szCs w:val="22"/>
        </w:rPr>
        <w:t xml:space="preserve"> Recipient Institution will maintain separate accounts within its financial and other records for the purpose of tracking components of sales and Contingent Payments due to UNDP under the Agreement.</w:t>
      </w:r>
    </w:p>
    <w:p w14:paraId="223154B1" w14:textId="77777777" w:rsidR="00C75342" w:rsidRPr="00F40B50" w:rsidRDefault="00C75342" w:rsidP="00C75342"/>
    <w:p w14:paraId="598ACFC2" w14:textId="77777777" w:rsidR="00484DF8" w:rsidRDefault="00484DF8">
      <w:bookmarkStart w:id="1" w:name="_GoBack"/>
      <w:bookmarkEnd w:id="1"/>
    </w:p>
    <w:sectPr w:rsidR="00484DF8" w:rsidSect="00EC760E">
      <w:headerReference w:type="even" r:id="rId12"/>
      <w:headerReference w:type="default" r:id="rId13"/>
      <w:headerReference w:type="first" r:id="rId14"/>
      <w:footerReference w:type="first" r:id="rId15"/>
      <w:pgSz w:w="11909" w:h="16834" w:code="9"/>
      <w:pgMar w:top="1440" w:right="1440" w:bottom="1440" w:left="1440" w:header="677" w:footer="677" w:gutter="0"/>
      <w:pgNumType w:start="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2CE22" w14:textId="77777777" w:rsidR="00C75342" w:rsidRDefault="00C75342" w:rsidP="00C75342">
      <w:r>
        <w:separator/>
      </w:r>
    </w:p>
  </w:endnote>
  <w:endnote w:type="continuationSeparator" w:id="0">
    <w:p w14:paraId="236B3F50" w14:textId="77777777" w:rsidR="00C75342" w:rsidRDefault="00C75342" w:rsidP="00C7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1"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B62A7" w14:textId="77777777" w:rsidR="00FF0F27" w:rsidRDefault="00C75342" w:rsidP="004A1181">
    <w:pPr>
      <w:pStyle w:val="Footer"/>
    </w:pPr>
  </w:p>
  <w:p w14:paraId="6B449C13" w14:textId="77777777" w:rsidR="00FF0F27" w:rsidRDefault="00C75342" w:rsidP="004A1181">
    <w:pPr>
      <w:pStyle w:val="Footer"/>
    </w:pPr>
  </w:p>
  <w:p w14:paraId="42246509" w14:textId="77777777" w:rsidR="00FF0F27" w:rsidRDefault="00C75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D049E" w14:textId="77777777" w:rsidR="00C75342" w:rsidRDefault="00C75342" w:rsidP="00C75342">
      <w:r>
        <w:separator/>
      </w:r>
    </w:p>
  </w:footnote>
  <w:footnote w:type="continuationSeparator" w:id="0">
    <w:p w14:paraId="6034365D" w14:textId="77777777" w:rsidR="00C75342" w:rsidRDefault="00C75342" w:rsidP="00C75342">
      <w:r>
        <w:continuationSeparator/>
      </w:r>
    </w:p>
  </w:footnote>
  <w:footnote w:id="1">
    <w:p w14:paraId="0CD2403D" w14:textId="77777777" w:rsidR="00C75342" w:rsidRDefault="00C75342" w:rsidP="00C75342">
      <w:pPr>
        <w:pStyle w:val="FootnoteText"/>
      </w:pPr>
      <w:r>
        <w:rPr>
          <w:rStyle w:val="FootnoteReference"/>
        </w:rPr>
        <w:footnoteRef/>
      </w:r>
      <w:r>
        <w:t xml:space="preserve"> These clauses are to be added to the low value grant agreement as an annex when contingent repayments are expected or are a possibility. They are to be used in conjunction with the low value grants agreement template that is accommodated for the use of contingent repayments.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9C6BC" w14:textId="77777777" w:rsidR="00FF0F27" w:rsidRDefault="00C753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79F95" w14:textId="77777777" w:rsidR="00FF0F27" w:rsidRDefault="00C753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2B490" w14:textId="77777777" w:rsidR="00FF0F27" w:rsidRDefault="00C753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00F10"/>
    <w:multiLevelType w:val="multilevel"/>
    <w:tmpl w:val="4F18C0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00317AD"/>
    <w:multiLevelType w:val="multilevel"/>
    <w:tmpl w:val="0CB82F3E"/>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F1C22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342"/>
    <w:rsid w:val="00484DF8"/>
    <w:rsid w:val="00C75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D0B4"/>
  <w15:chartTrackingRefBased/>
  <w15:docId w15:val="{77C427B3-6A61-41EC-A8C3-8C73FCA6D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34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75342"/>
    <w:pPr>
      <w:tabs>
        <w:tab w:val="center" w:pos="4320"/>
        <w:tab w:val="right" w:pos="8640"/>
      </w:tabs>
    </w:pPr>
    <w:rPr>
      <w:sz w:val="18"/>
    </w:rPr>
  </w:style>
  <w:style w:type="character" w:customStyle="1" w:styleId="FooterChar">
    <w:name w:val="Footer Char"/>
    <w:basedOn w:val="DefaultParagraphFont"/>
    <w:link w:val="Footer"/>
    <w:rsid w:val="00C75342"/>
    <w:rPr>
      <w:rFonts w:ascii="Times New Roman" w:eastAsia="Times New Roman" w:hAnsi="Times New Roman" w:cs="Times New Roman"/>
      <w:sz w:val="18"/>
      <w:szCs w:val="20"/>
    </w:rPr>
  </w:style>
  <w:style w:type="paragraph" w:styleId="Header">
    <w:name w:val="header"/>
    <w:basedOn w:val="Normal"/>
    <w:link w:val="HeaderChar"/>
    <w:rsid w:val="00C75342"/>
    <w:pPr>
      <w:tabs>
        <w:tab w:val="right" w:pos="8280"/>
      </w:tabs>
    </w:pPr>
    <w:rPr>
      <w:b/>
      <w:smallCaps/>
      <w:sz w:val="20"/>
      <w:szCs w:val="18"/>
      <w:lang w:val="fr-CH"/>
    </w:rPr>
  </w:style>
  <w:style w:type="character" w:customStyle="1" w:styleId="HeaderChar">
    <w:name w:val="Header Char"/>
    <w:basedOn w:val="DefaultParagraphFont"/>
    <w:link w:val="Header"/>
    <w:rsid w:val="00C75342"/>
    <w:rPr>
      <w:rFonts w:ascii="Times New Roman" w:eastAsia="Times New Roman" w:hAnsi="Times New Roman" w:cs="Times New Roman"/>
      <w:b/>
      <w:smallCaps/>
      <w:sz w:val="20"/>
      <w:szCs w:val="18"/>
      <w:lang w:val="fr-CH"/>
    </w:rPr>
  </w:style>
  <w:style w:type="paragraph" w:styleId="ListParagraph">
    <w:name w:val="List Paragraph"/>
    <w:basedOn w:val="Normal"/>
    <w:uiPriority w:val="34"/>
    <w:qFormat/>
    <w:rsid w:val="00C75342"/>
    <w:pPr>
      <w:ind w:left="720"/>
      <w:contextualSpacing/>
    </w:pPr>
  </w:style>
  <w:style w:type="paragraph" w:styleId="FootnoteText">
    <w:name w:val="footnote text"/>
    <w:basedOn w:val="Normal"/>
    <w:link w:val="FootnoteTextChar"/>
    <w:rsid w:val="00C75342"/>
    <w:rPr>
      <w:sz w:val="20"/>
    </w:rPr>
  </w:style>
  <w:style w:type="character" w:customStyle="1" w:styleId="FootnoteTextChar">
    <w:name w:val="Footnote Text Char"/>
    <w:basedOn w:val="DefaultParagraphFont"/>
    <w:link w:val="FootnoteText"/>
    <w:rsid w:val="00C75342"/>
    <w:rPr>
      <w:rFonts w:ascii="Times New Roman" w:eastAsia="Times New Roman" w:hAnsi="Times New Roman" w:cs="Times New Roman"/>
      <w:sz w:val="20"/>
      <w:szCs w:val="20"/>
    </w:rPr>
  </w:style>
  <w:style w:type="character" w:styleId="FootnoteReference">
    <w:name w:val="footnote reference"/>
    <w:basedOn w:val="DefaultParagraphFont"/>
    <w:rsid w:val="00C75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popp.undp.org/UNDP_POPP_DOCUMENT_LIBRARY/Forms/UNDP_POPP_DOCUMENTLIB_CONTENTTYP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{Effective Date}                                                Version #: 1.0</DLCPolicyLabelClientValue>
    <UNDP_POPP_BUSINESSUNITID_HIDDEN xmlns="8264c5cc-ec60-4b56-8111-ce635d3d139a" xsi:nil="true"/>
    <UNDP_POPP_BUSINESSPROCESS_HIDDEN xmlns="8264c5cc-ec60-4b56-8111-ce635d3d139a">
      <Terms xmlns="http://schemas.microsoft.com/office/infopath/2007/PartnerControls"/>
    </UNDP_POPP_BUSINESSPROCESS_HIDDEN>
    <UNDP_POPP_TITLE_EN xmlns="8264c5cc-ec60-4b56-8111-ce635d3d139a">UNDP Contingent Payment Terms</UNDP_POPP_TITLE_EN>
    <UNDP_POPP_LASTMODIFIED xmlns="8264c5cc-ec60-4b56-8111-ce635d3d139a" xsi:nil="true"/>
    <l0e6ef0c43e74560bd7f3acd1f5e8571 xmlns="8264c5cc-ec60-4b56-8111-ce635d3d139a">
      <Terms xmlns="http://schemas.microsoft.com/office/infopath/2007/PartnerControls">
        <TermInfo xmlns="http://schemas.microsoft.com/office/infopath/2007/PartnerControls">
          <TermName>Programme and Project Management</TermName>
          <TermId>1c019435-9793-447e-8959-0b32d23bf3d5</TermId>
        </TermInfo>
      </Terms>
    </l0e6ef0c43e74560bd7f3acd1f5e8571>
    <UNDP_POPP_REJECT_COMMENTS xmlns="8264c5cc-ec60-4b56-8111-ce635d3d139a" xsi:nil="true"/>
    <DLCPolicyLabelValue xmlns="e560140e-7b2f-4392-90df-e7567e3021a3">Effective Date: {Effective Date}                                                Version #: 1</DLCPolicyLabelValue>
    <_dlc_DocId xmlns="8264c5cc-ec60-4b56-8111-ce635d3d139a">POPP-11-2967</_dlc_DocId>
    <_dlc_DocIdUrl xmlns="8264c5cc-ec60-4b56-8111-ce635d3d139a">
      <Url>https://popp.undp.org/_layouts/15/DocIdRedir.aspx?ID=POPP-11-2967</Url>
      <Description>POPP-11-2967</Description>
    </_dlc_DocIdUrl>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B4F89-450A-444D-926D-0A10ED88A229}">
  <ds:schemaRefs>
    <ds:schemaRef ds:uri="http://schemas.microsoft.com/sharepoint/events"/>
  </ds:schemaRefs>
</ds:datastoreItem>
</file>

<file path=customXml/itemProps2.xml><?xml version="1.0" encoding="utf-8"?>
<ds:datastoreItem xmlns:ds="http://schemas.openxmlformats.org/officeDocument/2006/customXml" ds:itemID="{A0113BFD-8CBD-4C90-80CF-DE3C84C41782}">
  <ds:schemaRefs>
    <ds:schemaRef ds:uri="office.server.policy"/>
  </ds:schemaRefs>
</ds:datastoreItem>
</file>

<file path=customXml/itemProps3.xml><?xml version="1.0" encoding="utf-8"?>
<ds:datastoreItem xmlns:ds="http://schemas.openxmlformats.org/officeDocument/2006/customXml" ds:itemID="{582D7604-A345-4C98-9686-3688320AA2B4}">
  <ds:schemaRefs>
    <ds:schemaRef ds:uri="http://schemas.microsoft.com/sharepoint/v3"/>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terms/"/>
    <ds:schemaRef ds:uri="http://schemas.microsoft.com/office/2006/metadata/properties"/>
    <ds:schemaRef ds:uri="e560140e-7b2f-4392-90df-e7567e3021a3"/>
    <ds:schemaRef ds:uri="8264c5cc-ec60-4b56-8111-ce635d3d139a"/>
    <ds:schemaRef ds:uri="http://www.w3.org/XML/1998/namespace"/>
  </ds:schemaRefs>
</ds:datastoreItem>
</file>

<file path=customXml/itemProps4.xml><?xml version="1.0" encoding="utf-8"?>
<ds:datastoreItem xmlns:ds="http://schemas.openxmlformats.org/officeDocument/2006/customXml" ds:itemID="{F2287C9E-857A-46E3-9E22-B83B1C2F3EA1}">
  <ds:schemaRefs>
    <ds:schemaRef ds:uri="http://schemas.microsoft.com/sharepoint/v3/contenttype/forms"/>
  </ds:schemaRefs>
</ds:datastoreItem>
</file>

<file path=customXml/itemProps5.xml><?xml version="1.0" encoding="utf-8"?>
<ds:datastoreItem xmlns:ds="http://schemas.openxmlformats.org/officeDocument/2006/customXml" ds:itemID="{1F47ACDE-9148-480B-957E-955D91E14EE0}"/>
</file>

<file path=docProps/app.xml><?xml version="1.0" encoding="utf-8"?>
<Properties xmlns="http://schemas.openxmlformats.org/officeDocument/2006/extended-properties" xmlns:vt="http://schemas.openxmlformats.org/officeDocument/2006/docPropsVTypes">
  <Template>template.dotx</Template>
  <TotalTime>1</TotalTime>
  <Pages>2</Pages>
  <Words>888</Words>
  <Characters>5067</Characters>
  <Application>Microsoft Office Word</Application>
  <DocSecurity>0</DocSecurity>
  <Lines>42</Lines>
  <Paragraphs>11</Paragraphs>
  <ScaleCrop>false</ScaleCrop>
  <Company/>
  <LinksUpToDate>false</LinksUpToDate>
  <CharactersWithSpaces>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Jane Ashley Gagne</cp:lastModifiedBy>
  <cp:revision>1</cp:revision>
  <dcterms:created xsi:type="dcterms:W3CDTF">2019-02-11T17:46:00Z</dcterms:created>
  <dcterms:modified xsi:type="dcterms:W3CDTF">2019-02-11T17:47:00Z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669;#Programme and Project Management|1c019435-9793-447e-8959-0b32d23bf3d5</vt:lpwstr>
  </property>
  <property fmtid="{D5CDD505-2E9C-101B-9397-08002B2CF9AE}" pid="4" name="POPPBusinessProcess">
    <vt:lpwstr/>
  </property>
  <property fmtid="{D5CDD505-2E9C-101B-9397-08002B2CF9AE}" pid="5" name="_dlc_DocIdItemGuid">
    <vt:lpwstr>ddcf36e6-e5b2-4dfe-b3c6-d7b3b06747ed</vt:lpwstr>
  </property>
</Properties>
</file>