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0605" w14:textId="77777777" w:rsidR="009E4087" w:rsidRDefault="00000000">
      <w:pPr>
        <w:pStyle w:val="Title"/>
        <w:rPr>
          <w:spacing w:val="-5"/>
        </w:rPr>
      </w:pPr>
      <w:r>
        <w:t>Accounting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5"/>
        </w:rPr>
        <w:t>PCF</w:t>
      </w:r>
    </w:p>
    <w:p w14:paraId="3FAC1A80" w14:textId="77777777" w:rsidR="00DA7E97" w:rsidRDefault="00DA7E97">
      <w:pPr>
        <w:pStyle w:val="Title"/>
      </w:pPr>
    </w:p>
    <w:p w14:paraId="26CF1E17" w14:textId="38A9B469" w:rsidR="00DA7E97" w:rsidRPr="00DA7E97" w:rsidRDefault="00DA7E97" w:rsidP="00DA7E97">
      <w:pPr>
        <w:pStyle w:val="ListParagraph"/>
        <w:numPr>
          <w:ilvl w:val="0"/>
          <w:numId w:val="1"/>
        </w:numPr>
        <w:rPr>
          <w:rFonts w:asciiTheme="minorHAnsi" w:eastAsia="Times New Roman" w:hAnsiTheme="minorHAnsi" w:cs="Arial"/>
        </w:rPr>
      </w:pPr>
      <w:r w:rsidRPr="00DA7E97">
        <w:rPr>
          <w:rFonts w:asciiTheme="minorHAnsi" w:eastAsia="Times New Roman" w:hAnsiTheme="minorHAnsi" w:cs="Arial"/>
        </w:rPr>
        <w:t xml:space="preserve">Initial funding of PCF is done by a Permanent Prepayment Invoice payable to the PCF Custodian as the “Supplier” recorded against </w:t>
      </w:r>
    </w:p>
    <w:p w14:paraId="3F250607" w14:textId="77777777" w:rsidR="009E4087" w:rsidRDefault="009E4087">
      <w:pPr>
        <w:spacing w:before="40" w:after="1"/>
        <w:rPr>
          <w:sz w:val="20"/>
        </w:rPr>
      </w:pPr>
    </w:p>
    <w:tbl>
      <w:tblPr>
        <w:tblW w:w="0" w:type="auto"/>
        <w:tblInd w:w="1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781"/>
      </w:tblGrid>
      <w:tr w:rsidR="009E4087" w14:paraId="3F25060A" w14:textId="77777777">
        <w:trPr>
          <w:trHeight w:val="349"/>
        </w:trPr>
        <w:tc>
          <w:tcPr>
            <w:tcW w:w="3961" w:type="dxa"/>
          </w:tcPr>
          <w:p w14:paraId="3F250608" w14:textId="77777777" w:rsidR="009E4087" w:rsidRDefault="00000000">
            <w:pPr>
              <w:pStyle w:val="TableParagraph"/>
            </w:pPr>
            <w:r>
              <w:t>Debit</w:t>
            </w:r>
            <w:r>
              <w:rPr>
                <w:spacing w:val="-3"/>
              </w:rPr>
              <w:t xml:space="preserve"> </w:t>
            </w:r>
            <w:r>
              <w:t>GL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Account:</w:t>
            </w:r>
          </w:p>
        </w:tc>
        <w:tc>
          <w:tcPr>
            <w:tcW w:w="3781" w:type="dxa"/>
          </w:tcPr>
          <w:p w14:paraId="3F250609" w14:textId="77777777" w:rsidR="009E4087" w:rsidRDefault="00000000">
            <w:pPr>
              <w:pStyle w:val="TableParagraph"/>
            </w:pPr>
            <w:r>
              <w:t>16105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Petty</w:t>
            </w:r>
            <w:r>
              <w:rPr>
                <w:spacing w:val="-3"/>
              </w:rPr>
              <w:t xml:space="preserve"> </w:t>
            </w:r>
            <w:r>
              <w:t>Cash</w:t>
            </w:r>
            <w:r>
              <w:rPr>
                <w:spacing w:val="-2"/>
              </w:rPr>
              <w:t xml:space="preserve"> Fund_PCF</w:t>
            </w:r>
          </w:p>
        </w:tc>
      </w:tr>
      <w:tr w:rsidR="009E4087" w14:paraId="3F25060D" w14:textId="77777777">
        <w:trPr>
          <w:trHeight w:val="347"/>
        </w:trPr>
        <w:tc>
          <w:tcPr>
            <w:tcW w:w="3961" w:type="dxa"/>
          </w:tcPr>
          <w:p w14:paraId="3F25060B" w14:textId="77777777" w:rsidR="009E4087" w:rsidRDefault="00000000">
            <w:pPr>
              <w:pStyle w:val="TableParagraph"/>
            </w:pPr>
            <w:r>
              <w:t>Credit</w:t>
            </w:r>
            <w:r>
              <w:rPr>
                <w:spacing w:val="-2"/>
              </w:rPr>
              <w:t xml:space="preserve"> </w:t>
            </w:r>
            <w:r>
              <w:t>GL</w:t>
            </w:r>
            <w:r>
              <w:rPr>
                <w:spacing w:val="-2"/>
              </w:rPr>
              <w:t xml:space="preserve"> Account</w:t>
            </w:r>
          </w:p>
        </w:tc>
        <w:tc>
          <w:tcPr>
            <w:tcW w:w="3781" w:type="dxa"/>
          </w:tcPr>
          <w:p w14:paraId="3F25060C" w14:textId="77777777" w:rsidR="009E4087" w:rsidRDefault="00000000">
            <w:pPr>
              <w:pStyle w:val="TableParagraph"/>
            </w:pPr>
            <w:r>
              <w:t>11005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Cash</w:t>
            </w:r>
          </w:p>
        </w:tc>
      </w:tr>
      <w:tr w:rsidR="009E4087" w14:paraId="3F250610" w14:textId="77777777">
        <w:trPr>
          <w:trHeight w:val="349"/>
        </w:trPr>
        <w:tc>
          <w:tcPr>
            <w:tcW w:w="3961" w:type="dxa"/>
          </w:tcPr>
          <w:p w14:paraId="3F25060E" w14:textId="77777777" w:rsidR="009E4087" w:rsidRDefault="00000000">
            <w:pPr>
              <w:pStyle w:val="TableParagraph"/>
              <w:spacing w:line="267" w:lineRule="exact"/>
            </w:pPr>
            <w:r>
              <w:t>Operating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Unit:</w:t>
            </w:r>
          </w:p>
        </w:tc>
        <w:tc>
          <w:tcPr>
            <w:tcW w:w="3781" w:type="dxa"/>
          </w:tcPr>
          <w:p w14:paraId="3F25060F" w14:textId="77777777" w:rsidR="009E4087" w:rsidRDefault="00000000">
            <w:pPr>
              <w:pStyle w:val="TableParagraph"/>
              <w:spacing w:line="267" w:lineRule="exact"/>
            </w:pPr>
            <w:r>
              <w:t>CO’s</w:t>
            </w:r>
            <w:r>
              <w:rPr>
                <w:spacing w:val="-4"/>
              </w:rPr>
              <w:t xml:space="preserve"> </w:t>
            </w:r>
            <w:r>
              <w:t>operating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</w:tr>
      <w:tr w:rsidR="009E4087" w14:paraId="3F250613" w14:textId="77777777">
        <w:trPr>
          <w:trHeight w:val="349"/>
        </w:trPr>
        <w:tc>
          <w:tcPr>
            <w:tcW w:w="3961" w:type="dxa"/>
          </w:tcPr>
          <w:p w14:paraId="3F250611" w14:textId="77777777" w:rsidR="009E4087" w:rsidRDefault="00000000">
            <w:pPr>
              <w:pStyle w:val="TableParagraph"/>
              <w:spacing w:line="267" w:lineRule="exact"/>
            </w:pPr>
            <w:r>
              <w:t>Fund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Code:</w:t>
            </w:r>
          </w:p>
        </w:tc>
        <w:tc>
          <w:tcPr>
            <w:tcW w:w="3781" w:type="dxa"/>
          </w:tcPr>
          <w:p w14:paraId="3F250612" w14:textId="77777777" w:rsidR="009E4087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00001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16105</w:t>
            </w:r>
            <w:r>
              <w:rPr>
                <w:b/>
                <w:spacing w:val="-2"/>
              </w:rPr>
              <w:t xml:space="preserve"> always</w:t>
            </w:r>
          </w:p>
        </w:tc>
      </w:tr>
      <w:tr w:rsidR="009E4087" w14:paraId="3F250616" w14:textId="77777777">
        <w:trPr>
          <w:trHeight w:val="349"/>
        </w:trPr>
        <w:tc>
          <w:tcPr>
            <w:tcW w:w="3961" w:type="dxa"/>
          </w:tcPr>
          <w:p w14:paraId="3F250614" w14:textId="77777777" w:rsidR="009E4087" w:rsidRDefault="00000000">
            <w:pPr>
              <w:pStyle w:val="TableParagraph"/>
            </w:pPr>
            <w:r>
              <w:rPr>
                <w:spacing w:val="-2"/>
              </w:rPr>
              <w:t>Department:</w:t>
            </w:r>
          </w:p>
        </w:tc>
        <w:tc>
          <w:tcPr>
            <w:tcW w:w="3781" w:type="dxa"/>
          </w:tcPr>
          <w:p w14:paraId="3F250615" w14:textId="77777777" w:rsidR="009E4087" w:rsidRDefault="00000000">
            <w:pPr>
              <w:pStyle w:val="TableParagraph"/>
            </w:pPr>
            <w:r>
              <w:t>Respective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</w:tr>
      <w:tr w:rsidR="009E4087" w14:paraId="3F250622" w14:textId="77777777">
        <w:trPr>
          <w:trHeight w:val="349"/>
        </w:trPr>
        <w:tc>
          <w:tcPr>
            <w:tcW w:w="3961" w:type="dxa"/>
          </w:tcPr>
          <w:p w14:paraId="3F250620" w14:textId="48007087" w:rsidR="009E4087" w:rsidRDefault="00AE315E">
            <w:pPr>
              <w:pStyle w:val="TableParagraph"/>
              <w:spacing w:line="267" w:lineRule="exact"/>
            </w:pPr>
            <w:r>
              <w:t>Supplier</w:t>
            </w:r>
          </w:p>
        </w:tc>
        <w:tc>
          <w:tcPr>
            <w:tcW w:w="3781" w:type="dxa"/>
          </w:tcPr>
          <w:p w14:paraId="3F250621" w14:textId="50DD913F" w:rsidR="009E4087" w:rsidRDefault="006D5606">
            <w:pPr>
              <w:pStyle w:val="TableParagraph"/>
              <w:spacing w:line="267" w:lineRule="exact"/>
            </w:pPr>
            <w:r>
              <w:rPr>
                <w:rFonts w:asciiTheme="minorHAnsi" w:eastAsia="Times New Roman" w:hAnsiTheme="minorHAnsi" w:cs="Arial"/>
              </w:rPr>
              <w:t xml:space="preserve">PCF </w:t>
            </w:r>
            <w:r w:rsidRPr="00BE0A85">
              <w:rPr>
                <w:rFonts w:asciiTheme="minorHAnsi" w:eastAsia="Times New Roman" w:hAnsiTheme="minorHAnsi" w:cs="Arial"/>
              </w:rPr>
              <w:t xml:space="preserve">Custodian’s </w:t>
            </w:r>
            <w:r>
              <w:rPr>
                <w:rFonts w:asciiTheme="minorHAnsi" w:eastAsia="Times New Roman" w:hAnsiTheme="minorHAnsi" w:cs="Arial"/>
              </w:rPr>
              <w:t xml:space="preserve">Staff/Supplier </w:t>
            </w:r>
            <w:r w:rsidRPr="00BE0A85">
              <w:rPr>
                <w:rFonts w:asciiTheme="minorHAnsi" w:eastAsia="Times New Roman" w:hAnsiTheme="minorHAnsi" w:cs="Arial"/>
              </w:rPr>
              <w:t>ID</w:t>
            </w:r>
          </w:p>
        </w:tc>
      </w:tr>
    </w:tbl>
    <w:p w14:paraId="3F250623" w14:textId="77777777" w:rsidR="009E4087" w:rsidRDefault="009E4087">
      <w:pPr>
        <w:spacing w:before="82"/>
      </w:pPr>
    </w:p>
    <w:p w14:paraId="3F250624" w14:textId="446D0FC4" w:rsidR="009E4087" w:rsidRDefault="00000000">
      <w:pPr>
        <w:pStyle w:val="ListParagraph"/>
        <w:numPr>
          <w:ilvl w:val="0"/>
          <w:numId w:val="1"/>
        </w:numPr>
        <w:tabs>
          <w:tab w:val="left" w:pos="272"/>
        </w:tabs>
        <w:spacing w:after="3" w:line="312" w:lineRule="auto"/>
        <w:ind w:left="102" w:right="104" w:firstLine="0"/>
      </w:pPr>
      <w:r>
        <w:rPr>
          <w:b/>
          <w:spacing w:val="28"/>
          <w:u w:val="single"/>
        </w:rPr>
        <w:t xml:space="preserve"> </w:t>
      </w:r>
      <w:r w:rsidR="004D2EAC" w:rsidRPr="000D5B7F">
        <w:rPr>
          <w:rFonts w:asciiTheme="minorHAnsi" w:eastAsia="Times New Roman" w:hAnsiTheme="minorHAnsi" w:cs="Arial"/>
        </w:rPr>
        <w:t xml:space="preserve">Subsequent replenishment is done by </w:t>
      </w:r>
      <w:r w:rsidR="004D2EAC">
        <w:rPr>
          <w:rFonts w:asciiTheme="minorHAnsi" w:eastAsia="Times New Roman" w:hAnsiTheme="minorHAnsi" w:cs="Arial"/>
        </w:rPr>
        <w:t>Payment Voucher</w:t>
      </w:r>
      <w:r w:rsidR="004D2EAC" w:rsidRPr="000D5B7F">
        <w:rPr>
          <w:rFonts w:asciiTheme="minorHAnsi" w:eastAsia="Times New Roman" w:hAnsiTheme="minorHAnsi" w:cs="Arial"/>
        </w:rPr>
        <w:t xml:space="preserve"> payable to the PCF Custodian. </w:t>
      </w:r>
      <w:r>
        <w:rPr>
          <w:spacing w:val="33"/>
        </w:rPr>
        <w:t xml:space="preserve"> </w:t>
      </w:r>
    </w:p>
    <w:tbl>
      <w:tblPr>
        <w:tblW w:w="0" w:type="auto"/>
        <w:tblInd w:w="1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781"/>
      </w:tblGrid>
      <w:tr w:rsidR="009E4087" w14:paraId="3F250627" w14:textId="77777777">
        <w:trPr>
          <w:trHeight w:val="349"/>
        </w:trPr>
        <w:tc>
          <w:tcPr>
            <w:tcW w:w="3961" w:type="dxa"/>
          </w:tcPr>
          <w:p w14:paraId="3F250625" w14:textId="77777777" w:rsidR="009E4087" w:rsidRDefault="00000000">
            <w:pPr>
              <w:pStyle w:val="TableParagraph"/>
              <w:ind w:left="158"/>
            </w:pPr>
            <w:r>
              <w:t>Debit</w:t>
            </w:r>
            <w:r>
              <w:rPr>
                <w:spacing w:val="-5"/>
              </w:rPr>
              <w:t xml:space="preserve"> </w:t>
            </w:r>
            <w:r>
              <w:t>GL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Account:</w:t>
            </w:r>
          </w:p>
        </w:tc>
        <w:tc>
          <w:tcPr>
            <w:tcW w:w="3781" w:type="dxa"/>
          </w:tcPr>
          <w:p w14:paraId="3F250626" w14:textId="77777777" w:rsidR="009E4087" w:rsidRDefault="00000000">
            <w:pPr>
              <w:pStyle w:val="TableParagraph"/>
            </w:pPr>
            <w:r>
              <w:t>7XXXX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expense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accounts</w:t>
            </w:r>
          </w:p>
        </w:tc>
      </w:tr>
      <w:tr w:rsidR="009E4087" w14:paraId="3F25062A" w14:textId="77777777">
        <w:trPr>
          <w:trHeight w:val="347"/>
        </w:trPr>
        <w:tc>
          <w:tcPr>
            <w:tcW w:w="3961" w:type="dxa"/>
          </w:tcPr>
          <w:p w14:paraId="3F250628" w14:textId="77777777" w:rsidR="009E4087" w:rsidRDefault="00000000">
            <w:pPr>
              <w:pStyle w:val="TableParagraph"/>
            </w:pPr>
            <w:r>
              <w:t>Credit</w:t>
            </w:r>
            <w:r>
              <w:rPr>
                <w:spacing w:val="-4"/>
              </w:rPr>
              <w:t xml:space="preserve"> </w:t>
            </w:r>
            <w:r>
              <w:t>GL</w:t>
            </w:r>
            <w:r>
              <w:rPr>
                <w:spacing w:val="-2"/>
              </w:rPr>
              <w:t xml:space="preserve"> Account:</w:t>
            </w:r>
          </w:p>
        </w:tc>
        <w:tc>
          <w:tcPr>
            <w:tcW w:w="3781" w:type="dxa"/>
          </w:tcPr>
          <w:p w14:paraId="3F250629" w14:textId="77777777" w:rsidR="009E4087" w:rsidRDefault="00000000">
            <w:pPr>
              <w:pStyle w:val="TableParagraph"/>
            </w:pPr>
            <w:r>
              <w:t>16105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Petty</w:t>
            </w:r>
            <w:r>
              <w:rPr>
                <w:spacing w:val="-3"/>
              </w:rPr>
              <w:t xml:space="preserve"> </w:t>
            </w:r>
            <w:r>
              <w:t>Cash</w:t>
            </w:r>
            <w:r>
              <w:rPr>
                <w:spacing w:val="-2"/>
              </w:rPr>
              <w:t xml:space="preserve"> Fund_PCF</w:t>
            </w:r>
          </w:p>
        </w:tc>
      </w:tr>
      <w:tr w:rsidR="009E4087" w14:paraId="3F25062D" w14:textId="77777777">
        <w:trPr>
          <w:trHeight w:val="349"/>
        </w:trPr>
        <w:tc>
          <w:tcPr>
            <w:tcW w:w="3961" w:type="dxa"/>
          </w:tcPr>
          <w:p w14:paraId="3F25062B" w14:textId="77777777" w:rsidR="009E4087" w:rsidRDefault="00000000">
            <w:pPr>
              <w:pStyle w:val="TableParagraph"/>
              <w:spacing w:line="267" w:lineRule="exact"/>
            </w:pPr>
            <w:r>
              <w:t>Operating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Unit:</w:t>
            </w:r>
          </w:p>
        </w:tc>
        <w:tc>
          <w:tcPr>
            <w:tcW w:w="3781" w:type="dxa"/>
          </w:tcPr>
          <w:p w14:paraId="3F25062C" w14:textId="77777777" w:rsidR="009E4087" w:rsidRDefault="00000000">
            <w:pPr>
              <w:pStyle w:val="TableParagraph"/>
              <w:spacing w:line="267" w:lineRule="exact"/>
            </w:pPr>
            <w:r>
              <w:t>CO’s</w:t>
            </w:r>
            <w:r>
              <w:rPr>
                <w:spacing w:val="-4"/>
              </w:rPr>
              <w:t xml:space="preserve"> </w:t>
            </w:r>
            <w:r>
              <w:t>operating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</w:tr>
      <w:tr w:rsidR="009E4087" w14:paraId="3F250630" w14:textId="77777777">
        <w:trPr>
          <w:trHeight w:val="349"/>
        </w:trPr>
        <w:tc>
          <w:tcPr>
            <w:tcW w:w="3961" w:type="dxa"/>
          </w:tcPr>
          <w:p w14:paraId="3F25062E" w14:textId="77777777" w:rsidR="009E4087" w:rsidRDefault="00000000">
            <w:pPr>
              <w:pStyle w:val="TableParagraph"/>
            </w:pPr>
            <w:r>
              <w:t>Fund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Code:</w:t>
            </w:r>
          </w:p>
        </w:tc>
        <w:tc>
          <w:tcPr>
            <w:tcW w:w="3781" w:type="dxa"/>
          </w:tcPr>
          <w:p w14:paraId="3F25062F" w14:textId="77777777" w:rsidR="009E408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00001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16105</w:t>
            </w:r>
            <w:r>
              <w:rPr>
                <w:b/>
                <w:spacing w:val="-2"/>
              </w:rPr>
              <w:t xml:space="preserve"> always</w:t>
            </w:r>
          </w:p>
        </w:tc>
      </w:tr>
      <w:tr w:rsidR="009E4087" w14:paraId="3F250633" w14:textId="77777777" w:rsidTr="00AE315E">
        <w:trPr>
          <w:trHeight w:val="349"/>
        </w:trPr>
        <w:tc>
          <w:tcPr>
            <w:tcW w:w="3961" w:type="dxa"/>
            <w:tcBorders>
              <w:bottom w:val="single" w:sz="8" w:space="0" w:color="000000"/>
            </w:tcBorders>
          </w:tcPr>
          <w:p w14:paraId="3F250631" w14:textId="77777777" w:rsidR="009E4087" w:rsidRDefault="00000000">
            <w:pPr>
              <w:pStyle w:val="TableParagraph"/>
            </w:pPr>
            <w:r>
              <w:rPr>
                <w:spacing w:val="-2"/>
              </w:rPr>
              <w:t>Department:</w:t>
            </w:r>
          </w:p>
        </w:tc>
        <w:tc>
          <w:tcPr>
            <w:tcW w:w="3781" w:type="dxa"/>
            <w:tcBorders>
              <w:bottom w:val="single" w:sz="8" w:space="0" w:color="000000"/>
            </w:tcBorders>
          </w:tcPr>
          <w:p w14:paraId="3F250632" w14:textId="77777777" w:rsidR="009E4087" w:rsidRDefault="00000000">
            <w:pPr>
              <w:pStyle w:val="TableParagraph"/>
            </w:pPr>
            <w:r>
              <w:t>Respective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</w:tr>
      <w:tr w:rsidR="00AE315E" w14:paraId="3F25063F" w14:textId="77777777" w:rsidTr="0052358D">
        <w:trPr>
          <w:trHeight w:val="60"/>
        </w:trPr>
        <w:tc>
          <w:tcPr>
            <w:tcW w:w="3961" w:type="dxa"/>
            <w:tcBorders>
              <w:bottom w:val="single" w:sz="4" w:space="0" w:color="auto"/>
            </w:tcBorders>
          </w:tcPr>
          <w:p w14:paraId="3F25063D" w14:textId="445EC562" w:rsidR="00AE315E" w:rsidRDefault="00AE315E" w:rsidP="00AE315E">
            <w:pPr>
              <w:pStyle w:val="TableParagraph"/>
            </w:pPr>
            <w:r w:rsidRPr="00FA1B21">
              <w:t>Supplier</w:t>
            </w:r>
            <w:r w:rsidR="0052358D">
              <w:t>: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3F25063E" w14:textId="5F19EDC2" w:rsidR="00AE315E" w:rsidRDefault="00AE315E" w:rsidP="00AE315E">
            <w:pPr>
              <w:pStyle w:val="TableParagraph"/>
            </w:pPr>
            <w:r>
              <w:rPr>
                <w:rFonts w:asciiTheme="minorHAnsi" w:eastAsia="Times New Roman" w:hAnsiTheme="minorHAnsi" w:cs="Arial"/>
              </w:rPr>
              <w:t xml:space="preserve">PCF </w:t>
            </w:r>
            <w:r w:rsidRPr="00BE0A85">
              <w:rPr>
                <w:rFonts w:asciiTheme="minorHAnsi" w:eastAsia="Times New Roman" w:hAnsiTheme="minorHAnsi" w:cs="Arial"/>
              </w:rPr>
              <w:t xml:space="preserve">Custodian’s </w:t>
            </w:r>
            <w:r>
              <w:rPr>
                <w:rFonts w:asciiTheme="minorHAnsi" w:eastAsia="Times New Roman" w:hAnsiTheme="minorHAnsi" w:cs="Arial"/>
              </w:rPr>
              <w:t xml:space="preserve">Staff/Supplier </w:t>
            </w:r>
            <w:r w:rsidRPr="00BE0A85">
              <w:rPr>
                <w:rFonts w:asciiTheme="minorHAnsi" w:eastAsia="Times New Roman" w:hAnsiTheme="minorHAnsi" w:cs="Arial"/>
              </w:rPr>
              <w:t>ID</w:t>
            </w:r>
          </w:p>
        </w:tc>
      </w:tr>
    </w:tbl>
    <w:p w14:paraId="3F250643" w14:textId="77777777" w:rsidR="009E4087" w:rsidRDefault="009E4087"/>
    <w:p w14:paraId="3F250644" w14:textId="77777777" w:rsidR="009E4087" w:rsidRDefault="009E4087">
      <w:pPr>
        <w:spacing w:before="161"/>
      </w:pPr>
    </w:p>
    <w:p w14:paraId="3F250645" w14:textId="06FCEEAA" w:rsidR="009E4087" w:rsidRDefault="00000000">
      <w:pPr>
        <w:pStyle w:val="ListParagraph"/>
        <w:numPr>
          <w:ilvl w:val="0"/>
          <w:numId w:val="1"/>
        </w:numPr>
        <w:tabs>
          <w:tab w:val="left" w:pos="272"/>
        </w:tabs>
        <w:spacing w:before="1"/>
        <w:ind w:left="272" w:hanging="170"/>
      </w:pPr>
      <w:r>
        <w:rPr>
          <w:b/>
          <w:spacing w:val="-6"/>
          <w:u w:val="single"/>
        </w:rPr>
        <w:t xml:space="preserve"> </w:t>
      </w:r>
      <w:r w:rsidR="00685740">
        <w:rPr>
          <w:b/>
          <w:u w:val="single"/>
        </w:rPr>
        <w:t>Credit Memo</w:t>
      </w:r>
      <w:r>
        <w:rPr>
          <w:b/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year-end</w:t>
      </w:r>
      <w:r>
        <w:rPr>
          <w:spacing w:val="-5"/>
        </w:rPr>
        <w:t xml:space="preserve"> </w:t>
      </w:r>
      <w:r>
        <w:t>deposit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PCF</w:t>
      </w:r>
      <w:r>
        <w:rPr>
          <w:spacing w:val="-6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CO’s</w:t>
      </w:r>
      <w:r>
        <w:rPr>
          <w:spacing w:val="-5"/>
        </w:rPr>
        <w:t xml:space="preserve"> </w:t>
      </w:r>
      <w:r>
        <w:t>bank</w:t>
      </w:r>
      <w:r>
        <w:rPr>
          <w:spacing w:val="-2"/>
        </w:rPr>
        <w:t xml:space="preserve"> account:</w:t>
      </w:r>
    </w:p>
    <w:p w14:paraId="3F250646" w14:textId="77777777" w:rsidR="009E4087" w:rsidRDefault="009E4087">
      <w:pPr>
        <w:spacing w:before="37"/>
        <w:rPr>
          <w:sz w:val="20"/>
        </w:rPr>
      </w:pPr>
    </w:p>
    <w:tbl>
      <w:tblPr>
        <w:tblW w:w="0" w:type="auto"/>
        <w:tblInd w:w="1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3781"/>
      </w:tblGrid>
      <w:tr w:rsidR="009E4087" w14:paraId="3F250649" w14:textId="77777777">
        <w:trPr>
          <w:trHeight w:val="349"/>
        </w:trPr>
        <w:tc>
          <w:tcPr>
            <w:tcW w:w="3961" w:type="dxa"/>
          </w:tcPr>
          <w:p w14:paraId="3F250647" w14:textId="77777777" w:rsidR="009E4087" w:rsidRDefault="00000000">
            <w:pPr>
              <w:pStyle w:val="TableParagraph"/>
              <w:spacing w:line="267" w:lineRule="exact"/>
            </w:pPr>
            <w:r>
              <w:t>Debit</w:t>
            </w:r>
            <w:r>
              <w:rPr>
                <w:spacing w:val="-3"/>
              </w:rPr>
              <w:t xml:space="preserve"> </w:t>
            </w:r>
            <w:r>
              <w:t>GL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Account:</w:t>
            </w:r>
          </w:p>
        </w:tc>
        <w:tc>
          <w:tcPr>
            <w:tcW w:w="3781" w:type="dxa"/>
          </w:tcPr>
          <w:p w14:paraId="3F250648" w14:textId="77777777" w:rsidR="009E4087" w:rsidRDefault="00000000">
            <w:pPr>
              <w:pStyle w:val="TableParagraph"/>
              <w:spacing w:line="267" w:lineRule="exact"/>
            </w:pPr>
            <w:r>
              <w:t>11005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Cash</w:t>
            </w:r>
          </w:p>
        </w:tc>
      </w:tr>
      <w:tr w:rsidR="009E4087" w14:paraId="3F25064C" w14:textId="77777777">
        <w:trPr>
          <w:trHeight w:val="350"/>
        </w:trPr>
        <w:tc>
          <w:tcPr>
            <w:tcW w:w="3961" w:type="dxa"/>
          </w:tcPr>
          <w:p w14:paraId="3F25064A" w14:textId="77777777" w:rsidR="009E4087" w:rsidRDefault="00000000">
            <w:pPr>
              <w:pStyle w:val="TableParagraph"/>
              <w:spacing w:line="268" w:lineRule="exact"/>
            </w:pPr>
            <w:r>
              <w:t>Credit</w:t>
            </w:r>
            <w:r>
              <w:rPr>
                <w:spacing w:val="-4"/>
              </w:rPr>
              <w:t xml:space="preserve"> </w:t>
            </w:r>
            <w:r>
              <w:t>GL</w:t>
            </w:r>
            <w:r>
              <w:rPr>
                <w:spacing w:val="-2"/>
              </w:rPr>
              <w:t xml:space="preserve"> Account:</w:t>
            </w:r>
          </w:p>
        </w:tc>
        <w:tc>
          <w:tcPr>
            <w:tcW w:w="3781" w:type="dxa"/>
          </w:tcPr>
          <w:p w14:paraId="3F25064B" w14:textId="77777777" w:rsidR="009E4087" w:rsidRDefault="00000000">
            <w:pPr>
              <w:pStyle w:val="TableParagraph"/>
              <w:spacing w:line="268" w:lineRule="exact"/>
            </w:pPr>
            <w:r>
              <w:t>16105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Petty</w:t>
            </w:r>
            <w:r>
              <w:rPr>
                <w:spacing w:val="-3"/>
              </w:rPr>
              <w:t xml:space="preserve"> </w:t>
            </w:r>
            <w:r>
              <w:t>Cash</w:t>
            </w:r>
            <w:r>
              <w:rPr>
                <w:spacing w:val="-2"/>
              </w:rPr>
              <w:t xml:space="preserve"> Fund_PCF</w:t>
            </w:r>
          </w:p>
        </w:tc>
      </w:tr>
      <w:tr w:rsidR="009E4087" w14:paraId="3F25064F" w14:textId="77777777">
        <w:trPr>
          <w:trHeight w:val="349"/>
        </w:trPr>
        <w:tc>
          <w:tcPr>
            <w:tcW w:w="3961" w:type="dxa"/>
          </w:tcPr>
          <w:p w14:paraId="3F25064D" w14:textId="77777777" w:rsidR="009E4087" w:rsidRDefault="00000000">
            <w:pPr>
              <w:pStyle w:val="TableParagraph"/>
            </w:pPr>
            <w:r>
              <w:t>Operating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Unit:</w:t>
            </w:r>
          </w:p>
        </w:tc>
        <w:tc>
          <w:tcPr>
            <w:tcW w:w="3781" w:type="dxa"/>
          </w:tcPr>
          <w:p w14:paraId="3F25064E" w14:textId="77777777" w:rsidR="009E4087" w:rsidRDefault="00000000">
            <w:pPr>
              <w:pStyle w:val="TableParagraph"/>
            </w:pPr>
            <w:r>
              <w:t>CO’s</w:t>
            </w:r>
            <w:r>
              <w:rPr>
                <w:spacing w:val="-4"/>
              </w:rPr>
              <w:t xml:space="preserve"> </w:t>
            </w:r>
            <w:r>
              <w:t>operating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</w:tr>
      <w:tr w:rsidR="009E4087" w14:paraId="3F250652" w14:textId="77777777">
        <w:trPr>
          <w:trHeight w:val="349"/>
        </w:trPr>
        <w:tc>
          <w:tcPr>
            <w:tcW w:w="3961" w:type="dxa"/>
          </w:tcPr>
          <w:p w14:paraId="3F250650" w14:textId="77777777" w:rsidR="009E4087" w:rsidRDefault="00000000">
            <w:pPr>
              <w:pStyle w:val="TableParagraph"/>
            </w:pPr>
            <w:r>
              <w:t>Fund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Code:</w:t>
            </w:r>
          </w:p>
        </w:tc>
        <w:tc>
          <w:tcPr>
            <w:tcW w:w="3781" w:type="dxa"/>
          </w:tcPr>
          <w:p w14:paraId="3F250651" w14:textId="77777777" w:rsidR="009E4087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00001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16105</w:t>
            </w:r>
            <w:r>
              <w:rPr>
                <w:b/>
                <w:spacing w:val="-2"/>
              </w:rPr>
              <w:t xml:space="preserve"> always</w:t>
            </w:r>
          </w:p>
        </w:tc>
      </w:tr>
      <w:tr w:rsidR="009E4087" w14:paraId="3F250655" w14:textId="77777777" w:rsidTr="0052358D">
        <w:trPr>
          <w:trHeight w:val="347"/>
        </w:trPr>
        <w:tc>
          <w:tcPr>
            <w:tcW w:w="3961" w:type="dxa"/>
            <w:tcBorders>
              <w:bottom w:val="single" w:sz="8" w:space="0" w:color="000000"/>
            </w:tcBorders>
          </w:tcPr>
          <w:p w14:paraId="3F250653" w14:textId="77777777" w:rsidR="009E4087" w:rsidRDefault="00000000">
            <w:pPr>
              <w:pStyle w:val="TableParagraph"/>
            </w:pPr>
            <w:r>
              <w:rPr>
                <w:spacing w:val="-2"/>
              </w:rPr>
              <w:t>Department:</w:t>
            </w:r>
          </w:p>
        </w:tc>
        <w:tc>
          <w:tcPr>
            <w:tcW w:w="3781" w:type="dxa"/>
            <w:tcBorders>
              <w:bottom w:val="single" w:sz="8" w:space="0" w:color="000000"/>
            </w:tcBorders>
          </w:tcPr>
          <w:p w14:paraId="3F250654" w14:textId="77777777" w:rsidR="009E4087" w:rsidRDefault="00000000">
            <w:pPr>
              <w:pStyle w:val="TableParagraph"/>
            </w:pPr>
            <w:r>
              <w:t>Respective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</w:tr>
      <w:tr w:rsidR="009E4087" w14:paraId="3F250661" w14:textId="77777777" w:rsidTr="0052358D">
        <w:trPr>
          <w:trHeight w:val="325"/>
        </w:trPr>
        <w:tc>
          <w:tcPr>
            <w:tcW w:w="3961" w:type="dxa"/>
            <w:tcBorders>
              <w:bottom w:val="single" w:sz="4" w:space="0" w:color="auto"/>
            </w:tcBorders>
          </w:tcPr>
          <w:p w14:paraId="3F25065F" w14:textId="00F64912" w:rsidR="009E4087" w:rsidRDefault="0052358D">
            <w:pPr>
              <w:pStyle w:val="TableParagraph"/>
            </w:pPr>
            <w:r w:rsidRPr="00FA1B21">
              <w:t>Supplier</w:t>
            </w:r>
            <w:r>
              <w:t>: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3F250660" w14:textId="00C31D72" w:rsidR="009E4087" w:rsidRDefault="0052358D">
            <w:pPr>
              <w:pStyle w:val="TableParagraph"/>
            </w:pPr>
            <w:r>
              <w:rPr>
                <w:rFonts w:asciiTheme="minorHAnsi" w:eastAsia="Times New Roman" w:hAnsiTheme="minorHAnsi" w:cs="Arial"/>
              </w:rPr>
              <w:t xml:space="preserve">PCF </w:t>
            </w:r>
            <w:r w:rsidRPr="00BE0A85">
              <w:rPr>
                <w:rFonts w:asciiTheme="minorHAnsi" w:eastAsia="Times New Roman" w:hAnsiTheme="minorHAnsi" w:cs="Arial"/>
              </w:rPr>
              <w:t xml:space="preserve">Custodian’s </w:t>
            </w:r>
            <w:r>
              <w:rPr>
                <w:rFonts w:asciiTheme="minorHAnsi" w:eastAsia="Times New Roman" w:hAnsiTheme="minorHAnsi" w:cs="Arial"/>
              </w:rPr>
              <w:t xml:space="preserve">Staff/Supplier </w:t>
            </w:r>
            <w:r w:rsidRPr="00BE0A85">
              <w:rPr>
                <w:rFonts w:asciiTheme="minorHAnsi" w:eastAsia="Times New Roman" w:hAnsiTheme="minorHAnsi" w:cs="Arial"/>
              </w:rPr>
              <w:t>ID</w:t>
            </w:r>
          </w:p>
        </w:tc>
      </w:tr>
    </w:tbl>
    <w:p w14:paraId="79B32057" w14:textId="77777777" w:rsidR="00CD76C8" w:rsidRDefault="00CD76C8">
      <w:pPr>
        <w:pStyle w:val="BodyText"/>
        <w:spacing w:before="31" w:line="312" w:lineRule="auto"/>
        <w:ind w:left="102" w:right="103"/>
        <w:jc w:val="both"/>
      </w:pPr>
    </w:p>
    <w:p w14:paraId="3F250666" w14:textId="27F203B8" w:rsidR="009E4087" w:rsidRDefault="00000000">
      <w:pPr>
        <w:pStyle w:val="BodyText"/>
        <w:spacing w:before="31" w:line="312" w:lineRule="auto"/>
        <w:ind w:left="102" w:right="103"/>
        <w:jc w:val="both"/>
      </w:pPr>
      <w:r>
        <w:t>Caution: All transactions in PCF (</w:t>
      </w:r>
      <w:r w:rsidR="0052358D">
        <w:rPr>
          <w:u w:val="single"/>
        </w:rPr>
        <w:t>Prepayments</w:t>
      </w:r>
      <w:r>
        <w:t xml:space="preserve">, </w:t>
      </w:r>
      <w:r w:rsidR="00CD76C8">
        <w:rPr>
          <w:u w:val="single"/>
        </w:rPr>
        <w:t>Payment Vouchers</w:t>
      </w:r>
      <w:r>
        <w:t xml:space="preserve">, and </w:t>
      </w:r>
      <w:r w:rsidR="0052358D">
        <w:rPr>
          <w:u w:val="single"/>
        </w:rPr>
        <w:t>Credit Memos</w:t>
      </w:r>
      <w:r>
        <w:t xml:space="preserve">) must be recorded in the currency code in </w:t>
      </w:r>
      <w:r w:rsidR="00822EDE">
        <w:t>Quantum</w:t>
      </w:r>
      <w:r>
        <w:t xml:space="preserve"> that matches the actual currency in which the PCF is held. Using incorrect currency code in </w:t>
      </w:r>
      <w:r w:rsidR="00822EDE">
        <w:t>Quantum</w:t>
      </w:r>
      <w:r>
        <w:t xml:space="preserve"> will lead to inaccurate valuation of the PCF in the financial </w:t>
      </w:r>
      <w:r>
        <w:rPr>
          <w:spacing w:val="-2"/>
        </w:rPr>
        <w:t>statements.</w:t>
      </w:r>
    </w:p>
    <w:p w14:paraId="3F250667" w14:textId="77777777" w:rsidR="009E4087" w:rsidRDefault="009E4087">
      <w:pPr>
        <w:spacing w:before="82"/>
        <w:rPr>
          <w:b/>
          <w:i/>
        </w:rPr>
      </w:pPr>
    </w:p>
    <w:p w14:paraId="3F250668" w14:textId="77777777" w:rsidR="009E4087" w:rsidRDefault="00000000">
      <w:pPr>
        <w:pStyle w:val="BodyText"/>
        <w:spacing w:before="1" w:line="312" w:lineRule="auto"/>
        <w:ind w:left="102" w:right="104"/>
        <w:jc w:val="both"/>
      </w:pPr>
      <w:r>
        <w:t xml:space="preserve">Caution: COs must </w:t>
      </w:r>
      <w:r>
        <w:rPr>
          <w:u w:val="single"/>
        </w:rPr>
        <w:t>never</w:t>
      </w:r>
      <w:r>
        <w:t xml:space="preserve"> use any GLJEs to record PCF transactions and should </w:t>
      </w:r>
      <w:r>
        <w:rPr>
          <w:u w:val="single"/>
        </w:rPr>
        <w:t>never</w:t>
      </w:r>
      <w:r>
        <w:t xml:space="preserve"> record any FX gain/loss. HQ runs the revaluation process to recognize the FX gain/loss in conjunction with the preparation of the annual financial statements.</w:t>
      </w:r>
    </w:p>
    <w:sectPr w:rsidR="009E4087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803"/>
    <w:multiLevelType w:val="hybridMultilevel"/>
    <w:tmpl w:val="6C9C1158"/>
    <w:lvl w:ilvl="0" w:tplc="B44AEA0E">
      <w:start w:val="1"/>
      <w:numFmt w:val="decimal"/>
      <w:lvlText w:val="%1."/>
      <w:lvlJc w:val="left"/>
      <w:pPr>
        <w:ind w:left="32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2"/>
        <w:szCs w:val="22"/>
        <w:u w:val="single" w:color="000000"/>
        <w:lang w:val="en-US" w:eastAsia="en-US" w:bidi="ar-SA"/>
      </w:rPr>
    </w:lvl>
    <w:lvl w:ilvl="1" w:tplc="E2B49B78">
      <w:numFmt w:val="bullet"/>
      <w:lvlText w:val="•"/>
      <w:lvlJc w:val="left"/>
      <w:pPr>
        <w:ind w:left="1244" w:hanging="221"/>
      </w:pPr>
      <w:rPr>
        <w:rFonts w:hint="default"/>
        <w:lang w:val="en-US" w:eastAsia="en-US" w:bidi="ar-SA"/>
      </w:rPr>
    </w:lvl>
    <w:lvl w:ilvl="2" w:tplc="B10A6EA6">
      <w:numFmt w:val="bullet"/>
      <w:lvlText w:val="•"/>
      <w:lvlJc w:val="left"/>
      <w:pPr>
        <w:ind w:left="2169" w:hanging="221"/>
      </w:pPr>
      <w:rPr>
        <w:rFonts w:hint="default"/>
        <w:lang w:val="en-US" w:eastAsia="en-US" w:bidi="ar-SA"/>
      </w:rPr>
    </w:lvl>
    <w:lvl w:ilvl="3" w:tplc="574C6506">
      <w:numFmt w:val="bullet"/>
      <w:lvlText w:val="•"/>
      <w:lvlJc w:val="left"/>
      <w:pPr>
        <w:ind w:left="3093" w:hanging="221"/>
      </w:pPr>
      <w:rPr>
        <w:rFonts w:hint="default"/>
        <w:lang w:val="en-US" w:eastAsia="en-US" w:bidi="ar-SA"/>
      </w:rPr>
    </w:lvl>
    <w:lvl w:ilvl="4" w:tplc="2458B1A0">
      <w:numFmt w:val="bullet"/>
      <w:lvlText w:val="•"/>
      <w:lvlJc w:val="left"/>
      <w:pPr>
        <w:ind w:left="4018" w:hanging="221"/>
      </w:pPr>
      <w:rPr>
        <w:rFonts w:hint="default"/>
        <w:lang w:val="en-US" w:eastAsia="en-US" w:bidi="ar-SA"/>
      </w:rPr>
    </w:lvl>
    <w:lvl w:ilvl="5" w:tplc="F998EFEE">
      <w:numFmt w:val="bullet"/>
      <w:lvlText w:val="•"/>
      <w:lvlJc w:val="left"/>
      <w:pPr>
        <w:ind w:left="4943" w:hanging="221"/>
      </w:pPr>
      <w:rPr>
        <w:rFonts w:hint="default"/>
        <w:lang w:val="en-US" w:eastAsia="en-US" w:bidi="ar-SA"/>
      </w:rPr>
    </w:lvl>
    <w:lvl w:ilvl="6" w:tplc="0D26ADFA">
      <w:numFmt w:val="bullet"/>
      <w:lvlText w:val="•"/>
      <w:lvlJc w:val="left"/>
      <w:pPr>
        <w:ind w:left="5867" w:hanging="221"/>
      </w:pPr>
      <w:rPr>
        <w:rFonts w:hint="default"/>
        <w:lang w:val="en-US" w:eastAsia="en-US" w:bidi="ar-SA"/>
      </w:rPr>
    </w:lvl>
    <w:lvl w:ilvl="7" w:tplc="EC029CE4">
      <w:numFmt w:val="bullet"/>
      <w:lvlText w:val="•"/>
      <w:lvlJc w:val="left"/>
      <w:pPr>
        <w:ind w:left="6792" w:hanging="221"/>
      </w:pPr>
      <w:rPr>
        <w:rFonts w:hint="default"/>
        <w:lang w:val="en-US" w:eastAsia="en-US" w:bidi="ar-SA"/>
      </w:rPr>
    </w:lvl>
    <w:lvl w:ilvl="8" w:tplc="5CCA3A92">
      <w:numFmt w:val="bullet"/>
      <w:lvlText w:val="•"/>
      <w:lvlJc w:val="left"/>
      <w:pPr>
        <w:ind w:left="7717" w:hanging="221"/>
      </w:pPr>
      <w:rPr>
        <w:rFonts w:hint="default"/>
        <w:lang w:val="en-US" w:eastAsia="en-US" w:bidi="ar-SA"/>
      </w:rPr>
    </w:lvl>
  </w:abstractNum>
  <w:num w:numId="1" w16cid:durableId="175762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87"/>
    <w:rsid w:val="00022C15"/>
    <w:rsid w:val="00220ED1"/>
    <w:rsid w:val="00223EF6"/>
    <w:rsid w:val="003C7293"/>
    <w:rsid w:val="003E1546"/>
    <w:rsid w:val="004D2EAC"/>
    <w:rsid w:val="0052358D"/>
    <w:rsid w:val="00685740"/>
    <w:rsid w:val="006D5606"/>
    <w:rsid w:val="007E4D8D"/>
    <w:rsid w:val="00822EDE"/>
    <w:rsid w:val="009E4087"/>
    <w:rsid w:val="00AE315E"/>
    <w:rsid w:val="00CD76C8"/>
    <w:rsid w:val="00D33956"/>
    <w:rsid w:val="00DA7E97"/>
    <w:rsid w:val="00E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0605"/>
  <w15:docId w15:val="{476AEF3F-4BBF-473B-8D10-058F6C70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</w:pPr>
    <w:rPr>
      <w:b/>
      <w:bCs/>
      <w:i/>
      <w:iCs/>
    </w:rPr>
  </w:style>
  <w:style w:type="paragraph" w:styleId="Title">
    <w:name w:val="Title"/>
    <w:basedOn w:val="Normal"/>
    <w:uiPriority w:val="10"/>
    <w:qFormat/>
    <w:pPr>
      <w:spacing w:before="14"/>
      <w:ind w:left="10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72" w:hanging="17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Claire Adrien</cp:lastModifiedBy>
  <cp:revision>16</cp:revision>
  <dcterms:created xsi:type="dcterms:W3CDTF">2025-01-17T17:38:00Z</dcterms:created>
  <dcterms:modified xsi:type="dcterms:W3CDTF">2025-01-17T18:01:00Z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2010</vt:lpwstr>
  </property>
</Properties>
</file>