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Override PartName="/docProps/custom.xml" ContentType="application/vnd.openxmlformats-officedocument.custom-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2132BF" w14:textId="77777777" w:rsidR="009D52E3" w:rsidRDefault="00001D58" w:rsidP="00072A63">
      <w:pPr>
        <w:pStyle w:val="Title"/>
        <w:jc w:val="right"/>
        <w:rPr>
          <w:rFonts w:ascii="Arial" w:hAnsi="Arial" w:cs="Arial"/>
          <w:iCs/>
          <w:sz w:val="32"/>
          <w:szCs w:val="32"/>
          <w:u w:val="none"/>
        </w:rPr>
      </w:pPr>
      <w:bookmarkStart w:id="0" w:name="_GoBack"/>
      <w:bookmarkEnd w:id="0"/>
      <w:r>
        <w:rPr>
          <w:rFonts w:ascii="Arial Black" w:hAnsi="Arial Black"/>
          <w:b w:val="0"/>
          <w:iCs/>
          <w:noProof/>
          <w:u w:val="none"/>
        </w:rPr>
        <mc:AlternateContent>
          <mc:Choice Requires="wps">
            <w:drawing>
              <wp:anchor distT="0" distB="0" distL="114300" distR="114300" simplePos="0" relativeHeight="251657728" behindDoc="0" locked="0" layoutInCell="1" allowOverlap="1" wp14:anchorId="782133A5" wp14:editId="782133A6">
                <wp:simplePos x="0" y="0"/>
                <wp:positionH relativeFrom="column">
                  <wp:posOffset>-377767</wp:posOffset>
                </wp:positionH>
                <wp:positionV relativeFrom="paragraph">
                  <wp:posOffset>-415290</wp:posOffset>
                </wp:positionV>
                <wp:extent cx="3383280" cy="356870"/>
                <wp:effectExtent l="0" t="0" r="7620" b="508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356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2133B4" w14:textId="77777777" w:rsidR="00445B6F" w:rsidRPr="00072A63" w:rsidRDefault="00072A63" w:rsidP="00445B6F">
                            <w:pPr>
                              <w:rPr>
                                <w:rFonts w:ascii="Myriad Pro" w:hAnsi="Myriad Pro"/>
                                <w:b/>
                              </w:rPr>
                            </w:pPr>
                            <w:r w:rsidRPr="00072A63">
                              <w:rPr>
                                <w:rFonts w:ascii="Myriad Pro" w:hAnsi="Myriad Pro"/>
                                <w:b/>
                              </w:rPr>
                              <w:t>United Nations Development Programme</w:t>
                            </w:r>
                          </w:p>
                        </w:txbxContent>
                      </wps:txbx>
                      <wps:bodyPr rot="0" vert="horz" wrap="square" lIns="95250" tIns="47625" rIns="95250" bIns="4762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9.75pt;margin-top:-32.7pt;width:266.4pt;height:2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" stroked="f">
                <v:textbox inset="7.5pt,3.75pt,7.5pt,3.75pt">
                  <w:txbxContent>
                    <w:p w14:paraId="782133B4" w14:textId="77777777" w:rsidR="00445B6F" w:rsidRPr="00072A63" w:rsidRDefault="00072A63" w:rsidP="00445B6F">
                      <w:pPr>
                        <w:rPr>
                          <w:rFonts w:ascii="Myriad Pro" w:hAnsi="Myriad Pro"/>
                          <w:b/>
                        </w:rPr>
                      </w:pPr>
                      <w:r w:rsidRPr="00072A63">
                        <w:rPr>
                          <w:rFonts w:ascii="Myriad Pro" w:hAnsi="Myriad Pro"/>
                          <w:b/>
                        </w:rPr>
                        <w:t>United Nations Development Programme</w:t>
                      </w:r>
                    </w:p>
                  </w:txbxContent>
                </v:textbox>
              </v:shape>
            </w:pict>
          </mc:Fallback>
        </mc:AlternateContent>
      </w:r>
      <w:r w:rsidR="00072A63" w:rsidRPr="00072A63">
        <w:rPr>
          <w:rFonts w:ascii="Arial" w:hAnsi="Arial" w:cs="Arial"/>
          <w:iCs/>
          <w:noProof/>
          <w:sz w:val="32"/>
          <w:szCs w:val="32"/>
          <w:u w:val="none"/>
        </w:rPr>
        <mc:AlternateContent>
          <mc:Choice Requires="wps">
            <w:drawing>
              <wp:anchor distT="0" distB="0" distL="114300" distR="114300" simplePos="0" relativeHeight="251660800" behindDoc="0" locked="0" layoutInCell="1" allowOverlap="1" wp14:anchorId="782133A7" wp14:editId="782133A8">
                <wp:simplePos x="0" y="0"/>
                <wp:positionH relativeFrom="column">
                  <wp:posOffset>307455</wp:posOffset>
                </wp:positionH>
                <wp:positionV relativeFrom="paragraph">
                  <wp:posOffset>398376</wp:posOffset>
                </wp:positionV>
                <wp:extent cx="5408064" cy="1403985"/>
                <wp:effectExtent l="0" t="0" r="254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064" cy="1403985"/>
                        </a:xfrm>
                        <a:prstGeom prst="rect">
                          <a:avLst/>
                        </a:prstGeom>
                        <a:solidFill>
                          <a:srgbClr val="FFFFFF"/>
                        </a:solidFill>
                        <a:ln w="9525">
                          <a:noFill/>
                          <a:miter lim="800000"/>
                          <a:headEnd/>
                          <a:tailEnd/>
                        </a:ln>
                      </wps:spPr>
                      <wps:txbx>
                        <w:txbxContent>
                          <w:p w14:paraId="782133B5" w14:textId="77777777" w:rsidR="00072A63" w:rsidRDefault="00072A63" w:rsidP="00072A63">
                            <w:pPr>
                              <w:pStyle w:val="Title"/>
                              <w:rPr>
                                <w:rFonts w:ascii="Arial" w:hAnsi="Arial" w:cs="Arial"/>
                                <w:iCs/>
                                <w:sz w:val="32"/>
                                <w:szCs w:val="32"/>
                                <w:u w:val="none"/>
                              </w:rPr>
                            </w:pPr>
                            <w:r>
                              <w:rPr>
                                <w:rFonts w:ascii="Arial" w:hAnsi="Arial" w:cs="Arial"/>
                                <w:iCs/>
                                <w:sz w:val="32"/>
                                <w:szCs w:val="32"/>
                                <w:u w:val="none"/>
                              </w:rPr>
                              <w:t xml:space="preserve">Headquarter Asset Adjustment </w:t>
                            </w:r>
                            <w:r>
                              <w:rPr>
                                <w:rFonts w:ascii="Arial" w:hAnsi="Arial" w:cs="Arial"/>
                                <w:iCs/>
                                <w:sz w:val="32"/>
                                <w:szCs w:val="32"/>
                                <w:u w:val="none"/>
                              </w:rPr>
                              <w:br/>
                              <w:t>Approval Form</w:t>
                            </w:r>
                          </w:p>
                          <w:p w14:paraId="782133B6" w14:textId="77777777" w:rsidR="00072A63" w:rsidRDefault="00072A6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position:absolute;left:0;text-align:left;margin-left:24.2pt;margin-top:31.35pt;width:425.85pt;height:110.55pt;z-index:25166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" stroked="f">
                <v:textbox style="mso-fit-shape-to-text:t">
                  <w:txbxContent>
                    <w:p w14:paraId="782133B5" w14:textId="77777777" w:rsidR="00072A63" w:rsidRDefault="00072A63" w:rsidP="00072A63">
                      <w:pPr>
                        <w:pStyle w:val="Title"/>
                        <w:rPr>
                          <w:rFonts w:ascii="Arial" w:hAnsi="Arial" w:cs="Arial"/>
                          <w:iCs/>
                          <w:sz w:val="32"/>
                          <w:szCs w:val="32"/>
                          <w:u w:val="none"/>
                        </w:rPr>
                      </w:pPr>
                      <w:r>
                        <w:rPr>
                          <w:rFonts w:ascii="Arial" w:hAnsi="Arial" w:cs="Arial"/>
                          <w:iCs/>
                          <w:sz w:val="32"/>
                          <w:szCs w:val="32"/>
                          <w:u w:val="none"/>
                        </w:rPr>
                        <w:t xml:space="preserve">Headquarter Asset Adjustment </w:t>
                      </w:r>
                      <w:r>
                        <w:rPr>
                          <w:rFonts w:ascii="Arial" w:hAnsi="Arial" w:cs="Arial"/>
                          <w:iCs/>
                          <w:sz w:val="32"/>
                          <w:szCs w:val="32"/>
                          <w:u w:val="none"/>
                        </w:rPr>
                        <w:br/>
                        <w:t>Approval Form</w:t>
                      </w:r>
                    </w:p>
                    <w:p w14:paraId="782133B6" w14:textId="77777777" w:rsidR="00072A63" w:rsidRDefault="00072A63"/>
                  </w:txbxContent>
                </v:textbox>
              </v:shape>
            </w:pict>
          </mc:Fallback>
        </mc:AlternateContent>
      </w:r>
      <w:r w:rsidR="00072A63">
        <w:rPr>
          <w:rFonts w:ascii="Arial" w:hAnsi="Arial" w:cs="Arial"/>
          <w:iCs/>
          <w:noProof/>
          <w:sz w:val="32"/>
          <w:szCs w:val="32"/>
          <w:u w:val="none"/>
        </w:rPr>
        <w:drawing>
          <wp:inline distT="0" distB="0" distL="0" distR="0" wp14:anchorId="782133A9" wp14:editId="782133AA">
            <wp:extent cx="847725" cy="181814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1">
                      <a:extLst>
                        <a:ext uri="{28A0092B-C50C-407E-A947-70E740481C1C}">
                          <a14:useLocalDpi xmlns:a14="http://schemas.microsoft.com/office/drawing/2010/main" val="0"/>
                        </a:ext>
                      </a:extLst>
                    </a:blip>
                    <a:stretch>
                      <a:fillRect/>
                    </a:stretch>
                  </pic:blipFill>
                  <pic:spPr>
                    <a:xfrm>
                      <a:off x="0" y="0"/>
                      <a:ext cx="847843" cy="1818401"/>
                    </a:xfrm>
                    <a:prstGeom prst="rect">
                      <a:avLst/>
                    </a:prstGeom>
                  </pic:spPr>
                </pic:pic>
              </a:graphicData>
            </a:graphic>
          </wp:inline>
        </w:drawing>
      </w:r>
    </w:p>
    <w:p w14:paraId="782132C0" w14:textId="77777777" w:rsidR="007A6D49" w:rsidRDefault="00072A63" w:rsidP="00072A63">
      <w:pPr>
        <w:pStyle w:val="Title"/>
        <w:tabs>
          <w:tab w:val="left" w:pos="3207"/>
        </w:tabs>
        <w:jc w:val="left"/>
        <w:rPr>
          <w:rFonts w:ascii="Arial" w:hAnsi="Arial" w:cs="Arial"/>
          <w:iCs/>
          <w:sz w:val="32"/>
          <w:szCs w:val="32"/>
          <w:u w:val="none"/>
        </w:rPr>
      </w:pPr>
      <w:r>
        <w:rPr>
          <w:rFonts w:ascii="Arial" w:hAnsi="Arial" w:cs="Arial"/>
          <w:iCs/>
          <w:sz w:val="32"/>
          <w:szCs w:val="32"/>
          <w:u w:val="none"/>
        </w:rPr>
        <w:tab/>
      </w:r>
      <w:r w:rsidR="006C2A64">
        <w:rPr>
          <w:rFonts w:ascii="Arial" w:hAnsi="Arial" w:cs="Arial"/>
          <w:iCs/>
          <w:noProof/>
          <w:sz w:val="32"/>
          <w:szCs w:val="32"/>
          <w:u w:val="none"/>
        </w:rPr>
        <mc:AlternateContent>
          <mc:Choice Requires="wps">
            <w:drawing>
              <wp:anchor distT="0" distB="0" distL="114300" distR="114300" simplePos="0" relativeHeight="251658752" behindDoc="0" locked="0" layoutInCell="1" allowOverlap="1" wp14:anchorId="782133AB" wp14:editId="782133AC">
                <wp:simplePos x="0" y="0"/>
                <wp:positionH relativeFrom="column">
                  <wp:posOffset>-272415</wp:posOffset>
                </wp:positionH>
                <wp:positionV relativeFrom="paragraph">
                  <wp:posOffset>187325</wp:posOffset>
                </wp:positionV>
                <wp:extent cx="2655570" cy="396240"/>
                <wp:effectExtent l="13335" t="6350" r="7620" b="698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5570" cy="396240"/>
                        </a:xfrm>
                        <a:prstGeom prst="rect">
                          <a:avLst/>
                        </a:prstGeom>
                        <a:solidFill>
                          <a:srgbClr val="FFFFFF"/>
                        </a:solidFill>
                        <a:ln w="9525">
                          <a:solidFill>
                            <a:srgbClr val="FFFFFF"/>
                          </a:solidFill>
                          <a:miter lim="800000"/>
                          <a:headEnd/>
                          <a:tailEnd/>
                        </a:ln>
                      </wps:spPr>
                      <wps:txbx>
                        <w:txbxContent>
                          <w:p w14:paraId="782133B7" w14:textId="77777777" w:rsidR="00CB38B7" w:rsidRPr="00E80683" w:rsidRDefault="00902B03" w:rsidP="00CB38B7">
                            <w:pPr>
                              <w:rPr>
                                <w:sz w:val="16"/>
                                <w:szCs w:val="16"/>
                              </w:rPr>
                            </w:pPr>
                            <w:r>
                              <w:rPr>
                                <w:b/>
                                <w:highlight w:val="yellow"/>
                              </w:rPr>
                              <w:t>HQ-AAA</w:t>
                            </w:r>
                            <w:r w:rsidR="00CB38B7" w:rsidRPr="00E80683">
                              <w:rPr>
                                <w:b/>
                                <w:highlight w:val="yellow"/>
                              </w:rPr>
                              <w:t xml:space="preserve"> No:</w:t>
                            </w:r>
                            <w:r w:rsidR="00CB38B7">
                              <w:t xml:space="preserve"> ______________</w:t>
                            </w:r>
                            <w:r w:rsidR="00CB38B7">
                              <w:br/>
                            </w:r>
                            <w:r w:rsidR="00CB38B7">
                              <w:rPr>
                                <w:sz w:val="16"/>
                                <w:szCs w:val="16"/>
                              </w:rPr>
                              <w:t>(To be filled by ASD)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21.45pt;margin-top:14.75pt;width:209.1pt;height:3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" strokecolor="white">
                <v:textbox>
                  <w:txbxContent>
                    <w:p w14:paraId="782133B7" w14:textId="77777777" w:rsidR="00CB38B7" w:rsidRPr="00E80683" w:rsidRDefault="00902B03" w:rsidP="00CB38B7">
                      <w:pPr>
                        <w:rPr>
                          <w:sz w:val="16"/>
                          <w:szCs w:val="16"/>
                        </w:rPr>
                      </w:pPr>
                      <w:r>
                        <w:rPr>
                          <w:b/>
                          <w:highlight w:val="yellow"/>
                        </w:rPr>
                        <w:t>HQ-AAA</w:t>
                      </w:r>
                      <w:r w:rsidR="00CB38B7" w:rsidRPr="00E80683">
                        <w:rPr>
                          <w:b/>
                          <w:highlight w:val="yellow"/>
                        </w:rPr>
                        <w:t xml:space="preserve"> No:</w:t>
                      </w:r>
                      <w:r w:rsidR="00CB38B7">
                        <w:t xml:space="preserve"> ______________</w:t>
                      </w:r>
                      <w:r w:rsidR="00CB38B7">
                        <w:br/>
                      </w:r>
                      <w:r w:rsidR="00CB38B7">
                        <w:rPr>
                          <w:sz w:val="16"/>
                          <w:szCs w:val="16"/>
                        </w:rPr>
                        <w:t>(To be filled by ASD)</w:t>
                      </w:r>
                    </w:p>
                  </w:txbxContent>
                </v:textbox>
              </v:shape>
            </w:pict>
          </mc:Fallback>
        </mc:AlternateContent>
      </w:r>
    </w:p>
    <w:p w14:paraId="782132C1" w14:textId="77777777" w:rsidR="00CB38B7" w:rsidRDefault="00CB38B7" w:rsidP="007A6D49">
      <w:pPr>
        <w:pStyle w:val="Title"/>
        <w:jc w:val="left"/>
        <w:rPr>
          <w:rFonts w:ascii="Arial" w:hAnsi="Arial" w:cs="Arial"/>
          <w:b w:val="0"/>
          <w:iCs/>
          <w:sz w:val="22"/>
          <w:szCs w:val="32"/>
          <w:u w:val="none"/>
        </w:rPr>
      </w:pPr>
    </w:p>
    <w:p w14:paraId="782132C2" w14:textId="77777777" w:rsidR="00CB38B7" w:rsidRDefault="00CB38B7" w:rsidP="007A6D49">
      <w:pPr>
        <w:pStyle w:val="Title"/>
        <w:jc w:val="left"/>
        <w:rPr>
          <w:rFonts w:ascii="Arial" w:hAnsi="Arial" w:cs="Arial"/>
          <w:b w:val="0"/>
          <w:iCs/>
          <w:sz w:val="22"/>
          <w:szCs w:val="32"/>
          <w:u w:val="none"/>
        </w:rPr>
      </w:pPr>
    </w:p>
    <w:p w14:paraId="782132C3" w14:textId="77777777" w:rsidR="00CB38B7" w:rsidRDefault="00CB38B7" w:rsidP="007A6D49">
      <w:pPr>
        <w:pStyle w:val="Title"/>
        <w:jc w:val="left"/>
        <w:rPr>
          <w:rFonts w:ascii="Arial" w:hAnsi="Arial" w:cs="Arial"/>
          <w:b w:val="0"/>
          <w:iCs/>
          <w:sz w:val="22"/>
          <w:szCs w:val="32"/>
          <w:u w:val="none"/>
        </w:rPr>
      </w:pPr>
    </w:p>
    <w:tbl>
      <w:tblPr>
        <w:tblpPr w:leftFromText="180" w:rightFromText="180" w:vertAnchor="text" w:horzAnchor="margin" w:tblpX="-252" w:tblpY="-71"/>
        <w:tblW w:w="109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5546"/>
        <w:gridCol w:w="5452"/>
      </w:tblGrid>
      <w:tr w:rsidR="00CB38B7" w14:paraId="782132C5" w14:textId="77777777" w:rsidTr="00CB38B7">
        <w:trPr>
          <w:trHeight w:val="214"/>
        </w:trPr>
        <w:tc>
          <w:tcPr>
            <w:tcW w:w="10998" w:type="dxa"/>
            <w:gridSpan w:val="2"/>
            <w:shd w:val="clear" w:color="auto" w:fill="D9D9D9"/>
          </w:tcPr>
          <w:p w14:paraId="782132C4" w14:textId="77777777" w:rsidR="00CB38B7" w:rsidRDefault="00CB38B7" w:rsidP="00CB38B7">
            <w:pPr>
              <w:pStyle w:val="Subtitle"/>
              <w:rPr>
                <w:sz w:val="20"/>
              </w:rPr>
            </w:pPr>
            <w:r>
              <w:rPr>
                <w:sz w:val="20"/>
              </w:rPr>
              <w:t>To be Completed by the Operating Unit Office</w:t>
            </w:r>
          </w:p>
        </w:tc>
      </w:tr>
      <w:tr w:rsidR="00CB38B7" w14:paraId="782132C8" w14:textId="77777777" w:rsidTr="00CB38B7">
        <w:trPr>
          <w:trHeight w:val="473"/>
        </w:trPr>
        <w:tc>
          <w:tcPr>
            <w:tcW w:w="5546" w:type="dxa"/>
          </w:tcPr>
          <w:p w14:paraId="782132C6" w14:textId="77777777" w:rsidR="00CB38B7" w:rsidRPr="00CB38B7" w:rsidRDefault="00CB38B7" w:rsidP="00CB38B7">
            <w:pPr>
              <w:rPr>
                <w:rFonts w:ascii="Arial" w:hAnsi="Arial" w:cs="Arial"/>
                <w:b/>
                <w:bCs/>
                <w:sz w:val="18"/>
                <w:szCs w:val="18"/>
              </w:rPr>
            </w:pPr>
            <w:r>
              <w:rPr>
                <w:rFonts w:ascii="Arial" w:hAnsi="Arial" w:cs="Arial"/>
                <w:b/>
                <w:iCs/>
                <w:sz w:val="18"/>
                <w:szCs w:val="18"/>
              </w:rPr>
              <w:br/>
            </w:r>
            <w:r w:rsidRPr="00CB38B7">
              <w:rPr>
                <w:rFonts w:ascii="Arial" w:hAnsi="Arial" w:cs="Arial"/>
                <w:b/>
                <w:iCs/>
                <w:sz w:val="18"/>
                <w:szCs w:val="18"/>
              </w:rPr>
              <w:t>Dept/Business Unit:_____________________________</w:t>
            </w:r>
          </w:p>
        </w:tc>
        <w:tc>
          <w:tcPr>
            <w:tcW w:w="5452" w:type="dxa"/>
          </w:tcPr>
          <w:p w14:paraId="782132C7" w14:textId="77777777" w:rsidR="00CB38B7" w:rsidRPr="00CB38B7" w:rsidRDefault="00CB38B7" w:rsidP="00CB38B7">
            <w:pPr>
              <w:rPr>
                <w:rFonts w:ascii="Arial" w:hAnsi="Arial" w:cs="Arial"/>
                <w:b/>
                <w:bCs/>
                <w:sz w:val="18"/>
                <w:szCs w:val="18"/>
              </w:rPr>
            </w:pPr>
            <w:r>
              <w:rPr>
                <w:rFonts w:ascii="Arial" w:hAnsi="Arial" w:cs="Arial"/>
                <w:b/>
                <w:bCs/>
                <w:sz w:val="18"/>
              </w:rPr>
              <w:br/>
            </w:r>
            <w:r w:rsidRPr="006567D0">
              <w:rPr>
                <w:rFonts w:ascii="Arial" w:hAnsi="Arial" w:cs="Arial"/>
                <w:b/>
                <w:iCs/>
                <w:sz w:val="22"/>
                <w:szCs w:val="32"/>
              </w:rPr>
              <w:t xml:space="preserve"> </w:t>
            </w:r>
            <w:r w:rsidRPr="00CB38B7">
              <w:rPr>
                <w:rFonts w:ascii="Arial" w:hAnsi="Arial" w:cs="Arial"/>
                <w:b/>
                <w:iCs/>
                <w:sz w:val="18"/>
                <w:szCs w:val="18"/>
              </w:rPr>
              <w:t>Date: __________________</w:t>
            </w:r>
          </w:p>
        </w:tc>
      </w:tr>
      <w:tr w:rsidR="00CB38B7" w14:paraId="782132D9" w14:textId="77777777" w:rsidTr="00CB38B7">
        <w:trPr>
          <w:trHeight w:val="473"/>
        </w:trPr>
        <w:tc>
          <w:tcPr>
            <w:tcW w:w="5546" w:type="dxa"/>
          </w:tcPr>
          <w:p w14:paraId="782132C9" w14:textId="77777777" w:rsidR="00CB38B7" w:rsidRDefault="00CB38B7" w:rsidP="00CB38B7">
            <w:pPr>
              <w:rPr>
                <w:rFonts w:ascii="Arial" w:hAnsi="Arial" w:cs="Arial"/>
                <w:b/>
                <w:bCs/>
                <w:sz w:val="18"/>
              </w:rPr>
            </w:pPr>
          </w:p>
          <w:p w14:paraId="782132CA" w14:textId="77777777" w:rsidR="00CB38B7" w:rsidRDefault="00CB38B7" w:rsidP="00CB38B7">
            <w:pPr>
              <w:rPr>
                <w:rFonts w:ascii="Arial" w:hAnsi="Arial" w:cs="Arial"/>
                <w:b/>
                <w:bCs/>
                <w:sz w:val="18"/>
              </w:rPr>
            </w:pPr>
            <w:r>
              <w:rPr>
                <w:rFonts w:ascii="Arial" w:hAnsi="Arial" w:cs="Arial"/>
                <w:b/>
                <w:bCs/>
                <w:sz w:val="18"/>
              </w:rPr>
              <w:t>Signature of  Asset Focal Point:</w:t>
            </w:r>
          </w:p>
          <w:p w14:paraId="782132CB" w14:textId="77777777" w:rsidR="00CB38B7" w:rsidRDefault="00CB38B7" w:rsidP="00CB38B7">
            <w:pPr>
              <w:rPr>
                <w:rFonts w:ascii="Arial" w:hAnsi="Arial" w:cs="Arial"/>
                <w:b/>
                <w:bCs/>
                <w:sz w:val="18"/>
              </w:rPr>
            </w:pPr>
          </w:p>
          <w:p w14:paraId="782132CC" w14:textId="77777777" w:rsidR="00CB38B7" w:rsidRDefault="00CB38B7" w:rsidP="00CB38B7">
            <w:pPr>
              <w:rPr>
                <w:rFonts w:ascii="Arial" w:hAnsi="Arial" w:cs="Arial"/>
                <w:b/>
                <w:bCs/>
                <w:sz w:val="18"/>
              </w:rPr>
            </w:pPr>
            <w:r>
              <w:rPr>
                <w:rFonts w:ascii="Arial" w:hAnsi="Arial" w:cs="Arial"/>
                <w:b/>
                <w:bCs/>
                <w:sz w:val="18"/>
              </w:rPr>
              <w:t>__________________________________________</w:t>
            </w:r>
          </w:p>
          <w:p w14:paraId="782132CD" w14:textId="77777777" w:rsidR="00CB38B7" w:rsidRDefault="00CB38B7" w:rsidP="00CB38B7">
            <w:pPr>
              <w:rPr>
                <w:rFonts w:ascii="Arial" w:hAnsi="Arial" w:cs="Arial"/>
                <w:b/>
                <w:bCs/>
                <w:sz w:val="18"/>
              </w:rPr>
            </w:pPr>
          </w:p>
          <w:p w14:paraId="782132CE" w14:textId="77777777" w:rsidR="00CB38B7" w:rsidRDefault="00CB38B7" w:rsidP="00CB38B7">
            <w:pPr>
              <w:rPr>
                <w:rFonts w:ascii="Arial" w:hAnsi="Arial" w:cs="Arial"/>
                <w:b/>
                <w:bCs/>
                <w:sz w:val="18"/>
              </w:rPr>
            </w:pPr>
            <w:r>
              <w:rPr>
                <w:rFonts w:ascii="Arial" w:hAnsi="Arial" w:cs="Arial"/>
                <w:b/>
                <w:bCs/>
                <w:sz w:val="18"/>
              </w:rPr>
              <w:t>Name: ____________________________________</w:t>
            </w:r>
          </w:p>
          <w:p w14:paraId="782132CF" w14:textId="77777777" w:rsidR="00CB38B7" w:rsidRDefault="00CB38B7" w:rsidP="00CB38B7">
            <w:pPr>
              <w:rPr>
                <w:rFonts w:ascii="Arial" w:hAnsi="Arial" w:cs="Arial"/>
                <w:b/>
                <w:bCs/>
                <w:sz w:val="18"/>
              </w:rPr>
            </w:pPr>
          </w:p>
          <w:p w14:paraId="782132D0" w14:textId="77777777" w:rsidR="00CB38B7" w:rsidRDefault="00CB38B7" w:rsidP="00CB38B7">
            <w:pPr>
              <w:rPr>
                <w:rFonts w:ascii="Arial" w:hAnsi="Arial" w:cs="Arial"/>
                <w:b/>
                <w:bCs/>
                <w:sz w:val="18"/>
              </w:rPr>
            </w:pPr>
            <w:r>
              <w:rPr>
                <w:rFonts w:ascii="Arial" w:hAnsi="Arial" w:cs="Arial"/>
                <w:b/>
                <w:bCs/>
                <w:sz w:val="18"/>
              </w:rPr>
              <w:t>Contact Number: ___________________________</w:t>
            </w:r>
          </w:p>
        </w:tc>
        <w:tc>
          <w:tcPr>
            <w:tcW w:w="5452" w:type="dxa"/>
          </w:tcPr>
          <w:p w14:paraId="782132D1" w14:textId="77777777" w:rsidR="00CB38B7" w:rsidRDefault="00CB38B7" w:rsidP="00CB38B7">
            <w:pPr>
              <w:rPr>
                <w:rFonts w:ascii="Arial" w:hAnsi="Arial" w:cs="Arial"/>
                <w:b/>
                <w:bCs/>
                <w:sz w:val="18"/>
              </w:rPr>
            </w:pPr>
          </w:p>
          <w:p w14:paraId="782132D2" w14:textId="77777777" w:rsidR="00CB38B7" w:rsidRDefault="00CB38B7" w:rsidP="00CB38B7">
            <w:pPr>
              <w:rPr>
                <w:rFonts w:ascii="Arial" w:hAnsi="Arial" w:cs="Arial"/>
                <w:b/>
                <w:bCs/>
                <w:sz w:val="18"/>
              </w:rPr>
            </w:pPr>
            <w:r>
              <w:rPr>
                <w:rFonts w:ascii="Arial" w:hAnsi="Arial" w:cs="Arial"/>
                <w:b/>
                <w:bCs/>
                <w:sz w:val="18"/>
              </w:rPr>
              <w:t>Signature of  Head of Operating Unit:</w:t>
            </w:r>
          </w:p>
          <w:p w14:paraId="782132D3" w14:textId="77777777" w:rsidR="00CB38B7" w:rsidRDefault="00CB38B7" w:rsidP="00CB38B7">
            <w:pPr>
              <w:rPr>
                <w:rFonts w:ascii="Arial" w:hAnsi="Arial" w:cs="Arial"/>
                <w:b/>
                <w:bCs/>
                <w:sz w:val="18"/>
              </w:rPr>
            </w:pPr>
          </w:p>
          <w:p w14:paraId="782132D4" w14:textId="77777777" w:rsidR="00CB38B7" w:rsidRDefault="00CB38B7" w:rsidP="00CB38B7">
            <w:pPr>
              <w:rPr>
                <w:rFonts w:ascii="Arial" w:hAnsi="Arial" w:cs="Arial"/>
                <w:b/>
                <w:bCs/>
                <w:sz w:val="18"/>
              </w:rPr>
            </w:pPr>
            <w:r>
              <w:rPr>
                <w:rFonts w:ascii="Arial" w:hAnsi="Arial" w:cs="Arial"/>
                <w:b/>
                <w:bCs/>
                <w:sz w:val="18"/>
              </w:rPr>
              <w:t>_________________________________________</w:t>
            </w:r>
          </w:p>
          <w:p w14:paraId="782132D5" w14:textId="77777777" w:rsidR="00CB38B7" w:rsidRDefault="00CB38B7" w:rsidP="00CB38B7">
            <w:pPr>
              <w:rPr>
                <w:rFonts w:ascii="Arial" w:hAnsi="Arial" w:cs="Arial"/>
                <w:b/>
                <w:bCs/>
                <w:sz w:val="18"/>
              </w:rPr>
            </w:pPr>
          </w:p>
          <w:p w14:paraId="782132D6" w14:textId="77777777" w:rsidR="00CB38B7" w:rsidRDefault="00CB38B7" w:rsidP="00CB38B7">
            <w:pPr>
              <w:rPr>
                <w:rFonts w:ascii="Arial" w:hAnsi="Arial" w:cs="Arial"/>
                <w:b/>
                <w:bCs/>
                <w:sz w:val="18"/>
              </w:rPr>
            </w:pPr>
            <w:r>
              <w:rPr>
                <w:rFonts w:ascii="Arial" w:hAnsi="Arial" w:cs="Arial"/>
                <w:b/>
                <w:bCs/>
                <w:sz w:val="18"/>
              </w:rPr>
              <w:t>Name: ____________________________________</w:t>
            </w:r>
          </w:p>
          <w:p w14:paraId="782132D7" w14:textId="77777777" w:rsidR="00CB38B7" w:rsidRDefault="00CB38B7" w:rsidP="00CB38B7">
            <w:pPr>
              <w:rPr>
                <w:rFonts w:ascii="Arial" w:hAnsi="Arial" w:cs="Arial"/>
                <w:b/>
                <w:bCs/>
                <w:sz w:val="18"/>
              </w:rPr>
            </w:pPr>
          </w:p>
          <w:p w14:paraId="782132D8" w14:textId="77777777" w:rsidR="00CB38B7" w:rsidRDefault="00CB38B7" w:rsidP="00CB38B7">
            <w:pPr>
              <w:rPr>
                <w:rFonts w:ascii="Arial" w:hAnsi="Arial" w:cs="Arial"/>
                <w:b/>
                <w:bCs/>
                <w:sz w:val="18"/>
              </w:rPr>
            </w:pPr>
            <w:r>
              <w:rPr>
                <w:rFonts w:ascii="Arial" w:hAnsi="Arial" w:cs="Arial"/>
                <w:b/>
                <w:bCs/>
                <w:sz w:val="18"/>
              </w:rPr>
              <w:t>Contact Number: ___________________________</w:t>
            </w:r>
          </w:p>
        </w:tc>
      </w:tr>
    </w:tbl>
    <w:p w14:paraId="782132DA" w14:textId="77777777" w:rsidR="00445B6F" w:rsidRDefault="00445B6F" w:rsidP="002531B8">
      <w:pPr>
        <w:pStyle w:val="Header"/>
        <w:tabs>
          <w:tab w:val="clear" w:pos="4320"/>
          <w:tab w:val="clear" w:pos="8640"/>
        </w:tabs>
        <w:rPr>
          <w:rFonts w:ascii="Arial" w:hAnsi="Arial" w:cs="Arial"/>
          <w:sz w:val="18"/>
          <w:u w:val="single"/>
        </w:rPr>
      </w:pPr>
    </w:p>
    <w:p w14:paraId="782132DB" w14:textId="77777777" w:rsidR="00BC59FA" w:rsidRDefault="00BC59FA" w:rsidP="002531B8">
      <w:pPr>
        <w:pStyle w:val="Header"/>
        <w:tabs>
          <w:tab w:val="clear" w:pos="4320"/>
          <w:tab w:val="clear" w:pos="8640"/>
        </w:tabs>
        <w:rPr>
          <w:rFonts w:ascii="Arial" w:hAnsi="Arial" w:cs="Arial"/>
          <w:sz w:val="18"/>
          <w:u w:val="single"/>
        </w:rPr>
      </w:pPr>
    </w:p>
    <w:tbl>
      <w:tblPr>
        <w:tblW w:w="11024" w:type="dxa"/>
        <w:tblInd w:w="-252" w:type="dxa"/>
        <w:tblLook w:val="04A0" w:firstRow="1" w:lastRow="0" w:firstColumn="1" w:lastColumn="0" w:noHBand="0" w:noVBand="1"/>
      </w:tblPr>
      <w:tblGrid>
        <w:gridCol w:w="440"/>
        <w:gridCol w:w="1375"/>
        <w:gridCol w:w="1320"/>
        <w:gridCol w:w="1180"/>
        <w:gridCol w:w="2560"/>
        <w:gridCol w:w="1023"/>
        <w:gridCol w:w="1100"/>
        <w:gridCol w:w="992"/>
        <w:gridCol w:w="1034"/>
      </w:tblGrid>
      <w:tr w:rsidR="00F11FF1" w:rsidRPr="00AD7EC7" w14:paraId="782132E5" w14:textId="77777777" w:rsidTr="0082268C">
        <w:trPr>
          <w:trHeight w:val="600"/>
        </w:trPr>
        <w:tc>
          <w:tcPr>
            <w:tcW w:w="440" w:type="dxa"/>
            <w:tcBorders>
              <w:top w:val="nil"/>
              <w:left w:val="nil"/>
              <w:bottom w:val="nil"/>
              <w:right w:val="nil"/>
            </w:tcBorders>
            <w:shd w:val="clear" w:color="auto" w:fill="auto"/>
            <w:vAlign w:val="center"/>
          </w:tcPr>
          <w:p w14:paraId="782132DC" w14:textId="77777777" w:rsidR="00F11FF1" w:rsidRPr="00AD7EC7" w:rsidRDefault="00F11FF1" w:rsidP="00AD7EC7">
            <w:pPr>
              <w:rPr>
                <w:rFonts w:ascii="Arial" w:hAnsi="Arial" w:cs="Arial"/>
                <w:b/>
                <w:bCs/>
                <w:color w:val="000000"/>
                <w:sz w:val="16"/>
                <w:szCs w:val="16"/>
              </w:rPr>
            </w:pPr>
          </w:p>
        </w:tc>
        <w:tc>
          <w:tcPr>
            <w:tcW w:w="1375" w:type="dxa"/>
            <w:tcBorders>
              <w:top w:val="nil"/>
              <w:left w:val="nil"/>
              <w:bottom w:val="nil"/>
              <w:right w:val="nil"/>
            </w:tcBorders>
            <w:shd w:val="clear" w:color="auto" w:fill="auto"/>
            <w:vAlign w:val="center"/>
          </w:tcPr>
          <w:p w14:paraId="782132DD" w14:textId="77777777" w:rsidR="00F11FF1" w:rsidRPr="00AD7EC7" w:rsidRDefault="00F11FF1" w:rsidP="00AD7EC7">
            <w:pPr>
              <w:rPr>
                <w:rFonts w:ascii="Arial" w:hAnsi="Arial" w:cs="Arial"/>
                <w:b/>
                <w:bCs/>
                <w:color w:val="000000"/>
                <w:sz w:val="16"/>
                <w:szCs w:val="16"/>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14:paraId="782132DE" w14:textId="77777777" w:rsidR="00F11FF1" w:rsidRPr="00AD7EC7" w:rsidRDefault="00F11FF1" w:rsidP="00AD7EC7">
            <w:pPr>
              <w:jc w:val="center"/>
              <w:rPr>
                <w:rFonts w:ascii="Calibri" w:hAnsi="Calibri"/>
                <w:b/>
                <w:bCs/>
                <w:color w:val="000000"/>
                <w:sz w:val="22"/>
                <w:szCs w:val="22"/>
              </w:rPr>
            </w:pPr>
            <w:r w:rsidRPr="00AD7EC7">
              <w:rPr>
                <w:rFonts w:ascii="Calibri" w:hAnsi="Calibri"/>
                <w:b/>
                <w:bCs/>
                <w:color w:val="000000"/>
                <w:sz w:val="22"/>
                <w:szCs w:val="22"/>
              </w:rPr>
              <w:t>Asset ID</w:t>
            </w:r>
          </w:p>
        </w:tc>
        <w:tc>
          <w:tcPr>
            <w:tcW w:w="1180" w:type="dxa"/>
            <w:tcBorders>
              <w:top w:val="single" w:sz="4" w:space="0" w:color="auto"/>
              <w:left w:val="nil"/>
              <w:bottom w:val="single" w:sz="4" w:space="0" w:color="auto"/>
              <w:right w:val="single" w:sz="4" w:space="0" w:color="auto"/>
            </w:tcBorders>
            <w:shd w:val="clear" w:color="auto" w:fill="auto"/>
            <w:vAlign w:val="center"/>
          </w:tcPr>
          <w:p w14:paraId="782132DF" w14:textId="77777777" w:rsidR="00F11FF1" w:rsidRPr="00AD7EC7" w:rsidRDefault="00F11FF1" w:rsidP="00AD7EC7">
            <w:pPr>
              <w:jc w:val="center"/>
              <w:rPr>
                <w:rFonts w:ascii="Calibri" w:hAnsi="Calibri"/>
                <w:b/>
                <w:bCs/>
                <w:color w:val="000000"/>
                <w:sz w:val="22"/>
                <w:szCs w:val="22"/>
              </w:rPr>
            </w:pPr>
            <w:r w:rsidRPr="00AD7EC7">
              <w:rPr>
                <w:rFonts w:ascii="Calibri" w:hAnsi="Calibri"/>
                <w:b/>
                <w:bCs/>
                <w:color w:val="000000"/>
                <w:sz w:val="22"/>
                <w:szCs w:val="22"/>
              </w:rPr>
              <w:t>Tag #</w:t>
            </w:r>
          </w:p>
        </w:tc>
        <w:tc>
          <w:tcPr>
            <w:tcW w:w="2560" w:type="dxa"/>
            <w:tcBorders>
              <w:top w:val="single" w:sz="4" w:space="0" w:color="auto"/>
              <w:left w:val="nil"/>
              <w:bottom w:val="single" w:sz="4" w:space="0" w:color="auto"/>
              <w:right w:val="single" w:sz="4" w:space="0" w:color="auto"/>
            </w:tcBorders>
            <w:shd w:val="clear" w:color="auto" w:fill="auto"/>
            <w:vAlign w:val="center"/>
          </w:tcPr>
          <w:p w14:paraId="782132E0" w14:textId="77777777" w:rsidR="00F11FF1" w:rsidRPr="00AD7EC7" w:rsidRDefault="00F11FF1" w:rsidP="00AD7EC7">
            <w:pPr>
              <w:jc w:val="center"/>
              <w:rPr>
                <w:rFonts w:ascii="Calibri" w:hAnsi="Calibri"/>
                <w:b/>
                <w:bCs/>
                <w:color w:val="000000"/>
                <w:sz w:val="22"/>
                <w:szCs w:val="22"/>
              </w:rPr>
            </w:pPr>
            <w:r w:rsidRPr="00AD7EC7">
              <w:rPr>
                <w:rFonts w:ascii="Calibri" w:hAnsi="Calibri"/>
                <w:b/>
                <w:bCs/>
                <w:color w:val="000000"/>
                <w:sz w:val="22"/>
                <w:szCs w:val="22"/>
              </w:rPr>
              <w:t>Description</w:t>
            </w:r>
          </w:p>
        </w:tc>
        <w:tc>
          <w:tcPr>
            <w:tcW w:w="1023" w:type="dxa"/>
            <w:tcBorders>
              <w:top w:val="single" w:sz="4" w:space="0" w:color="auto"/>
              <w:left w:val="nil"/>
              <w:bottom w:val="single" w:sz="4" w:space="0" w:color="auto"/>
              <w:right w:val="single" w:sz="4" w:space="0" w:color="auto"/>
            </w:tcBorders>
            <w:shd w:val="clear" w:color="auto" w:fill="auto"/>
            <w:vAlign w:val="center"/>
          </w:tcPr>
          <w:p w14:paraId="782132E1" w14:textId="77777777" w:rsidR="00F11FF1" w:rsidRPr="00AD7EC7" w:rsidRDefault="00F11FF1" w:rsidP="00AD7EC7">
            <w:pPr>
              <w:jc w:val="center"/>
              <w:rPr>
                <w:rFonts w:ascii="Calibri" w:hAnsi="Calibri"/>
                <w:b/>
                <w:bCs/>
                <w:color w:val="000000"/>
                <w:sz w:val="22"/>
                <w:szCs w:val="22"/>
              </w:rPr>
            </w:pPr>
            <w:r w:rsidRPr="00AD7EC7">
              <w:rPr>
                <w:rFonts w:ascii="Calibri" w:hAnsi="Calibri"/>
                <w:b/>
                <w:bCs/>
                <w:color w:val="000000"/>
                <w:sz w:val="22"/>
                <w:szCs w:val="22"/>
              </w:rPr>
              <w:t>Quantity</w:t>
            </w:r>
          </w:p>
        </w:tc>
        <w:tc>
          <w:tcPr>
            <w:tcW w:w="1100" w:type="dxa"/>
            <w:tcBorders>
              <w:top w:val="single" w:sz="4" w:space="0" w:color="auto"/>
              <w:left w:val="nil"/>
              <w:bottom w:val="single" w:sz="4" w:space="0" w:color="auto"/>
              <w:right w:val="single" w:sz="4" w:space="0" w:color="auto"/>
            </w:tcBorders>
            <w:shd w:val="clear" w:color="auto" w:fill="auto"/>
            <w:vAlign w:val="center"/>
          </w:tcPr>
          <w:p w14:paraId="782132E2" w14:textId="77777777" w:rsidR="00F11FF1" w:rsidRPr="00AD7EC7" w:rsidRDefault="00F11FF1" w:rsidP="00AD7EC7">
            <w:pPr>
              <w:jc w:val="center"/>
              <w:rPr>
                <w:rFonts w:ascii="Calibri" w:hAnsi="Calibri"/>
                <w:b/>
                <w:bCs/>
                <w:color w:val="000000"/>
                <w:sz w:val="22"/>
                <w:szCs w:val="22"/>
              </w:rPr>
            </w:pPr>
            <w:r w:rsidRPr="00AD7EC7">
              <w:rPr>
                <w:rFonts w:ascii="Calibri" w:hAnsi="Calibri"/>
                <w:b/>
                <w:bCs/>
                <w:color w:val="000000"/>
                <w:sz w:val="22"/>
                <w:szCs w:val="22"/>
              </w:rPr>
              <w:t>Cost</w:t>
            </w:r>
          </w:p>
        </w:tc>
        <w:tc>
          <w:tcPr>
            <w:tcW w:w="992" w:type="dxa"/>
            <w:tcBorders>
              <w:top w:val="single" w:sz="4" w:space="0" w:color="auto"/>
              <w:left w:val="nil"/>
              <w:bottom w:val="single" w:sz="4" w:space="0" w:color="auto"/>
              <w:right w:val="single" w:sz="4" w:space="0" w:color="auto"/>
            </w:tcBorders>
            <w:shd w:val="clear" w:color="auto" w:fill="auto"/>
            <w:vAlign w:val="center"/>
          </w:tcPr>
          <w:p w14:paraId="782132E3" w14:textId="77777777" w:rsidR="00F11FF1" w:rsidRPr="00AD7EC7" w:rsidRDefault="00F11FF1" w:rsidP="00AD7EC7">
            <w:pPr>
              <w:jc w:val="center"/>
              <w:rPr>
                <w:rFonts w:ascii="Calibri" w:hAnsi="Calibri"/>
                <w:b/>
                <w:bCs/>
                <w:color w:val="000000"/>
                <w:sz w:val="22"/>
                <w:szCs w:val="22"/>
              </w:rPr>
            </w:pPr>
            <w:r w:rsidRPr="00AD7EC7">
              <w:rPr>
                <w:rFonts w:ascii="Calibri" w:hAnsi="Calibri"/>
                <w:b/>
                <w:bCs/>
                <w:color w:val="000000"/>
                <w:sz w:val="22"/>
                <w:szCs w:val="22"/>
              </w:rPr>
              <w:t>Salvage</w:t>
            </w:r>
          </w:p>
        </w:tc>
        <w:tc>
          <w:tcPr>
            <w:tcW w:w="1034" w:type="dxa"/>
            <w:tcBorders>
              <w:top w:val="single" w:sz="4" w:space="0" w:color="auto"/>
              <w:left w:val="nil"/>
              <w:bottom w:val="single" w:sz="4" w:space="0" w:color="auto"/>
              <w:right w:val="single" w:sz="4" w:space="0" w:color="auto"/>
            </w:tcBorders>
            <w:shd w:val="clear" w:color="auto" w:fill="auto"/>
            <w:vAlign w:val="center"/>
          </w:tcPr>
          <w:p w14:paraId="782132E4" w14:textId="77777777" w:rsidR="00F11FF1" w:rsidRPr="00AD7EC7" w:rsidRDefault="00F11FF1" w:rsidP="00AD7EC7">
            <w:pPr>
              <w:jc w:val="center"/>
              <w:rPr>
                <w:rFonts w:ascii="Calibri" w:hAnsi="Calibri"/>
                <w:b/>
                <w:bCs/>
                <w:color w:val="000000"/>
                <w:sz w:val="22"/>
                <w:szCs w:val="22"/>
              </w:rPr>
            </w:pPr>
            <w:r w:rsidRPr="00AD7EC7">
              <w:rPr>
                <w:rFonts w:ascii="Calibri" w:hAnsi="Calibri"/>
                <w:b/>
                <w:bCs/>
                <w:color w:val="000000"/>
                <w:sz w:val="22"/>
                <w:szCs w:val="22"/>
              </w:rPr>
              <w:t>Category</w:t>
            </w:r>
          </w:p>
        </w:tc>
      </w:tr>
      <w:tr w:rsidR="00F11FF1" w:rsidRPr="00AD7EC7" w14:paraId="782132EF" w14:textId="77777777" w:rsidTr="0082268C">
        <w:trPr>
          <w:trHeight w:val="300"/>
        </w:trPr>
        <w:tc>
          <w:tcPr>
            <w:tcW w:w="440" w:type="dxa"/>
            <w:tcBorders>
              <w:top w:val="nil"/>
              <w:left w:val="nil"/>
              <w:bottom w:val="nil"/>
              <w:right w:val="nil"/>
            </w:tcBorders>
            <w:shd w:val="clear" w:color="auto" w:fill="auto"/>
            <w:noWrap/>
            <w:vAlign w:val="bottom"/>
          </w:tcPr>
          <w:p w14:paraId="782132E6" w14:textId="77777777" w:rsidR="00F11FF1" w:rsidRPr="00AD7EC7" w:rsidRDefault="00F11FF1" w:rsidP="00AD7EC7">
            <w:pPr>
              <w:rPr>
                <w:rFonts w:ascii="Calibri" w:hAnsi="Calibri"/>
                <w:color w:val="000000"/>
                <w:sz w:val="22"/>
                <w:szCs w:val="22"/>
              </w:rPr>
            </w:pPr>
          </w:p>
        </w:tc>
        <w:tc>
          <w:tcPr>
            <w:tcW w:w="1375" w:type="dxa"/>
            <w:tcBorders>
              <w:top w:val="nil"/>
              <w:left w:val="nil"/>
              <w:bottom w:val="nil"/>
              <w:right w:val="nil"/>
            </w:tcBorders>
            <w:shd w:val="clear" w:color="auto" w:fill="auto"/>
            <w:noWrap/>
            <w:vAlign w:val="bottom"/>
          </w:tcPr>
          <w:p w14:paraId="782132E7" w14:textId="77777777" w:rsidR="00F11FF1" w:rsidRPr="00AD7EC7" w:rsidRDefault="00F11FF1" w:rsidP="00AD7EC7">
            <w:pPr>
              <w:rPr>
                <w:rFonts w:ascii="Calibri" w:hAnsi="Calibri"/>
                <w:color w:val="000000"/>
                <w:sz w:val="22"/>
                <w:szCs w:val="22"/>
              </w:rPr>
            </w:pPr>
          </w:p>
        </w:tc>
        <w:tc>
          <w:tcPr>
            <w:tcW w:w="1320" w:type="dxa"/>
            <w:tcBorders>
              <w:top w:val="nil"/>
              <w:left w:val="nil"/>
              <w:bottom w:val="nil"/>
              <w:right w:val="nil"/>
            </w:tcBorders>
            <w:shd w:val="clear" w:color="auto" w:fill="auto"/>
            <w:noWrap/>
            <w:vAlign w:val="bottom"/>
          </w:tcPr>
          <w:p w14:paraId="782132E8" w14:textId="77777777" w:rsidR="00F11FF1" w:rsidRPr="00AD7EC7" w:rsidRDefault="00F11FF1" w:rsidP="00B53B4B">
            <w:pPr>
              <w:jc w:val="center"/>
              <w:rPr>
                <w:rFonts w:ascii="Calibri" w:hAnsi="Calibri"/>
                <w:color w:val="000000"/>
                <w:sz w:val="22"/>
                <w:szCs w:val="22"/>
              </w:rPr>
            </w:pPr>
            <w:r w:rsidRPr="00B53B4B">
              <w:rPr>
                <w:rFonts w:ascii="Calibri" w:hAnsi="Calibri"/>
                <w:color w:val="000000"/>
                <w:sz w:val="22"/>
                <w:szCs w:val="22"/>
              </w:rPr>
              <w:t>1</w:t>
            </w:r>
          </w:p>
        </w:tc>
        <w:tc>
          <w:tcPr>
            <w:tcW w:w="1180" w:type="dxa"/>
            <w:tcBorders>
              <w:top w:val="nil"/>
              <w:left w:val="nil"/>
              <w:bottom w:val="nil"/>
              <w:right w:val="nil"/>
            </w:tcBorders>
            <w:shd w:val="clear" w:color="auto" w:fill="auto"/>
            <w:noWrap/>
            <w:vAlign w:val="bottom"/>
          </w:tcPr>
          <w:p w14:paraId="782132E9" w14:textId="77777777" w:rsidR="00F11FF1" w:rsidRPr="00AD7EC7" w:rsidRDefault="00F11FF1" w:rsidP="00B53B4B">
            <w:pPr>
              <w:jc w:val="center"/>
              <w:rPr>
                <w:rFonts w:ascii="Calibri" w:hAnsi="Calibri"/>
                <w:color w:val="000000"/>
                <w:sz w:val="22"/>
                <w:szCs w:val="22"/>
              </w:rPr>
            </w:pPr>
            <w:r w:rsidRPr="00B53B4B">
              <w:rPr>
                <w:rFonts w:ascii="Calibri" w:hAnsi="Calibri"/>
                <w:color w:val="000000"/>
                <w:sz w:val="22"/>
                <w:szCs w:val="22"/>
              </w:rPr>
              <w:t>2</w:t>
            </w:r>
          </w:p>
        </w:tc>
        <w:tc>
          <w:tcPr>
            <w:tcW w:w="2560" w:type="dxa"/>
            <w:tcBorders>
              <w:top w:val="nil"/>
              <w:left w:val="nil"/>
              <w:bottom w:val="nil"/>
              <w:right w:val="nil"/>
            </w:tcBorders>
            <w:shd w:val="clear" w:color="auto" w:fill="auto"/>
            <w:noWrap/>
            <w:vAlign w:val="bottom"/>
          </w:tcPr>
          <w:p w14:paraId="782132EA" w14:textId="77777777" w:rsidR="00F11FF1" w:rsidRPr="00AD7EC7" w:rsidRDefault="00F11FF1" w:rsidP="00B53B4B">
            <w:pPr>
              <w:jc w:val="center"/>
              <w:rPr>
                <w:rFonts w:ascii="Calibri" w:hAnsi="Calibri"/>
                <w:color w:val="000000"/>
                <w:sz w:val="22"/>
                <w:szCs w:val="22"/>
              </w:rPr>
            </w:pPr>
            <w:r w:rsidRPr="00B53B4B">
              <w:rPr>
                <w:rFonts w:ascii="Calibri" w:hAnsi="Calibri"/>
                <w:color w:val="000000"/>
                <w:sz w:val="22"/>
                <w:szCs w:val="22"/>
              </w:rPr>
              <w:t>3</w:t>
            </w:r>
          </w:p>
        </w:tc>
        <w:tc>
          <w:tcPr>
            <w:tcW w:w="1023" w:type="dxa"/>
            <w:tcBorders>
              <w:top w:val="nil"/>
              <w:left w:val="nil"/>
              <w:bottom w:val="nil"/>
              <w:right w:val="nil"/>
            </w:tcBorders>
            <w:shd w:val="clear" w:color="auto" w:fill="auto"/>
            <w:noWrap/>
            <w:vAlign w:val="bottom"/>
          </w:tcPr>
          <w:p w14:paraId="782132EB" w14:textId="77777777" w:rsidR="00F11FF1" w:rsidRPr="00AD7EC7" w:rsidRDefault="00F11FF1" w:rsidP="00B53B4B">
            <w:pPr>
              <w:jc w:val="center"/>
              <w:rPr>
                <w:rFonts w:ascii="Calibri" w:hAnsi="Calibri"/>
                <w:color w:val="000000"/>
                <w:sz w:val="22"/>
                <w:szCs w:val="22"/>
              </w:rPr>
            </w:pPr>
            <w:r w:rsidRPr="00B53B4B">
              <w:rPr>
                <w:rFonts w:ascii="Calibri" w:hAnsi="Calibri"/>
                <w:color w:val="000000"/>
                <w:sz w:val="22"/>
                <w:szCs w:val="22"/>
              </w:rPr>
              <w:t>4</w:t>
            </w:r>
          </w:p>
        </w:tc>
        <w:tc>
          <w:tcPr>
            <w:tcW w:w="1100" w:type="dxa"/>
            <w:tcBorders>
              <w:top w:val="nil"/>
              <w:left w:val="nil"/>
              <w:bottom w:val="nil"/>
              <w:right w:val="nil"/>
            </w:tcBorders>
            <w:shd w:val="clear" w:color="auto" w:fill="auto"/>
            <w:noWrap/>
            <w:vAlign w:val="bottom"/>
          </w:tcPr>
          <w:p w14:paraId="782132EC" w14:textId="77777777" w:rsidR="00F11FF1" w:rsidRPr="00AD7EC7" w:rsidRDefault="00F11FF1" w:rsidP="00B53B4B">
            <w:pPr>
              <w:jc w:val="center"/>
              <w:rPr>
                <w:rFonts w:ascii="Calibri" w:hAnsi="Calibri"/>
                <w:color w:val="000000"/>
                <w:sz w:val="22"/>
                <w:szCs w:val="22"/>
              </w:rPr>
            </w:pPr>
            <w:r w:rsidRPr="00B53B4B">
              <w:rPr>
                <w:rFonts w:ascii="Calibri" w:hAnsi="Calibri"/>
                <w:color w:val="000000"/>
                <w:sz w:val="22"/>
                <w:szCs w:val="22"/>
              </w:rPr>
              <w:t>5</w:t>
            </w:r>
          </w:p>
        </w:tc>
        <w:tc>
          <w:tcPr>
            <w:tcW w:w="992" w:type="dxa"/>
            <w:tcBorders>
              <w:top w:val="nil"/>
              <w:left w:val="nil"/>
              <w:bottom w:val="nil"/>
              <w:right w:val="nil"/>
            </w:tcBorders>
            <w:shd w:val="clear" w:color="auto" w:fill="auto"/>
            <w:noWrap/>
            <w:vAlign w:val="bottom"/>
          </w:tcPr>
          <w:p w14:paraId="782132ED" w14:textId="77777777" w:rsidR="00F11FF1" w:rsidRPr="00AD7EC7" w:rsidRDefault="00F11FF1" w:rsidP="00B53B4B">
            <w:pPr>
              <w:jc w:val="center"/>
              <w:rPr>
                <w:rFonts w:ascii="Calibri" w:hAnsi="Calibri"/>
                <w:color w:val="000000"/>
                <w:sz w:val="22"/>
                <w:szCs w:val="22"/>
              </w:rPr>
            </w:pPr>
            <w:r w:rsidRPr="00B53B4B">
              <w:rPr>
                <w:rFonts w:ascii="Calibri" w:hAnsi="Calibri"/>
                <w:color w:val="000000"/>
                <w:sz w:val="22"/>
                <w:szCs w:val="22"/>
              </w:rPr>
              <w:t>6</w:t>
            </w:r>
          </w:p>
        </w:tc>
        <w:tc>
          <w:tcPr>
            <w:tcW w:w="1034" w:type="dxa"/>
            <w:tcBorders>
              <w:top w:val="nil"/>
              <w:left w:val="nil"/>
              <w:bottom w:val="nil"/>
              <w:right w:val="nil"/>
            </w:tcBorders>
            <w:shd w:val="clear" w:color="auto" w:fill="auto"/>
            <w:noWrap/>
            <w:vAlign w:val="bottom"/>
          </w:tcPr>
          <w:p w14:paraId="782132EE" w14:textId="77777777" w:rsidR="00F11FF1" w:rsidRPr="00AD7EC7" w:rsidRDefault="00F11FF1" w:rsidP="00B53B4B">
            <w:pPr>
              <w:jc w:val="center"/>
              <w:rPr>
                <w:rFonts w:ascii="Calibri" w:hAnsi="Calibri"/>
                <w:color w:val="000000"/>
                <w:sz w:val="22"/>
                <w:szCs w:val="22"/>
              </w:rPr>
            </w:pPr>
            <w:r w:rsidRPr="00B53B4B">
              <w:rPr>
                <w:rFonts w:ascii="Calibri" w:hAnsi="Calibri"/>
                <w:color w:val="000000"/>
                <w:sz w:val="22"/>
                <w:szCs w:val="22"/>
              </w:rPr>
              <w:t>7</w:t>
            </w:r>
          </w:p>
        </w:tc>
      </w:tr>
      <w:tr w:rsidR="00F11FF1" w:rsidRPr="00AD7EC7" w14:paraId="782132F9" w14:textId="77777777" w:rsidTr="0082268C">
        <w:trPr>
          <w:trHeight w:val="300"/>
        </w:trPr>
        <w:tc>
          <w:tcPr>
            <w:tcW w:w="440" w:type="dxa"/>
            <w:vMerge w:val="restart"/>
            <w:tcBorders>
              <w:top w:val="single" w:sz="4" w:space="0" w:color="auto"/>
              <w:left w:val="single" w:sz="4" w:space="0" w:color="auto"/>
              <w:bottom w:val="single" w:sz="4" w:space="0" w:color="000000"/>
              <w:right w:val="nil"/>
            </w:tcBorders>
            <w:shd w:val="clear" w:color="auto" w:fill="auto"/>
            <w:noWrap/>
            <w:vAlign w:val="center"/>
          </w:tcPr>
          <w:p w14:paraId="782132F0" w14:textId="77777777" w:rsidR="00F11FF1" w:rsidRPr="00AD7EC7" w:rsidRDefault="00F11FF1" w:rsidP="00AD7EC7">
            <w:pPr>
              <w:jc w:val="center"/>
              <w:rPr>
                <w:rFonts w:ascii="Calibri" w:hAnsi="Calibri"/>
                <w:color w:val="000000"/>
                <w:sz w:val="22"/>
                <w:szCs w:val="22"/>
              </w:rPr>
            </w:pPr>
            <w:r w:rsidRPr="00AD7EC7">
              <w:rPr>
                <w:rFonts w:ascii="Calibri" w:hAnsi="Calibri"/>
                <w:color w:val="000000"/>
                <w:sz w:val="22"/>
                <w:szCs w:val="22"/>
              </w:rPr>
              <w:t>1</w:t>
            </w:r>
          </w:p>
        </w:tc>
        <w:tc>
          <w:tcPr>
            <w:tcW w:w="1375" w:type="dxa"/>
            <w:tcBorders>
              <w:top w:val="single" w:sz="4" w:space="0" w:color="auto"/>
              <w:left w:val="nil"/>
              <w:bottom w:val="nil"/>
              <w:right w:val="nil"/>
            </w:tcBorders>
            <w:shd w:val="clear" w:color="auto" w:fill="auto"/>
            <w:noWrap/>
            <w:vAlign w:val="bottom"/>
          </w:tcPr>
          <w:p w14:paraId="782132F1"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Old Data</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2132F2"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single" w:sz="4" w:space="0" w:color="auto"/>
              <w:left w:val="nil"/>
              <w:bottom w:val="single" w:sz="4" w:space="0" w:color="auto"/>
              <w:right w:val="single" w:sz="4" w:space="0" w:color="auto"/>
            </w:tcBorders>
            <w:shd w:val="clear" w:color="auto" w:fill="auto"/>
            <w:noWrap/>
            <w:vAlign w:val="bottom"/>
          </w:tcPr>
          <w:p w14:paraId="782132F3"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single" w:sz="4" w:space="0" w:color="auto"/>
              <w:left w:val="nil"/>
              <w:bottom w:val="single" w:sz="4" w:space="0" w:color="auto"/>
              <w:right w:val="single" w:sz="4" w:space="0" w:color="auto"/>
            </w:tcBorders>
            <w:shd w:val="clear" w:color="auto" w:fill="auto"/>
            <w:noWrap/>
            <w:vAlign w:val="bottom"/>
          </w:tcPr>
          <w:p w14:paraId="782132F4"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single" w:sz="4" w:space="0" w:color="auto"/>
              <w:left w:val="nil"/>
              <w:bottom w:val="single" w:sz="4" w:space="0" w:color="auto"/>
              <w:right w:val="single" w:sz="4" w:space="0" w:color="auto"/>
            </w:tcBorders>
            <w:shd w:val="clear" w:color="auto" w:fill="auto"/>
            <w:noWrap/>
            <w:vAlign w:val="bottom"/>
          </w:tcPr>
          <w:p w14:paraId="782132F5"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single" w:sz="4" w:space="0" w:color="auto"/>
              <w:left w:val="nil"/>
              <w:bottom w:val="single" w:sz="4" w:space="0" w:color="auto"/>
              <w:right w:val="single" w:sz="4" w:space="0" w:color="auto"/>
            </w:tcBorders>
            <w:shd w:val="clear" w:color="auto" w:fill="auto"/>
            <w:noWrap/>
            <w:vAlign w:val="bottom"/>
          </w:tcPr>
          <w:p w14:paraId="782132F6"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82132F7"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single" w:sz="4" w:space="0" w:color="auto"/>
              <w:left w:val="nil"/>
              <w:bottom w:val="single" w:sz="4" w:space="0" w:color="auto"/>
              <w:right w:val="single" w:sz="4" w:space="0" w:color="auto"/>
            </w:tcBorders>
            <w:shd w:val="clear" w:color="auto" w:fill="auto"/>
            <w:noWrap/>
            <w:vAlign w:val="bottom"/>
          </w:tcPr>
          <w:p w14:paraId="782132F8"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78213303" w14:textId="77777777" w:rsidTr="0082268C">
        <w:trPr>
          <w:trHeight w:val="300"/>
        </w:trPr>
        <w:tc>
          <w:tcPr>
            <w:tcW w:w="440" w:type="dxa"/>
            <w:vMerge/>
            <w:tcBorders>
              <w:top w:val="single" w:sz="4" w:space="0" w:color="auto"/>
              <w:left w:val="single" w:sz="4" w:space="0" w:color="auto"/>
              <w:bottom w:val="single" w:sz="4" w:space="0" w:color="000000"/>
              <w:right w:val="nil"/>
            </w:tcBorders>
            <w:vAlign w:val="center"/>
          </w:tcPr>
          <w:p w14:paraId="782132FA" w14:textId="77777777" w:rsidR="00F11FF1" w:rsidRPr="00AD7EC7" w:rsidRDefault="00F11FF1" w:rsidP="00AD7EC7">
            <w:pPr>
              <w:rPr>
                <w:rFonts w:ascii="Calibri" w:hAnsi="Calibri"/>
                <w:color w:val="000000"/>
                <w:sz w:val="22"/>
                <w:szCs w:val="22"/>
              </w:rPr>
            </w:pPr>
          </w:p>
        </w:tc>
        <w:tc>
          <w:tcPr>
            <w:tcW w:w="1375" w:type="dxa"/>
            <w:tcBorders>
              <w:top w:val="nil"/>
              <w:left w:val="nil"/>
              <w:bottom w:val="single" w:sz="4" w:space="0" w:color="auto"/>
              <w:right w:val="nil"/>
            </w:tcBorders>
            <w:shd w:val="clear" w:color="auto" w:fill="auto"/>
            <w:noWrap/>
            <w:vAlign w:val="bottom"/>
          </w:tcPr>
          <w:p w14:paraId="782132FB"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New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782132FC"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782132FD"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782132FE"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782132FF"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78213300"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78213301"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78213302"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7821330D" w14:textId="77777777" w:rsidTr="0082268C">
        <w:trPr>
          <w:trHeight w:val="300"/>
        </w:trPr>
        <w:tc>
          <w:tcPr>
            <w:tcW w:w="440" w:type="dxa"/>
            <w:vMerge w:val="restart"/>
            <w:tcBorders>
              <w:top w:val="nil"/>
              <w:left w:val="single" w:sz="4" w:space="0" w:color="auto"/>
              <w:bottom w:val="single" w:sz="4" w:space="0" w:color="000000"/>
              <w:right w:val="nil"/>
            </w:tcBorders>
            <w:shd w:val="clear" w:color="auto" w:fill="auto"/>
            <w:noWrap/>
            <w:vAlign w:val="center"/>
          </w:tcPr>
          <w:p w14:paraId="78213304" w14:textId="77777777" w:rsidR="00F11FF1" w:rsidRPr="00AD7EC7" w:rsidRDefault="00F11FF1" w:rsidP="00AD7EC7">
            <w:pPr>
              <w:jc w:val="center"/>
              <w:rPr>
                <w:rFonts w:ascii="Calibri" w:hAnsi="Calibri"/>
                <w:color w:val="000000"/>
                <w:sz w:val="22"/>
                <w:szCs w:val="22"/>
              </w:rPr>
            </w:pPr>
            <w:r w:rsidRPr="00AD7EC7">
              <w:rPr>
                <w:rFonts w:ascii="Calibri" w:hAnsi="Calibri"/>
                <w:color w:val="000000"/>
                <w:sz w:val="22"/>
                <w:szCs w:val="22"/>
              </w:rPr>
              <w:t>2</w:t>
            </w:r>
          </w:p>
        </w:tc>
        <w:tc>
          <w:tcPr>
            <w:tcW w:w="1375" w:type="dxa"/>
            <w:tcBorders>
              <w:top w:val="nil"/>
              <w:left w:val="nil"/>
              <w:bottom w:val="nil"/>
              <w:right w:val="nil"/>
            </w:tcBorders>
            <w:shd w:val="clear" w:color="auto" w:fill="auto"/>
            <w:noWrap/>
            <w:vAlign w:val="bottom"/>
          </w:tcPr>
          <w:p w14:paraId="78213305"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Old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78213306"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78213307"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78213308"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78213309"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7821330A"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7821330B"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7821330C"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78213317" w14:textId="77777777" w:rsidTr="0082268C">
        <w:trPr>
          <w:trHeight w:val="300"/>
        </w:trPr>
        <w:tc>
          <w:tcPr>
            <w:tcW w:w="440" w:type="dxa"/>
            <w:vMerge/>
            <w:tcBorders>
              <w:top w:val="nil"/>
              <w:left w:val="single" w:sz="4" w:space="0" w:color="auto"/>
              <w:bottom w:val="single" w:sz="4" w:space="0" w:color="000000"/>
              <w:right w:val="nil"/>
            </w:tcBorders>
            <w:vAlign w:val="center"/>
          </w:tcPr>
          <w:p w14:paraId="7821330E" w14:textId="77777777" w:rsidR="00F11FF1" w:rsidRPr="00AD7EC7" w:rsidRDefault="00F11FF1" w:rsidP="00AD7EC7">
            <w:pPr>
              <w:rPr>
                <w:rFonts w:ascii="Calibri" w:hAnsi="Calibri"/>
                <w:color w:val="000000"/>
                <w:sz w:val="22"/>
                <w:szCs w:val="22"/>
              </w:rPr>
            </w:pPr>
          </w:p>
        </w:tc>
        <w:tc>
          <w:tcPr>
            <w:tcW w:w="1375" w:type="dxa"/>
            <w:tcBorders>
              <w:top w:val="nil"/>
              <w:left w:val="nil"/>
              <w:bottom w:val="single" w:sz="4" w:space="0" w:color="auto"/>
              <w:right w:val="nil"/>
            </w:tcBorders>
            <w:shd w:val="clear" w:color="auto" w:fill="auto"/>
            <w:noWrap/>
            <w:vAlign w:val="bottom"/>
          </w:tcPr>
          <w:p w14:paraId="7821330F"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New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78213310"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78213311"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78213312"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78213313"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78213314"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78213315"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78213316"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78213321" w14:textId="77777777" w:rsidTr="0082268C">
        <w:trPr>
          <w:trHeight w:val="300"/>
        </w:trPr>
        <w:tc>
          <w:tcPr>
            <w:tcW w:w="440" w:type="dxa"/>
            <w:vMerge w:val="restart"/>
            <w:tcBorders>
              <w:top w:val="nil"/>
              <w:left w:val="single" w:sz="4" w:space="0" w:color="auto"/>
              <w:bottom w:val="single" w:sz="4" w:space="0" w:color="000000"/>
              <w:right w:val="nil"/>
            </w:tcBorders>
            <w:shd w:val="clear" w:color="auto" w:fill="auto"/>
            <w:noWrap/>
            <w:vAlign w:val="center"/>
          </w:tcPr>
          <w:p w14:paraId="78213318" w14:textId="77777777" w:rsidR="00F11FF1" w:rsidRPr="00AD7EC7" w:rsidRDefault="00F11FF1" w:rsidP="00AD7EC7">
            <w:pPr>
              <w:jc w:val="center"/>
              <w:rPr>
                <w:rFonts w:ascii="Calibri" w:hAnsi="Calibri"/>
                <w:color w:val="000000"/>
                <w:sz w:val="22"/>
                <w:szCs w:val="22"/>
              </w:rPr>
            </w:pPr>
            <w:r w:rsidRPr="00AD7EC7">
              <w:rPr>
                <w:rFonts w:ascii="Calibri" w:hAnsi="Calibri"/>
                <w:color w:val="000000"/>
                <w:sz w:val="22"/>
                <w:szCs w:val="22"/>
              </w:rPr>
              <w:t>3</w:t>
            </w:r>
          </w:p>
        </w:tc>
        <w:tc>
          <w:tcPr>
            <w:tcW w:w="1375" w:type="dxa"/>
            <w:tcBorders>
              <w:top w:val="nil"/>
              <w:left w:val="nil"/>
              <w:bottom w:val="nil"/>
              <w:right w:val="nil"/>
            </w:tcBorders>
            <w:shd w:val="clear" w:color="auto" w:fill="auto"/>
            <w:noWrap/>
            <w:vAlign w:val="bottom"/>
          </w:tcPr>
          <w:p w14:paraId="78213319"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Old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7821331A"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7821331B"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7821331C"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7821331D"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7821331E"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7821331F"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78213320"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7821332B" w14:textId="77777777" w:rsidTr="0082268C">
        <w:trPr>
          <w:trHeight w:val="300"/>
        </w:trPr>
        <w:tc>
          <w:tcPr>
            <w:tcW w:w="440" w:type="dxa"/>
            <w:vMerge/>
            <w:tcBorders>
              <w:top w:val="nil"/>
              <w:left w:val="single" w:sz="4" w:space="0" w:color="auto"/>
              <w:bottom w:val="single" w:sz="4" w:space="0" w:color="000000"/>
              <w:right w:val="nil"/>
            </w:tcBorders>
            <w:vAlign w:val="center"/>
          </w:tcPr>
          <w:p w14:paraId="78213322" w14:textId="77777777" w:rsidR="00F11FF1" w:rsidRPr="00AD7EC7" w:rsidRDefault="00F11FF1" w:rsidP="00AD7EC7">
            <w:pPr>
              <w:rPr>
                <w:rFonts w:ascii="Calibri" w:hAnsi="Calibri"/>
                <w:color w:val="000000"/>
                <w:sz w:val="22"/>
                <w:szCs w:val="22"/>
              </w:rPr>
            </w:pPr>
          </w:p>
        </w:tc>
        <w:tc>
          <w:tcPr>
            <w:tcW w:w="1375" w:type="dxa"/>
            <w:tcBorders>
              <w:top w:val="nil"/>
              <w:left w:val="nil"/>
              <w:bottom w:val="single" w:sz="4" w:space="0" w:color="auto"/>
              <w:right w:val="nil"/>
            </w:tcBorders>
            <w:shd w:val="clear" w:color="auto" w:fill="auto"/>
            <w:noWrap/>
            <w:vAlign w:val="bottom"/>
          </w:tcPr>
          <w:p w14:paraId="78213323"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New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78213324"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78213325"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78213326"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78213327"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78213328"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78213329"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7821332A"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78213335" w14:textId="77777777" w:rsidTr="0082268C">
        <w:trPr>
          <w:trHeight w:val="300"/>
        </w:trPr>
        <w:tc>
          <w:tcPr>
            <w:tcW w:w="440" w:type="dxa"/>
            <w:vMerge w:val="restart"/>
            <w:tcBorders>
              <w:top w:val="nil"/>
              <w:left w:val="single" w:sz="4" w:space="0" w:color="auto"/>
              <w:bottom w:val="single" w:sz="4" w:space="0" w:color="000000"/>
              <w:right w:val="nil"/>
            </w:tcBorders>
            <w:shd w:val="clear" w:color="auto" w:fill="auto"/>
            <w:noWrap/>
            <w:vAlign w:val="center"/>
          </w:tcPr>
          <w:p w14:paraId="7821332C" w14:textId="77777777" w:rsidR="00F11FF1" w:rsidRPr="00AD7EC7" w:rsidRDefault="00F11FF1" w:rsidP="00AD7EC7">
            <w:pPr>
              <w:jc w:val="center"/>
              <w:rPr>
                <w:rFonts w:ascii="Calibri" w:hAnsi="Calibri"/>
                <w:color w:val="000000"/>
                <w:sz w:val="22"/>
                <w:szCs w:val="22"/>
              </w:rPr>
            </w:pPr>
            <w:r w:rsidRPr="00AD7EC7">
              <w:rPr>
                <w:rFonts w:ascii="Calibri" w:hAnsi="Calibri"/>
                <w:color w:val="000000"/>
                <w:sz w:val="22"/>
                <w:szCs w:val="22"/>
              </w:rPr>
              <w:t>4</w:t>
            </w:r>
          </w:p>
        </w:tc>
        <w:tc>
          <w:tcPr>
            <w:tcW w:w="1375" w:type="dxa"/>
            <w:tcBorders>
              <w:top w:val="nil"/>
              <w:left w:val="nil"/>
              <w:bottom w:val="nil"/>
              <w:right w:val="nil"/>
            </w:tcBorders>
            <w:shd w:val="clear" w:color="auto" w:fill="auto"/>
            <w:noWrap/>
            <w:vAlign w:val="bottom"/>
          </w:tcPr>
          <w:p w14:paraId="7821332D"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Old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7821332E"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7821332F"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78213330"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78213331"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78213332"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78213333"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78213334"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7821333F" w14:textId="77777777" w:rsidTr="0082268C">
        <w:trPr>
          <w:trHeight w:val="300"/>
        </w:trPr>
        <w:tc>
          <w:tcPr>
            <w:tcW w:w="440" w:type="dxa"/>
            <w:vMerge/>
            <w:tcBorders>
              <w:top w:val="nil"/>
              <w:left w:val="single" w:sz="4" w:space="0" w:color="auto"/>
              <w:bottom w:val="single" w:sz="4" w:space="0" w:color="000000"/>
              <w:right w:val="nil"/>
            </w:tcBorders>
            <w:vAlign w:val="center"/>
          </w:tcPr>
          <w:p w14:paraId="78213336" w14:textId="77777777" w:rsidR="00F11FF1" w:rsidRPr="00AD7EC7" w:rsidRDefault="00F11FF1" w:rsidP="00AD7EC7">
            <w:pPr>
              <w:rPr>
                <w:rFonts w:ascii="Calibri" w:hAnsi="Calibri"/>
                <w:color w:val="000000"/>
                <w:sz w:val="22"/>
                <w:szCs w:val="22"/>
              </w:rPr>
            </w:pPr>
          </w:p>
        </w:tc>
        <w:tc>
          <w:tcPr>
            <w:tcW w:w="1375" w:type="dxa"/>
            <w:tcBorders>
              <w:top w:val="nil"/>
              <w:left w:val="nil"/>
              <w:bottom w:val="single" w:sz="4" w:space="0" w:color="auto"/>
              <w:right w:val="nil"/>
            </w:tcBorders>
            <w:shd w:val="clear" w:color="auto" w:fill="auto"/>
            <w:noWrap/>
            <w:vAlign w:val="bottom"/>
          </w:tcPr>
          <w:p w14:paraId="78213337"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New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78213338"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78213339"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7821333A"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7821333B"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7821333C"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7821333D"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7821333E"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78213349" w14:textId="77777777" w:rsidTr="0082268C">
        <w:trPr>
          <w:trHeight w:val="300"/>
        </w:trPr>
        <w:tc>
          <w:tcPr>
            <w:tcW w:w="440" w:type="dxa"/>
            <w:vMerge w:val="restart"/>
            <w:tcBorders>
              <w:top w:val="nil"/>
              <w:left w:val="single" w:sz="4" w:space="0" w:color="auto"/>
              <w:bottom w:val="single" w:sz="4" w:space="0" w:color="000000"/>
              <w:right w:val="nil"/>
            </w:tcBorders>
            <w:shd w:val="clear" w:color="auto" w:fill="auto"/>
            <w:noWrap/>
            <w:vAlign w:val="center"/>
          </w:tcPr>
          <w:p w14:paraId="78213340" w14:textId="77777777" w:rsidR="00F11FF1" w:rsidRPr="00AD7EC7" w:rsidRDefault="00F11FF1" w:rsidP="00AD7EC7">
            <w:pPr>
              <w:jc w:val="center"/>
              <w:rPr>
                <w:rFonts w:ascii="Calibri" w:hAnsi="Calibri"/>
                <w:color w:val="000000"/>
                <w:sz w:val="22"/>
                <w:szCs w:val="22"/>
              </w:rPr>
            </w:pPr>
            <w:r w:rsidRPr="00AD7EC7">
              <w:rPr>
                <w:rFonts w:ascii="Calibri" w:hAnsi="Calibri"/>
                <w:color w:val="000000"/>
                <w:sz w:val="22"/>
                <w:szCs w:val="22"/>
              </w:rPr>
              <w:t>5</w:t>
            </w:r>
          </w:p>
        </w:tc>
        <w:tc>
          <w:tcPr>
            <w:tcW w:w="1375" w:type="dxa"/>
            <w:tcBorders>
              <w:top w:val="nil"/>
              <w:left w:val="nil"/>
              <w:bottom w:val="nil"/>
              <w:right w:val="nil"/>
            </w:tcBorders>
            <w:shd w:val="clear" w:color="auto" w:fill="auto"/>
            <w:noWrap/>
            <w:vAlign w:val="bottom"/>
          </w:tcPr>
          <w:p w14:paraId="78213341"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Old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78213342"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78213343"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78213344"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78213345"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78213346"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78213347"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78213348"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78213353" w14:textId="77777777" w:rsidTr="0082268C">
        <w:trPr>
          <w:trHeight w:val="300"/>
        </w:trPr>
        <w:tc>
          <w:tcPr>
            <w:tcW w:w="440" w:type="dxa"/>
            <w:vMerge/>
            <w:tcBorders>
              <w:top w:val="nil"/>
              <w:left w:val="single" w:sz="4" w:space="0" w:color="auto"/>
              <w:bottom w:val="single" w:sz="4" w:space="0" w:color="000000"/>
              <w:right w:val="nil"/>
            </w:tcBorders>
            <w:vAlign w:val="center"/>
          </w:tcPr>
          <w:p w14:paraId="7821334A" w14:textId="77777777" w:rsidR="00F11FF1" w:rsidRPr="00AD7EC7" w:rsidRDefault="00F11FF1" w:rsidP="00AD7EC7">
            <w:pPr>
              <w:rPr>
                <w:rFonts w:ascii="Calibri" w:hAnsi="Calibri"/>
                <w:color w:val="000000"/>
                <w:sz w:val="22"/>
                <w:szCs w:val="22"/>
              </w:rPr>
            </w:pPr>
          </w:p>
        </w:tc>
        <w:tc>
          <w:tcPr>
            <w:tcW w:w="1375" w:type="dxa"/>
            <w:tcBorders>
              <w:top w:val="nil"/>
              <w:left w:val="nil"/>
              <w:bottom w:val="single" w:sz="4" w:space="0" w:color="auto"/>
              <w:right w:val="nil"/>
            </w:tcBorders>
            <w:shd w:val="clear" w:color="auto" w:fill="auto"/>
            <w:noWrap/>
            <w:vAlign w:val="bottom"/>
          </w:tcPr>
          <w:p w14:paraId="7821334B"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New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7821334C"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7821334D"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7821334E"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7821334F"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78213350"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78213351"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78213352"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7821335D" w14:textId="77777777" w:rsidTr="0082268C">
        <w:trPr>
          <w:trHeight w:val="300"/>
        </w:trPr>
        <w:tc>
          <w:tcPr>
            <w:tcW w:w="440" w:type="dxa"/>
            <w:vMerge w:val="restart"/>
            <w:tcBorders>
              <w:top w:val="nil"/>
              <w:left w:val="single" w:sz="4" w:space="0" w:color="auto"/>
              <w:bottom w:val="single" w:sz="4" w:space="0" w:color="000000"/>
              <w:right w:val="nil"/>
            </w:tcBorders>
            <w:shd w:val="clear" w:color="auto" w:fill="auto"/>
            <w:noWrap/>
            <w:vAlign w:val="center"/>
          </w:tcPr>
          <w:p w14:paraId="78213354" w14:textId="77777777" w:rsidR="00F11FF1" w:rsidRPr="00AD7EC7" w:rsidRDefault="00F11FF1" w:rsidP="00AD7EC7">
            <w:pPr>
              <w:jc w:val="center"/>
              <w:rPr>
                <w:rFonts w:ascii="Calibri" w:hAnsi="Calibri"/>
                <w:color w:val="000000"/>
                <w:sz w:val="22"/>
                <w:szCs w:val="22"/>
              </w:rPr>
            </w:pPr>
            <w:r w:rsidRPr="00AD7EC7">
              <w:rPr>
                <w:rFonts w:ascii="Calibri" w:hAnsi="Calibri"/>
                <w:color w:val="000000"/>
                <w:sz w:val="22"/>
                <w:szCs w:val="22"/>
              </w:rPr>
              <w:t>6</w:t>
            </w:r>
          </w:p>
        </w:tc>
        <w:tc>
          <w:tcPr>
            <w:tcW w:w="1375" w:type="dxa"/>
            <w:tcBorders>
              <w:top w:val="nil"/>
              <w:left w:val="nil"/>
              <w:bottom w:val="nil"/>
              <w:right w:val="nil"/>
            </w:tcBorders>
            <w:shd w:val="clear" w:color="auto" w:fill="auto"/>
            <w:noWrap/>
            <w:vAlign w:val="bottom"/>
          </w:tcPr>
          <w:p w14:paraId="78213355"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Old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78213356"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78213357"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78213358"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78213359"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7821335A"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7821335B"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7821335C"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78213367" w14:textId="77777777" w:rsidTr="0082268C">
        <w:trPr>
          <w:trHeight w:val="300"/>
        </w:trPr>
        <w:tc>
          <w:tcPr>
            <w:tcW w:w="440" w:type="dxa"/>
            <w:vMerge/>
            <w:tcBorders>
              <w:top w:val="nil"/>
              <w:left w:val="single" w:sz="4" w:space="0" w:color="auto"/>
              <w:bottom w:val="single" w:sz="4" w:space="0" w:color="000000"/>
              <w:right w:val="nil"/>
            </w:tcBorders>
            <w:vAlign w:val="center"/>
          </w:tcPr>
          <w:p w14:paraId="7821335E" w14:textId="77777777" w:rsidR="00F11FF1" w:rsidRPr="00AD7EC7" w:rsidRDefault="00F11FF1" w:rsidP="00AD7EC7">
            <w:pPr>
              <w:rPr>
                <w:rFonts w:ascii="Calibri" w:hAnsi="Calibri"/>
                <w:color w:val="000000"/>
                <w:sz w:val="22"/>
                <w:szCs w:val="22"/>
              </w:rPr>
            </w:pPr>
          </w:p>
        </w:tc>
        <w:tc>
          <w:tcPr>
            <w:tcW w:w="1375" w:type="dxa"/>
            <w:tcBorders>
              <w:top w:val="nil"/>
              <w:left w:val="nil"/>
              <w:bottom w:val="single" w:sz="4" w:space="0" w:color="auto"/>
              <w:right w:val="nil"/>
            </w:tcBorders>
            <w:shd w:val="clear" w:color="auto" w:fill="auto"/>
            <w:noWrap/>
            <w:vAlign w:val="bottom"/>
          </w:tcPr>
          <w:p w14:paraId="7821335F"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New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78213360"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78213361"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78213362"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78213363"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78213364"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78213365"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78213366"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78213371" w14:textId="77777777" w:rsidTr="0082268C">
        <w:trPr>
          <w:trHeight w:val="300"/>
        </w:trPr>
        <w:tc>
          <w:tcPr>
            <w:tcW w:w="440" w:type="dxa"/>
            <w:vMerge w:val="restart"/>
            <w:tcBorders>
              <w:top w:val="nil"/>
              <w:left w:val="single" w:sz="4" w:space="0" w:color="auto"/>
              <w:bottom w:val="single" w:sz="4" w:space="0" w:color="000000"/>
              <w:right w:val="nil"/>
            </w:tcBorders>
            <w:shd w:val="clear" w:color="auto" w:fill="auto"/>
            <w:noWrap/>
            <w:vAlign w:val="center"/>
          </w:tcPr>
          <w:p w14:paraId="78213368" w14:textId="77777777" w:rsidR="00F11FF1" w:rsidRPr="00AD7EC7" w:rsidRDefault="00F11FF1" w:rsidP="00AD7EC7">
            <w:pPr>
              <w:jc w:val="center"/>
              <w:rPr>
                <w:rFonts w:ascii="Calibri" w:hAnsi="Calibri"/>
                <w:color w:val="000000"/>
                <w:sz w:val="22"/>
                <w:szCs w:val="22"/>
              </w:rPr>
            </w:pPr>
            <w:r w:rsidRPr="00AD7EC7">
              <w:rPr>
                <w:rFonts w:ascii="Calibri" w:hAnsi="Calibri"/>
                <w:color w:val="000000"/>
                <w:sz w:val="22"/>
                <w:szCs w:val="22"/>
              </w:rPr>
              <w:t>7</w:t>
            </w:r>
          </w:p>
        </w:tc>
        <w:tc>
          <w:tcPr>
            <w:tcW w:w="1375" w:type="dxa"/>
            <w:tcBorders>
              <w:top w:val="nil"/>
              <w:left w:val="nil"/>
              <w:bottom w:val="nil"/>
              <w:right w:val="nil"/>
            </w:tcBorders>
            <w:shd w:val="clear" w:color="auto" w:fill="auto"/>
            <w:noWrap/>
            <w:vAlign w:val="bottom"/>
          </w:tcPr>
          <w:p w14:paraId="78213369"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Old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7821336A"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7821336B"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7821336C"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7821336D"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7821336E"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7821336F"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78213370"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7821337B" w14:textId="77777777" w:rsidTr="0082268C">
        <w:trPr>
          <w:trHeight w:val="300"/>
        </w:trPr>
        <w:tc>
          <w:tcPr>
            <w:tcW w:w="440" w:type="dxa"/>
            <w:vMerge/>
            <w:tcBorders>
              <w:top w:val="nil"/>
              <w:left w:val="single" w:sz="4" w:space="0" w:color="auto"/>
              <w:bottom w:val="single" w:sz="4" w:space="0" w:color="000000"/>
              <w:right w:val="nil"/>
            </w:tcBorders>
            <w:vAlign w:val="center"/>
          </w:tcPr>
          <w:p w14:paraId="78213372" w14:textId="77777777" w:rsidR="00F11FF1" w:rsidRPr="00AD7EC7" w:rsidRDefault="00F11FF1" w:rsidP="00AD7EC7">
            <w:pPr>
              <w:rPr>
                <w:rFonts w:ascii="Calibri" w:hAnsi="Calibri"/>
                <w:color w:val="000000"/>
                <w:sz w:val="22"/>
                <w:szCs w:val="22"/>
              </w:rPr>
            </w:pPr>
          </w:p>
        </w:tc>
        <w:tc>
          <w:tcPr>
            <w:tcW w:w="1375" w:type="dxa"/>
            <w:tcBorders>
              <w:top w:val="nil"/>
              <w:left w:val="nil"/>
              <w:bottom w:val="single" w:sz="4" w:space="0" w:color="auto"/>
              <w:right w:val="nil"/>
            </w:tcBorders>
            <w:shd w:val="clear" w:color="auto" w:fill="auto"/>
            <w:noWrap/>
            <w:vAlign w:val="bottom"/>
          </w:tcPr>
          <w:p w14:paraId="78213373"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New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78213374"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78213375"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78213376"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78213377"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78213378"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78213379"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7821337A"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78213385" w14:textId="77777777" w:rsidTr="0082268C">
        <w:trPr>
          <w:trHeight w:val="300"/>
        </w:trPr>
        <w:tc>
          <w:tcPr>
            <w:tcW w:w="440" w:type="dxa"/>
            <w:vMerge w:val="restart"/>
            <w:tcBorders>
              <w:top w:val="nil"/>
              <w:left w:val="single" w:sz="4" w:space="0" w:color="auto"/>
              <w:bottom w:val="single" w:sz="4" w:space="0" w:color="000000"/>
              <w:right w:val="nil"/>
            </w:tcBorders>
            <w:shd w:val="clear" w:color="auto" w:fill="auto"/>
            <w:noWrap/>
            <w:vAlign w:val="center"/>
          </w:tcPr>
          <w:p w14:paraId="7821337C" w14:textId="77777777" w:rsidR="00F11FF1" w:rsidRPr="00AD7EC7" w:rsidRDefault="00F11FF1" w:rsidP="00AD7EC7">
            <w:pPr>
              <w:jc w:val="center"/>
              <w:rPr>
                <w:rFonts w:ascii="Calibri" w:hAnsi="Calibri"/>
                <w:color w:val="000000"/>
                <w:sz w:val="22"/>
                <w:szCs w:val="22"/>
              </w:rPr>
            </w:pPr>
            <w:r w:rsidRPr="00AD7EC7">
              <w:rPr>
                <w:rFonts w:ascii="Calibri" w:hAnsi="Calibri"/>
                <w:color w:val="000000"/>
                <w:sz w:val="22"/>
                <w:szCs w:val="22"/>
              </w:rPr>
              <w:t>9</w:t>
            </w:r>
          </w:p>
        </w:tc>
        <w:tc>
          <w:tcPr>
            <w:tcW w:w="1375" w:type="dxa"/>
            <w:tcBorders>
              <w:top w:val="nil"/>
              <w:left w:val="nil"/>
              <w:bottom w:val="nil"/>
              <w:right w:val="nil"/>
            </w:tcBorders>
            <w:shd w:val="clear" w:color="auto" w:fill="auto"/>
            <w:noWrap/>
            <w:vAlign w:val="bottom"/>
          </w:tcPr>
          <w:p w14:paraId="7821337D"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Old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7821337E"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7821337F"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78213380"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78213381"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78213382"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78213383"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78213384"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7821338F" w14:textId="77777777" w:rsidTr="0082268C">
        <w:trPr>
          <w:trHeight w:val="300"/>
        </w:trPr>
        <w:tc>
          <w:tcPr>
            <w:tcW w:w="440" w:type="dxa"/>
            <w:vMerge/>
            <w:tcBorders>
              <w:top w:val="nil"/>
              <w:left w:val="single" w:sz="4" w:space="0" w:color="auto"/>
              <w:bottom w:val="single" w:sz="4" w:space="0" w:color="000000"/>
              <w:right w:val="nil"/>
            </w:tcBorders>
            <w:vAlign w:val="center"/>
          </w:tcPr>
          <w:p w14:paraId="78213386" w14:textId="77777777" w:rsidR="00F11FF1" w:rsidRPr="00AD7EC7" w:rsidRDefault="00F11FF1" w:rsidP="00AD7EC7">
            <w:pPr>
              <w:rPr>
                <w:rFonts w:ascii="Calibri" w:hAnsi="Calibri"/>
                <w:color w:val="000000"/>
                <w:sz w:val="22"/>
                <w:szCs w:val="22"/>
              </w:rPr>
            </w:pPr>
          </w:p>
        </w:tc>
        <w:tc>
          <w:tcPr>
            <w:tcW w:w="1375" w:type="dxa"/>
            <w:tcBorders>
              <w:top w:val="nil"/>
              <w:left w:val="nil"/>
              <w:bottom w:val="single" w:sz="4" w:space="0" w:color="auto"/>
              <w:right w:val="nil"/>
            </w:tcBorders>
            <w:shd w:val="clear" w:color="auto" w:fill="auto"/>
            <w:noWrap/>
            <w:vAlign w:val="bottom"/>
          </w:tcPr>
          <w:p w14:paraId="78213387"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New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78213388"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78213389"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7821338A"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7821338B"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7821338C"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7821338D"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7821338E"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78213399" w14:textId="77777777" w:rsidTr="0082268C">
        <w:trPr>
          <w:trHeight w:val="300"/>
        </w:trPr>
        <w:tc>
          <w:tcPr>
            <w:tcW w:w="440" w:type="dxa"/>
            <w:vMerge w:val="restart"/>
            <w:tcBorders>
              <w:top w:val="nil"/>
              <w:left w:val="single" w:sz="4" w:space="0" w:color="auto"/>
              <w:bottom w:val="single" w:sz="4" w:space="0" w:color="000000"/>
              <w:right w:val="nil"/>
            </w:tcBorders>
            <w:shd w:val="clear" w:color="auto" w:fill="auto"/>
            <w:noWrap/>
            <w:vAlign w:val="center"/>
          </w:tcPr>
          <w:p w14:paraId="78213390" w14:textId="77777777" w:rsidR="00F11FF1" w:rsidRPr="00AD7EC7" w:rsidRDefault="00F11FF1" w:rsidP="00AD7EC7">
            <w:pPr>
              <w:jc w:val="center"/>
              <w:rPr>
                <w:rFonts w:ascii="Calibri" w:hAnsi="Calibri"/>
                <w:color w:val="000000"/>
                <w:sz w:val="22"/>
                <w:szCs w:val="22"/>
              </w:rPr>
            </w:pPr>
            <w:r w:rsidRPr="00AD7EC7">
              <w:rPr>
                <w:rFonts w:ascii="Calibri" w:hAnsi="Calibri"/>
                <w:color w:val="000000"/>
                <w:sz w:val="22"/>
                <w:szCs w:val="22"/>
              </w:rPr>
              <w:t>10</w:t>
            </w:r>
          </w:p>
        </w:tc>
        <w:tc>
          <w:tcPr>
            <w:tcW w:w="1375" w:type="dxa"/>
            <w:tcBorders>
              <w:top w:val="nil"/>
              <w:left w:val="nil"/>
              <w:bottom w:val="nil"/>
              <w:right w:val="nil"/>
            </w:tcBorders>
            <w:shd w:val="clear" w:color="auto" w:fill="auto"/>
            <w:noWrap/>
            <w:vAlign w:val="bottom"/>
          </w:tcPr>
          <w:p w14:paraId="78213391"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Old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78213392"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78213393"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78213394"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78213395"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78213396"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78213397"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78213398"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782133A3" w14:textId="77777777" w:rsidTr="0082268C">
        <w:trPr>
          <w:trHeight w:val="300"/>
        </w:trPr>
        <w:tc>
          <w:tcPr>
            <w:tcW w:w="440" w:type="dxa"/>
            <w:vMerge/>
            <w:tcBorders>
              <w:top w:val="nil"/>
              <w:left w:val="single" w:sz="4" w:space="0" w:color="auto"/>
              <w:bottom w:val="single" w:sz="4" w:space="0" w:color="000000"/>
              <w:right w:val="nil"/>
            </w:tcBorders>
            <w:vAlign w:val="center"/>
          </w:tcPr>
          <w:p w14:paraId="7821339A" w14:textId="77777777" w:rsidR="00F11FF1" w:rsidRPr="00AD7EC7" w:rsidRDefault="00F11FF1" w:rsidP="00AD7EC7">
            <w:pPr>
              <w:rPr>
                <w:rFonts w:ascii="Calibri" w:hAnsi="Calibri"/>
                <w:color w:val="000000"/>
                <w:sz w:val="22"/>
                <w:szCs w:val="22"/>
              </w:rPr>
            </w:pPr>
          </w:p>
        </w:tc>
        <w:tc>
          <w:tcPr>
            <w:tcW w:w="1375" w:type="dxa"/>
            <w:tcBorders>
              <w:top w:val="nil"/>
              <w:left w:val="nil"/>
              <w:bottom w:val="single" w:sz="4" w:space="0" w:color="auto"/>
              <w:right w:val="nil"/>
            </w:tcBorders>
            <w:shd w:val="clear" w:color="auto" w:fill="auto"/>
            <w:noWrap/>
            <w:vAlign w:val="bottom"/>
          </w:tcPr>
          <w:p w14:paraId="7821339B"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New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7821339C"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7821339D"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7821339E"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7821339F"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782133A0"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782133A1"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782133A2"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bl>
    <w:p w14:paraId="782133A4" w14:textId="77777777" w:rsidR="00820F49" w:rsidRDefault="00820F49" w:rsidP="00072A63">
      <w:pPr>
        <w:pStyle w:val="Header"/>
        <w:tabs>
          <w:tab w:val="clear" w:pos="4320"/>
          <w:tab w:val="clear" w:pos="8640"/>
        </w:tabs>
      </w:pPr>
    </w:p>
    <w:sectPr w:rsidR="00820F49" w:rsidSect="00820F49">
      <w:footerReference w:type="default" r:id="rId12"/>
      <w:pgSz w:w="12240" w:h="15840" w:code="1"/>
      <w:pgMar w:top="1008" w:right="810" w:bottom="720" w:left="1008"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2133AF" w14:textId="77777777" w:rsidR="00CB592B" w:rsidRDefault="00CB592B">
      <w:r>
        <w:separator/>
      </w:r>
    </w:p>
  </w:endnote>
  <w:endnote w:type="continuationSeparator" w:id="0">
    <w:p w14:paraId="782133B0" w14:textId="77777777" w:rsidR="00CB592B" w:rsidRDefault="00CB5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1"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133B1" w14:textId="77777777" w:rsidR="000C4E26" w:rsidRDefault="00CB38B7" w:rsidP="000C4E26">
    <w:pPr>
      <w:pStyle w:val="Footer"/>
      <w:jc w:val="right"/>
      <w:rPr>
        <w:rFonts w:ascii="Arial" w:hAnsi="Arial" w:cs="Arial"/>
        <w:b/>
        <w:sz w:val="14"/>
        <w:szCs w:val="14"/>
      </w:rPr>
    </w:pPr>
    <w:r>
      <w:rPr>
        <w:rFonts w:ascii="Arial" w:hAnsi="Arial" w:cs="Arial"/>
        <w:b/>
        <w:sz w:val="14"/>
        <w:szCs w:val="14"/>
      </w:rPr>
      <w:t xml:space="preserve">HQ </w:t>
    </w:r>
    <w:r w:rsidR="000C4E26">
      <w:rPr>
        <w:rFonts w:ascii="Arial" w:hAnsi="Arial" w:cs="Arial"/>
        <w:b/>
        <w:sz w:val="14"/>
        <w:szCs w:val="14"/>
      </w:rPr>
      <w:t>A</w:t>
    </w:r>
    <w:r w:rsidR="00902B03">
      <w:rPr>
        <w:rFonts w:ascii="Arial" w:hAnsi="Arial" w:cs="Arial"/>
        <w:b/>
        <w:sz w:val="14"/>
        <w:szCs w:val="14"/>
      </w:rPr>
      <w:t>sset</w:t>
    </w:r>
    <w:r w:rsidR="000C4E26">
      <w:rPr>
        <w:rFonts w:ascii="Arial" w:hAnsi="Arial" w:cs="Arial"/>
        <w:b/>
        <w:sz w:val="14"/>
        <w:szCs w:val="14"/>
      </w:rPr>
      <w:t xml:space="preserve"> A</w:t>
    </w:r>
    <w:r w:rsidR="00902B03">
      <w:rPr>
        <w:rFonts w:ascii="Arial" w:hAnsi="Arial" w:cs="Arial"/>
        <w:b/>
        <w:sz w:val="14"/>
        <w:szCs w:val="14"/>
      </w:rPr>
      <w:t>djustment</w:t>
    </w:r>
    <w:r w:rsidR="000C4E26">
      <w:rPr>
        <w:rFonts w:ascii="Arial" w:hAnsi="Arial" w:cs="Arial"/>
        <w:b/>
        <w:sz w:val="14"/>
        <w:szCs w:val="14"/>
      </w:rPr>
      <w:t xml:space="preserve"> </w:t>
    </w:r>
    <w:r w:rsidR="007A6D49">
      <w:rPr>
        <w:rFonts w:ascii="Arial" w:hAnsi="Arial" w:cs="Arial"/>
        <w:b/>
        <w:sz w:val="14"/>
        <w:szCs w:val="14"/>
      </w:rPr>
      <w:t xml:space="preserve"> A</w:t>
    </w:r>
    <w:r w:rsidR="00902B03">
      <w:rPr>
        <w:rFonts w:ascii="Arial" w:hAnsi="Arial" w:cs="Arial"/>
        <w:b/>
        <w:sz w:val="14"/>
        <w:szCs w:val="14"/>
      </w:rPr>
      <w:t>pproval</w:t>
    </w:r>
    <w:r w:rsidR="007A6D49">
      <w:rPr>
        <w:rFonts w:ascii="Arial" w:hAnsi="Arial" w:cs="Arial"/>
        <w:b/>
        <w:sz w:val="14"/>
        <w:szCs w:val="14"/>
      </w:rPr>
      <w:t xml:space="preserve"> </w:t>
    </w:r>
    <w:r w:rsidR="000C4E26">
      <w:rPr>
        <w:rFonts w:ascii="Arial" w:hAnsi="Arial" w:cs="Arial"/>
        <w:b/>
        <w:sz w:val="14"/>
        <w:szCs w:val="14"/>
      </w:rPr>
      <w:t>F</w:t>
    </w:r>
    <w:r w:rsidR="00902B03">
      <w:rPr>
        <w:rFonts w:ascii="Arial" w:hAnsi="Arial" w:cs="Arial"/>
        <w:b/>
        <w:sz w:val="14"/>
        <w:szCs w:val="14"/>
      </w:rPr>
      <w:t>orm</w:t>
    </w:r>
  </w:p>
  <w:p w14:paraId="782133B2" w14:textId="77777777" w:rsidR="000C4E26" w:rsidRDefault="00CB38B7" w:rsidP="000C4E26">
    <w:pPr>
      <w:pStyle w:val="Footer"/>
      <w:jc w:val="right"/>
    </w:pPr>
    <w:r>
      <w:rPr>
        <w:rFonts w:ascii="Arial" w:hAnsi="Arial" w:cs="Arial"/>
        <w:b/>
        <w:sz w:val="14"/>
        <w:szCs w:val="14"/>
      </w:rPr>
      <w:t xml:space="preserve">1 </w:t>
    </w:r>
    <w:r w:rsidR="00072A63">
      <w:rPr>
        <w:rFonts w:ascii="Arial" w:hAnsi="Arial" w:cs="Arial"/>
        <w:b/>
        <w:sz w:val="14"/>
        <w:szCs w:val="14"/>
      </w:rPr>
      <w:t>March</w:t>
    </w:r>
    <w:r>
      <w:rPr>
        <w:rFonts w:ascii="Arial" w:hAnsi="Arial" w:cs="Arial"/>
        <w:b/>
        <w:sz w:val="14"/>
        <w:szCs w:val="14"/>
      </w:rPr>
      <w:t xml:space="preserve"> 201</w:t>
    </w:r>
    <w:r w:rsidR="00072A63">
      <w:rPr>
        <w:rFonts w:ascii="Arial" w:hAnsi="Arial" w:cs="Arial"/>
        <w:b/>
        <w:sz w:val="14"/>
        <w:szCs w:val="14"/>
      </w:rPr>
      <w:t>2</w:t>
    </w:r>
  </w:p>
  <w:p w14:paraId="782133B3" w14:textId="77777777" w:rsidR="002531B8" w:rsidRPr="00F711C1" w:rsidRDefault="002531B8" w:rsidP="002531B8">
    <w:pPr>
      <w:pStyle w:val="Footer"/>
      <w:jc w:val="right"/>
      <w:rPr>
        <w:rFonts w:ascii="Arial" w:hAnsi="Arial" w:cs="Arial"/>
        <w:b/>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2133AD" w14:textId="77777777" w:rsidR="00CB592B" w:rsidRDefault="00CB592B">
      <w:r>
        <w:separator/>
      </w:r>
    </w:p>
  </w:footnote>
  <w:footnote w:type="continuationSeparator" w:id="0">
    <w:p w14:paraId="782133AE" w14:textId="77777777" w:rsidR="00CB592B" w:rsidRDefault="00CB59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1B8"/>
    <w:rsid w:val="00001D58"/>
    <w:rsid w:val="00024CD0"/>
    <w:rsid w:val="0006684D"/>
    <w:rsid w:val="00072A63"/>
    <w:rsid w:val="00073C7D"/>
    <w:rsid w:val="000875A7"/>
    <w:rsid w:val="000A0B59"/>
    <w:rsid w:val="000A1F87"/>
    <w:rsid w:val="000C0476"/>
    <w:rsid w:val="000C4E26"/>
    <w:rsid w:val="001152EF"/>
    <w:rsid w:val="00132A00"/>
    <w:rsid w:val="00134B10"/>
    <w:rsid w:val="00143D82"/>
    <w:rsid w:val="00195545"/>
    <w:rsid w:val="00196896"/>
    <w:rsid w:val="001A2005"/>
    <w:rsid w:val="001D3DA7"/>
    <w:rsid w:val="001D5F05"/>
    <w:rsid w:val="001E4AFB"/>
    <w:rsid w:val="0020094D"/>
    <w:rsid w:val="00204948"/>
    <w:rsid w:val="0021720C"/>
    <w:rsid w:val="00246155"/>
    <w:rsid w:val="002531B8"/>
    <w:rsid w:val="002744F1"/>
    <w:rsid w:val="00287F58"/>
    <w:rsid w:val="0029604A"/>
    <w:rsid w:val="002C3B5F"/>
    <w:rsid w:val="00321761"/>
    <w:rsid w:val="00351BDD"/>
    <w:rsid w:val="00352C7A"/>
    <w:rsid w:val="00357BF9"/>
    <w:rsid w:val="00362F8C"/>
    <w:rsid w:val="00375B93"/>
    <w:rsid w:val="003F3E13"/>
    <w:rsid w:val="003F4022"/>
    <w:rsid w:val="003F5754"/>
    <w:rsid w:val="00417FC5"/>
    <w:rsid w:val="00442ED4"/>
    <w:rsid w:val="00445B6F"/>
    <w:rsid w:val="00463F82"/>
    <w:rsid w:val="00484541"/>
    <w:rsid w:val="00486F17"/>
    <w:rsid w:val="00487892"/>
    <w:rsid w:val="004B150E"/>
    <w:rsid w:val="004B166E"/>
    <w:rsid w:val="004C4601"/>
    <w:rsid w:val="00504884"/>
    <w:rsid w:val="00512C0A"/>
    <w:rsid w:val="00522DBA"/>
    <w:rsid w:val="005279DE"/>
    <w:rsid w:val="0053109F"/>
    <w:rsid w:val="00534325"/>
    <w:rsid w:val="00551074"/>
    <w:rsid w:val="00570C02"/>
    <w:rsid w:val="00584712"/>
    <w:rsid w:val="005A1CD8"/>
    <w:rsid w:val="005A3977"/>
    <w:rsid w:val="005D573C"/>
    <w:rsid w:val="005F6330"/>
    <w:rsid w:val="005F7401"/>
    <w:rsid w:val="00611E30"/>
    <w:rsid w:val="0061533A"/>
    <w:rsid w:val="00620578"/>
    <w:rsid w:val="006366E7"/>
    <w:rsid w:val="0065405E"/>
    <w:rsid w:val="006567D0"/>
    <w:rsid w:val="00660000"/>
    <w:rsid w:val="006617DD"/>
    <w:rsid w:val="00674B79"/>
    <w:rsid w:val="006A05A9"/>
    <w:rsid w:val="006A6FBD"/>
    <w:rsid w:val="006C1CBC"/>
    <w:rsid w:val="006C2A64"/>
    <w:rsid w:val="006F51F5"/>
    <w:rsid w:val="007605C2"/>
    <w:rsid w:val="00771926"/>
    <w:rsid w:val="0077473F"/>
    <w:rsid w:val="007A416E"/>
    <w:rsid w:val="007A6D49"/>
    <w:rsid w:val="007C4DD5"/>
    <w:rsid w:val="007D4C9F"/>
    <w:rsid w:val="007F5CC8"/>
    <w:rsid w:val="008130B5"/>
    <w:rsid w:val="00820F49"/>
    <w:rsid w:val="0082268C"/>
    <w:rsid w:val="0083139A"/>
    <w:rsid w:val="00853A2C"/>
    <w:rsid w:val="00860DBE"/>
    <w:rsid w:val="008826EA"/>
    <w:rsid w:val="008B5E56"/>
    <w:rsid w:val="008C0361"/>
    <w:rsid w:val="008D2E23"/>
    <w:rsid w:val="008E0650"/>
    <w:rsid w:val="00902B03"/>
    <w:rsid w:val="00927F11"/>
    <w:rsid w:val="0093207E"/>
    <w:rsid w:val="009743F2"/>
    <w:rsid w:val="00976454"/>
    <w:rsid w:val="009D52E3"/>
    <w:rsid w:val="009D63EE"/>
    <w:rsid w:val="009E7228"/>
    <w:rsid w:val="009F253F"/>
    <w:rsid w:val="00A10727"/>
    <w:rsid w:val="00A352DA"/>
    <w:rsid w:val="00A36F7D"/>
    <w:rsid w:val="00A36FA9"/>
    <w:rsid w:val="00A5542E"/>
    <w:rsid w:val="00A60D16"/>
    <w:rsid w:val="00A622CF"/>
    <w:rsid w:val="00A84771"/>
    <w:rsid w:val="00A84A7A"/>
    <w:rsid w:val="00AA1B0D"/>
    <w:rsid w:val="00AD14E8"/>
    <w:rsid w:val="00AD7EC7"/>
    <w:rsid w:val="00AE45AF"/>
    <w:rsid w:val="00AE544F"/>
    <w:rsid w:val="00B00629"/>
    <w:rsid w:val="00B063AE"/>
    <w:rsid w:val="00B156BD"/>
    <w:rsid w:val="00B27961"/>
    <w:rsid w:val="00B32586"/>
    <w:rsid w:val="00B53B4B"/>
    <w:rsid w:val="00B70CD1"/>
    <w:rsid w:val="00B85131"/>
    <w:rsid w:val="00BA0F4A"/>
    <w:rsid w:val="00BB0E40"/>
    <w:rsid w:val="00BB283F"/>
    <w:rsid w:val="00BC59FA"/>
    <w:rsid w:val="00BD5383"/>
    <w:rsid w:val="00BF045F"/>
    <w:rsid w:val="00C034A2"/>
    <w:rsid w:val="00C058E5"/>
    <w:rsid w:val="00C227F3"/>
    <w:rsid w:val="00C25685"/>
    <w:rsid w:val="00C42BC7"/>
    <w:rsid w:val="00C5716A"/>
    <w:rsid w:val="00C63828"/>
    <w:rsid w:val="00C9344B"/>
    <w:rsid w:val="00CB16E5"/>
    <w:rsid w:val="00CB38B7"/>
    <w:rsid w:val="00CB46BA"/>
    <w:rsid w:val="00CB592B"/>
    <w:rsid w:val="00CD4A8C"/>
    <w:rsid w:val="00CD6569"/>
    <w:rsid w:val="00CE1F3B"/>
    <w:rsid w:val="00D1782A"/>
    <w:rsid w:val="00D21BD0"/>
    <w:rsid w:val="00D27E92"/>
    <w:rsid w:val="00D57666"/>
    <w:rsid w:val="00D644E1"/>
    <w:rsid w:val="00D64C4D"/>
    <w:rsid w:val="00D67D00"/>
    <w:rsid w:val="00DB348B"/>
    <w:rsid w:val="00DB3E7B"/>
    <w:rsid w:val="00DD2504"/>
    <w:rsid w:val="00E247D9"/>
    <w:rsid w:val="00E40697"/>
    <w:rsid w:val="00E4550E"/>
    <w:rsid w:val="00E51CEF"/>
    <w:rsid w:val="00EA1EDF"/>
    <w:rsid w:val="00EC2AF8"/>
    <w:rsid w:val="00EC5DA5"/>
    <w:rsid w:val="00ED4093"/>
    <w:rsid w:val="00F11FF1"/>
    <w:rsid w:val="00F15A03"/>
    <w:rsid w:val="00F3377E"/>
    <w:rsid w:val="00F35E45"/>
    <w:rsid w:val="00F45B00"/>
    <w:rsid w:val="00F85FDE"/>
    <w:rsid w:val="00FD0A53"/>
    <w:rsid w:val="00FE04F6"/>
    <w:rsid w:val="00FE4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213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31B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531B8"/>
    <w:pPr>
      <w:tabs>
        <w:tab w:val="center" w:pos="4320"/>
        <w:tab w:val="right" w:pos="8640"/>
      </w:tabs>
    </w:pPr>
  </w:style>
  <w:style w:type="paragraph" w:styleId="Title">
    <w:name w:val="Title"/>
    <w:basedOn w:val="Normal"/>
    <w:qFormat/>
    <w:rsid w:val="002531B8"/>
    <w:pPr>
      <w:jc w:val="center"/>
    </w:pPr>
    <w:rPr>
      <w:b/>
      <w:bCs/>
      <w:u w:val="single"/>
    </w:rPr>
  </w:style>
  <w:style w:type="paragraph" w:styleId="Subtitle">
    <w:name w:val="Subtitle"/>
    <w:basedOn w:val="Normal"/>
    <w:qFormat/>
    <w:rsid w:val="002531B8"/>
    <w:pPr>
      <w:jc w:val="center"/>
    </w:pPr>
    <w:rPr>
      <w:rFonts w:ascii="Arial" w:hAnsi="Arial" w:cs="Arial"/>
      <w:b/>
      <w:bCs/>
      <w:sz w:val="18"/>
    </w:rPr>
  </w:style>
  <w:style w:type="table" w:styleId="TableGrid">
    <w:name w:val="Table Grid"/>
    <w:basedOn w:val="TableNormal"/>
    <w:rsid w:val="002531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31B8"/>
    <w:pPr>
      <w:tabs>
        <w:tab w:val="center" w:pos="4320"/>
        <w:tab w:val="right" w:pos="8640"/>
      </w:tabs>
    </w:pPr>
  </w:style>
  <w:style w:type="paragraph" w:styleId="BalloonText">
    <w:name w:val="Balloon Text"/>
    <w:basedOn w:val="Normal"/>
    <w:semiHidden/>
    <w:rsid w:val="00445B6F"/>
    <w:rPr>
      <w:rFonts w:ascii="Tahoma" w:hAnsi="Tahoma" w:cs="Tahoma"/>
      <w:sz w:val="16"/>
      <w:szCs w:val="16"/>
    </w:rPr>
  </w:style>
  <w:style w:type="character" w:customStyle="1" w:styleId="FooterChar">
    <w:name w:val="Footer Char"/>
    <w:basedOn w:val="DefaultParagraphFont"/>
    <w:link w:val="Footer"/>
    <w:uiPriority w:val="99"/>
    <w:rsid w:val="00EC2AF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31B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531B8"/>
    <w:pPr>
      <w:tabs>
        <w:tab w:val="center" w:pos="4320"/>
        <w:tab w:val="right" w:pos="8640"/>
      </w:tabs>
    </w:pPr>
  </w:style>
  <w:style w:type="paragraph" w:styleId="Title">
    <w:name w:val="Title"/>
    <w:basedOn w:val="Normal"/>
    <w:qFormat/>
    <w:rsid w:val="002531B8"/>
    <w:pPr>
      <w:jc w:val="center"/>
    </w:pPr>
    <w:rPr>
      <w:b/>
      <w:bCs/>
      <w:u w:val="single"/>
    </w:rPr>
  </w:style>
  <w:style w:type="paragraph" w:styleId="Subtitle">
    <w:name w:val="Subtitle"/>
    <w:basedOn w:val="Normal"/>
    <w:qFormat/>
    <w:rsid w:val="002531B8"/>
    <w:pPr>
      <w:jc w:val="center"/>
    </w:pPr>
    <w:rPr>
      <w:rFonts w:ascii="Arial" w:hAnsi="Arial" w:cs="Arial"/>
      <w:b/>
      <w:bCs/>
      <w:sz w:val="18"/>
    </w:rPr>
  </w:style>
  <w:style w:type="table" w:styleId="TableGrid">
    <w:name w:val="Table Grid"/>
    <w:basedOn w:val="TableNormal"/>
    <w:rsid w:val="002531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31B8"/>
    <w:pPr>
      <w:tabs>
        <w:tab w:val="center" w:pos="4320"/>
        <w:tab w:val="right" w:pos="8640"/>
      </w:tabs>
    </w:pPr>
  </w:style>
  <w:style w:type="paragraph" w:styleId="BalloonText">
    <w:name w:val="Balloon Text"/>
    <w:basedOn w:val="Normal"/>
    <w:semiHidden/>
    <w:rsid w:val="00445B6F"/>
    <w:rPr>
      <w:rFonts w:ascii="Tahoma" w:hAnsi="Tahoma" w:cs="Tahoma"/>
      <w:sz w:val="16"/>
      <w:szCs w:val="16"/>
    </w:rPr>
  </w:style>
  <w:style w:type="character" w:customStyle="1" w:styleId="FooterChar">
    <w:name w:val="Footer Char"/>
    <w:basedOn w:val="DefaultParagraphFont"/>
    <w:link w:val="Footer"/>
    <w:uiPriority w:val="99"/>
    <w:rsid w:val="00EC2AF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972244">
      <w:bodyDiv w:val="1"/>
      <w:marLeft w:val="0"/>
      <w:marRight w:val="0"/>
      <w:marTop w:val="0"/>
      <w:marBottom w:val="0"/>
      <w:divBdr>
        <w:top w:val="none" w:sz="0" w:space="0" w:color="auto"/>
        <w:left w:val="none" w:sz="0" w:space="0" w:color="auto"/>
        <w:bottom w:val="none" w:sz="0" w:space="0" w:color="auto"/>
        <w:right w:val="none" w:sz="0" w:space="0" w:color="auto"/>
      </w:divBdr>
    </w:div>
    <w:div w:id="195397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8.xml"/><Relationship Id="rId2" Type="http://schemas.openxmlformats.org/officeDocument/2006/relationships/customXml" Target="../customXml/item2.xml"/><Relationship Id="rId16" Type="http://schemas.openxmlformats.org/officeDocument/2006/relationships/customXml" Target="../customXml/item7.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endnotes" Target="endnotes.xml"/><Relationship Id="rId14" Type="http://schemas.openxmlformats.org/officeDocument/2006/relationships/theme" Target="theme/theme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353</Value>
    </TaxCatchAll>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UNDP_POPP_TITLE_EN xmlns="8264c5cc-ec60-4b56-8111-ce635d3d139a">Asset Adjustment Approval Form</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Administrative Services</TermName>
          <TermId xmlns="http://schemas.microsoft.com/office/infopath/2007/PartnerControls">a78f4201-2936-4934-95ba-30c4111d72d7</TermId>
        </TermInfo>
      </Terms>
    </l0e6ef0c43e74560bd7f3acd1f5e8571>
    <Location xmlns="e560140e-7b2f-4392-90df-e7567e3021a3" xsi:nil="true"/>
    <_dlc_DocId xmlns="8264c5cc-ec60-4b56-8111-ce635d3d139a">POPP-11-1236</_dlc_DocId>
    <_dlc_DocIdUrl xmlns="8264c5cc-ec60-4b56-8111-ce635d3d139a">
      <Url>https://popp.undp.org/_layouts/15/DocIdRedir.aspx?ID=POPP-11-1236</Url>
      <Description>POPP-11-1236</Description>
    </_dlc_DocIdUrl>
    <UNDP_POPP_REFITEM_VERSION xmlns="8264c5cc-ec60-4b56-8111-ce635d3d139a">1</UNDP_POPP_REFITEM_VERSION>
    <DLCPolicyLabelLock xmlns="e560140e-7b2f-4392-90df-e7567e3021a3" xsi:nil="true"/>
    <DLCPolicyLabelClientValue xmlns="e560140e-7b2f-4392-90df-e7567e3021a3" xsi:nil="tr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4.xml><?xml version="1.0" encoding="utf-8"?>
<ct:contentTypeSchema xmlns:ct="http://schemas.microsoft.com/office/2006/metadata/contentType" xmlns:ma="http://schemas.microsoft.com/office/2006/metadata/properties/metaAttributes" ct:_="" ma:_="" ma:contentTypeName="POPP Document" ma:contentTypeID="0x01010023A92725C93E4830A7421C44D384B7FC001374727BC46B69459CEFFBFAA7259AA5" ma:contentTypeVersion="189" ma:contentTypeDescription="Create a new POPP document." ma:contentTypeScope="" ma:versionID="ec547d721c167e16e8c59fddd0f4daf8">
  <xsd:schema xmlns:xsd="http://www.w3.org/2001/XMLSchema" xmlns:xs="http://www.w3.org/2001/XMLSchema" xmlns:p="http://schemas.microsoft.com/office/2006/metadata/properties" xmlns:ns2="83ed2304-0f0e-45ba-b0cc-7d360cbc1769" xmlns:ns3="3643a642-5052-4259-9bdb-0ff8af7c5ad6" targetNamespace="http://schemas.microsoft.com/office/2006/metadata/properties" ma:root="true" ma:fieldsID="533fe99d06336bc5c57a4f43d6089e9f" ns2:_="" ns3:_="">
    <xsd:import namespace="83ed2304-0f0e-45ba-b0cc-7d360cbc1769"/>
    <xsd:import namespace="3643a642-5052-4259-9bdb-0ff8af7c5ad6"/>
    <xsd:element name="properties">
      <xsd:complexType>
        <xsd:sequence>
          <xsd:element name="documentManagement">
            <xsd:complexType>
              <xsd:all>
                <xsd:element ref="ns2:UNDPPOPPPrescriptiveContentSelection"/>
                <xsd:element ref="ns2:UNDPPOPPFunctionalArea" minOccurs="0"/>
                <xsd:element ref="ns2:UNDPPOPPProcess" minOccurs="0"/>
                <xsd:element ref="ns2:UNDPPOPPSubprocess" minOccurs="0"/>
                <xsd:element ref="ns2:UNDPPOPPSubsubprocess" minOccurs="0"/>
                <xsd:element ref="ns2:UNDPPOPPSubsubsubprocess" minOccurs="0"/>
                <xsd:element ref="ns2:UNDPPagePOPPLanguageSelection" minOccurs="0"/>
                <xsd:element ref="ns2:UNDPPOPPKeywordsTaxHTField0" minOccurs="0"/>
                <xsd:element ref="ns2:UNDPContactFeedback" minOccurs="0"/>
                <xsd:element ref="ns2:UNDPFocalpoint" minOccurs="0"/>
                <xsd:element ref="ns2:UNDPPublishedDate" minOccurs="0"/>
                <xsd:element ref="ns2:UNDPEffectiveDate" minOccurs="0"/>
                <xsd:element ref="ns2:UNDPResponsibleUnit" minOccurs="0"/>
                <xsd:element ref="ns2:UNDPCreator" minOccurs="0"/>
                <xsd:element ref="ns2:UNDPIssuanceDate" minOccurs="0"/>
                <xsd:element ref="ns2:UNDPPlannedReviewDate" minOccurs="0"/>
                <xsd:element ref="ns2:UNDPActualReviewDate" minOccurs="0"/>
                <xsd:element ref="ns2:UNDPSummary" minOccurs="0"/>
                <xsd:element ref="ns2:UNDPApplicability"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ed2304-0f0e-45ba-b0cc-7d360cbc1769" elementFormDefault="qualified">
    <xsd:import namespace="http://schemas.microsoft.com/office/2006/documentManagement/types"/>
    <xsd:import namespace="http://schemas.microsoft.com/office/infopath/2007/PartnerControls"/>
    <xsd:element name="UNDPPOPPPrescriptiveContentSelection" ma:index="8" ma:displayName="POPP Prescriptive Content Selection" ma:format="RadioButtons" ma:internalName="UNDPPOPPPrescriptiveContentSelection">
      <xsd:simpleType>
        <xsd:restriction base="dms:Choice">
          <xsd:enumeration value="Yes"/>
          <xsd:enumeration value="No"/>
        </xsd:restriction>
      </xsd:simpleType>
    </xsd:element>
    <xsd:element name="UNDPPOPPFunctionalArea" ma:index="9" nillable="true" ma:displayName="Functional Area" ma:description="The Functional Area (as defined in POPP) of this document" ma:format="Dropdown" ma:internalName="UNDPPOPPFunctionalArea">
      <xsd:simpleType>
        <xsd:restriction base="dms:Choice">
          <xsd:enumeration value="Administrative Services"/>
          <xsd:enumeration value="Contract and Procurement"/>
          <xsd:enumeration value="Ethics"/>
          <xsd:enumeration value="Financial Resources"/>
          <xsd:enumeration value="Human Resources"/>
          <xsd:enumeration value="Information and Communications Technology"/>
          <xsd:enumeration value="Management of Crisis and Special Development Situations"/>
          <xsd:enumeration value="Partnerships"/>
          <xsd:enumeration value="Programme and Project"/>
          <xsd:enumeration value="Results &amp; Accountability"/>
          <xsd:enumeration value="Prescriptive Content"/>
          <xsd:enumeration value="Security"/>
        </xsd:restriction>
      </xsd:simpleType>
    </xsd:element>
    <xsd:element name="UNDPPOPPProcess" ma:index="10" nillable="true" ma:displayName="POPP Process" ma:format="Dropdown" ma:internalName="UNDPPOPPProcess">
      <xsd:simpleType>
        <xsd:restriction base="dms:Choice">
          <xsd:enumeration value="Accountability &amp; Delegation of Authority"/>
          <xsd:enumeration value="Accounting for Capital and Non-Capital Assets"/>
          <xsd:enumeration value="Annual and special leave"/>
          <xsd:enumeration value="Appointment and promotion"/>
          <xsd:enumeration value="Asset Management"/>
          <xsd:enumeration value="Award of Contract"/>
          <xsd:enumeration value="Cash Banking and Investment"/>
          <xsd:enumeration value="Civil society"/>
          <xsd:enumeration value="Classification of posts and staff"/>
          <xsd:enumeration value="Contract Management"/>
          <xsd:enumeration value="Contract Review Committees"/>
          <xsd:enumeration value="Disciplinary measures and appeals"/>
          <xsd:enumeration value="Duties, obligations and privileges"/>
          <xsd:enumeration value="Enterprise Risk Management"/>
          <xsd:enumeration value="Enterprise Solutions"/>
          <xsd:enumeration value="Evaluation"/>
          <xsd:enumeration value="Evaluation of Offers"/>
          <xsd:enumeration value="Fast Track Procedures"/>
          <xsd:enumeration value="Financial Closure of Development Projects and Trust Funds"/>
          <xsd:enumeration value="Financial Disclosure"/>
          <xsd:enumeration value="Financial Management and Execution Modalities"/>
          <xsd:enumeration value="Financial Operations Management"/>
          <xsd:enumeration value="Foundations"/>
          <xsd:enumeration value="Global Services"/>
          <xsd:enumeration value="HACT"/>
          <xsd:enumeration value="ICT Oversight"/>
          <xsd:enumeration value="ICT Security"/>
          <xsd:enumeration value="Information Disclosure"/>
          <xsd:enumeration value="Internal Control Framework"/>
          <xsd:enumeration value="Legal Framework"/>
          <xsd:enumeration value="Lease Management"/>
          <xsd:enumeration value="Management of IC"/>
          <xsd:enumeration value="Management of local presences"/>
          <xsd:enumeration value="Non-staff (consultants, service contracts, UNVs and interns)"/>
          <xsd:enumeration value="OIST Operations"/>
          <xsd:enumeration value="Prescriptive Content Management Overview"/>
          <xsd:enumeration value="Private sector"/>
          <xsd:enumeration value="Procurement Methods"/>
          <xsd:enumeration value="Procurement Overview"/>
          <xsd:enumeration value="Procurement Review Committee"/>
          <xsd:enumeration value="Procurement Strategies and Planning"/>
          <xsd:enumeration value="Programme &amp; Project Management Arrangements"/>
          <xsd:enumeration value="Programme Management"/>
          <xsd:enumeration value="Project Management"/>
          <xsd:enumeration value="Purchasing Card, Insurance, Vehicle and Assets Management"/>
          <xsd:enumeration value="Purchasing Card, Insurance and Vehicle Management"/>
          <xsd:enumeration value="Protection against retaliation"/>
          <xsd:enumeration value="Quality Assurance Procedure"/>
          <xsd:enumeration value="Receivables and Expenditures"/>
          <xsd:enumeration value="Revenue and Expense Management"/>
          <xsd:enumeration value="Requisitions"/>
          <xsd:enumeration value="Resource Center"/>
          <xsd:enumeration value="Resource Planning and Budgeting"/>
          <xsd:enumeration value="Resources and Funding Mechanism"/>
          <xsd:enumeration value="Salaries and related allowances"/>
          <xsd:enumeration value="Security Risk Management"/>
          <xsd:enumeration value="Separation from service"/>
          <xsd:enumeration value="Social security"/>
          <xsd:enumeration value="Solicitation Process"/>
          <xsd:enumeration value="Sourcing of Suppliers"/>
          <xsd:enumeration value="Specific policies for Global &amp; Regional Programming"/>
          <xsd:enumeration value="Travel and removal expenses"/>
          <xsd:enumeration value="Travel Support Services"/>
          <xsd:enumeration value="UNDP Framework for Accountability"/>
          <xsd:enumeration value="UNDP Security Policy"/>
          <xsd:enumeration value="Unit work planning monitoring and reporting"/>
          <xsd:enumeration value="Workforce management"/>
          <xsd:enumeration value="Working with External Auditors"/>
        </xsd:restriction>
      </xsd:simpleType>
    </xsd:element>
    <xsd:element name="UNDPPOPPSubprocess" ma:index="11" nillable="true" ma:displayName="POPP Subprocess" ma:format="Dropdown" ma:internalName="UNDPPOPPSubprocess">
      <xsd:simpleType>
        <xsd:restriction base="dms:Choice">
          <xsd:enumeration value="Accompanied and Excess Baggage"/>
          <xsd:enumeration value="Accountability &amp; Delegation of Authority"/>
          <xsd:enumeration value="Activating Fast Track Procedures"/>
          <xsd:enumeration value="Additional information"/>
          <xsd:enumeration value="Advisory Committee on Procurement"/>
          <xsd:enumeration value="Agency Execution Finances"/>
          <xsd:enumeration value="Allowances and Benefits"/>
          <xsd:enumeration value="Analysis for a Programme"/>
          <xsd:enumeration value="Assessing partnerships with civil society"/>
          <xsd:enumeration value="Assessing partnerships with foundations"/>
          <xsd:enumeration value="Assessing partnerships with the private sector"/>
          <xsd:enumeration value="Asset Acquisition"/>
          <xsd:enumeration value="Asset Disposal"/>
          <xsd:enumeration value="Asset Loss or Theft"/>
          <xsd:enumeration value="Atlas User Access Standards"/>
          <xsd:enumeration value="Authoring Content"/>
          <xsd:enumeration value="Banking Arrangements"/>
          <xsd:enumeration value="Breach or Termination of Contract"/>
          <xsd:enumeration value="Cash Arrangements"/>
          <xsd:enumeration value="Cash Management"/>
          <xsd:enumeration value="Change Control and Release Management Standards"/>
          <xsd:enumeration value="Change Management Clearance"/>
          <xsd:enumeration value="Civil Society Organizations"/>
          <xsd:enumeration value="Classification and Duration"/>
          <xsd:enumeration value="Closing a presence outside the country office"/>
          <xsd:enumeration value="Closing a Project"/>
          <xsd:enumeration value="Commercial Aviation Risk Management Guidelines"/>
          <xsd:enumeration value="Common Actions"/>
          <xsd:enumeration value="Compensation"/>
          <xsd:enumeration value="Contract and Procurement Management Provisions"/>
          <xsd:enumeration value="Contracts, Asset and Procurement Committee"/>
          <xsd:enumeration value="Corporate Operations and Information Management"/>
          <xsd:enumeration value="Cost Recovery from Agencies at the Country Office Level"/>
          <xsd:enumeration value="Cost Recovery from Programmes Funded from Regular and Other Resources"/>
          <xsd:enumeration value="Country Office &amp; Regional ICT Security Standards"/>
          <xsd:enumeration value="CPR-TTF Project co-financing"/>
          <xsd:enumeration value="Defining a Project"/>
          <xsd:enumeration value="Definitions and Objectives"/>
          <xsd:enumeration value="Definitions, Objectives and Benefits"/>
          <xsd:enumeration value="Development Support Services"/>
          <xsd:enumeration value="Direct Contracting"/>
          <xsd:enumeration value="Direct Execution (DEX) and Direct Implementation (DIM) Finances"/>
          <xsd:enumeration value="Direct Implementation (DIM) modality"/>
          <xsd:enumeration value="Disciplinary Measures &amp; Procedures"/>
          <xsd:enumeration value="Disclosures"/>
          <xsd:enumeration value="Duty Travel"/>
          <xsd:enumeration value="Educational Assistance Programme"/>
          <xsd:enumeration value="Electronic Funds Transfer Standards"/>
          <xsd:enumeration value="Enterprise Risk Management Cycle"/>
          <xsd:enumeration value="Entitlement Travel"/>
          <xsd:enumeration value="Entitlements Upon Separation"/>
          <xsd:enumeration value="Environmental Considerations"/>
          <xsd:enumeration value="Establishing UNDP-supported presence outside a country office"/>
          <xsd:enumeration value="European Commission"/>
          <xsd:enumeration value="Evaluating a Programme"/>
          <xsd:enumeration value="Evaluation and Comparison of Offers"/>
          <xsd:enumeration value="Exigency and Exceptions"/>
          <xsd:enumeration value="Expense Management"/>
          <xsd:enumeration value="Feedback and Revise Content"/>
          <xsd:enumeration value="Feedback and Revision"/>
          <xsd:enumeration value="Financial Closure of Development Projects"/>
          <xsd:enumeration value="Financial Closure of Trust Funds"/>
          <xsd:enumeration value="Financial Disclosure Policy"/>
          <xsd:enumeration value="Financial Management Provisions"/>
          <xsd:enumeration value="Formalizing partnerships with civil society"/>
          <xsd:enumeration value="Formalizing partnerships with foundations"/>
          <xsd:enumeration value="Formalizing partnerships with the private sector"/>
          <xsd:enumeration value="Foundations"/>
          <xsd:enumeration value="General Considerations of Contracting"/>
          <xsd:enumeration value="Global &amp; Regional Programming"/>
          <xsd:enumeration value="Global and Regional Products and Publications"/>
          <xsd:enumeration value="Governments"/>
          <xsd:enumeration value="Handling of Procurement Complaints"/>
          <xsd:enumeration value="Harassment &amp; Abuse of Authority"/>
          <xsd:enumeration value="Health"/>
          <xsd:enumeration value="Headquarters Telecommunications Standards"/>
          <xsd:enumeration value="Hiring"/>
          <xsd:enumeration value="Hours of Work / Holidays"/>
          <xsd:enumeration value="HQ (ACP), Regional (RACP) and Local Review Committees (CAP)"/>
          <xsd:enumeration value="Human Resources Management Provisions"/>
          <xsd:enumeration value="ICT Disaster Recovery Plan Template"/>
          <xsd:enumeration value="ICT Disaster Recovery Standards for UNDP Offices"/>
          <xsd:enumeration value="ICT Resources Use Policy"/>
          <xsd:enumeration value="ICT Road map"/>
          <xsd:enumeration value="ICT Security and Awareness Standards"/>
          <xsd:enumeration value="Implementing a Programme"/>
          <xsd:enumeration value="Implementing a Project"/>
          <xsd:enumeration value="Increased Delegation of Procurement Authority"/>
          <xsd:enumeration value="Individual Contracts (IC)"/>
          <xsd:enumeration value="Information management"/>
          <xsd:enumeration value="Information Security Policy"/>
          <xsd:enumeration value="Information Systems Security Standards"/>
          <xsd:enumeration value="Initiating a Programme"/>
          <xsd:enumeration value="Initiating a Project"/>
          <xsd:enumeration value="Insurance Management"/>
          <xsd:enumeration value="Insurance Plans"/>
          <xsd:enumeration value="Inter-Agency Movements"/>
          <xsd:enumeration value="International Financial Institutions &amp; Inter Governmental Organizations"/>
          <xsd:enumeration value="Introduction"/>
          <xsd:enumeration value="Job Evaluation"/>
          <xsd:enumeration value="Joint Programming"/>
          <xsd:enumeration value="Justifying a Project"/>
          <xsd:enumeration value="Learning and Development"/>
          <xsd:enumeration value="Leasehold Improvements"/>
          <xsd:enumeration value="Legal Framework"/>
          <xsd:enumeration value="Legal Status of IC"/>
          <xsd:enumeration value="LTAs"/>
          <xsd:enumeration value="Making Information Available to the Public"/>
          <xsd:enumeration value="Management of Leases (Premises and Equipment)"/>
          <xsd:enumeration value="Management of Obligations (Expenditure)"/>
          <xsd:enumeration value="Management of Plant and Property"/>
          <xsd:enumeration value="Managing Service Provision to Other UN Agencies"/>
          <xsd:enumeration value="Market Research"/>
          <xsd:enumeration value="Methods of Soliciting Offers"/>
          <xsd:enumeration value="Minimum Standards for ICT Infrastructure and Telecommunications"/>
          <xsd:enumeration value="Miscellaneous"/>
          <xsd:enumeration value="Monitoring"/>
          <xsd:enumeration value="Monitoring partnerships with civil society"/>
          <xsd:enumeration value="Monitoring partnerships with foundations"/>
          <xsd:enumeration value="Monitoring partnerships with the private sector"/>
          <xsd:enumeration value="Monitoring the unit work plan"/>
          <xsd:enumeration value="National Execution (NEX) Finances and NGO Execution Finances"/>
          <xsd:enumeration value="Non-core Development Advisory Services (DAS) Funding Facility"/>
          <xsd:enumeration value="Operational Guide of the Internal Control Framework"/>
          <xsd:enumeration value="Other Resources"/>
          <xsd:enumeration value="Overview of IC Guidelines"/>
          <xsd:enumeration value="Partnership Management Provisions"/>
          <xsd:enumeration value="Payment and Taxes"/>
          <xsd:enumeration value="Payment of IC"/>
          <xsd:enumeration value="Payment of SSA"/>
          <xsd:enumeration value="Pension Fund"/>
          <xsd:enumeration value="Performance Management"/>
          <xsd:enumeration value="Periodic Revision and Update"/>
          <xsd:enumeration value="Policy for Protection against Retaliation"/>
          <xsd:enumeration value="Post Audit Follow-up and Implementation Status Update"/>
          <xsd:enumeration value="Pre-Audit Announcement and Preparation"/>
          <xsd:enumeration value="Principles of UNDP Procurement"/>
          <xsd:enumeration value="Private Sector"/>
          <xsd:enumeration value="Procurement Authority"/>
          <xsd:enumeration value="Procurement Ethics"/>
          <xsd:enumeration value="Procurement Fraud and Corrupt Practices"/>
          <xsd:enumeration value="Procurement of Goods, Civil Works &amp; Sevices"/>
          <xsd:enumeration value="Procurement Review Committees and Cooperative Procurement"/>
          <xsd:enumeration value="Programme &amp; Project Management Cycles"/>
          <xsd:enumeration value="Programme &amp; Project Management Organization Structure"/>
          <xsd:enumeration value="Programme and Project Management Provisions"/>
          <xsd:enumeration value="Programme Capacity Assessment &amp; Mgmt Arrangements"/>
          <xsd:enumeration value="Programme Completion and Transition"/>
          <xsd:enumeration value="Programme Strategic Planning"/>
          <xsd:enumeration value="Programming in Special Development Situations"/>
          <xsd:enumeration value="Project Assets Management"/>
          <xsd:enumeration value="Property Plant and Equipment (PP&amp;E)"/>
          <xsd:enumeration value="Property Plant and Equipment (PP&amp;E)"/>
          <xsd:enumeration value="Purchasing Card Management"/>
          <xsd:enumeration value="QA Review and Publishing"/>
          <xsd:enumeration value="Quality Assurance for National and Regional Human Development Reports"/>
          <xsd:enumeration value="Receivables, Receipts and Income"/>
          <xsd:enumeration value="Recovery, Retroactivity, Deductions &amp; Contributions"/>
          <xsd:enumeration value="Refunds to Donors"/>
          <xsd:enumeration value="Regular Resources"/>
          <xsd:enumeration value="Rehabilitation"/>
          <xsd:enumeration value="Reporting on the unit work plan (ROAR)"/>
          <xsd:enumeration value="Resource Center"/>
          <xsd:enumeration value="Resources for Special Development Situations"/>
          <xsd:enumeration value="Retroactive / Post Facto Contract"/>
          <xsd:enumeration value="Revenue Management"/>
          <xsd:enumeration value="Roadmap Roadmap and Analysis of a Programme"/>
          <xsd:enumeration value="Salaries"/>
          <xsd:enumeration value="Sanctions"/>
          <xsd:enumeration value="Selecting an Implementing Partner"/>
          <xsd:enumeration value="Selection and Engagement of an SSA"/>
          <xsd:enumeration value="Selection and Engagement of IC"/>
          <xsd:enumeration value="Selection and Engagement of IC (II)"/>
          <xsd:enumeration value="Service Contracts (SC)"/>
          <xsd:enumeration value="Shipment of Official Consignments/Goods"/>
          <xsd:enumeration value="Shipping and Insurance"/>
          <xsd:enumeration value="Solicitation Documents"/>
          <xsd:enumeration value="Sourcing and Market Research"/>
          <xsd:enumeration value="Staff and Their Recognized Dependants on Official Travel"/>
          <xsd:enumeration value="Standards of Conduct"/>
          <xsd:enumeration value="Statutory and Financial Reporting"/>
          <xsd:enumeration value="Submission and Receipt Offers"/>
          <xsd:enumeration value="Submissions, Direct Review and Post Facto"/>
          <xsd:enumeration value="Sustainable Procurement"/>
          <xsd:enumeration value="System Logon Banner Standards"/>
          <xsd:enumeration value="Termination of IC"/>
          <xsd:enumeration value="Termination of SSA"/>
          <xsd:enumeration value="Thresholds and Composition"/>
          <xsd:enumeration value="Track 1-1-3 Category I, III and IV"/>
          <xsd:enumeration value="Track 1-1-3 Category II"/>
          <xsd:enumeration value="Track 1-1-3 Category V"/>
          <xsd:enumeration value="Transfers where unexpended balances are not refunded to donors"/>
          <xsd:enumeration value="Types of Competition"/>
          <xsd:enumeration value="Types of Leave"/>
          <xsd:enumeration value="Types of Separation"/>
          <xsd:enumeration value="Types, Configurations and setting up an LTA"/>
          <xsd:enumeration value="UN Flag Code"/>
          <xsd:enumeration value="Unaccompanied Shipment Personal Effects"/>
          <xsd:enumeration value="UNDP Housing"/>
          <xsd:enumeration value="UNDP Intangible Assets"/>
          <xsd:enumeration value="UNDP Intangible Assets"/>
          <xsd:enumeration value="UNDP Non Expendable (Fixed) Asset Management"/>
          <xsd:enumeration value="UNDP Offices/Premises"/>
          <xsd:enumeration value="UNDP Vehicles"/>
          <xsd:enumeration value="Unit work planning"/>
          <xsd:enumeration value="UNODC Finances Management"/>
          <xsd:enumeration value="US Government Letters of Credit Guidelines and Procedures for Funding UNDP Projects"/>
          <xsd:enumeration value="Vehicle Maintenance"/>
          <xsd:enumeration value="Vehicle Management"/>
          <xsd:enumeration value="Vehicle Use"/>
          <xsd:enumeration value="Vendor Sanction Procedures"/>
          <xsd:enumeration value="Work Life"/>
          <xsd:enumeration value="Working with External Auditors During Audit"/>
          <xsd:enumeration value="Workplace Harassment &amp; Abuse of Authority"/>
        </xsd:restriction>
      </xsd:simpleType>
    </xsd:element>
    <xsd:element name="UNDPPOPPSubsubprocess" ma:index="12" nillable="true" ma:displayName="POPP Sub-subprocess" ma:format="Dropdown" ma:internalName="UNDPPOPPSubsubprocess">
      <xsd:simpleType>
        <xsd:restriction base="dms:Choice">
          <xsd:enumeration value="Abandonment of Post"/>
          <xsd:enumeration value="Absence Management Guidelines"/>
          <xsd:enumeration value="Accompanied and Excess Baggage"/>
          <xsd:enumeration value="Accountability and Internal Controls"/>
          <xsd:enumeration value="Accounts Payable"/>
          <xsd:enumeration value="Acquisition of Project Assets"/>
          <xsd:enumeration value="Adoption Leave"/>
          <xsd:enumeration value="After Service Health Insurance: ASHI MIP"/>
          <xsd:enumeration value="After Service Health Insurance: ASHI UN"/>
          <xsd:enumeration value="Agency Execution"/>
          <xsd:enumeration value="Annual Leave"/>
          <xsd:enumeration value="Application of Income"/>
          <xsd:enumeration value="Asset Acquisition and Oversight"/>
          <xsd:enumeration value="Asset Disposal"/>
          <xsd:enumeration value="Asset Disposal and Write-Off"/>
          <xsd:enumeration value="Asset Disposal and Write-Off"/>
          <xsd:enumeration value="Asset Loss or Theft"/>
          <xsd:enumeration value="Atlas Financial Closure Instructions"/>
          <xsd:enumeration value="Atlas Set Up and Fee Collection"/>
          <xsd:enumeration value="Audit of NEX/NGO Projects"/>
          <xsd:enumeration value="Authorizing Official Business Travel"/>
          <xsd:enumeration value="Bank Account Reconciliation"/>
          <xsd:enumeration value="Billing and Fee Collection"/>
          <xsd:enumeration value="Cash Operations"/>
          <xsd:enumeration value="Cash Planning/Forecasting of Cash Flows"/>
          <xsd:enumeration value="Certification of Service"/>
          <xsd:enumeration value="Certified Donor Reports"/>
          <xsd:enumeration value="Chartered Medical Evacuation Travel"/>
          <xsd:enumeration value="Clean-up of Accounts Payable"/>
          <xsd:enumeration value="Clean-up of Purchase Orders (POs)"/>
          <xsd:enumeration value="Clearing a local presence"/>
          <xsd:enumeration value="Combined Delivery Report"/>
          <xsd:enumeration value="Commutation of Annual Leave"/>
          <xsd:enumeration value="Compensation for Death, Injury or Illness - Appendix D"/>
          <xsd:enumeration value="Cost-Sharing"/>
          <xsd:enumeration value="Country Office Service Provision"/>
          <xsd:enumeration value="Creating and Approving Vendors"/>
          <xsd:enumeration value="Currency of Payments"/>
          <xsd:enumeration value="Daily Subsistence Allowance (DSA)"/>
          <xsd:enumeration value="Danger Pay"/>
          <xsd:enumeration value="Death"/>
          <xsd:enumeration value="Death Benefit"/>
          <xsd:enumeration value="Deductions &amp; Contributions"/>
          <xsd:enumeration value="Dental Insurance: UN NY Cigna Dental Plan"/>
          <xsd:enumeration value="Dependency Allowance"/>
          <xsd:enumeration value="Designation and Responsibilites of Signatories"/>
          <xsd:enumeration value="Developing a business case for local presence"/>
          <xsd:enumeration value="Direct Agency Implementation"/>
          <xsd:enumeration value="Direct Cash Transfers and Reimbursements"/>
          <xsd:enumeration value="Direct Payments"/>
          <xsd:enumeration value="Disbursing Funds (Making Payments)"/>
          <xsd:enumeration value="Educational Assistance Programme"/>
          <xsd:enumeration value="Elements of Remuneration"/>
          <xsd:enumeration value="Entitlements upon separation – Introduction"/>
          <xsd:enumeration value="Equipment - Depreciation, Reconciliations Reports and Centralized Functions"/>
          <xsd:enumeration value="Equipment - Depreciation, Reconciliations Reports and Centralized Functions"/>
          <xsd:enumeration value="Establishment and Use of Electronic Banking Systems"/>
          <xsd:enumeration value="Euro Reporting Guidelines"/>
          <xsd:enumeration value="Executive Board Papers"/>
          <xsd:enumeration value="Expenditure of Income Accrued from Cost Recovery"/>
          <xsd:enumeration value="Expense Management of UNODC Funded Activities"/>
          <xsd:enumeration value="Expiration of Fixed-Term Appointment"/>
          <xsd:enumeration value="Extended Monthly Evacuation Allowance (EMEA)"/>
          <xsd:enumeration value="Extension Beyond Retirement Age"/>
          <xsd:enumeration value="Family Leave"/>
          <xsd:enumeration value="Family Visit"/>
          <xsd:enumeration value="Financial Statements"/>
          <xsd:enumeration value="Flexible Working Arrangements"/>
          <xsd:enumeration value="Furniture and Equipment Acquisition and Maintenance"/>
          <xsd:enumeration value="Furniture and Equipment Acquisition and Maintenance"/>
          <xsd:enumeration value="Guidelines for Cash Arrangements"/>
          <xsd:enumeration value="Handling of Cash and Receipts"/>
          <xsd:enumeration value="Hazard Pay"/>
          <xsd:enumeration value="Home Leave"/>
          <xsd:enumeration value="Hospitality Expenditures"/>
          <xsd:enumeration value="Hospitality Expense"/>
          <xsd:enumeration value="Intangible Asset Disposal and Write-Off"/>
          <xsd:enumeration value="Intangible Asset Disposal and Write-Off"/>
          <xsd:enumeration value="Intangible Assets Acquisition, Development and Maintenance"/>
          <xsd:enumeration value="Intangible Assets Acquisition, Development and Maintenance"/>
          <xsd:enumeration value="Intangible Assets Amortizations, Reconciliations, Reports and Centralized Functions"/>
          <xsd:enumeration value="Intangible Assets Amortizations, Reconciliations, Reports and Centralized Functions"/>
          <xsd:enumeration value="Introduction"/>
          <xsd:enumeration value="Issuing Letters of Credit"/>
          <xsd:enumeration value="Language Allowance"/>
          <xsd:enumeration value="Last Day for Pay Purposes"/>
          <xsd:enumeration value="Leasehold Improvement Disposal and Write-Off"/>
          <xsd:enumeration value="Leasehold Improvement Disposal and Write-Off"/>
          <xsd:enumeration value="Leasehold Improvements - Acquisition and Maintenance"/>
          <xsd:enumeration value="Leasehold Improvements - Acquisition and Maintenance"/>
          <xsd:enumeration value="Leasehold Improvements - Depreciation, Reconciliations Reports and Centralized Functions"/>
          <xsd:enumeration value="Leasehold Improvements - Depreciation, Reconciliations Reports and Centralized Functions"/>
          <xsd:enumeration value="Leasehold Improvements within Common Premises"/>
          <xsd:enumeration value="Leasehold Improvements within Common Premises"/>
          <xsd:enumeration value="Life &amp; Accidental Insurance: Aetna Group Life Insurance Plan"/>
          <xsd:enumeration value="Maintenance and Usage of the Chart of Accounts"/>
          <xsd:enumeration value="Malicious Acts Insurance Policy (MAIP)"/>
          <xsd:enumeration value="Management of Cash in Crisis or Emergency Situations"/>
          <xsd:enumeration value="Management of Local Investments"/>
          <xsd:enumeration value="Management of Petty Cash"/>
          <xsd:enumeration value="Management of Receivables"/>
          <xsd:enumeration value="Management of UNODC Funded NEX Projects"/>
          <xsd:enumeration value="Management of Zero-Balance Account System"/>
          <xsd:enumeration value="Management Service Agreement"/>
          <xsd:enumeration value="Maternity Leave"/>
          <xsd:enumeration value="Medical Evacuation Travel"/>
          <xsd:enumeration value="Medical Insurance: ALD Vanbreda Global Medical Insurance Plan"/>
          <xsd:enumeration value="Medical Insurance: Medical Insurance Plan (MIP)"/>
          <xsd:enumeration value="Medical Insurance: UN NY Aetna Medical Insurance"/>
          <xsd:enumeration value="Medical Insurance: UN NY Empire Blue Cross PPO Medical Insurance"/>
          <xsd:enumeration value="Medical Insurance: UN NY HIP Health Plan"/>
          <xsd:enumeration value="Medical Insurance: UN Vanbreda Worldwide Medical Insurance Plan"/>
          <xsd:enumeration value="Mobility and Hardship"/>
          <xsd:enumeration value="Night Differential"/>
          <xsd:enumeration value="Non-Governmental Organizations (NGO) Implementation/Execution"/>
          <xsd:enumeration value="Opening and Closing of Bank Accounts"/>
          <xsd:enumeration value="Operational Procedures for Acquisition, Renewal and Termination of Premises"/>
          <xsd:enumeration value="Operational Procedures for Acquisition, Renewal and Termination of Premises Leases"/>
          <xsd:enumeration value="Operational Procedures for Equipment Leases"/>
          <xsd:enumeration value="Operational Procedures for Equipment Leases"/>
          <xsd:enumeration value="Other Official Business Travel Allowances and Expenses"/>
          <xsd:enumeration value="Other Resources"/>
          <xsd:enumeration value="Oversight of Project Assets"/>
          <xsd:enumeration value="Overtime Compensation"/>
          <xsd:enumeration value="Parallel Fund Management"/>
          <xsd:enumeration value="Pass-Through Fund Management: UNDP as a Participating UN Organization"/>
          <xsd:enumeration value="Pass-Through Fund Management: UNDP as an Administrative Agent"/>
          <xsd:enumeration value="Paternity Leave"/>
          <xsd:enumeration value="Pensionable Remuneration"/>
          <xsd:enumeration value="Performance Appraisal (RCA) Policy and Procedures"/>
          <xsd:enumeration value="Petty Cash"/>
          <xsd:enumeration value="Petty Cash Fund for Management Project (PCF)"/>
          <xsd:enumeration value="Plan and Property Acquisition and Maintenance"/>
          <xsd:enumeration value="Plan and Property Acquisition and Maintenance"/>
          <xsd:enumeration value="Plant and Property - Depreciation, Reconciliations Reports and Centralized Functions"/>
          <xsd:enumeration value="Plant and Property - Depreciation, Reconciliations Reports and Centralized Functions"/>
          <xsd:enumeration value="Plant and Property Disposal and Write-Off"/>
          <xsd:enumeration value="Plant and Property Disposal and Write-Off"/>
          <xsd:enumeration value="Policy Consistency of Donor Agreement"/>
          <xsd:enumeration value="Pooled Fund Management"/>
          <xsd:enumeration value="Post Adjustment"/>
          <xsd:enumeration value="Prepayments"/>
          <xsd:enumeration value="Principles of Remuneration"/>
          <xsd:enumeration value="Procurement of Banking Services"/>
          <xsd:enumeration value="Programme Acceleration Funds"/>
          <xsd:enumeration value="Project Cash Advance (PCA)"/>
          <xsd:enumeration value="Project Cash on Hand for DIM Projects (PCH)"/>
          <xsd:enumeration value="Project Management of UNODC Funded Activities"/>
          <xsd:enumeration value="Project Petty Cash Fund (PPCF)"/>
          <xsd:enumeration value="Purchase Orders/Commitments"/>
          <xsd:enumeration value="Purchase Orders/Obligation"/>
          <xsd:enumeration value="Raising E-requisitions"/>
          <xsd:enumeration value="Raising Requisitions"/>
          <xsd:enumeration value="RCA Rebuttal"/>
          <xsd:enumeration value="Receipt of Goods/Services"/>
          <xsd:enumeration value="Recognition and Awards"/>
          <xsd:enumeration value="Record Retention, Data Security and Contingency"/>
          <xsd:enumeration value="Recovery of Overpayments"/>
          <xsd:enumeration value="Regular Maintenance Accounts Payable"/>
          <xsd:enumeration value="Regular Maintenance and Closure of Purchase Orders (POs)"/>
          <xsd:enumeration value="Regular Resources"/>
          <xsd:enumeration value="Rental Subsidy"/>
          <xsd:enumeration value="Repatriation Grant"/>
          <xsd:enumeration value="Results &amp; Competency Assessment (RCA) Guidelines"/>
          <xsd:enumeration value="Retirement"/>
          <xsd:enumeration value="Retroactivity of Payments"/>
          <xsd:enumeration value="Route, Mode of Transportation, and Standard of Accommodation"/>
          <xsd:enumeration value="Rules"/>
          <xsd:enumeration value="Safe Driving Bonus (SDB)"/>
          <xsd:enumeration value="Safe Management"/>
          <xsd:enumeration value="Salary Advances"/>
          <xsd:enumeration value="Salary Increments"/>
          <xsd:enumeration value="Salary Surveys"/>
          <xsd:enumeration value="Service Provision and Service Levels"/>
          <xsd:enumeration value="Setting up a local presence"/>
          <xsd:enumeration value="Shipment of official Consignments/Goods"/>
          <xsd:enumeration value="Special Leave"/>
          <xsd:enumeration value="Special Operations Approach (SOA)"/>
          <xsd:enumeration value="Staff and Their Recognized Defendants on Official Travel"/>
          <xsd:enumeration value="Staff Assessment"/>
          <xsd:enumeration value="Steps for closing: decision making, planning, execution"/>
          <xsd:enumeration value="Taxation"/>
          <xsd:enumeration value="Termination Indemnity"/>
          <xsd:enumeration value="Termination of Appointment for Reasons of Health"/>
          <xsd:enumeration value="Time Off for Breastfeeding"/>
          <xsd:enumeration value="Transfer/Disposal of Project Assets"/>
          <xsd:enumeration value="Travel Requirements - Inoculations"/>
          <xsd:enumeration value="Travel Requirements - Malaria Prevention"/>
          <xsd:enumeration value="Travel Requirements - Medical Clearance"/>
          <xsd:enumeration value="Travel Requirements - National Passport"/>
          <xsd:enumeration value="Travel Requirements - Security Clearance"/>
          <xsd:enumeration value="Travel Requirements - UN Travel Documents"/>
          <xsd:enumeration value="Trust Funds Management"/>
          <xsd:enumeration value="Type of Leases and Treatment in UNDP Books"/>
          <xsd:enumeration value="Type of Leases and Treatment in UNDP Books"/>
          <xsd:enumeration value="UN Flag Code"/>
          <xsd:enumeration value="Unaccompanied Shipment of Personal Effects and Household Goods"/>
          <xsd:enumeration value="UNDP Housing"/>
          <xsd:enumeration value="UNDP Offices/Premises"/>
          <xsd:enumeration value="UNDP Vehicles"/>
          <xsd:enumeration value="UNFCU Share Account Management"/>
          <xsd:enumeration value="Uniforms"/>
          <xsd:enumeration value="Vehicle Maintenance"/>
          <xsd:enumeration value="Vehicle Use"/>
          <xsd:enumeration value="Vendor Banking Information Setup for IBAN"/>
        </xsd:restriction>
      </xsd:simpleType>
    </xsd:element>
    <xsd:element name="UNDPPOPPSubsubsubprocess" ma:index="13" nillable="true" ma:displayName="POPP Sub-sub-subprocess" ma:format="Dropdown" ma:internalName="UNDPPOPPSubsubsubprocess">
      <xsd:simpleType>
        <xsd:restriction base="dms:Choice">
          <xsd:enumeration value="Accounts Receivable"/>
          <xsd:enumeration value="Cash Operations"/>
          <xsd:enumeration value="Cash Operations"/>
          <xsd:enumeration value="Core Contributions"/>
          <xsd:enumeration value="Defining an MDTF/JP"/>
          <xsd:enumeration value="Government Contributions to Local Office Costs (GLOC)"/>
          <xsd:enumeration value="Handling of Cash and Receipts"/>
          <xsd:enumeration value="Initiating an MDTF/JP"/>
          <xsd:enumeration value="Joint Programming"/>
          <xsd:enumeration value="Justifying an MDTF/JP"/>
          <xsd:enumeration value="Management Service Agreements"/>
          <xsd:enumeration value="Non-core contributions (included Cost Sharing)"/>
          <xsd:enumeration value="Petty Cash Fund for Management Project (PCF)"/>
          <xsd:enumeration value="Petty Cash Fund for Management Project (PCF)"/>
          <xsd:enumeration value="Project Cash Advance (PCA)"/>
          <xsd:enumeration value="Project Cash Advance (PCA)"/>
          <xsd:enumeration value="Project Cash on Hand for DIM Projects (PCH)"/>
          <xsd:enumeration value="Project Cash on Hand for DIM Projects (PCH)"/>
          <xsd:enumeration value="Project Petty Cash Fund (PPCF)"/>
          <xsd:enumeration value="Project Petty Cash Fund (PPCF)"/>
          <xsd:enumeration value="Receipt of Goods and Application of Incoterms"/>
          <xsd:enumeration value="Receipt of Goods DAP and Application of Incoterms"/>
          <xsd:enumeration value="Receipt of Goods FOB and Application of Incoterms"/>
          <xsd:enumeration value="Receipt of Services"/>
          <xsd:enumeration value="Receipt of Works"/>
          <xsd:enumeration value="Reporting on MDTFs and on the activities of the MDTF Office/BoM"/>
          <xsd:enumeration value="Running an MDTF/JP"/>
          <xsd:enumeration value="US Agreements"/>
        </xsd:restriction>
      </xsd:simpleType>
    </xsd:element>
    <xsd:element name="UNDPPagePOPPLanguageSelection" ma:index="14" nillable="true" ma:displayName="POPP Page Language Selection" ma:format="RadioButtons" ma:internalName="UNDPPagePOPPLanguageSelection">
      <xsd:simpleType>
        <xsd:restriction base="dms:Choice">
          <xsd:enumeration value="English"/>
          <xsd:enumeration value="French"/>
          <xsd:enumeration value="Spanish"/>
        </xsd:restriction>
      </xsd:simpleType>
    </xsd:element>
    <xsd:element name="UNDPPOPPKeywordsTaxHTField0" ma:index="16" ma:taxonomy="true" ma:internalName="UNDPPOPPKeywordsTaxHTField0" ma:taxonomyFieldName="UNDPPOPPKeywords" ma:displayName="POPP Keywords" ma:fieldId="{83a9342e-dd8f-413f-b495-97fee05666fb}" ma:taxonomyMulti="true" ma:sspId="28e6c43a-9e99-4bdd-9574-a0fa4ea3b61e" ma:termSetId="61cd4d35-d3cf-4427-90a6-f06d70d9a215" ma:anchorId="00000000-0000-0000-0000-000000000000" ma:open="false" ma:isKeyword="false">
      <xsd:complexType>
        <xsd:sequence>
          <xsd:element ref="pc:Terms" minOccurs="0" maxOccurs="1"/>
        </xsd:sequence>
      </xsd:complexType>
    </xsd:element>
    <xsd:element name="UNDPContactFeedback" ma:index="17" nillable="true" ma:displayName="Feedback" ma:SearchPeopleOnly="false" ma:SharePointGroup="0" ma:internalName="UNDPContactFeedback"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Focalpoint" ma:index="18" nillable="true" ma:displayName="Focalpoint" ma:SearchPeopleOnly="false" ma:SharePointGroup="0" ma:internalName="UNDP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PublishedDate" ma:index="19" nillable="true" ma:displayName="Published Date" ma:description="The date the document was published" ma:format="DateOnly" ma:internalName="UNDPPublishedDate">
      <xsd:simpleType>
        <xsd:restriction base="dms:DateTime"/>
      </xsd:simpleType>
    </xsd:element>
    <xsd:element name="UNDPEffectiveDate" ma:index="20" nillable="true" ma:displayName="Effective Date" ma:format="DateOnly" ma:internalName="UNDPEffectiveDate">
      <xsd:simpleType>
        <xsd:restriction base="dms:DateTime"/>
      </xsd:simpleType>
    </xsd:element>
    <xsd:element name="UNDPResponsibleUnit" ma:index="21" nillable="true" ma:displayName="Responsible Unit" ma:internalName="UNDPResponsibleUnit">
      <xsd:simpleType>
        <xsd:restriction base="dms:Text"/>
      </xsd:simpleType>
    </xsd:element>
    <xsd:element name="UNDPCreator" ma:index="22" nillable="true" ma:displayName="Creator" ma:SearchPeopleOnly="false" ma:SharePointGroup="0" ma:internalName="UNDPCrea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IssuanceDate" ma:index="23" nillable="true" ma:displayName="Approval Date" ma:format="DateOnly" ma:internalName="UNDPIssuanceDate">
      <xsd:simpleType>
        <xsd:restriction base="dms:DateTime"/>
      </xsd:simpleType>
    </xsd:element>
    <xsd:element name="UNDPPlannedReviewDate" ma:index="24" nillable="true" ma:displayName="Planned Review Date" ma:format="DateOnly" ma:internalName="UNDPPlannedReviewDate">
      <xsd:simpleType>
        <xsd:restriction base="dms:DateTime"/>
      </xsd:simpleType>
    </xsd:element>
    <xsd:element name="UNDPActualReviewDate" ma:index="25" nillable="true" ma:displayName="Actual Review Date" ma:format="DateOnly" ma:internalName="UNDPActualReviewDate">
      <xsd:simpleType>
        <xsd:restriction base="dms:DateTime"/>
      </xsd:simpleType>
    </xsd:element>
    <xsd:element name="UNDPSummary" ma:index="26" nillable="true" ma:displayName="Summary" ma:description="A brief description or summary of the document that will displayed in search results." ma:internalName="UNDPSummary">
      <xsd:simpleType>
        <xsd:restriction base="dms:Note">
          <xsd:maxLength value="255"/>
        </xsd:restriction>
      </xsd:simpleType>
    </xsd:element>
    <xsd:element name="UNDPApplicability" ma:index="27" nillable="true" ma:displayName="Applicability" ma:internalName="UNDPApplicabilit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43a642-5052-4259-9bdb-0ff8af7c5ad6" elementFormDefault="qualified">
    <xsd:import namespace="http://schemas.microsoft.com/office/2006/documentManagement/types"/>
    <xsd:import namespace="http://schemas.microsoft.com/office/infopath/2007/PartnerControls"/>
    <xsd:element name="TaxCatchAll" ma:index="28" nillable="true" ma:displayName="Taxonomy Catch All Column" ma:description="" ma:hidden="true" ma:list="{ac6531ea-54d5-451f-8cfd-bd3d3dfe368f}" ma:internalName="TaxCatchAll" ma:showField="CatchAllData" ma:web="3643a642-5052-4259-9bdb-0ff8af7c5a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28e6c43a-9e99-4bdd-9574-a0fa4ea3b61e" ContentTypeId="0x01010023A92725C93E4830A7421C44D384B7FC" PreviousValue="false"/>
</file>

<file path=customXml/item6.xml><?xml version="1.0" encoding="utf-8"?>
<?mso-contentType ?>
<PolicyDirtyBag xmlns="microsoft.office.server.policy.changes">
  <Microsoft.Office.RecordsManagement.PolicyFeatures.PolicyLabel op="Change"/>
</PolicyDirtyBag>
</file>

<file path=customXml/item7.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9CD680-12D0-4E5E-9FBB-A0C83218D6EF}"/>
</file>

<file path=customXml/itemProps2.xml><?xml version="1.0" encoding="utf-8"?>
<ds:datastoreItem xmlns:ds="http://schemas.openxmlformats.org/officeDocument/2006/customXml" ds:itemID="{D9A7DE88-E203-4713-B09A-D768A8AC197A}"/>
</file>

<file path=customXml/itemProps3.xml><?xml version="1.0" encoding="utf-8"?>
<ds:datastoreItem xmlns:ds="http://schemas.openxmlformats.org/officeDocument/2006/customXml" ds:itemID="{060A4344-452E-47C4-924E-14B0AC0D020F}"/>
</file>

<file path=customXml/itemProps4.xml><?xml version="1.0" encoding="utf-8"?>
<ds:datastoreItem xmlns:ds="http://schemas.openxmlformats.org/officeDocument/2006/customXml" ds:itemID="{D687D296-F554-494D-85B4-C8FA63694DAD}"/>
</file>

<file path=customXml/itemProps5.xml><?xml version="1.0" encoding="utf-8"?>
<ds:datastoreItem xmlns:ds="http://schemas.openxmlformats.org/officeDocument/2006/customXml" ds:itemID="{5B6BC28C-E688-4057-844D-9C0A1B93E2BA}"/>
</file>

<file path=customXml/itemProps6.xml><?xml version="1.0" encoding="utf-8"?>
<ds:datastoreItem xmlns:ds="http://schemas.openxmlformats.org/officeDocument/2006/customXml" ds:itemID="{9CAB3FA1-B3DF-4FBD-831C-1D3C53FEF0E1}"/>
</file>

<file path=customXml/itemProps7.xml><?xml version="1.0" encoding="utf-8"?>
<ds:datastoreItem xmlns:ds="http://schemas.openxmlformats.org/officeDocument/2006/customXml" ds:itemID="{CA66A3D4-0273-4DE5-BC7A-8A6FF327BFA1}"/>
</file>

<file path=customXml/itemProps8.xml><?xml version="1.0" encoding="utf-8"?>
<ds:datastoreItem xmlns:ds="http://schemas.openxmlformats.org/officeDocument/2006/customXml" ds:itemID="{E942E715-502B-43EE-8F93-D68B51156EFA}"/>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HQ_Asset  Adjustment Approval Form</vt:lpstr>
    </vt:vector>
  </TitlesOfParts>
  <Company>UNDP</Company>
  <LinksUpToDate>false</LinksUpToDate>
  <CharactersWithSpaces>1012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HQ_Asset  Adjustment Approval Form</dc:title>
  <dc:creator>viktoryia.geyler@undp.org</dc:creator>
  <cp:lastModifiedBy>Myint Thu</cp:lastModifiedBy>
  <cp:revision>2</cp:revision>
  <cp:lastPrinted>2009-12-08T13:34:00Z</cp:lastPrinted>
  <dcterms:created xsi:type="dcterms:W3CDTF">2012-11-23T22:03:00Z</dcterms:created>
  <dcterms:modified xsi:type="dcterms:W3CDTF">2012-11-23T22:03:00Z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8d8a489e-d02e-4ea2-a14e-32fd791353d3</vt:lpwstr>
  </property>
  <property fmtid="{D5CDD505-2E9C-101B-9397-08002B2CF9AE}" pid="4" name="UNDPPOPPKeywords">
    <vt:lpwstr>553;#assets|6c29b51d-6375-4c38-8e4e-cd93c911c8bc;#562;#form|46478408-d74e-456d-b73e-0104fd42ca44</vt:lpwstr>
  </property>
  <property fmtid="{D5CDD505-2E9C-101B-9397-08002B2CF9AE}" pid="5" name="_dlc_DocId">
    <vt:lpwstr>UNDPGBL-537-26</vt:lpwstr>
  </property>
  <property fmtid="{D5CDD505-2E9C-101B-9397-08002B2CF9AE}" pid="6" name="_dlc_DocIdUrl">
    <vt:lpwstr>https://intranet.undp.org/global/documents/_layouts/DocIdRedir.aspx?ID=UNDPGBL-537-26, UNDPGBL-537-26</vt:lpwstr>
  </property>
  <property fmtid="{D5CDD505-2E9C-101B-9397-08002B2CF9AE}" pid="7" name="BusinessUnit">
    <vt:lpwstr>353;#Administrative Services|a78f4201-2936-4934-95ba-30c4111d72d7</vt:lpwstr>
  </property>
  <property fmtid="{D5CDD505-2E9C-101B-9397-08002B2CF9AE}" pid="8" name="POPPBusinessProcess">
    <vt:lpwstr/>
  </property>
  <property fmtid="{D5CDD505-2E9C-101B-9397-08002B2CF9AE}" pid="10" name="Subject TYPE">
    <vt:lpwstr>BusinessUnit</vt:lpwstr>
  </property>
  <property fmtid="{D5CDD505-2E9C-101B-9397-08002B2CF9AE}" pid="11" name="l0e6ef0c43e74560bd7f3acd1f5e8571">
    <vt:lpwstr>Administrative Services|a78f4201-2936-4934-95ba-30c4111d72d7</vt:lpwstr>
  </property>
  <property fmtid="{D5CDD505-2E9C-101B-9397-08002B2CF9AE}" pid="12" name="UNDP_POPP_BUSINESSUNIT">
    <vt:lpwstr>353;#Administrative Services|a78f4201-2936-4934-95ba-30c4111d72d7</vt:lpwstr>
  </property>
</Properties>
</file>