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A9D24" w14:textId="740AB597" w:rsidR="00DB77DD" w:rsidRDefault="00DB77DD" w:rsidP="00DB77DD">
      <w:pPr>
        <w:tabs>
          <w:tab w:val="left" w:pos="1410"/>
        </w:tabs>
        <w:ind w:left="1410"/>
        <w:jc w:val="center"/>
      </w:pPr>
      <w:r>
        <w:rPr>
          <w:b/>
        </w:rPr>
        <w:t xml:space="preserve">AVISO DE ADJUDICACIÓN DE </w:t>
      </w:r>
      <w:r w:rsidRPr="00D57982">
        <w:rPr>
          <w:b/>
        </w:rPr>
        <w:t xml:space="preserve">CONSULTOR </w:t>
      </w:r>
      <w:r w:rsidR="00D57982" w:rsidRPr="0017257B">
        <w:rPr>
          <w:b/>
        </w:rPr>
        <w:t>INDIVIDUAL</w:t>
      </w:r>
      <w:r>
        <w:rPr>
          <w:noProof/>
          <w:lang w:val="en-US" w:eastAsia="en-US" w:bidi="ar-SA"/>
        </w:rPr>
        <w:drawing>
          <wp:inline distT="0" distB="0" distL="0" distR="0" wp14:anchorId="65AA9D9E" wp14:editId="65AA9D9F">
            <wp:extent cx="511810" cy="1023620"/>
            <wp:effectExtent l="19050" t="0" r="2540" b="0"/>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2" cstate="print"/>
                    <a:srcRect/>
                    <a:stretch>
                      <a:fillRect/>
                    </a:stretch>
                  </pic:blipFill>
                  <pic:spPr bwMode="auto">
                    <a:xfrm>
                      <a:off x="0" y="0"/>
                      <a:ext cx="511810" cy="1023620"/>
                    </a:xfrm>
                    <a:prstGeom prst="rect">
                      <a:avLst/>
                    </a:prstGeom>
                    <a:noFill/>
                    <a:ln w="9525">
                      <a:noFill/>
                      <a:miter lim="800000"/>
                      <a:headEnd/>
                      <a:tailEnd/>
                    </a:ln>
                  </pic:spPr>
                </pic:pic>
              </a:graphicData>
            </a:graphic>
          </wp:inline>
        </w:drawing>
      </w:r>
      <w:r>
        <w:t xml:space="preserve">                                                                                                                                                                                        </w:t>
      </w:r>
    </w:p>
    <w:p w14:paraId="65AA9D25" w14:textId="77777777" w:rsidR="009E2B22" w:rsidRPr="00DE1432" w:rsidRDefault="009E2B22" w:rsidP="00DB77DD">
      <w:pPr>
        <w:tabs>
          <w:tab w:val="left" w:pos="1410"/>
        </w:tabs>
      </w:pPr>
      <w:r>
        <w:t xml:space="preserve">                           </w:t>
      </w:r>
    </w:p>
    <w:p w14:paraId="65AA9D26" w14:textId="77777777" w:rsidR="009E2B22" w:rsidRDefault="009E2B22" w:rsidP="009E2B22">
      <w:pPr>
        <w:tabs>
          <w:tab w:val="left" w:pos="1410"/>
        </w:tabs>
      </w:pPr>
      <w:r>
        <w:t xml:space="preserve">                                                                                                                                                 Fecha: </w:t>
      </w:r>
      <w:r>
        <w:rPr>
          <w:color w:val="FF0000"/>
        </w:rPr>
        <w:t>[XXX]</w:t>
      </w:r>
      <w:r>
        <w:t xml:space="preserve">                                          </w:t>
      </w:r>
    </w:p>
    <w:p w14:paraId="65AA9D27" w14:textId="28529286" w:rsidR="009E2B22" w:rsidRPr="009E2B22" w:rsidRDefault="007D726E" w:rsidP="009E2B22">
      <w:pPr>
        <w:tabs>
          <w:tab w:val="left" w:pos="1410"/>
        </w:tabs>
        <w:rPr>
          <w:b/>
        </w:rPr>
      </w:pPr>
      <w:r>
        <w:rPr>
          <w:b/>
          <w:noProof/>
          <w:lang w:val="en-US" w:eastAsia="en-US" w:bidi="ar-SA"/>
        </w:rPr>
        <mc:AlternateContent>
          <mc:Choice Requires="wps">
            <w:drawing>
              <wp:anchor distT="0" distB="0" distL="114300" distR="114300" simplePos="0" relativeHeight="251658240" behindDoc="0" locked="0" layoutInCell="1" allowOverlap="1" wp14:anchorId="65AA9DA0" wp14:editId="5864A674">
                <wp:simplePos x="0" y="0"/>
                <wp:positionH relativeFrom="column">
                  <wp:posOffset>-9525</wp:posOffset>
                </wp:positionH>
                <wp:positionV relativeFrom="paragraph">
                  <wp:posOffset>86995</wp:posOffset>
                </wp:positionV>
                <wp:extent cx="3916680" cy="0"/>
                <wp:effectExtent l="28575" t="29845" r="36195" b="368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w:pict>
              <v:shapetype xmlns:o="urn:schemas-microsoft-com:office:office" xmlns:w14="http://schemas.microsoft.com/office/word/2010/wordml" xmlns:v="urn:schemas-microsoft-com:vml" w14:anchorId="453F1764" id="_x0000_t32" coordsize="21600,21600" o:spt="32" o:oned="t" path="m,l21600,21600e" filled="f">
                <v:path arrowok="t" fillok="f" o:connecttype="none"/>
                <o:lock v:ext="edit" shapetype="t"/>
              </v:shapetype>
              <v:shape xmlns:o="urn:schemas-microsoft-com:office:office" xmlns:v="urn:schemas-microsoft-com:vml" id="AutoShape 3" o:spid="_x0000_s1026" type="#_x0000_t32" style="position:absolute;margin-left:-.75pt;margin-top:6.85pt;width:30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CmIQIAADwEAAAOAAAAZHJzL2Uyb0RvYy54bWysU8GO2jAQvVfqP1i+s0kgsBARVquE9LJt&#10;kXb7AcZ2EquJbdmGgKr+e8eGILa9VFU5mHFm5s2beeP106nv0JEbK5TMcfIQY8QlVUzIJsff3qrJ&#10;EiPriGSkU5Ln+Mwtftp8/LAedManqlUd4wYBiLTZoHPcOqezKLK05T2xD0pzCc5amZ44uJomYoYM&#10;gN530TSOF9GgDNNGUW4tfC0vTrwJ+HXNqfta15Y71OUYuLlwmnDu/Rlt1iRrDNGtoFca5B9Y9ERI&#10;KHqDKokj6GDEH1C9oEZZVbsHqvpI1bWgPPQA3STxb928tkTz0AsMx+rbmOz/g6VfjjuDBMvxDCNJ&#10;epDo+eBUqIxmfjyDthlEFXJnfIP0JF/1i6LfLZKqaIlseAh+O2vITXxG9C7FX6yGIvvhs2IQQwA/&#10;zOpUm95DwhTQKUhyvknCTw5R+DhbJYvFEpSjoy8i2ZiojXWfuOqRN3JsnSGiaV2hpAThlUlCGXJ8&#10;sc7TItmY4KtKVYmuC/p3Eg05nj8m8zhkWNUJ5r0+zppmX3QGHYlfIfhVVWgSPPdhRh0kC2gtJ2x7&#10;tR0R3cWG6p30eNAZ8Llalx35sYpX2+V2mU7S6WI7SeOynDxXRTpZVMnjvJyVRVEmPz21JM1awRiX&#10;nt24r0n6d/twfTmXTbtt7G0O0Xv0MDAgO/4H0kFar+ZlL/aKnXdmlBxWNARfn5N/A/d3sO8f/eYX&#10;AAAA//8DAFBLAwQUAAYACAAAACEA19Y2Jd0AAAAIAQAADwAAAGRycy9kb3ducmV2LnhtbEyPwW7C&#10;MBBE75X6D9Yi9QZOQAGaxkFVpV7aShUUOJt4SSLidWQbCH/frXpojzszmn1TrAbbiQv60DpSkE4S&#10;EEiVMy3VCrZfr+MliBA1Gd05QgU3DLAq7+8KnRt3pTVeNrEWXEIh1wqaGPtcylA1aHWYuB6JvaPz&#10;Vkc+fS2N11cut52cJslcWt0Sf2h0jy8NVqfN2SrYDXL/OX28ZaePusp8fHu3qV8o9TAanp9ARBzi&#10;Xxh+8BkdSmY6uDOZIDoF4zTjJOuzBQj252k2A3H4FWRZyP8Dym8AAAD//wMAUEsBAi0AFAAGAAgA&#10;AAAhALaDOJL+AAAA4QEAABMAAAAAAAAAAAAAAAAAAAAAAFtDb250ZW50X1R5cGVzXS54bWxQSwEC&#10;LQAUAAYACAAAACEAOP0h/9YAAACUAQAACwAAAAAAAAAAAAAAAAAvAQAAX3JlbHMvLnJlbHNQSwEC&#10;LQAUAAYACAAAACEAbbTwpiECAAA8BAAADgAAAAAAAAAAAAAAAAAuAgAAZHJzL2Uyb0RvYy54bWxQ&#10;SwECLQAUAAYACAAAACEA19Y2Jd0AAAAIAQAADwAAAAAAAAAAAAAAAAB7BAAAZHJzL2Rvd25yZXYu&#10;eG1sUEsFBgAAAAAEAAQA8wAAAIUFAAAAAA==&#10;" strokecolor="blue" strokeweight="4.5pt"/>
            </w:pict>
          </mc:Fallback>
        </mc:AlternateContent>
      </w:r>
    </w:p>
    <w:p w14:paraId="65AA9D28" w14:textId="77777777" w:rsidR="0065710B" w:rsidRPr="009E2B22" w:rsidRDefault="0065710B" w:rsidP="0065710B">
      <w:pPr>
        <w:tabs>
          <w:tab w:val="left" w:pos="1410"/>
        </w:tabs>
        <w:rPr>
          <w:b/>
        </w:rPr>
      </w:pPr>
      <w:r>
        <w:rPr>
          <w:b/>
        </w:rPr>
        <w:t>País:</w:t>
      </w:r>
    </w:p>
    <w:p w14:paraId="65AA9D29" w14:textId="4C3B15E0" w:rsidR="0065710B" w:rsidRPr="009E2B22" w:rsidRDefault="0065710B" w:rsidP="0065710B">
      <w:pPr>
        <w:tabs>
          <w:tab w:val="left" w:pos="1410"/>
        </w:tabs>
        <w:rPr>
          <w:b/>
        </w:rPr>
      </w:pPr>
      <w:r>
        <w:rPr>
          <w:b/>
        </w:rPr>
        <w:t>Descripción de la</w:t>
      </w:r>
      <w:r w:rsidR="00290B0C">
        <w:rPr>
          <w:b/>
        </w:rPr>
        <w:t xml:space="preserve"> consultoría</w:t>
      </w:r>
      <w:r>
        <w:rPr>
          <w:b/>
        </w:rPr>
        <w:t>:</w:t>
      </w:r>
    </w:p>
    <w:p w14:paraId="65AA9D2A" w14:textId="77777777" w:rsidR="0065710B" w:rsidRPr="009E2B22" w:rsidRDefault="0065710B" w:rsidP="0065710B">
      <w:pPr>
        <w:tabs>
          <w:tab w:val="left" w:pos="1410"/>
        </w:tabs>
        <w:rPr>
          <w:b/>
        </w:rPr>
      </w:pPr>
      <w:r>
        <w:rPr>
          <w:b/>
        </w:rPr>
        <w:t>Nombre del proyecto:</w:t>
      </w:r>
    </w:p>
    <w:p w14:paraId="65AA9D2B" w14:textId="77777777" w:rsidR="0065710B" w:rsidRPr="009E2B22" w:rsidRDefault="0065710B" w:rsidP="0065710B">
      <w:pPr>
        <w:tabs>
          <w:tab w:val="left" w:pos="1410"/>
        </w:tabs>
        <w:rPr>
          <w:b/>
        </w:rPr>
      </w:pPr>
      <w:r>
        <w:rPr>
          <w:b/>
        </w:rPr>
        <w:t>Período de asignación/servicios (si corresponde):</w:t>
      </w:r>
    </w:p>
    <w:p w14:paraId="65AA9D2C" w14:textId="77777777" w:rsidR="0065710B" w:rsidRDefault="0065710B" w:rsidP="0065710B">
      <w:pPr>
        <w:tabs>
          <w:tab w:val="left" w:pos="1410"/>
        </w:tabs>
      </w:pPr>
      <w:r>
        <w:t>La propuesta debe enviarse a la siguiente dirección__________ o por correo electrónico a _________ a más tardar __________[</w:t>
      </w:r>
      <w:r>
        <w:rPr>
          <w:i/>
          <w:color w:val="FF0000"/>
        </w:rPr>
        <w:t>plazo</w:t>
      </w:r>
      <w:r>
        <w:t>]____________.</w:t>
      </w:r>
    </w:p>
    <w:p w14:paraId="65AA9D2D" w14:textId="11C2FD9B" w:rsidR="0065710B" w:rsidRDefault="0065710B" w:rsidP="0065710B">
      <w:pPr>
        <w:tabs>
          <w:tab w:val="left" w:pos="1410"/>
        </w:tabs>
      </w:pPr>
      <w:r>
        <w:t>Las solicitudes de aclaración deben enviarse por escrito, o por comunicación electrónica estándar a la dirección o correo electrónico que se indican arriba</w:t>
      </w:r>
      <w:r w:rsidR="00290B0C">
        <w:t xml:space="preserve"> y antes del [introducir fecha]</w:t>
      </w:r>
      <w:r>
        <w:t>. [</w:t>
      </w:r>
      <w:r>
        <w:rPr>
          <w:i/>
          <w:color w:val="FF0000"/>
        </w:rPr>
        <w:t xml:space="preserve">La </w:t>
      </w:r>
      <w:r w:rsidR="00E256E1">
        <w:rPr>
          <w:i/>
          <w:color w:val="FF0000"/>
        </w:rPr>
        <w:t xml:space="preserve">Oficina de País / Unidad de Negocios </w:t>
      </w:r>
      <w:r>
        <w:rPr>
          <w:i/>
          <w:color w:val="FF0000"/>
        </w:rPr>
        <w:t>adjudicadora del PNUD</w:t>
      </w:r>
      <w:r>
        <w:t>] responderá por escrito o por correo electrónico estándar, y enviará copias escritas de la respuesta a todos los consultores, incluida una explicación de la consulta sin identificar la fuente.</w:t>
      </w:r>
    </w:p>
    <w:p w14:paraId="65AA9D2E" w14:textId="693F4CDA" w:rsidR="009E2B22" w:rsidRDefault="007D726E" w:rsidP="009E2B22">
      <w:pPr>
        <w:tabs>
          <w:tab w:val="left" w:pos="1410"/>
        </w:tabs>
      </w:pPr>
      <w:r>
        <w:rPr>
          <w:noProof/>
          <w:lang w:val="en-US" w:eastAsia="en-US" w:bidi="ar-SA"/>
        </w:rPr>
        <mc:AlternateContent>
          <mc:Choice Requires="wps">
            <w:drawing>
              <wp:anchor distT="0" distB="0" distL="114300" distR="114300" simplePos="0" relativeHeight="251659264" behindDoc="0" locked="0" layoutInCell="1" allowOverlap="1" wp14:anchorId="65AA9DA1" wp14:editId="60C10DE7">
                <wp:simplePos x="0" y="0"/>
                <wp:positionH relativeFrom="column">
                  <wp:posOffset>-9525</wp:posOffset>
                </wp:positionH>
                <wp:positionV relativeFrom="paragraph">
                  <wp:posOffset>108585</wp:posOffset>
                </wp:positionV>
                <wp:extent cx="3916680" cy="0"/>
                <wp:effectExtent l="28575" t="32385" r="36195" b="342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w:pict>
              <v:shape xmlns:o="urn:schemas-microsoft-com:office:office" xmlns:w14="http://schemas.microsoft.com/office/word/2010/wordml" xmlns:v="urn:schemas-microsoft-com:vml" w14:anchorId="347913B8" id="AutoShape 4" o:spid="_x0000_s1026" type="#_x0000_t32" style="position:absolute;margin-left:-.75pt;margin-top:8.55pt;width:30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uGIAIAADwEAAAOAAAAZHJzL2Uyb0RvYy54bWysU8GO2jAQvVfqP1i+QxI2sBARVquE9LJt&#10;kXb7AcZ2EquJbdmGgKr+e8eGILa9VFU5mHFm5s2beeP106nv0JEbK5TMcTKNMeKSKiZkk+Nvb9Vk&#10;iZF1RDLSKclzfOYWP20+flgPOuMz1aqOcYMARNps0DlundNZFFna8p7YqdJcgrNWpicOrqaJmCED&#10;oPddNIvjRTQow7RRlFsLX8uLE28Cfl1z6r7WteUOdTkGbi6cJpx7f0abNckaQ3Qr6JUG+QcWPRES&#10;it6gSuIIOhjxB1QvqFFW1W5KVR+puhaUhx6gmyT+rZvXlmgeeoHhWH0bk/1/sPTLcWeQYDmeYSRJ&#10;DxI9H5wKlVHqxzNom0FUIXfGN0hP8lW/KPrdIqmKlsiGh+C3s4bcxGdE71L8xWoosh8+KwYxBPDD&#10;rE616T0kTAGdgiTnmyT85BCFjw+rZLFYgnJ09EUkGxO1se4TVz3yRo6tM0Q0rSuUlCC8MkkoQ44v&#10;1nlaJBsTfFWpKtF1Qf9OoiHH88dkHocMqzrBvNfHWdPsi86gI/ErBL+qCk2C5z7MqINkAa3lhG2v&#10;tiOiu9hQvZMeDzoDPlfrsiM/VvFqu9wu00k6W2wnaVyWk+eqSCeLKnmclw9lUZTJT08tSbNWMMal&#10;Zzfua5L+3T5cX85l024be5tD9B49DAzIjv+BdJDWq3nZi71i550ZJYcVDcHX5+TfwP0d7PtHv/kF&#10;AAD//wMAUEsDBBQABgAIAAAAIQDel5RR3AAAAAgBAAAPAAAAZHJzL2Rvd25yZXYueG1sTI/BTsMw&#10;EETvSPyDtUjcWsdFaSHEqapKXAAJ0RbObrwkUeN1ZLtt+vcs4gDHnRnNvimXo+vFCUPsPGlQ0wwE&#10;Uu1tR42G3fZpcg8iJkPW9J5QwwUjLKvrq9IU1p/pHU+b1AguoVgYDW1KQyFlrFt0Jk79gMTelw/O&#10;JD5DI20wZy53vZxl2Vw60xF/aM2A6xbrw+boNHyM8vNt9nDJD69NnYf0/OJUWGh9ezOuHkEkHNNf&#10;GH7wGR0qZtr7I9koeg0TlXOS9YUCwf5c5Xcg9r+CrEr5f0D1DQAA//8DAFBLAQItABQABgAIAAAA&#10;IQC2gziS/gAAAOEBAAATAAAAAAAAAAAAAAAAAAAAAABbQ29udGVudF9UeXBlc10ueG1sUEsBAi0A&#10;FAAGAAgAAAAhADj9If/WAAAAlAEAAAsAAAAAAAAAAAAAAAAALwEAAF9yZWxzLy5yZWxzUEsBAi0A&#10;FAAGAAgAAAAhABiC24YgAgAAPAQAAA4AAAAAAAAAAAAAAAAALgIAAGRycy9lMm9Eb2MueG1sUEsB&#10;Ai0AFAAGAAgAAAAhAN6XlFHcAAAACAEAAA8AAAAAAAAAAAAAAAAAegQAAGRycy9kb3ducmV2Lnht&#10;bFBLBQYAAAAABAAEAPMAAACDBQAAAAA=&#10;" strokecolor="blue" strokeweight="4.5pt"/>
            </w:pict>
          </mc:Fallback>
        </mc:AlternateContent>
      </w:r>
    </w:p>
    <w:p w14:paraId="65AA9D2F" w14:textId="77777777" w:rsidR="009E2B22" w:rsidRDefault="009E2B22" w:rsidP="009E2B22">
      <w:pPr>
        <w:tabs>
          <w:tab w:val="left" w:pos="1410"/>
        </w:tabs>
        <w:rPr>
          <w:b/>
        </w:rPr>
      </w:pPr>
      <w:r>
        <w:rPr>
          <w:b/>
        </w:rPr>
        <w:t>1. ANTECEDENTES</w:t>
      </w:r>
    </w:p>
    <w:tbl>
      <w:tblPr>
        <w:tblStyle w:val="TableGrid"/>
        <w:tblW w:w="0" w:type="auto"/>
        <w:tblLook w:val="04A0" w:firstRow="1" w:lastRow="0" w:firstColumn="1" w:lastColumn="0" w:noHBand="0" w:noVBand="1"/>
      </w:tblPr>
      <w:tblGrid>
        <w:gridCol w:w="9350"/>
      </w:tblGrid>
      <w:tr w:rsidR="0065710B" w14:paraId="65AA9D36" w14:textId="77777777" w:rsidTr="0065710B">
        <w:tc>
          <w:tcPr>
            <w:tcW w:w="9576" w:type="dxa"/>
          </w:tcPr>
          <w:p w14:paraId="65AA9D30" w14:textId="78641660" w:rsidR="0065710B" w:rsidRDefault="0065710B" w:rsidP="0065710B">
            <w:pPr>
              <w:tabs>
                <w:tab w:val="left" w:pos="1410"/>
              </w:tabs>
              <w:rPr>
                <w:i/>
              </w:rPr>
            </w:pPr>
            <w:r>
              <w:rPr>
                <w:i/>
              </w:rPr>
              <w:t>[Texto que debe proporcionar la</w:t>
            </w:r>
            <w:r w:rsidR="00E256E1">
              <w:rPr>
                <w:i/>
                <w:color w:val="FF0000"/>
              </w:rPr>
              <w:t xml:space="preserve"> Oficina de País / Unidad de Negocios</w:t>
            </w:r>
            <w:r>
              <w:rPr>
                <w:i/>
              </w:rPr>
              <w:t xml:space="preserve"> adjudicadora del PNUD]</w:t>
            </w:r>
          </w:p>
          <w:p w14:paraId="65AA9D31" w14:textId="77777777" w:rsidR="0065710B" w:rsidRDefault="0065710B" w:rsidP="0065710B">
            <w:pPr>
              <w:tabs>
                <w:tab w:val="left" w:pos="1410"/>
              </w:tabs>
            </w:pPr>
          </w:p>
          <w:p w14:paraId="65AA9D32" w14:textId="77777777" w:rsidR="0065710B" w:rsidRDefault="0065710B" w:rsidP="0065710B">
            <w:pPr>
              <w:tabs>
                <w:tab w:val="left" w:pos="1410"/>
              </w:tabs>
            </w:pPr>
          </w:p>
          <w:p w14:paraId="65AA9D33" w14:textId="77777777" w:rsidR="0065710B" w:rsidRDefault="0065710B" w:rsidP="0065710B">
            <w:pPr>
              <w:tabs>
                <w:tab w:val="left" w:pos="1410"/>
              </w:tabs>
            </w:pPr>
          </w:p>
          <w:p w14:paraId="65AA9D34" w14:textId="77777777" w:rsidR="0065710B" w:rsidRDefault="0065710B" w:rsidP="0065710B">
            <w:pPr>
              <w:tabs>
                <w:tab w:val="left" w:pos="1410"/>
              </w:tabs>
            </w:pPr>
          </w:p>
          <w:p w14:paraId="65AA9D35" w14:textId="77777777" w:rsidR="0065710B" w:rsidRPr="0065710B" w:rsidRDefault="0065710B" w:rsidP="0065710B">
            <w:pPr>
              <w:tabs>
                <w:tab w:val="left" w:pos="1410"/>
              </w:tabs>
            </w:pPr>
          </w:p>
        </w:tc>
      </w:tr>
    </w:tbl>
    <w:p w14:paraId="65AA9D37" w14:textId="77777777" w:rsidR="00A24134" w:rsidRDefault="00A24134" w:rsidP="009E2B22">
      <w:pPr>
        <w:tabs>
          <w:tab w:val="left" w:pos="1410"/>
        </w:tabs>
        <w:rPr>
          <w:b/>
        </w:rPr>
      </w:pPr>
    </w:p>
    <w:p w14:paraId="65AA9D38" w14:textId="77777777" w:rsidR="00944F40" w:rsidRDefault="00944F40" w:rsidP="00A24134">
      <w:pPr>
        <w:rPr>
          <w:b/>
        </w:rPr>
      </w:pPr>
      <w:r>
        <w:rPr>
          <w:b/>
        </w:rPr>
        <w:t xml:space="preserve">2. ALCANCE DEL TRABAJO, RESPONSABILIDADES Y DESCRIPCIÓN DE LA LABOR ANALÍTICA PROPUESTA </w:t>
      </w:r>
    </w:p>
    <w:tbl>
      <w:tblPr>
        <w:tblStyle w:val="TableGrid"/>
        <w:tblW w:w="0" w:type="auto"/>
        <w:tblLook w:val="04A0" w:firstRow="1" w:lastRow="0" w:firstColumn="1" w:lastColumn="0" w:noHBand="0" w:noVBand="1"/>
      </w:tblPr>
      <w:tblGrid>
        <w:gridCol w:w="9350"/>
      </w:tblGrid>
      <w:tr w:rsidR="0065710B" w14:paraId="65AA9D3D" w14:textId="77777777" w:rsidTr="0065710B">
        <w:tc>
          <w:tcPr>
            <w:tcW w:w="9576" w:type="dxa"/>
          </w:tcPr>
          <w:p w14:paraId="65AA9D39" w14:textId="32BB5923" w:rsidR="0065710B" w:rsidRPr="0065710B" w:rsidRDefault="0065710B" w:rsidP="00A24134">
            <w:pPr>
              <w:rPr>
                <w:i/>
                <w:u w:val="single"/>
              </w:rPr>
            </w:pPr>
            <w:r>
              <w:rPr>
                <w:i/>
                <w:u w:val="single"/>
              </w:rPr>
              <w:t xml:space="preserve">[Proporcione una breve descripción de la </w:t>
            </w:r>
            <w:r w:rsidR="00F23232">
              <w:rPr>
                <w:i/>
                <w:u w:val="single"/>
              </w:rPr>
              <w:t>consultoría</w:t>
            </w:r>
            <w:r w:rsidR="00E256E1">
              <w:rPr>
                <w:i/>
                <w:u w:val="single"/>
              </w:rPr>
              <w:t xml:space="preserve"> </w:t>
            </w:r>
            <w:r>
              <w:rPr>
                <w:i/>
                <w:u w:val="single"/>
              </w:rPr>
              <w:t>o consulte el Anexo que abarca los Términos de Referencia, TdR]</w:t>
            </w:r>
          </w:p>
          <w:p w14:paraId="65AA9D3A" w14:textId="77777777" w:rsidR="0065710B" w:rsidRPr="0065710B" w:rsidRDefault="0065710B" w:rsidP="00A24134"/>
          <w:p w14:paraId="65AA9D3B" w14:textId="77777777" w:rsidR="0065710B" w:rsidRPr="0065710B" w:rsidRDefault="0065710B" w:rsidP="00A24134"/>
          <w:p w14:paraId="65AA9D3C" w14:textId="77777777" w:rsidR="0065710B" w:rsidRPr="0065710B" w:rsidRDefault="0065710B" w:rsidP="00A24134">
            <w:r>
              <w:t>Si desea obtener información detallada, consulte el Anexo 1.</w:t>
            </w:r>
          </w:p>
        </w:tc>
      </w:tr>
    </w:tbl>
    <w:p w14:paraId="65AA9D3E" w14:textId="77777777" w:rsidR="00DA646F" w:rsidRDefault="00DA646F" w:rsidP="00A24134">
      <w:pPr>
        <w:rPr>
          <w:b/>
        </w:rPr>
      </w:pPr>
    </w:p>
    <w:p w14:paraId="65AA9D3F" w14:textId="77777777" w:rsidR="00DA646F" w:rsidRDefault="00DA646F" w:rsidP="00A24134">
      <w:pPr>
        <w:rPr>
          <w:b/>
        </w:rPr>
      </w:pPr>
    </w:p>
    <w:p w14:paraId="65AA9D40" w14:textId="430CA0DD" w:rsidR="002223E0" w:rsidRDefault="002223E0" w:rsidP="00A24134">
      <w:pPr>
        <w:rPr>
          <w:b/>
        </w:rPr>
      </w:pPr>
      <w:r>
        <w:rPr>
          <w:b/>
        </w:rPr>
        <w:t>3. REQUISITOS</w:t>
      </w:r>
      <w:r w:rsidR="00E256E1">
        <w:rPr>
          <w:b/>
        </w:rPr>
        <w:t xml:space="preserve"> MINIMOS</w:t>
      </w:r>
      <w:r>
        <w:rPr>
          <w:b/>
        </w:rPr>
        <w:t xml:space="preserve"> DE EXPERIENCIA Y APTITUDES</w:t>
      </w:r>
    </w:p>
    <w:tbl>
      <w:tblPr>
        <w:tblStyle w:val="TableGrid"/>
        <w:tblW w:w="0" w:type="auto"/>
        <w:tblLook w:val="04A0" w:firstRow="1" w:lastRow="0" w:firstColumn="1" w:lastColumn="0" w:noHBand="0" w:noVBand="1"/>
      </w:tblPr>
      <w:tblGrid>
        <w:gridCol w:w="9350"/>
      </w:tblGrid>
      <w:tr w:rsidR="00443E94" w14:paraId="65AA9D51" w14:textId="77777777" w:rsidTr="00443E94">
        <w:tc>
          <w:tcPr>
            <w:tcW w:w="9576" w:type="dxa"/>
          </w:tcPr>
          <w:p w14:paraId="65AA9D41" w14:textId="58576742" w:rsidR="0065710B" w:rsidRPr="00DE1432" w:rsidRDefault="0065710B" w:rsidP="0065710B">
            <w:pPr>
              <w:spacing w:before="120" w:after="120" w:line="288" w:lineRule="auto"/>
              <w:jc w:val="both"/>
              <w:rPr>
                <w:rFonts w:ascii="Calibri" w:hAnsi="Calibri" w:cs="Arial"/>
                <w:color w:val="FF0000"/>
              </w:rPr>
            </w:pPr>
            <w:r>
              <w:rPr>
                <w:rFonts w:ascii="Calibri" w:hAnsi="Calibri"/>
                <w:color w:val="FF0000"/>
              </w:rPr>
              <w:t xml:space="preserve">[La siguiente es una lista de </w:t>
            </w:r>
            <w:r w:rsidR="00E256E1">
              <w:rPr>
                <w:rFonts w:ascii="Calibri" w:hAnsi="Calibri"/>
                <w:color w:val="FF0000"/>
              </w:rPr>
              <w:t xml:space="preserve">posibles </w:t>
            </w:r>
            <w:r>
              <w:rPr>
                <w:rFonts w:ascii="Calibri" w:hAnsi="Calibri"/>
                <w:color w:val="FF0000"/>
              </w:rPr>
              <w:t xml:space="preserve">requisitos. La lista de requisitos definitiva debe adaptarse de conformidad con la naturaleza y la complejidad de </w:t>
            </w:r>
            <w:r w:rsidR="00E256E1">
              <w:rPr>
                <w:rFonts w:ascii="Calibri" w:hAnsi="Calibri"/>
                <w:color w:val="FF0000"/>
              </w:rPr>
              <w:t xml:space="preserve">cada </w:t>
            </w:r>
            <w:r>
              <w:rPr>
                <w:rFonts w:ascii="Calibri" w:hAnsi="Calibri"/>
                <w:color w:val="FF0000"/>
              </w:rPr>
              <w:t>asignación</w:t>
            </w:r>
            <w:r w:rsidR="00E256E1">
              <w:rPr>
                <w:rFonts w:ascii="Calibri" w:hAnsi="Calibri"/>
                <w:color w:val="FF0000"/>
              </w:rPr>
              <w:t xml:space="preserve"> y por lo tanto la </w:t>
            </w:r>
            <w:r w:rsidR="00E256E1">
              <w:rPr>
                <w:i/>
                <w:color w:val="FF0000"/>
              </w:rPr>
              <w:t>Oficina de País / Unidad de Negocios adjudicataria deberá modificar los respectivos parámetros acordemente</w:t>
            </w:r>
            <w:r>
              <w:rPr>
                <w:rFonts w:ascii="Calibri" w:hAnsi="Calibri"/>
                <w:color w:val="FF0000"/>
              </w:rPr>
              <w:t>].</w:t>
            </w:r>
          </w:p>
          <w:p w14:paraId="65AA9D42" w14:textId="77777777" w:rsidR="0065710B" w:rsidRPr="007C4235" w:rsidRDefault="0065710B" w:rsidP="0065710B">
            <w:pPr>
              <w:spacing w:before="120" w:after="120" w:line="288" w:lineRule="auto"/>
              <w:jc w:val="both"/>
              <w:rPr>
                <w:rFonts w:ascii="Calibri" w:hAnsi="Calibri" w:cs="Arial"/>
                <w:u w:val="single"/>
              </w:rPr>
            </w:pPr>
            <w:r>
              <w:rPr>
                <w:rFonts w:ascii="Calibri" w:hAnsi="Calibri"/>
                <w:u w:val="single"/>
              </w:rPr>
              <w:t>I. Formación académica:</w:t>
            </w:r>
          </w:p>
          <w:p w14:paraId="65AA9D43" w14:textId="77777777" w:rsidR="0065710B" w:rsidRPr="005B038A" w:rsidRDefault="0065710B" w:rsidP="0065710B">
            <w:pPr>
              <w:pStyle w:val="ListParagraph"/>
              <w:numPr>
                <w:ilvl w:val="0"/>
                <w:numId w:val="3"/>
              </w:numPr>
              <w:spacing w:before="120" w:after="120" w:line="288" w:lineRule="auto"/>
              <w:ind w:left="720"/>
              <w:jc w:val="both"/>
              <w:rPr>
                <w:rFonts w:ascii="Calibri" w:hAnsi="Calibri" w:cs="Arial"/>
              </w:rPr>
            </w:pPr>
            <w:r>
              <w:rPr>
                <w:rFonts w:ascii="Calibri" w:hAnsi="Calibri"/>
              </w:rPr>
              <w:t>Doctorado</w:t>
            </w:r>
          </w:p>
          <w:p w14:paraId="65AA9D44" w14:textId="77777777" w:rsidR="0065710B" w:rsidRPr="005B038A" w:rsidRDefault="0065710B" w:rsidP="0065710B">
            <w:pPr>
              <w:pStyle w:val="ListParagraph"/>
              <w:numPr>
                <w:ilvl w:val="0"/>
                <w:numId w:val="3"/>
              </w:numPr>
              <w:spacing w:before="120" w:after="120" w:line="288" w:lineRule="auto"/>
              <w:ind w:left="720"/>
              <w:jc w:val="both"/>
              <w:rPr>
                <w:rFonts w:ascii="Calibri" w:hAnsi="Calibri" w:cs="Arial"/>
              </w:rPr>
            </w:pPr>
            <w:r>
              <w:rPr>
                <w:rFonts w:ascii="Calibri" w:hAnsi="Calibri"/>
              </w:rPr>
              <w:t>Maestría</w:t>
            </w:r>
          </w:p>
          <w:p w14:paraId="65AA9D45" w14:textId="77777777" w:rsidR="0065710B" w:rsidRPr="005B038A" w:rsidRDefault="0065710B" w:rsidP="0065710B">
            <w:pPr>
              <w:pStyle w:val="ListParagraph"/>
              <w:numPr>
                <w:ilvl w:val="0"/>
                <w:numId w:val="3"/>
              </w:numPr>
              <w:spacing w:before="120" w:after="120" w:line="288" w:lineRule="auto"/>
              <w:ind w:left="720"/>
              <w:jc w:val="both"/>
              <w:rPr>
                <w:rFonts w:ascii="Calibri" w:hAnsi="Calibri" w:cs="Arial"/>
              </w:rPr>
            </w:pPr>
            <w:r>
              <w:rPr>
                <w:rFonts w:ascii="Calibri" w:hAnsi="Calibri"/>
              </w:rPr>
              <w:t>Otro</w:t>
            </w:r>
          </w:p>
          <w:p w14:paraId="65AA9D46" w14:textId="77777777" w:rsidR="0065710B" w:rsidRPr="007C4235" w:rsidRDefault="0065710B" w:rsidP="0065710B">
            <w:pPr>
              <w:spacing w:before="120" w:after="120" w:line="288" w:lineRule="auto"/>
              <w:jc w:val="both"/>
              <w:rPr>
                <w:rFonts w:ascii="Calibri" w:hAnsi="Calibri" w:cs="Arial"/>
                <w:u w:val="single"/>
              </w:rPr>
            </w:pPr>
            <w:r>
              <w:rPr>
                <w:rFonts w:ascii="Calibri" w:hAnsi="Calibri"/>
                <w:u w:val="single"/>
              </w:rPr>
              <w:t>II. Años de experiencia:</w:t>
            </w:r>
          </w:p>
          <w:p w14:paraId="65AA9D47" w14:textId="38DCD913" w:rsidR="0065710B" w:rsidRDefault="0065710B" w:rsidP="0065710B">
            <w:pPr>
              <w:spacing w:before="120" w:after="120" w:line="288" w:lineRule="auto"/>
              <w:jc w:val="both"/>
              <w:rPr>
                <w:rFonts w:ascii="Calibri" w:hAnsi="Calibri" w:cs="Arial"/>
              </w:rPr>
            </w:pPr>
            <w:r>
              <w:rPr>
                <w:rFonts w:ascii="Calibri" w:hAnsi="Calibri"/>
              </w:rPr>
              <w:t>Indique la cantidad de años de experiencia; si se trata de una consultoría internacional, regional o local; y las áreas</w:t>
            </w:r>
            <w:r w:rsidR="00E256E1">
              <w:rPr>
                <w:rFonts w:ascii="Calibri" w:hAnsi="Calibri"/>
              </w:rPr>
              <w:t xml:space="preserve"> específicas de experiencia, etc</w:t>
            </w:r>
            <w:r>
              <w:rPr>
                <w:rFonts w:ascii="Calibri" w:hAnsi="Calibri"/>
              </w:rPr>
              <w:t>.</w:t>
            </w:r>
          </w:p>
          <w:p w14:paraId="65AA9D48" w14:textId="77777777" w:rsidR="0065710B" w:rsidRPr="007C4235" w:rsidRDefault="0065710B" w:rsidP="0065710B">
            <w:pPr>
              <w:spacing w:before="120" w:after="120" w:line="288" w:lineRule="auto"/>
              <w:jc w:val="both"/>
              <w:rPr>
                <w:rFonts w:ascii="Calibri" w:hAnsi="Calibri" w:cs="Arial"/>
                <w:u w:val="single"/>
              </w:rPr>
            </w:pPr>
            <w:r>
              <w:rPr>
                <w:rFonts w:ascii="Calibri" w:hAnsi="Calibri"/>
                <w:u w:val="single"/>
              </w:rPr>
              <w:t>III. Competencias profesionales:</w:t>
            </w:r>
          </w:p>
          <w:p w14:paraId="65AA9D49" w14:textId="77777777" w:rsidR="0065710B" w:rsidRPr="005B038A" w:rsidRDefault="0065710B" w:rsidP="0065710B">
            <w:pPr>
              <w:spacing w:before="120" w:after="120" w:line="288" w:lineRule="auto"/>
              <w:jc w:val="both"/>
              <w:rPr>
                <w:rFonts w:ascii="Calibri" w:hAnsi="Calibri" w:cs="Arial"/>
              </w:rPr>
            </w:pPr>
            <w:r>
              <w:rPr>
                <w:rFonts w:ascii="Calibri" w:hAnsi="Calibri"/>
              </w:rPr>
              <w:t>Habilidades analíticas o comunicativas, trabajo en equipo...</w:t>
            </w:r>
          </w:p>
          <w:p w14:paraId="65AA9D4A" w14:textId="77777777" w:rsidR="0065710B" w:rsidRPr="00DE1432" w:rsidRDefault="0065710B" w:rsidP="0065710B">
            <w:pPr>
              <w:spacing w:before="120" w:after="120" w:line="288" w:lineRule="auto"/>
              <w:jc w:val="both"/>
              <w:rPr>
                <w:rFonts w:ascii="Calibri" w:hAnsi="Calibri" w:cs="Arial"/>
                <w:i/>
                <w:color w:val="FF0000"/>
              </w:rPr>
            </w:pPr>
            <w:r>
              <w:rPr>
                <w:rFonts w:ascii="Calibri" w:hAnsi="Calibri"/>
                <w:i/>
                <w:color w:val="FF0000"/>
              </w:rPr>
              <w:t>[Por ejemplo:</w:t>
            </w:r>
          </w:p>
          <w:p w14:paraId="65AA9D4B" w14:textId="2C213D1F" w:rsidR="0065710B" w:rsidRPr="00DE1432" w:rsidRDefault="0065710B" w:rsidP="0065710B">
            <w:pPr>
              <w:numPr>
                <w:ilvl w:val="0"/>
                <w:numId w:val="1"/>
              </w:numPr>
              <w:spacing w:before="120" w:after="120" w:line="288" w:lineRule="auto"/>
              <w:jc w:val="both"/>
              <w:rPr>
                <w:rFonts w:ascii="Calibri" w:hAnsi="Calibri" w:cs="Arial"/>
                <w:i/>
                <w:color w:val="FF0000"/>
              </w:rPr>
            </w:pPr>
            <w:r>
              <w:rPr>
                <w:rFonts w:ascii="Calibri" w:hAnsi="Calibri"/>
                <w:i/>
                <w:color w:val="FF0000"/>
              </w:rPr>
              <w:t xml:space="preserve">Doctorado en Economía, Análisis de Políticas Sociales, preferentemente una combinación de experiencia académica y técnica tanto en los campos sociales como económicos. También se podría aceptar una maestría </w:t>
            </w:r>
            <w:r w:rsidR="00E256E1">
              <w:rPr>
                <w:rFonts w:ascii="Calibri" w:hAnsi="Calibri"/>
                <w:i/>
                <w:color w:val="FF0000"/>
              </w:rPr>
              <w:t xml:space="preserve">combinada con </w:t>
            </w:r>
            <w:r>
              <w:rPr>
                <w:rFonts w:ascii="Calibri" w:hAnsi="Calibri"/>
                <w:i/>
                <w:color w:val="FF0000"/>
              </w:rPr>
              <w:t xml:space="preserve"> al menos 10 años de experiencia.</w:t>
            </w:r>
          </w:p>
          <w:p w14:paraId="65AA9D4C" w14:textId="77777777" w:rsidR="0065710B" w:rsidRPr="00DE1432" w:rsidRDefault="0065710B" w:rsidP="0065710B">
            <w:pPr>
              <w:numPr>
                <w:ilvl w:val="0"/>
                <w:numId w:val="1"/>
              </w:numPr>
              <w:spacing w:before="120" w:after="120" w:line="288" w:lineRule="auto"/>
              <w:jc w:val="both"/>
              <w:rPr>
                <w:rFonts w:ascii="Calibri" w:hAnsi="Calibri" w:cs="Arial"/>
                <w:i/>
                <w:color w:val="FF0000"/>
              </w:rPr>
            </w:pPr>
            <w:r>
              <w:rPr>
                <w:rFonts w:ascii="Calibri" w:hAnsi="Calibri"/>
                <w:i/>
                <w:color w:val="FF0000"/>
              </w:rPr>
              <w:t>Sólida experiencia en las áreas de desarrollo económico, análisis de pobreza, desarrollo y planificación, planificación estratégica de proyectos enfocados en el desarrollo económico por medio del asesoramiento normativo basado en pruebas.</w:t>
            </w:r>
          </w:p>
          <w:p w14:paraId="65AA9D4D" w14:textId="77777777" w:rsidR="0065710B" w:rsidRPr="00DE1432" w:rsidRDefault="0065710B" w:rsidP="0065710B">
            <w:pPr>
              <w:pStyle w:val="ListParagraph"/>
              <w:numPr>
                <w:ilvl w:val="0"/>
                <w:numId w:val="1"/>
              </w:numPr>
              <w:autoSpaceDE w:val="0"/>
              <w:autoSpaceDN w:val="0"/>
              <w:adjustRightInd w:val="0"/>
              <w:rPr>
                <w:rFonts w:ascii="Calibri" w:hAnsi="Calibri" w:cs="Calibri"/>
                <w:i/>
                <w:color w:val="FF0000"/>
              </w:rPr>
            </w:pPr>
            <w:r>
              <w:rPr>
                <w:rFonts w:ascii="Calibri" w:hAnsi="Calibri"/>
                <w:i/>
                <w:color w:val="FF0000"/>
              </w:rPr>
              <w:t>Experiencia práctica en la gestión de organizaciones, planificación estratégica de asociaciones y organizaciones públicas a nivel nacional y regional.</w:t>
            </w:r>
          </w:p>
          <w:p w14:paraId="65AA9D4E" w14:textId="77777777" w:rsidR="0065710B" w:rsidRPr="00DE1432" w:rsidRDefault="0065710B" w:rsidP="0065710B">
            <w:pPr>
              <w:numPr>
                <w:ilvl w:val="0"/>
                <w:numId w:val="1"/>
              </w:numPr>
              <w:spacing w:before="120" w:after="120" w:line="288" w:lineRule="auto"/>
              <w:jc w:val="both"/>
              <w:rPr>
                <w:rFonts w:ascii="Calibri" w:hAnsi="Calibri" w:cs="Arial"/>
                <w:i/>
                <w:color w:val="FF0000"/>
              </w:rPr>
            </w:pPr>
            <w:r>
              <w:rPr>
                <w:rFonts w:ascii="Calibri" w:hAnsi="Calibri"/>
                <w:i/>
                <w:color w:val="FF0000"/>
              </w:rPr>
              <w:t>Experiencia en la formulación de estrategias y políticas de desarrollo.</w:t>
            </w:r>
          </w:p>
          <w:p w14:paraId="65AA9D4F" w14:textId="77777777" w:rsidR="0065710B" w:rsidRPr="001473B3" w:rsidRDefault="0065710B" w:rsidP="0065710B">
            <w:pPr>
              <w:numPr>
                <w:ilvl w:val="0"/>
                <w:numId w:val="1"/>
              </w:numPr>
              <w:spacing w:before="120" w:after="120" w:line="288" w:lineRule="auto"/>
              <w:jc w:val="both"/>
              <w:rPr>
                <w:rFonts w:ascii="Calibri" w:hAnsi="Calibri" w:cs="Arial"/>
                <w:i/>
              </w:rPr>
            </w:pPr>
            <w:r>
              <w:rPr>
                <w:rFonts w:ascii="Calibri" w:hAnsi="Calibri"/>
                <w:i/>
                <w:color w:val="FF0000"/>
              </w:rPr>
              <w:t>Excelentes habilidades de presentación y oratoria].</w:t>
            </w:r>
          </w:p>
          <w:p w14:paraId="65AA9D50" w14:textId="77777777" w:rsidR="00443E94" w:rsidRPr="0065710B" w:rsidRDefault="00443E94" w:rsidP="0065710B">
            <w:pPr>
              <w:spacing w:line="288" w:lineRule="auto"/>
              <w:jc w:val="both"/>
              <w:rPr>
                <w:rFonts w:ascii="Calibri" w:hAnsi="Calibri" w:cs="Arial"/>
                <w:u w:val="single"/>
              </w:rPr>
            </w:pPr>
          </w:p>
        </w:tc>
      </w:tr>
    </w:tbl>
    <w:p w14:paraId="65AA9D52" w14:textId="77777777" w:rsidR="0065710B" w:rsidRDefault="0065710B" w:rsidP="00A24134">
      <w:pPr>
        <w:rPr>
          <w:b/>
        </w:rPr>
      </w:pPr>
    </w:p>
    <w:p w14:paraId="65AA9D53" w14:textId="77777777" w:rsidR="002223E0" w:rsidRDefault="006C491D" w:rsidP="00A24134">
      <w:pPr>
        <w:rPr>
          <w:b/>
        </w:rPr>
      </w:pPr>
      <w:r>
        <w:rPr>
          <w:b/>
        </w:rPr>
        <w:t>4. DOCUMENTOS QUE DEBEN INCLUIRSE AL ENVIAR LAS PROPUESTAS.</w:t>
      </w:r>
    </w:p>
    <w:tbl>
      <w:tblPr>
        <w:tblStyle w:val="TableGrid"/>
        <w:tblW w:w="0" w:type="auto"/>
        <w:tblLook w:val="04A0" w:firstRow="1" w:lastRow="0" w:firstColumn="1" w:lastColumn="0" w:noHBand="0" w:noVBand="1"/>
      </w:tblPr>
      <w:tblGrid>
        <w:gridCol w:w="9350"/>
      </w:tblGrid>
      <w:tr w:rsidR="00443E94" w14:paraId="65AA9D5B" w14:textId="77777777" w:rsidTr="00443E94">
        <w:tc>
          <w:tcPr>
            <w:tcW w:w="9576" w:type="dxa"/>
          </w:tcPr>
          <w:p w14:paraId="65AA9D54" w14:textId="1232A88E" w:rsidR="0065710B" w:rsidRDefault="0065710B" w:rsidP="0065710B">
            <w:r>
              <w:t>Los consultores interesados deben enviar los siguientes documentos o información para demostrar sus aptitudes:</w:t>
            </w:r>
          </w:p>
          <w:p w14:paraId="65AA9D55" w14:textId="77777777" w:rsidR="0065710B" w:rsidRDefault="0065710B" w:rsidP="0065710B">
            <w:r>
              <w:t>1. Propuesta:</w:t>
            </w:r>
          </w:p>
          <w:p w14:paraId="65AA9D56" w14:textId="77777777" w:rsidR="0065710B" w:rsidRDefault="0065710B" w:rsidP="0065710B">
            <w:r>
              <w:t>(i) Explicar por qué son los más aptos para el trabajo.</w:t>
            </w:r>
          </w:p>
          <w:p w14:paraId="65AA9D57" w14:textId="77777777" w:rsidR="0065710B" w:rsidRDefault="0065710B" w:rsidP="0065710B">
            <w:r>
              <w:t>(ii) Proporcionar una breve metodología sobre cómo abordarán y llevarán a cabo el trabajo (si corresponde).</w:t>
            </w:r>
          </w:p>
          <w:p w14:paraId="65AA9D58" w14:textId="77777777" w:rsidR="0065710B" w:rsidRDefault="0065710B" w:rsidP="0065710B"/>
          <w:p w14:paraId="65AA9D59" w14:textId="77777777" w:rsidR="0065710B" w:rsidRDefault="0065710B" w:rsidP="0065710B">
            <w:r>
              <w:t>2. Propuesta financiera</w:t>
            </w:r>
          </w:p>
          <w:p w14:paraId="65AA9D5A" w14:textId="77777777" w:rsidR="0065710B" w:rsidRDefault="0065710B" w:rsidP="00A24134">
            <w:pPr>
              <w:rPr>
                <w:b/>
              </w:rPr>
            </w:pPr>
            <w:r>
              <w:t>3. Currículum personal con experiencia previa en proyectos similares y al menos 3 referencias.</w:t>
            </w:r>
          </w:p>
        </w:tc>
      </w:tr>
    </w:tbl>
    <w:p w14:paraId="65AA9D5C" w14:textId="77777777" w:rsidR="003836C0" w:rsidRDefault="003836C0" w:rsidP="0033411B">
      <w:pPr>
        <w:autoSpaceDE w:val="0"/>
        <w:autoSpaceDN w:val="0"/>
        <w:adjustRightInd w:val="0"/>
        <w:spacing w:after="0" w:line="240" w:lineRule="auto"/>
        <w:rPr>
          <w:rFonts w:ascii="Calibri" w:hAnsi="Calibri" w:cs="Calibri"/>
          <w:b/>
        </w:rPr>
      </w:pPr>
    </w:p>
    <w:p w14:paraId="65AA9D5D" w14:textId="77777777" w:rsidR="0065710B" w:rsidRDefault="0065710B" w:rsidP="0033411B">
      <w:pPr>
        <w:autoSpaceDE w:val="0"/>
        <w:autoSpaceDN w:val="0"/>
        <w:adjustRightInd w:val="0"/>
        <w:spacing w:after="0" w:line="240" w:lineRule="auto"/>
        <w:rPr>
          <w:rFonts w:ascii="Calibri" w:hAnsi="Calibri" w:cs="Calibri"/>
          <w:b/>
        </w:rPr>
      </w:pPr>
    </w:p>
    <w:p w14:paraId="65AA9D5E" w14:textId="77777777" w:rsidR="0033411B" w:rsidRPr="00A6756E" w:rsidRDefault="00FE7C9D" w:rsidP="00A6756E">
      <w:pPr>
        <w:autoSpaceDE w:val="0"/>
        <w:autoSpaceDN w:val="0"/>
        <w:adjustRightInd w:val="0"/>
        <w:spacing w:after="0" w:line="240" w:lineRule="auto"/>
        <w:rPr>
          <w:rFonts w:ascii="Calibri" w:hAnsi="Calibri" w:cs="Calibri"/>
          <w:b/>
        </w:rPr>
      </w:pPr>
      <w:r>
        <w:rPr>
          <w:rFonts w:ascii="Calibri" w:hAnsi="Calibri"/>
          <w:b/>
        </w:rPr>
        <w:t>5. PROPUESTA FINANCIERA</w:t>
      </w:r>
    </w:p>
    <w:tbl>
      <w:tblPr>
        <w:tblStyle w:val="TableGrid"/>
        <w:tblW w:w="0" w:type="auto"/>
        <w:tblLook w:val="04A0" w:firstRow="1" w:lastRow="0" w:firstColumn="1" w:lastColumn="0" w:noHBand="0" w:noVBand="1"/>
      </w:tblPr>
      <w:tblGrid>
        <w:gridCol w:w="9350"/>
      </w:tblGrid>
      <w:tr w:rsidR="00443E94" w14:paraId="65AA9D69" w14:textId="77777777" w:rsidTr="00443E94">
        <w:tc>
          <w:tcPr>
            <w:tcW w:w="9576" w:type="dxa"/>
          </w:tcPr>
          <w:p w14:paraId="65AA9D5F" w14:textId="3C78FE57" w:rsidR="0065710B" w:rsidRPr="0001012F" w:rsidRDefault="0065710B" w:rsidP="0065710B">
            <w:pPr>
              <w:autoSpaceDE w:val="0"/>
              <w:autoSpaceDN w:val="0"/>
              <w:adjustRightInd w:val="0"/>
              <w:rPr>
                <w:i/>
                <w:color w:val="FF0000"/>
              </w:rPr>
            </w:pPr>
            <w:r>
              <w:rPr>
                <w:i/>
                <w:color w:val="FF0000"/>
              </w:rPr>
              <w:t>[</w:t>
            </w:r>
            <w:r w:rsidR="00E256E1">
              <w:rPr>
                <w:i/>
                <w:color w:val="FF0000"/>
              </w:rPr>
              <w:t xml:space="preserve">IMPORTANTE: </w:t>
            </w:r>
            <w:r>
              <w:rPr>
                <w:i/>
                <w:color w:val="FF0000"/>
              </w:rPr>
              <w:t xml:space="preserve">Las </w:t>
            </w:r>
            <w:r w:rsidR="00E256E1">
              <w:rPr>
                <w:i/>
                <w:color w:val="FF0000"/>
              </w:rPr>
              <w:t xml:space="preserve">Oficina de País / Unidad de Negocios </w:t>
            </w:r>
            <w:r>
              <w:rPr>
                <w:i/>
                <w:color w:val="FF0000"/>
              </w:rPr>
              <w:t>adjudicadoras del PNUD elegirán uno de estos dos mecanismos.</w:t>
            </w:r>
            <w:r>
              <w:t xml:space="preserve"> </w:t>
            </w:r>
            <w:r>
              <w:rPr>
                <w:i/>
                <w:color w:val="FF0000"/>
              </w:rPr>
              <w:t>El enfoque a tanto alzado es el método de preferencia, ya que vincula claramente los entregables y los pagos, y traslada al consultor cualquier riesgo imprevisto de la realización del entregable. Una vez que se selecciona un mecanismo, el otro debe eliminarse para evitar confusiones].</w:t>
            </w:r>
          </w:p>
          <w:p w14:paraId="65AA9D60" w14:textId="77777777" w:rsidR="0065710B" w:rsidRPr="00EC344C" w:rsidRDefault="0065710B" w:rsidP="0065710B">
            <w:pPr>
              <w:pStyle w:val="ListParagraph"/>
              <w:numPr>
                <w:ilvl w:val="0"/>
                <w:numId w:val="5"/>
              </w:numPr>
              <w:autoSpaceDE w:val="0"/>
              <w:autoSpaceDN w:val="0"/>
              <w:adjustRightInd w:val="0"/>
              <w:rPr>
                <w:rFonts w:ascii="Arial" w:hAnsi="Arial" w:cs="Arial"/>
                <w:b/>
                <w:sz w:val="20"/>
                <w:szCs w:val="20"/>
              </w:rPr>
            </w:pPr>
            <w:r>
              <w:rPr>
                <w:rFonts w:ascii="Arial" w:hAnsi="Arial"/>
                <w:b/>
                <w:sz w:val="20"/>
              </w:rPr>
              <w:t>Contratos a tanto alzado</w:t>
            </w:r>
          </w:p>
          <w:p w14:paraId="65AA9D61" w14:textId="77777777" w:rsidR="0065710B" w:rsidRPr="00C64099" w:rsidRDefault="0065710B" w:rsidP="0065710B">
            <w:pPr>
              <w:spacing w:line="288" w:lineRule="auto"/>
              <w:jc w:val="both"/>
            </w:pPr>
            <w:r>
              <w:t>La propuesta financiera deberá especificar un monto a tanto alzado total y los plazos de pago en torno a los entregables específicos y mensurables (cualitativos y cuantitativos); es decir, si los pagos se efectuarán en cuotas o una vez finalizado el contrato completo. Los pagos se basan en el producto; es decir, una vez prestados los servicios especificados en los TdR.  Para brindar asistencia a la dependencia solicitante a la hora de comparar las propuestas financieras, la propuesta financiera incluirá un desglose de este monto a tanto alzado (incluidos los viajes, las dietas y la cantidad de días de trabajo anticipados).</w:t>
            </w:r>
          </w:p>
          <w:p w14:paraId="65AA9D62" w14:textId="77777777" w:rsidR="0065710B" w:rsidRDefault="0065710B" w:rsidP="0065710B">
            <w:pPr>
              <w:jc w:val="both"/>
              <w:rPr>
                <w:rFonts w:ascii="Cambria" w:hAnsi="Cambria" w:cs="Myriad Pro"/>
                <w:sz w:val="24"/>
                <w:szCs w:val="24"/>
              </w:rPr>
            </w:pPr>
          </w:p>
          <w:p w14:paraId="65AA9D63" w14:textId="77777777" w:rsidR="0065710B" w:rsidRPr="00DF526E" w:rsidRDefault="0065710B" w:rsidP="0065710B">
            <w:pPr>
              <w:pStyle w:val="ListParagraph"/>
              <w:numPr>
                <w:ilvl w:val="0"/>
                <w:numId w:val="5"/>
              </w:numPr>
              <w:autoSpaceDE w:val="0"/>
              <w:autoSpaceDN w:val="0"/>
              <w:adjustRightInd w:val="0"/>
              <w:rPr>
                <w:rStyle w:val="Strong"/>
                <w:rFonts w:ascii="Arial" w:hAnsi="Arial" w:cs="Arial"/>
                <w:sz w:val="20"/>
                <w:szCs w:val="20"/>
              </w:rPr>
            </w:pPr>
            <w:r>
              <w:rPr>
                <w:rStyle w:val="Strong"/>
                <w:rFonts w:ascii="Arial" w:hAnsi="Arial"/>
                <w:sz w:val="20"/>
              </w:rPr>
              <w:t>Contratos basados en tarifas diarias</w:t>
            </w:r>
          </w:p>
          <w:p w14:paraId="65AA9D64" w14:textId="77777777" w:rsidR="0065710B" w:rsidRPr="00C64099" w:rsidRDefault="0065710B" w:rsidP="0065710B">
            <w:pPr>
              <w:spacing w:line="288" w:lineRule="auto"/>
              <w:jc w:val="both"/>
            </w:pPr>
            <w:r>
              <w:t>La propuesta financiera especificará las tarifas diarias, los gastos de viajes y las dietas cotizados en partidas individuales, y el Consultor Particular recibirá los pagos en base a la cantidad de días trabajados.</w:t>
            </w:r>
          </w:p>
          <w:p w14:paraId="65AA9D65" w14:textId="77777777" w:rsidR="0065710B" w:rsidRDefault="0065710B" w:rsidP="0065710B">
            <w:pPr>
              <w:spacing w:line="288" w:lineRule="auto"/>
              <w:jc w:val="both"/>
            </w:pPr>
          </w:p>
          <w:p w14:paraId="65AA9D66" w14:textId="77777777" w:rsidR="0065710B" w:rsidRPr="00E8310E" w:rsidRDefault="0065710B" w:rsidP="0065710B">
            <w:pPr>
              <w:spacing w:line="288" w:lineRule="auto"/>
              <w:jc w:val="both"/>
              <w:rPr>
                <w:b/>
                <w:u w:val="single"/>
              </w:rPr>
            </w:pPr>
            <w:r>
              <w:rPr>
                <w:b/>
                <w:u w:val="single"/>
              </w:rPr>
              <w:t>Viajes:</w:t>
            </w:r>
          </w:p>
          <w:p w14:paraId="65AA9D67" w14:textId="77777777" w:rsidR="0065710B" w:rsidRPr="00E8310E" w:rsidRDefault="0065710B" w:rsidP="0065710B">
            <w:pPr>
              <w:spacing w:line="288" w:lineRule="auto"/>
              <w:jc w:val="both"/>
            </w:pPr>
            <w:r>
              <w:rPr>
                <w:u w:val="single"/>
              </w:rPr>
              <w:t>La propuesta financiera debe incluir todos los costos de viajes previstos</w:t>
            </w:r>
            <w:r>
              <w:t>. Esto incluye todos los viajes al lugar de destino y los viajes de repatriación.  En general, el PNUD no debe aceptar costos de viajes superiores a un boleto de clase turista. Si el Consultor Particular (CP) desea viajar en una clase superior, deberá hacerlo con sus propios recursos.</w:t>
            </w:r>
          </w:p>
          <w:p w14:paraId="65AA9D68" w14:textId="1DB6B554" w:rsidR="0065710B" w:rsidRPr="00443E94" w:rsidRDefault="0065710B" w:rsidP="0065710B">
            <w:pPr>
              <w:spacing w:line="288" w:lineRule="auto"/>
              <w:jc w:val="both"/>
            </w:pPr>
            <w:r>
              <w:t xml:space="preserve">Si se presenta un viaje imprevisto, la </w:t>
            </w:r>
            <w:r w:rsidR="00E256E1">
              <w:rPr>
                <w:i/>
                <w:color w:val="FF0000"/>
              </w:rPr>
              <w:t xml:space="preserve">Oficina de País / Unidad de Negocios </w:t>
            </w:r>
            <w:r w:rsidR="00E256E1">
              <w:t xml:space="preserve">adjudicataria </w:t>
            </w:r>
            <w:r>
              <w:t>respectiva y el Consultor Particular deberán acordar el pago de los costos del viaje (incluidos los boletos, el alojamiento y los gastos de escalas) antes del viaje.</w:t>
            </w:r>
          </w:p>
        </w:tc>
      </w:tr>
    </w:tbl>
    <w:p w14:paraId="65AA9D6A" w14:textId="77777777" w:rsidR="00443E94" w:rsidRDefault="00443E94" w:rsidP="00A24134">
      <w:pPr>
        <w:rPr>
          <w:b/>
        </w:rPr>
      </w:pPr>
    </w:p>
    <w:p w14:paraId="65AA9D6B" w14:textId="77777777" w:rsidR="00E94857" w:rsidRDefault="00FE7C9D" w:rsidP="00A24134">
      <w:pPr>
        <w:rPr>
          <w:b/>
        </w:rPr>
      </w:pPr>
      <w:r>
        <w:rPr>
          <w:b/>
        </w:rPr>
        <w:t>6. EVALUACIÓN</w:t>
      </w:r>
    </w:p>
    <w:tbl>
      <w:tblPr>
        <w:tblStyle w:val="TableGrid"/>
        <w:tblW w:w="0" w:type="auto"/>
        <w:tblLook w:val="04A0" w:firstRow="1" w:lastRow="0" w:firstColumn="1" w:lastColumn="0" w:noHBand="0" w:noVBand="1"/>
      </w:tblPr>
      <w:tblGrid>
        <w:gridCol w:w="9350"/>
      </w:tblGrid>
      <w:tr w:rsidR="00443E94" w14:paraId="65AA9D99" w14:textId="77777777" w:rsidTr="00443E94">
        <w:tc>
          <w:tcPr>
            <w:tcW w:w="9576" w:type="dxa"/>
          </w:tcPr>
          <w:p w14:paraId="65AA9D6C" w14:textId="05570E24" w:rsidR="00EA697D" w:rsidRDefault="00EA697D" w:rsidP="00EA697D">
            <w:pPr>
              <w:rPr>
                <w:i/>
                <w:color w:val="FF0000"/>
              </w:rPr>
            </w:pPr>
            <w:r>
              <w:rPr>
                <w:i/>
                <w:color w:val="FF0000"/>
              </w:rPr>
              <w:t>[</w:t>
            </w:r>
            <w:r w:rsidR="00E256E1">
              <w:rPr>
                <w:i/>
                <w:color w:val="FF0000"/>
              </w:rPr>
              <w:t xml:space="preserve">IMPORTANTE: </w:t>
            </w:r>
            <w:r>
              <w:rPr>
                <w:i/>
                <w:color w:val="FF0000"/>
              </w:rPr>
              <w:t xml:space="preserve">Las </w:t>
            </w:r>
            <w:r w:rsidR="00E256E1">
              <w:rPr>
                <w:i/>
                <w:color w:val="FF0000"/>
              </w:rPr>
              <w:t xml:space="preserve">Oficina de País / Unidad de Negocios </w:t>
            </w:r>
            <w:r>
              <w:rPr>
                <w:i/>
                <w:color w:val="FF0000"/>
              </w:rPr>
              <w:t>adjudicadoras del PNUD elegirán uno de estos dos métodos de evaluación antes de enviar el Aviso de Adjudicación de Consultor Particular. Una vez que se selecciona un método de evaluación, el otro debe eliminarse para evitar confusiones].</w:t>
            </w:r>
          </w:p>
          <w:p w14:paraId="65AA9D6D" w14:textId="77777777" w:rsidR="00EA697D" w:rsidRPr="00EA697D" w:rsidRDefault="00EA697D" w:rsidP="00EA697D"/>
          <w:p w14:paraId="65AA9D6E" w14:textId="77777777" w:rsidR="00EA697D" w:rsidRPr="00816B78" w:rsidRDefault="00EA697D" w:rsidP="00EA697D">
            <w:r>
              <w:t>Los consultores particulares serán evaluados en base a las siguientes metodologías:</w:t>
            </w:r>
          </w:p>
          <w:p w14:paraId="65AA9D6F" w14:textId="77777777" w:rsidR="00EA697D" w:rsidRPr="00432027" w:rsidRDefault="00EA697D" w:rsidP="00EA697D">
            <w:pPr>
              <w:rPr>
                <w:i/>
                <w:u w:val="thick"/>
              </w:rPr>
            </w:pPr>
            <w:r>
              <w:rPr>
                <w:i/>
                <w:u w:val="thick"/>
              </w:rPr>
              <w:t>1. Oferta de precio más bajo y técnicamente aceptable</w:t>
            </w:r>
          </w:p>
          <w:p w14:paraId="65AA9D70" w14:textId="77777777" w:rsidR="00EA697D" w:rsidRPr="00432027" w:rsidRDefault="00EA697D" w:rsidP="00EA697D">
            <w:pPr>
              <w:rPr>
                <w:i/>
              </w:rPr>
            </w:pPr>
            <w:r>
              <w:rPr>
                <w:i/>
              </w:rPr>
              <w:t>Al utilizar este método, la adjudicación de un contrato debe otorgarse al consultor particular cuya oferta se haya evaluado y determinado de la siguiente manera:</w:t>
            </w:r>
          </w:p>
          <w:p w14:paraId="65AA9D71" w14:textId="73560B26" w:rsidR="00EA697D" w:rsidRPr="00432027" w:rsidRDefault="00EA697D" w:rsidP="00EA697D">
            <w:pPr>
              <w:rPr>
                <w:i/>
              </w:rPr>
            </w:pPr>
            <w:r>
              <w:rPr>
                <w:i/>
              </w:rPr>
              <w:t xml:space="preserve">a) </w:t>
            </w:r>
            <w:r w:rsidR="00F23232">
              <w:rPr>
                <w:i/>
              </w:rPr>
              <w:t>C</w:t>
            </w:r>
            <w:r>
              <w:rPr>
                <w:i/>
              </w:rPr>
              <w:t xml:space="preserve">umplimiento </w:t>
            </w:r>
            <w:r w:rsidR="0098274B">
              <w:rPr>
                <w:i/>
              </w:rPr>
              <w:t>de</w:t>
            </w:r>
            <w:r>
              <w:rPr>
                <w:i/>
              </w:rPr>
              <w:t xml:space="preserve"> todos los requisitos exigidos/conforme/aceptable, y</w:t>
            </w:r>
          </w:p>
          <w:p w14:paraId="65AA9D72" w14:textId="77777777" w:rsidR="00EA697D" w:rsidRPr="00432027" w:rsidRDefault="00EA697D" w:rsidP="00EA697D">
            <w:pPr>
              <w:rPr>
                <w:i/>
              </w:rPr>
            </w:pPr>
            <w:r>
              <w:rPr>
                <w:i/>
              </w:rPr>
              <w:t>b) precio y costo más bajos ofrecidos.</w:t>
            </w:r>
          </w:p>
          <w:p w14:paraId="65AA9D73" w14:textId="0738802B" w:rsidR="00EA697D" w:rsidRDefault="00EA697D" w:rsidP="00EA697D">
            <w:pPr>
              <w:rPr>
                <w:i/>
              </w:rPr>
            </w:pPr>
            <w:r>
              <w:rPr>
                <w:i/>
              </w:rPr>
              <w:t xml:space="preserve">" </w:t>
            </w:r>
            <w:r w:rsidR="00F23232">
              <w:rPr>
                <w:i/>
              </w:rPr>
              <w:t xml:space="preserve">Por </w:t>
            </w:r>
            <w:r>
              <w:rPr>
                <w:i/>
              </w:rPr>
              <w:t xml:space="preserve">cumplimiento </w:t>
            </w:r>
            <w:r w:rsidR="0098274B">
              <w:rPr>
                <w:i/>
              </w:rPr>
              <w:t>de</w:t>
            </w:r>
            <w:r>
              <w:rPr>
                <w:i/>
              </w:rPr>
              <w:t xml:space="preserve"> todos los requisitos exigidos /conforme/aceptable" </w:t>
            </w:r>
            <w:r w:rsidR="00F23232">
              <w:rPr>
                <w:i/>
              </w:rPr>
              <w:t xml:space="preserve">se entiende </w:t>
            </w:r>
            <w:r>
              <w:rPr>
                <w:i/>
              </w:rPr>
              <w:t>como el cumplimiento absoluto de los</w:t>
            </w:r>
            <w:r w:rsidR="00F23232">
              <w:rPr>
                <w:i/>
              </w:rPr>
              <w:t xml:space="preserve"> requisitos estipulados en los</w:t>
            </w:r>
            <w:r>
              <w:rPr>
                <w:i/>
              </w:rPr>
              <w:t xml:space="preserve"> TdR proporcionados. </w:t>
            </w:r>
          </w:p>
          <w:p w14:paraId="65AA9D74" w14:textId="77777777" w:rsidR="00EA697D" w:rsidRDefault="00EA697D" w:rsidP="00EA697D">
            <w:pPr>
              <w:rPr>
                <w:i/>
              </w:rPr>
            </w:pPr>
          </w:p>
          <w:p w14:paraId="65AA9D75" w14:textId="77777777" w:rsidR="00EA697D" w:rsidRPr="00432027" w:rsidRDefault="00EA697D" w:rsidP="00EA697D">
            <w:pPr>
              <w:rPr>
                <w:i/>
                <w:u w:val="thick"/>
              </w:rPr>
            </w:pPr>
            <w:r>
              <w:rPr>
                <w:i/>
                <w:u w:val="thick"/>
              </w:rPr>
              <w:t xml:space="preserve">2. Análisis acumulativo </w:t>
            </w:r>
          </w:p>
          <w:p w14:paraId="65AA9D76" w14:textId="1D99A074" w:rsidR="00EA697D" w:rsidRPr="00432027" w:rsidRDefault="00EA697D" w:rsidP="00EA697D">
            <w:pPr>
              <w:rPr>
                <w:i/>
              </w:rPr>
            </w:pPr>
            <w:r>
              <w:rPr>
                <w:i/>
              </w:rPr>
              <w:t xml:space="preserve">Al utilizar este método de puntuación ponderada, la adjudicación de un contrato debe otorgarse al consultor particular cuya </w:t>
            </w:r>
            <w:r w:rsidR="00F23232">
              <w:rPr>
                <w:i/>
              </w:rPr>
              <w:t xml:space="preserve">propuesta </w:t>
            </w:r>
            <w:r>
              <w:rPr>
                <w:i/>
              </w:rPr>
              <w:t>se haya evaluado y determinado de la siguiente manera:</w:t>
            </w:r>
          </w:p>
          <w:p w14:paraId="65AA9D77" w14:textId="66489084" w:rsidR="00EA697D" w:rsidRPr="00432027" w:rsidRDefault="00EA697D" w:rsidP="00EA697D">
            <w:pPr>
              <w:rPr>
                <w:i/>
              </w:rPr>
            </w:pPr>
            <w:r>
              <w:rPr>
                <w:i/>
              </w:rPr>
              <w:t xml:space="preserve">a) </w:t>
            </w:r>
            <w:r w:rsidR="00F23232">
              <w:rPr>
                <w:i/>
              </w:rPr>
              <w:t>C</w:t>
            </w:r>
            <w:r>
              <w:rPr>
                <w:i/>
              </w:rPr>
              <w:t xml:space="preserve">umplimiento </w:t>
            </w:r>
            <w:r w:rsidR="0098274B">
              <w:rPr>
                <w:i/>
              </w:rPr>
              <w:t>de</w:t>
            </w:r>
            <w:r>
              <w:rPr>
                <w:i/>
              </w:rPr>
              <w:t xml:space="preserve"> todos los requisitos exigidos/conforme/aceptable, y</w:t>
            </w:r>
          </w:p>
          <w:p w14:paraId="65AA9D78" w14:textId="08DCFE62" w:rsidR="00EA697D" w:rsidRDefault="00EA697D" w:rsidP="00EA697D">
            <w:pPr>
              <w:rPr>
                <w:i/>
              </w:rPr>
            </w:pPr>
            <w:r>
              <w:rPr>
                <w:i/>
              </w:rPr>
              <w:t xml:space="preserve">b) mejor puntuación de un conjunto predeterminado de criterios técnicos y financieros ponderados, específicos </w:t>
            </w:r>
            <w:r w:rsidR="00F23232">
              <w:rPr>
                <w:i/>
              </w:rPr>
              <w:t xml:space="preserve">en </w:t>
            </w:r>
            <w:r>
              <w:rPr>
                <w:i/>
              </w:rPr>
              <w:t xml:space="preserve">la convocatoria. </w:t>
            </w:r>
          </w:p>
          <w:p w14:paraId="65AA9D79" w14:textId="77777777" w:rsidR="00EA697D" w:rsidRPr="0017257B" w:rsidRDefault="00EA697D" w:rsidP="0017257B">
            <w:pPr>
              <w:rPr>
                <w:i/>
                <w:color w:val="FF0000"/>
              </w:rPr>
            </w:pPr>
            <w:r w:rsidRPr="0017257B">
              <w:rPr>
                <w:i/>
                <w:color w:val="FF0000"/>
              </w:rPr>
              <w:t>*Ponderación de criterios técnicos; [a determinar]</w:t>
            </w:r>
          </w:p>
          <w:p w14:paraId="65AA9D7A" w14:textId="77777777" w:rsidR="00EA697D" w:rsidRPr="0017257B" w:rsidRDefault="00EA697D" w:rsidP="0017257B">
            <w:pPr>
              <w:rPr>
                <w:i/>
                <w:color w:val="FF0000"/>
              </w:rPr>
            </w:pPr>
            <w:r w:rsidRPr="0017257B">
              <w:rPr>
                <w:i/>
                <w:color w:val="FF0000"/>
              </w:rPr>
              <w:t>*Ponderación de criterios financieros; [a determinar]</w:t>
            </w:r>
          </w:p>
          <w:p w14:paraId="65AA9D7B" w14:textId="77777777" w:rsidR="00EA697D" w:rsidRDefault="00EA697D" w:rsidP="00EA697D">
            <w:pPr>
              <w:spacing w:line="360" w:lineRule="auto"/>
              <w:rPr>
                <w:i/>
              </w:rPr>
            </w:pPr>
            <w:r>
              <w:rPr>
                <w:i/>
              </w:rPr>
              <w:t xml:space="preserve">Solo los candidatos que obtengan un mínimo de </w:t>
            </w:r>
            <w:r w:rsidRPr="0017257B">
              <w:rPr>
                <w:i/>
                <w:color w:val="FF0000"/>
              </w:rPr>
              <w:t xml:space="preserve">XXX puntos </w:t>
            </w:r>
            <w:r>
              <w:rPr>
                <w:i/>
              </w:rPr>
              <w:t>se tendrán en cuenta para la Evaluación Financiera.</w:t>
            </w:r>
          </w:p>
          <w:tbl>
            <w:tblPr>
              <w:tblStyle w:val="TableGrid"/>
              <w:tblW w:w="0" w:type="auto"/>
              <w:tblLook w:val="04A0" w:firstRow="1" w:lastRow="0" w:firstColumn="1" w:lastColumn="0" w:noHBand="0" w:noVBand="1"/>
            </w:tblPr>
            <w:tblGrid>
              <w:gridCol w:w="3126"/>
              <w:gridCol w:w="3042"/>
              <w:gridCol w:w="2956"/>
            </w:tblGrid>
            <w:tr w:rsidR="00EA697D" w14:paraId="65AA9D7F" w14:textId="77777777" w:rsidTr="0060250C">
              <w:tc>
                <w:tcPr>
                  <w:tcW w:w="3379" w:type="dxa"/>
                </w:tcPr>
                <w:p w14:paraId="65AA9D7C" w14:textId="77777777" w:rsidR="00EA697D" w:rsidRPr="004758AA" w:rsidRDefault="00EA697D" w:rsidP="0060250C">
                  <w:pPr>
                    <w:spacing w:line="360" w:lineRule="auto"/>
                    <w:rPr>
                      <w:b/>
                      <w:i/>
                    </w:rPr>
                  </w:pPr>
                  <w:r>
                    <w:rPr>
                      <w:b/>
                      <w:i/>
                    </w:rPr>
                    <w:t>Criterios</w:t>
                  </w:r>
                </w:p>
              </w:tc>
              <w:tc>
                <w:tcPr>
                  <w:tcW w:w="3379" w:type="dxa"/>
                </w:tcPr>
                <w:p w14:paraId="65AA9D7D" w14:textId="77777777" w:rsidR="00EA697D" w:rsidRPr="004758AA" w:rsidRDefault="00EA697D" w:rsidP="0060250C">
                  <w:pPr>
                    <w:spacing w:line="360" w:lineRule="auto"/>
                    <w:rPr>
                      <w:b/>
                      <w:i/>
                    </w:rPr>
                  </w:pPr>
                  <w:r>
                    <w:rPr>
                      <w:b/>
                      <w:i/>
                    </w:rPr>
                    <w:t xml:space="preserve">Ponderación </w:t>
                  </w:r>
                </w:p>
              </w:tc>
              <w:tc>
                <w:tcPr>
                  <w:tcW w:w="3379" w:type="dxa"/>
                </w:tcPr>
                <w:p w14:paraId="65AA9D7E" w14:textId="77777777" w:rsidR="00EA697D" w:rsidRPr="004758AA" w:rsidRDefault="00EA697D" w:rsidP="0060250C">
                  <w:pPr>
                    <w:spacing w:line="360" w:lineRule="auto"/>
                    <w:rPr>
                      <w:b/>
                      <w:i/>
                    </w:rPr>
                  </w:pPr>
                  <w:r>
                    <w:rPr>
                      <w:b/>
                      <w:i/>
                    </w:rPr>
                    <w:t>Máx. de puntos</w:t>
                  </w:r>
                </w:p>
              </w:tc>
            </w:tr>
            <w:tr w:rsidR="00EA697D" w14:paraId="65AA9D83" w14:textId="77777777" w:rsidTr="0060250C">
              <w:tc>
                <w:tcPr>
                  <w:tcW w:w="3379" w:type="dxa"/>
                </w:tcPr>
                <w:p w14:paraId="65AA9D80" w14:textId="77777777" w:rsidR="00EA697D" w:rsidRPr="004758AA" w:rsidRDefault="00EA697D" w:rsidP="0060250C">
                  <w:pPr>
                    <w:spacing w:line="360" w:lineRule="auto"/>
                    <w:rPr>
                      <w:i/>
                      <w:u w:val="single"/>
                    </w:rPr>
                  </w:pPr>
                  <w:r>
                    <w:rPr>
                      <w:i/>
                      <w:u w:val="single"/>
                    </w:rPr>
                    <w:t>Técnicos</w:t>
                  </w:r>
                </w:p>
              </w:tc>
              <w:tc>
                <w:tcPr>
                  <w:tcW w:w="3379" w:type="dxa"/>
                </w:tcPr>
                <w:p w14:paraId="65AA9D81" w14:textId="77777777" w:rsidR="00EA697D" w:rsidRDefault="00EA697D" w:rsidP="0060250C">
                  <w:pPr>
                    <w:spacing w:line="360" w:lineRule="auto"/>
                    <w:rPr>
                      <w:i/>
                    </w:rPr>
                  </w:pPr>
                </w:p>
              </w:tc>
              <w:tc>
                <w:tcPr>
                  <w:tcW w:w="3379" w:type="dxa"/>
                </w:tcPr>
                <w:p w14:paraId="65AA9D82" w14:textId="77777777" w:rsidR="00EA697D" w:rsidRDefault="00EA697D" w:rsidP="0060250C">
                  <w:pPr>
                    <w:spacing w:line="360" w:lineRule="auto"/>
                    <w:rPr>
                      <w:i/>
                    </w:rPr>
                  </w:pPr>
                </w:p>
              </w:tc>
            </w:tr>
            <w:tr w:rsidR="00EA697D" w14:paraId="65AA9D87" w14:textId="77777777" w:rsidTr="0060250C">
              <w:tc>
                <w:tcPr>
                  <w:tcW w:w="3379" w:type="dxa"/>
                </w:tcPr>
                <w:p w14:paraId="65AA9D84" w14:textId="77777777" w:rsidR="00EA697D" w:rsidRPr="004758AA" w:rsidRDefault="00EA697D" w:rsidP="0060250C">
                  <w:pPr>
                    <w:pStyle w:val="ListParagraph"/>
                    <w:numPr>
                      <w:ilvl w:val="0"/>
                      <w:numId w:val="4"/>
                    </w:numPr>
                    <w:spacing w:line="360" w:lineRule="auto"/>
                    <w:rPr>
                      <w:i/>
                    </w:rPr>
                  </w:pPr>
                  <w:r>
                    <w:rPr>
                      <w:i/>
                    </w:rPr>
                    <w:t>Criterios A</w:t>
                  </w:r>
                </w:p>
              </w:tc>
              <w:tc>
                <w:tcPr>
                  <w:tcW w:w="3379" w:type="dxa"/>
                </w:tcPr>
                <w:p w14:paraId="65AA9D85" w14:textId="77777777" w:rsidR="00EA697D" w:rsidRDefault="00EA697D" w:rsidP="0060250C">
                  <w:pPr>
                    <w:spacing w:line="360" w:lineRule="auto"/>
                    <w:rPr>
                      <w:i/>
                    </w:rPr>
                  </w:pPr>
                </w:p>
              </w:tc>
              <w:tc>
                <w:tcPr>
                  <w:tcW w:w="3379" w:type="dxa"/>
                </w:tcPr>
                <w:p w14:paraId="65AA9D86" w14:textId="77777777" w:rsidR="00EA697D" w:rsidRDefault="00EA697D" w:rsidP="0060250C">
                  <w:pPr>
                    <w:spacing w:line="360" w:lineRule="auto"/>
                    <w:rPr>
                      <w:i/>
                    </w:rPr>
                  </w:pPr>
                </w:p>
              </w:tc>
            </w:tr>
            <w:tr w:rsidR="00EA697D" w14:paraId="65AA9D8B" w14:textId="77777777" w:rsidTr="0060250C">
              <w:tc>
                <w:tcPr>
                  <w:tcW w:w="3379" w:type="dxa"/>
                </w:tcPr>
                <w:p w14:paraId="65AA9D88" w14:textId="77777777" w:rsidR="00EA697D" w:rsidRPr="004758AA" w:rsidRDefault="00EA697D" w:rsidP="0060250C">
                  <w:pPr>
                    <w:pStyle w:val="ListParagraph"/>
                    <w:numPr>
                      <w:ilvl w:val="0"/>
                      <w:numId w:val="4"/>
                    </w:numPr>
                    <w:spacing w:line="360" w:lineRule="auto"/>
                    <w:rPr>
                      <w:i/>
                    </w:rPr>
                  </w:pPr>
                  <w:r>
                    <w:rPr>
                      <w:i/>
                    </w:rPr>
                    <w:t>Criterios B</w:t>
                  </w:r>
                </w:p>
              </w:tc>
              <w:tc>
                <w:tcPr>
                  <w:tcW w:w="3379" w:type="dxa"/>
                </w:tcPr>
                <w:p w14:paraId="65AA9D89" w14:textId="77777777" w:rsidR="00EA697D" w:rsidRDefault="00EA697D" w:rsidP="0060250C">
                  <w:pPr>
                    <w:spacing w:line="360" w:lineRule="auto"/>
                    <w:rPr>
                      <w:i/>
                    </w:rPr>
                  </w:pPr>
                </w:p>
              </w:tc>
              <w:tc>
                <w:tcPr>
                  <w:tcW w:w="3379" w:type="dxa"/>
                </w:tcPr>
                <w:p w14:paraId="65AA9D8A" w14:textId="77777777" w:rsidR="00EA697D" w:rsidRDefault="00EA697D" w:rsidP="0060250C">
                  <w:pPr>
                    <w:spacing w:line="360" w:lineRule="auto"/>
                    <w:rPr>
                      <w:i/>
                    </w:rPr>
                  </w:pPr>
                </w:p>
              </w:tc>
            </w:tr>
            <w:tr w:rsidR="00EA697D" w14:paraId="65AA9D8F" w14:textId="77777777" w:rsidTr="0060250C">
              <w:tc>
                <w:tcPr>
                  <w:tcW w:w="3379" w:type="dxa"/>
                </w:tcPr>
                <w:p w14:paraId="65AA9D8C" w14:textId="77777777" w:rsidR="00EA697D" w:rsidRPr="004758AA" w:rsidRDefault="00EA697D" w:rsidP="0060250C">
                  <w:pPr>
                    <w:pStyle w:val="ListParagraph"/>
                    <w:numPr>
                      <w:ilvl w:val="0"/>
                      <w:numId w:val="4"/>
                    </w:numPr>
                    <w:spacing w:line="360" w:lineRule="auto"/>
                    <w:rPr>
                      <w:i/>
                    </w:rPr>
                  </w:pPr>
                  <w:r>
                    <w:rPr>
                      <w:i/>
                    </w:rPr>
                    <w:t>Criterios C</w:t>
                  </w:r>
                </w:p>
              </w:tc>
              <w:tc>
                <w:tcPr>
                  <w:tcW w:w="3379" w:type="dxa"/>
                </w:tcPr>
                <w:p w14:paraId="65AA9D8D" w14:textId="77777777" w:rsidR="00EA697D" w:rsidRDefault="00EA697D" w:rsidP="0060250C">
                  <w:pPr>
                    <w:spacing w:line="360" w:lineRule="auto"/>
                    <w:rPr>
                      <w:i/>
                    </w:rPr>
                  </w:pPr>
                </w:p>
              </w:tc>
              <w:tc>
                <w:tcPr>
                  <w:tcW w:w="3379" w:type="dxa"/>
                </w:tcPr>
                <w:p w14:paraId="65AA9D8E" w14:textId="77777777" w:rsidR="00EA697D" w:rsidRDefault="00EA697D" w:rsidP="0060250C">
                  <w:pPr>
                    <w:spacing w:line="360" w:lineRule="auto"/>
                    <w:rPr>
                      <w:i/>
                    </w:rPr>
                  </w:pPr>
                </w:p>
              </w:tc>
            </w:tr>
            <w:tr w:rsidR="00EA697D" w14:paraId="65AA9D93" w14:textId="77777777" w:rsidTr="0060250C">
              <w:tc>
                <w:tcPr>
                  <w:tcW w:w="3379" w:type="dxa"/>
                </w:tcPr>
                <w:p w14:paraId="65AA9D90" w14:textId="77777777" w:rsidR="00EA697D" w:rsidRPr="004758AA" w:rsidRDefault="00EA697D" w:rsidP="0060250C">
                  <w:pPr>
                    <w:pStyle w:val="ListParagraph"/>
                    <w:numPr>
                      <w:ilvl w:val="0"/>
                      <w:numId w:val="4"/>
                    </w:numPr>
                    <w:spacing w:line="360" w:lineRule="auto"/>
                    <w:rPr>
                      <w:i/>
                    </w:rPr>
                  </w:pPr>
                  <w:r>
                    <w:rPr>
                      <w:i/>
                    </w:rPr>
                    <w:t>Criterios […]</w:t>
                  </w:r>
                </w:p>
              </w:tc>
              <w:tc>
                <w:tcPr>
                  <w:tcW w:w="3379" w:type="dxa"/>
                </w:tcPr>
                <w:p w14:paraId="65AA9D91" w14:textId="77777777" w:rsidR="00EA697D" w:rsidRDefault="00EA697D" w:rsidP="0060250C">
                  <w:pPr>
                    <w:spacing w:line="360" w:lineRule="auto"/>
                    <w:rPr>
                      <w:i/>
                    </w:rPr>
                  </w:pPr>
                </w:p>
              </w:tc>
              <w:tc>
                <w:tcPr>
                  <w:tcW w:w="3379" w:type="dxa"/>
                </w:tcPr>
                <w:p w14:paraId="65AA9D92" w14:textId="77777777" w:rsidR="00EA697D" w:rsidRDefault="00EA697D" w:rsidP="0060250C">
                  <w:pPr>
                    <w:spacing w:line="360" w:lineRule="auto"/>
                    <w:rPr>
                      <w:i/>
                    </w:rPr>
                  </w:pPr>
                </w:p>
              </w:tc>
            </w:tr>
            <w:tr w:rsidR="00EA697D" w14:paraId="65AA9D97" w14:textId="77777777" w:rsidTr="0060250C">
              <w:tc>
                <w:tcPr>
                  <w:tcW w:w="3379" w:type="dxa"/>
                </w:tcPr>
                <w:p w14:paraId="65AA9D94" w14:textId="77777777" w:rsidR="00EA697D" w:rsidRPr="004758AA" w:rsidRDefault="00EA697D" w:rsidP="0060250C">
                  <w:pPr>
                    <w:spacing w:line="360" w:lineRule="auto"/>
                    <w:rPr>
                      <w:i/>
                      <w:u w:val="single"/>
                    </w:rPr>
                  </w:pPr>
                  <w:r>
                    <w:rPr>
                      <w:i/>
                      <w:u w:val="single"/>
                    </w:rPr>
                    <w:t>Financieros</w:t>
                  </w:r>
                </w:p>
              </w:tc>
              <w:tc>
                <w:tcPr>
                  <w:tcW w:w="3379" w:type="dxa"/>
                </w:tcPr>
                <w:p w14:paraId="65AA9D95" w14:textId="77777777" w:rsidR="00EA697D" w:rsidRDefault="00EA697D" w:rsidP="0060250C">
                  <w:pPr>
                    <w:spacing w:line="360" w:lineRule="auto"/>
                    <w:rPr>
                      <w:i/>
                    </w:rPr>
                  </w:pPr>
                </w:p>
              </w:tc>
              <w:tc>
                <w:tcPr>
                  <w:tcW w:w="3379" w:type="dxa"/>
                </w:tcPr>
                <w:p w14:paraId="65AA9D96" w14:textId="77777777" w:rsidR="00EA697D" w:rsidRDefault="00EA697D" w:rsidP="0060250C">
                  <w:pPr>
                    <w:spacing w:line="360" w:lineRule="auto"/>
                    <w:rPr>
                      <w:i/>
                    </w:rPr>
                  </w:pPr>
                </w:p>
              </w:tc>
            </w:tr>
          </w:tbl>
          <w:p w14:paraId="65AA9D98" w14:textId="77777777" w:rsidR="00443E94" w:rsidRDefault="00443E94" w:rsidP="00A24134">
            <w:pPr>
              <w:rPr>
                <w:b/>
              </w:rPr>
            </w:pPr>
          </w:p>
        </w:tc>
      </w:tr>
    </w:tbl>
    <w:p w14:paraId="65AA9D9A" w14:textId="77777777" w:rsidR="008A6F73" w:rsidRDefault="008A6F73" w:rsidP="00A24134">
      <w:pPr>
        <w:rPr>
          <w:b/>
        </w:rPr>
      </w:pPr>
    </w:p>
    <w:p w14:paraId="65AA9D9B" w14:textId="77777777" w:rsidR="00EA50D0" w:rsidRDefault="002A1486" w:rsidP="00A24134">
      <w:pPr>
        <w:rPr>
          <w:b/>
          <w:sz w:val="24"/>
          <w:szCs w:val="24"/>
          <w:u w:val="single"/>
        </w:rPr>
      </w:pPr>
      <w:r>
        <w:rPr>
          <w:b/>
          <w:sz w:val="24"/>
          <w:u w:val="single"/>
        </w:rPr>
        <w:t>ANEXO</w:t>
      </w:r>
    </w:p>
    <w:p w14:paraId="65AA9D9C" w14:textId="77777777" w:rsidR="00103276" w:rsidRPr="00EA50D0" w:rsidRDefault="00103276" w:rsidP="00A24134">
      <w:pPr>
        <w:rPr>
          <w:b/>
          <w:sz w:val="24"/>
          <w:szCs w:val="24"/>
          <w:u w:val="single"/>
        </w:rPr>
      </w:pPr>
      <w:r>
        <w:rPr>
          <w:b/>
        </w:rPr>
        <w:t xml:space="preserve">ANEXO 1: TÉRMINOS DE REFERENCIA (TdR) </w:t>
      </w:r>
    </w:p>
    <w:p w14:paraId="7CBC7A41" w14:textId="17CA2EA2" w:rsidR="00D70702" w:rsidRDefault="00103276" w:rsidP="00103276">
      <w:pPr>
        <w:rPr>
          <w:b/>
        </w:rPr>
      </w:pPr>
      <w:r>
        <w:rPr>
          <w:b/>
        </w:rPr>
        <w:t xml:space="preserve">ANEXO 2: TÉRMINOS Y CONDICIONES GENERALES PARA EL CONSULTOR </w:t>
      </w:r>
      <w:r w:rsidR="00D57982">
        <w:rPr>
          <w:b/>
        </w:rPr>
        <w:t>INDIVIDUAL</w:t>
      </w:r>
      <w:r w:rsidR="00314E7C">
        <w:rPr>
          <w:b/>
        </w:rPr>
        <w:t xml:space="preserve"> (CI)</w:t>
      </w:r>
    </w:p>
    <w:p w14:paraId="65AA9D9D" w14:textId="426BB86B" w:rsidR="00103276" w:rsidRDefault="00D70702" w:rsidP="00D70702">
      <w:pPr>
        <w:rPr>
          <w:b/>
        </w:rPr>
      </w:pPr>
      <w:r>
        <w:rPr>
          <w:b/>
        </w:rPr>
        <w:t xml:space="preserve">ANEXO 3: CARTA DEL OFERENTE AL PNUD </w:t>
      </w:r>
      <w:r w:rsidRPr="00D70702">
        <w:rPr>
          <w:b/>
        </w:rPr>
        <w:t>CONFI</w:t>
      </w:r>
      <w:r>
        <w:rPr>
          <w:b/>
        </w:rPr>
        <w:t xml:space="preserve">RMANDO INTERÉS Y DISPONIBILIDAD </w:t>
      </w:r>
      <w:r w:rsidRPr="00D70702">
        <w:rPr>
          <w:b/>
        </w:rPr>
        <w:t>P</w:t>
      </w:r>
      <w:r w:rsidR="00314E7C">
        <w:rPr>
          <w:b/>
        </w:rPr>
        <w:t xml:space="preserve">ARA LA ASIGNACIÓN DE </w:t>
      </w:r>
      <w:r w:rsidR="00314E7C">
        <w:rPr>
          <w:b/>
        </w:rPr>
        <w:t>CONSULTOR</w:t>
      </w:r>
      <w:r w:rsidR="00314E7C">
        <w:rPr>
          <w:b/>
        </w:rPr>
        <w:t xml:space="preserve"> INDIVIDUAL </w:t>
      </w:r>
      <w:bookmarkStart w:id="0" w:name="_GoBack"/>
      <w:bookmarkEnd w:id="0"/>
    </w:p>
    <w:sectPr w:rsidR="00103276" w:rsidSect="00443E94">
      <w:pgSz w:w="12240" w:h="15840"/>
      <w:pgMar w:top="1440" w:right="1440" w:bottom="99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18BCD" w16cid:durableId="1FC20631"/>
  <w16cid:commentId w16cid:paraId="522EE6C2" w16cid:durableId="1FC2078C"/>
  <w16cid:commentId w16cid:paraId="2578BE29" w16cid:durableId="1FC208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BD1C3" w14:textId="77777777" w:rsidR="0012543C" w:rsidRDefault="0012543C" w:rsidP="00A24134">
      <w:pPr>
        <w:spacing w:after="0" w:line="240" w:lineRule="auto"/>
      </w:pPr>
      <w:r>
        <w:separator/>
      </w:r>
    </w:p>
  </w:endnote>
  <w:endnote w:type="continuationSeparator" w:id="0">
    <w:p w14:paraId="478EBAA3" w14:textId="77777777" w:rsidR="0012543C" w:rsidRDefault="0012543C"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C6868" w14:textId="77777777" w:rsidR="0012543C" w:rsidRDefault="0012543C" w:rsidP="00A24134">
      <w:pPr>
        <w:spacing w:after="0" w:line="240" w:lineRule="auto"/>
      </w:pPr>
      <w:r>
        <w:separator/>
      </w:r>
    </w:p>
  </w:footnote>
  <w:footnote w:type="continuationSeparator" w:id="0">
    <w:p w14:paraId="171259EA" w14:textId="77777777" w:rsidR="0012543C" w:rsidRDefault="0012543C" w:rsidP="00A24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in;height:3in" o:bullet="t"/>
    </w:pict>
  </w:numPicBullet>
  <w:numPicBullet w:numPicBulletId="1">
    <w:pict>
      <v:shape id="_x0000_i1093" type="#_x0000_t75" style="width:3in;height:3in" o:bullet="t"/>
    </w:pict>
  </w:numPicBullet>
  <w:numPicBullet w:numPicBulletId="2">
    <w:pict>
      <v:shape id="_x0000_i1094" type="#_x0000_t75" style="width:5.25pt;height:5.25pt" o:bullet="t">
        <v:imagedata r:id="rId1" o:title="bullet"/>
      </v:shape>
    </w:pict>
  </w:numPicBullet>
  <w:abstractNum w:abstractNumId="0" w15:restartNumberingAfterBreak="0">
    <w:nsid w:val="0087789D"/>
    <w:multiLevelType w:val="hybridMultilevel"/>
    <w:tmpl w:val="47060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147BF6"/>
    <w:multiLevelType w:val="hybridMultilevel"/>
    <w:tmpl w:val="64B8627A"/>
    <w:lvl w:ilvl="0" w:tplc="E9342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3F0B"/>
    <w:multiLevelType w:val="hybridMultilevel"/>
    <w:tmpl w:val="0D1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A2F88"/>
    <w:multiLevelType w:val="multilevel"/>
    <w:tmpl w:val="612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B116B"/>
    <w:multiLevelType w:val="hybridMultilevel"/>
    <w:tmpl w:val="736C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E6E19"/>
    <w:multiLevelType w:val="multilevel"/>
    <w:tmpl w:val="22F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22"/>
    <w:rsid w:val="0001012F"/>
    <w:rsid w:val="00057DA8"/>
    <w:rsid w:val="000844A6"/>
    <w:rsid w:val="00086485"/>
    <w:rsid w:val="000964DE"/>
    <w:rsid w:val="000E2C6B"/>
    <w:rsid w:val="000E45E5"/>
    <w:rsid w:val="00103276"/>
    <w:rsid w:val="0012543C"/>
    <w:rsid w:val="00134A66"/>
    <w:rsid w:val="001473B3"/>
    <w:rsid w:val="001701A1"/>
    <w:rsid w:val="0017257B"/>
    <w:rsid w:val="00180DF8"/>
    <w:rsid w:val="001A0DCE"/>
    <w:rsid w:val="001E30BA"/>
    <w:rsid w:val="002223E0"/>
    <w:rsid w:val="00274BA0"/>
    <w:rsid w:val="00290B0C"/>
    <w:rsid w:val="002A1486"/>
    <w:rsid w:val="002B197A"/>
    <w:rsid w:val="002F799A"/>
    <w:rsid w:val="00314E7C"/>
    <w:rsid w:val="0033411B"/>
    <w:rsid w:val="003754C3"/>
    <w:rsid w:val="003812A9"/>
    <w:rsid w:val="003836C0"/>
    <w:rsid w:val="003A22D4"/>
    <w:rsid w:val="003B0C3C"/>
    <w:rsid w:val="003F0258"/>
    <w:rsid w:val="00432027"/>
    <w:rsid w:val="00440ECE"/>
    <w:rsid w:val="00443E94"/>
    <w:rsid w:val="004758AA"/>
    <w:rsid w:val="004A2B79"/>
    <w:rsid w:val="004D3F24"/>
    <w:rsid w:val="005B01D5"/>
    <w:rsid w:val="005B038A"/>
    <w:rsid w:val="005F1B65"/>
    <w:rsid w:val="0063524A"/>
    <w:rsid w:val="0065710B"/>
    <w:rsid w:val="00676AD5"/>
    <w:rsid w:val="006C491D"/>
    <w:rsid w:val="006E1090"/>
    <w:rsid w:val="00733FC6"/>
    <w:rsid w:val="007354EA"/>
    <w:rsid w:val="007650C2"/>
    <w:rsid w:val="007C4235"/>
    <w:rsid w:val="007C506C"/>
    <w:rsid w:val="007D382E"/>
    <w:rsid w:val="007D726E"/>
    <w:rsid w:val="007E4F76"/>
    <w:rsid w:val="007F120E"/>
    <w:rsid w:val="007F7532"/>
    <w:rsid w:val="00810FC3"/>
    <w:rsid w:val="00816B78"/>
    <w:rsid w:val="00834D1A"/>
    <w:rsid w:val="0083711D"/>
    <w:rsid w:val="00837F09"/>
    <w:rsid w:val="00882780"/>
    <w:rsid w:val="008A0260"/>
    <w:rsid w:val="008A4E69"/>
    <w:rsid w:val="008A6F73"/>
    <w:rsid w:val="008B33D2"/>
    <w:rsid w:val="008E21EC"/>
    <w:rsid w:val="00944F40"/>
    <w:rsid w:val="0094779C"/>
    <w:rsid w:val="009723CE"/>
    <w:rsid w:val="0098274B"/>
    <w:rsid w:val="009912B9"/>
    <w:rsid w:val="00993E07"/>
    <w:rsid w:val="009E2B22"/>
    <w:rsid w:val="00A030A0"/>
    <w:rsid w:val="00A24134"/>
    <w:rsid w:val="00A6756E"/>
    <w:rsid w:val="00A83454"/>
    <w:rsid w:val="00A84AEE"/>
    <w:rsid w:val="00AA4872"/>
    <w:rsid w:val="00AA76B6"/>
    <w:rsid w:val="00AC6F4C"/>
    <w:rsid w:val="00AF3C0C"/>
    <w:rsid w:val="00AF6929"/>
    <w:rsid w:val="00B2445F"/>
    <w:rsid w:val="00B438A3"/>
    <w:rsid w:val="00B60FD8"/>
    <w:rsid w:val="00B879BD"/>
    <w:rsid w:val="00C22E07"/>
    <w:rsid w:val="00C62F49"/>
    <w:rsid w:val="00C64099"/>
    <w:rsid w:val="00CF522C"/>
    <w:rsid w:val="00D17475"/>
    <w:rsid w:val="00D2659A"/>
    <w:rsid w:val="00D57982"/>
    <w:rsid w:val="00D70702"/>
    <w:rsid w:val="00D92FCE"/>
    <w:rsid w:val="00DA646F"/>
    <w:rsid w:val="00DB0EB6"/>
    <w:rsid w:val="00DB77DD"/>
    <w:rsid w:val="00DB7F57"/>
    <w:rsid w:val="00DD3BA3"/>
    <w:rsid w:val="00DE1432"/>
    <w:rsid w:val="00E256E1"/>
    <w:rsid w:val="00E430E5"/>
    <w:rsid w:val="00E56341"/>
    <w:rsid w:val="00E568C8"/>
    <w:rsid w:val="00E7210D"/>
    <w:rsid w:val="00E8310E"/>
    <w:rsid w:val="00E86DAF"/>
    <w:rsid w:val="00E90323"/>
    <w:rsid w:val="00E94857"/>
    <w:rsid w:val="00E97436"/>
    <w:rsid w:val="00EA50D0"/>
    <w:rsid w:val="00EA697D"/>
    <w:rsid w:val="00ED649B"/>
    <w:rsid w:val="00EE7504"/>
    <w:rsid w:val="00F23232"/>
    <w:rsid w:val="00F40EEB"/>
    <w:rsid w:val="00F662A3"/>
    <w:rsid w:val="00F7753E"/>
    <w:rsid w:val="00F9130D"/>
    <w:rsid w:val="00F918E6"/>
    <w:rsid w:val="00FE7C9D"/>
    <w:rsid w:val="00FF0CD6"/>
    <w:rsid w:val="00F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9D24"/>
  <w15:docId w15:val="{1F8DC11D-9E88-4BF5-B187-14DA3CE6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semiHidden/>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134"/>
  </w:style>
  <w:style w:type="paragraph" w:styleId="Footer">
    <w:name w:val="footer"/>
    <w:basedOn w:val="Normal"/>
    <w:link w:val="FooterChar"/>
    <w:uiPriority w:val="99"/>
    <w:semiHidden/>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4134"/>
  </w:style>
  <w:style w:type="paragraph" w:styleId="ListParagraph">
    <w:name w:val="List Paragraph"/>
    <w:basedOn w:val="Normal"/>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CommentReference">
    <w:name w:val="annotation reference"/>
    <w:basedOn w:val="DefaultParagraphFont"/>
    <w:uiPriority w:val="99"/>
    <w:semiHidden/>
    <w:unhideWhenUsed/>
    <w:rsid w:val="00F918E6"/>
    <w:rPr>
      <w:sz w:val="16"/>
      <w:szCs w:val="16"/>
    </w:rPr>
  </w:style>
  <w:style w:type="paragraph" w:styleId="CommentText">
    <w:name w:val="annotation text"/>
    <w:basedOn w:val="Normal"/>
    <w:link w:val="CommentTextChar"/>
    <w:uiPriority w:val="99"/>
    <w:semiHidden/>
    <w:unhideWhenUsed/>
    <w:rsid w:val="00F918E6"/>
    <w:pPr>
      <w:spacing w:line="240" w:lineRule="auto"/>
    </w:pPr>
    <w:rPr>
      <w:sz w:val="20"/>
      <w:szCs w:val="20"/>
    </w:rPr>
  </w:style>
  <w:style w:type="character" w:customStyle="1" w:styleId="CommentTextChar">
    <w:name w:val="Comment Text Char"/>
    <w:basedOn w:val="DefaultParagraphFont"/>
    <w:link w:val="CommentText"/>
    <w:uiPriority w:val="99"/>
    <w:semiHidden/>
    <w:rsid w:val="00F918E6"/>
    <w:rPr>
      <w:sz w:val="20"/>
      <w:szCs w:val="20"/>
    </w:rPr>
  </w:style>
  <w:style w:type="paragraph" w:styleId="CommentSubject">
    <w:name w:val="annotation subject"/>
    <w:basedOn w:val="CommentText"/>
    <w:next w:val="CommentText"/>
    <w:link w:val="CommentSubjectChar"/>
    <w:uiPriority w:val="99"/>
    <w:semiHidden/>
    <w:unhideWhenUsed/>
    <w:rsid w:val="00F918E6"/>
    <w:rPr>
      <w:b/>
      <w:bCs/>
    </w:rPr>
  </w:style>
  <w:style w:type="character" w:customStyle="1" w:styleId="CommentSubjectChar">
    <w:name w:val="Comment Subject Char"/>
    <w:basedOn w:val="CommentTextChar"/>
    <w:link w:val="CommentSubject"/>
    <w:uiPriority w:val="99"/>
    <w:semiHidden/>
    <w:rsid w:val="00F918E6"/>
    <w:rPr>
      <w:b/>
      <w:bCs/>
      <w:sz w:val="20"/>
      <w:szCs w:val="20"/>
    </w:rPr>
  </w:style>
  <w:style w:type="character" w:styleId="Hyperlink">
    <w:name w:val="Hyperlink"/>
    <w:basedOn w:val="DefaultParagraphFont"/>
    <w:uiPriority w:val="99"/>
    <w:unhideWhenUsed/>
    <w:rsid w:val="00086485"/>
    <w:rPr>
      <w:color w:val="0000FF" w:themeColor="hyperlink"/>
      <w:u w:val="single"/>
    </w:rPr>
  </w:style>
  <w:style w:type="paragraph" w:styleId="NormalWeb">
    <w:name w:val="Normal (Web)"/>
    <w:basedOn w:val="Normal"/>
    <w:uiPriority w:val="99"/>
    <w:semiHidden/>
    <w:unhideWhenUsed/>
    <w:rsid w:val="00EE7504"/>
    <w:pPr>
      <w:spacing w:before="100" w:beforeAutospacing="1" w:after="100" w:afterAutospacing="1" w:line="240" w:lineRule="auto"/>
    </w:pPr>
    <w:rPr>
      <w:rFonts w:ascii="Times New Roman" w:eastAsia="Times New Roman" w:hAnsi="Times New Roman" w:cs="Times New Roman"/>
      <w:sz w:val="24"/>
      <w:szCs w:val="24"/>
      <w:lang w:val="es-419" w:eastAsia="es-419"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35736">
      <w:bodyDiv w:val="1"/>
      <w:marLeft w:val="0"/>
      <w:marRight w:val="0"/>
      <w:marTop w:val="0"/>
      <w:marBottom w:val="0"/>
      <w:divBdr>
        <w:top w:val="none" w:sz="0" w:space="0" w:color="auto"/>
        <w:left w:val="none" w:sz="0" w:space="0" w:color="auto"/>
        <w:bottom w:val="none" w:sz="0" w:space="0" w:color="auto"/>
        <w:right w:val="none" w:sz="0" w:space="0" w:color="auto"/>
      </w:divBdr>
    </w:div>
    <w:div w:id="19645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UNITBMS-1904581467-186</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Modelo de aviso de adjudicación de consultor individual</UNDP_POPP_TITLE_EN>
    <_dlc_DocIdUrl xmlns="8264c5cc-ec60-4b56-8111-ce635d3d139a">
      <Url>https://intranet.undp.org/unit/bms/dir/internal/init_popp/_layouts/15/DocIdRedir.aspx?ID=UNITBMS-1904581467-186</Url>
      <Description>UNITBMS-1904581467-186</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1</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 ds:uri="39c2ef4d-a13e-4025-8c8a-679686bde336"/>
    <ds:schemaRef ds:uri="1ed4137b-41b2-488b-8250-6d369ec27664"/>
    <ds:schemaRef ds:uri="http://schemas.microsoft.com/sharepoint/v3/fields"/>
  </ds:schemaRefs>
</ds:datastoreItem>
</file>

<file path=customXml/itemProps2.xml><?xml version="1.0" encoding="utf-8"?>
<ds:datastoreItem xmlns:ds="http://schemas.openxmlformats.org/officeDocument/2006/customXml" ds:itemID="{BD12C50F-7881-429C-A7E5-CC129CC1F5EA}">
  <ds:schemaRefs>
    <ds:schemaRef ds:uri="http://schemas.microsoft.com/sharepoint/events"/>
  </ds:schemaRefs>
</ds:datastoreItem>
</file>

<file path=customXml/itemProps3.xml><?xml version="1.0" encoding="utf-8"?>
<ds:datastoreItem xmlns:ds="http://schemas.openxmlformats.org/officeDocument/2006/customXml" ds:itemID="{F39AB988-3A49-4D70-96BC-5485D924BDFD}"/>
</file>

<file path=customXml/itemProps4.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5.xml><?xml version="1.0" encoding="utf-8"?>
<ds:datastoreItem xmlns:ds="http://schemas.openxmlformats.org/officeDocument/2006/customXml" ds:itemID="{A91B7DA6-B861-493E-AE9B-ADC8AF3B6490}">
  <ds:schemaRefs>
    <ds:schemaRef ds:uri="http://schemas.openxmlformats.org/officeDocument/2006/bibliography"/>
  </ds:schemaRefs>
</ds:datastoreItem>
</file>

<file path=customXml/itemProps6.xml><?xml version="1.0" encoding="utf-8"?>
<ds:datastoreItem xmlns:ds="http://schemas.openxmlformats.org/officeDocument/2006/customXml" ds:itemID="{D390C1A4-FC32-4278-A182-1F2B5EAC532B}"/>
</file>

<file path=docProps/app.xml><?xml version="1.0" encoding="utf-8"?>
<Properties xmlns="http://schemas.openxmlformats.org/officeDocument/2006/extended-properties" xmlns:vt="http://schemas.openxmlformats.org/officeDocument/2006/docPropsVTypes">
  <Template>Normal.dotm</Template>
  <TotalTime>1</TotalTime>
  <Pages>1</Pages>
  <Words>1092</Words>
  <Characters>6226</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subject/>
  <dc:creator>alvaro.meseguer</dc:creator>
  <cp:lastModifiedBy>Jane Ashley Gagne</cp:lastModifiedBy>
  <cp:revision>2</cp:revision>
  <cp:lastPrinted>2011-03-24T14:16:00Z</cp:lastPrinted>
  <dcterms:created xsi:type="dcterms:W3CDTF">2019-07-02T17:08:00Z</dcterms:created>
  <dcterms:modified xsi:type="dcterms:W3CDTF">2019-07-02T17:08:00Z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fa17c946-4882-4332-bb82-47acf7f2aa97</vt:lpwstr>
  </property>
  <property fmtid="{D5CDD505-2E9C-101B-9397-08002B2CF9AE}" pid="4" name="UNDPPOPPKeywords">
    <vt:lpwstr>486;#individual contract|32cb919c-0897-4bde-a59e-6f9da1d2ae56</vt:lpwstr>
  </property>
  <property fmtid="{D5CDD505-2E9C-101B-9397-08002B2CF9AE}" pid="5" name="_dlc_DocId">
    <vt:lpwstr>UNDPGBL-604-31</vt:lpwstr>
  </property>
  <property fmtid="{D5CDD505-2E9C-101B-9397-08002B2CF9AE}" pid="6" name="_dlc_DocIdUrl">
    <vt:lpwstr>https://intranet.undp.org/global/documents/_layouts/DocIdRedir.aspx?ID=UNDPGBL-604-31, UNDPGBL-604-31</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DPFocusAreas">
    <vt:lpwstr/>
  </property>
  <property fmtid="{D5CDD505-2E9C-101B-9397-08002B2CF9AE}" pid="13" name="UN Languages">
    <vt:lpwstr/>
  </property>
  <property fmtid="{D5CDD505-2E9C-101B-9397-08002B2CF9AE}" pid="14" name="UndpUnitMM">
    <vt:lpwstr/>
  </property>
  <property fmtid="{D5CDD505-2E9C-101B-9397-08002B2CF9AE}" pid="15" name="eRegFilingCodeMM">
    <vt:lpwstr/>
  </property>
  <property fmtid="{D5CDD505-2E9C-101B-9397-08002B2CF9AE}" pid="16" name="UNDP_POPP_BUSINESSPROCESS_HIDDEN">
    <vt:lpwstr/>
  </property>
  <property fmtid="{D5CDD505-2E9C-101B-9397-08002B2CF9AE}" pid="17" name="l0e6ef0c43e74560bd7f3acd1f5e8571">
    <vt:lpwstr>Procurement|254a9f96-b883-476a-8ef8-e81f93a2b38d</vt:lpwstr>
  </property>
  <property fmtid="{D5CDD505-2E9C-101B-9397-08002B2CF9AE}" pid="18" name="Location">
    <vt:lpwstr>Public</vt:lpwstr>
  </property>
  <property fmtid="{D5CDD505-2E9C-101B-9397-08002B2CF9AE}" pid="26" name="UndpDocStatus">
    <vt:lpwstr>Draft</vt:lpwstr>
  </property>
  <property fmtid="{D5CDD505-2E9C-101B-9397-08002B2CF9AE}" pid="30" name="UndpClassificationLevel">
    <vt:lpwstr>Internal Use Only</vt:lpwstr>
  </property>
  <property fmtid="{D5CDD505-2E9C-101B-9397-08002B2CF9AE}" pid="31" name="UndpIsTemplate">
    <vt:lpwstr>No</vt:lpwstr>
  </property>
</Properties>
</file>