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9BD80" w14:textId="77777777" w:rsidR="00542197" w:rsidRPr="005920B6" w:rsidRDefault="00542197" w:rsidP="00542197">
      <w:pPr>
        <w:spacing w:after="0" w:line="240" w:lineRule="auto"/>
        <w:jc w:val="center"/>
        <w:rPr>
          <w:rFonts w:cstheme="minorHAnsi"/>
          <w:b/>
          <w:sz w:val="24"/>
          <w:szCs w:val="24"/>
          <w:lang w:val="en-GB"/>
        </w:rPr>
      </w:pPr>
      <w:r w:rsidRPr="005920B6">
        <w:rPr>
          <w:rFonts w:cstheme="minorHAnsi"/>
          <w:b/>
          <w:sz w:val="24"/>
          <w:szCs w:val="24"/>
          <w:lang w:val="en-GB"/>
        </w:rPr>
        <w:t>IPSAS COMBINED DELIVERY REPORT</w:t>
      </w:r>
    </w:p>
    <w:p w14:paraId="2EC782A9" w14:textId="77777777" w:rsidR="00542197" w:rsidRPr="005920B6" w:rsidRDefault="00542197" w:rsidP="00542197">
      <w:pPr>
        <w:pStyle w:val="CommentText"/>
        <w:spacing w:after="0"/>
        <w:rPr>
          <w:rFonts w:cstheme="minorHAnsi"/>
          <w:sz w:val="24"/>
          <w:szCs w:val="24"/>
          <w:lang w:val="en-GB"/>
        </w:rPr>
      </w:pPr>
    </w:p>
    <w:p w14:paraId="36EC58D9" w14:textId="77777777" w:rsidR="00542197" w:rsidRPr="005920B6" w:rsidRDefault="00542197" w:rsidP="00542197">
      <w:pPr>
        <w:pStyle w:val="CommentText"/>
        <w:spacing w:after="0"/>
        <w:jc w:val="both"/>
        <w:rPr>
          <w:rFonts w:cstheme="minorHAnsi"/>
          <w:sz w:val="24"/>
          <w:szCs w:val="24"/>
          <w:lang w:val="en-GB"/>
        </w:rPr>
      </w:pPr>
      <w:r w:rsidRPr="005920B6">
        <w:rPr>
          <w:rFonts w:cstheme="minorHAnsi"/>
          <w:sz w:val="24"/>
          <w:szCs w:val="24"/>
          <w:lang w:val="en-GB"/>
        </w:rPr>
        <w:t xml:space="preserve">The adoption of the International Public Sector Accounting Standards (IPSAS) by the United Nations Development Programme (UNDP) will take place on 1 January 2012.  This accounting policy change will alter the way UNDP </w:t>
      </w:r>
      <w:bookmarkStart w:id="0" w:name="_GoBack"/>
      <w:bookmarkEnd w:id="0"/>
      <w:r w:rsidRPr="005920B6">
        <w:rPr>
          <w:rFonts w:cstheme="minorHAnsi"/>
          <w:sz w:val="24"/>
          <w:szCs w:val="24"/>
          <w:lang w:val="en-GB"/>
        </w:rPr>
        <w:t>recognises expenses in the Combined Delivery Report (CDR), from 2012 onward, as outlined below. Please also refer to the template of the new CDR further below.</w:t>
      </w:r>
    </w:p>
    <w:p w14:paraId="2419534D" w14:textId="77777777" w:rsidR="00542197" w:rsidRPr="005920B6" w:rsidRDefault="00542197" w:rsidP="00542197">
      <w:pPr>
        <w:pStyle w:val="CommentText"/>
        <w:spacing w:after="0"/>
        <w:jc w:val="both"/>
        <w:rPr>
          <w:rFonts w:cstheme="minorHAnsi"/>
          <w:sz w:val="24"/>
          <w:szCs w:val="24"/>
          <w:lang w:val="en-GB"/>
        </w:rPr>
      </w:pPr>
    </w:p>
    <w:p w14:paraId="7A9D7BF9" w14:textId="77777777" w:rsidR="00542197" w:rsidRPr="005920B6" w:rsidRDefault="00542197" w:rsidP="00542197">
      <w:pPr>
        <w:pStyle w:val="CommentText"/>
        <w:spacing w:after="0"/>
        <w:jc w:val="both"/>
        <w:rPr>
          <w:rFonts w:cstheme="minorHAnsi"/>
          <w:color w:val="000000" w:themeColor="text1"/>
          <w:sz w:val="24"/>
          <w:szCs w:val="24"/>
          <w:lang w:val="en-GB"/>
        </w:rPr>
      </w:pPr>
      <w:r w:rsidRPr="005920B6">
        <w:rPr>
          <w:rFonts w:cstheme="minorHAnsi"/>
          <w:sz w:val="24"/>
          <w:szCs w:val="24"/>
          <w:lang w:val="en-GB"/>
        </w:rPr>
        <w:t xml:space="preserve">UNDP’s </w:t>
      </w:r>
      <w:r w:rsidRPr="005920B6">
        <w:rPr>
          <w:rFonts w:cstheme="minorHAnsi"/>
          <w:color w:val="000000" w:themeColor="text1"/>
          <w:sz w:val="24"/>
          <w:szCs w:val="24"/>
          <w:lang w:val="en-GB"/>
        </w:rPr>
        <w:t xml:space="preserve">CDR </w:t>
      </w:r>
      <w:r w:rsidRPr="005920B6">
        <w:rPr>
          <w:rFonts w:cstheme="minorHAnsi"/>
          <w:sz w:val="24"/>
          <w:szCs w:val="24"/>
          <w:lang w:val="en-GB"/>
        </w:rPr>
        <w:t>under the United Nations System Accounting Standard (UNSAS),</w:t>
      </w:r>
      <w:r w:rsidRPr="005920B6">
        <w:rPr>
          <w:rFonts w:cstheme="minorHAnsi"/>
          <w:color w:val="000000" w:themeColor="text1"/>
          <w:sz w:val="24"/>
          <w:szCs w:val="24"/>
          <w:lang w:val="en-GB"/>
        </w:rPr>
        <w:t xml:space="preserve"> reflects expenditure based on disbursements and commitments.  IPSAS CDR, however, will present expenses, (formerly expenditure) that reflect costs related to goods delivered and services rendered.  Unlike UNSAS, commitments (purchase orders) will not form part of the project expenses under IPSAS. </w:t>
      </w:r>
    </w:p>
    <w:p w14:paraId="06A9F8D8" w14:textId="77777777" w:rsidR="00542197" w:rsidRPr="005920B6" w:rsidRDefault="00542197" w:rsidP="00542197">
      <w:pPr>
        <w:pStyle w:val="CommentText"/>
        <w:spacing w:after="0"/>
        <w:jc w:val="both"/>
        <w:rPr>
          <w:rFonts w:cstheme="minorHAnsi"/>
          <w:color w:val="000000" w:themeColor="text1"/>
          <w:sz w:val="24"/>
          <w:szCs w:val="24"/>
          <w:lang w:val="en-GB"/>
        </w:rPr>
      </w:pPr>
    </w:p>
    <w:p w14:paraId="41BC33D6" w14:textId="77777777" w:rsidR="00542197" w:rsidRPr="005920B6" w:rsidRDefault="00542197" w:rsidP="00542197">
      <w:pPr>
        <w:spacing w:after="0" w:line="240" w:lineRule="auto"/>
        <w:jc w:val="both"/>
        <w:rPr>
          <w:color w:val="548DD4" w:themeColor="text2" w:themeTint="99"/>
          <w:lang w:val="en-GB"/>
        </w:rPr>
      </w:pPr>
      <w:r w:rsidRPr="005920B6">
        <w:rPr>
          <w:rFonts w:cstheme="minorHAnsi"/>
          <w:color w:val="000000" w:themeColor="text1"/>
          <w:sz w:val="24"/>
          <w:szCs w:val="24"/>
          <w:lang w:val="en-GB"/>
        </w:rPr>
        <w:t>IPSAS also requires UNDP to record fixed assets (property, plant and equipment and intangibles) purchased for use in projects, spreading their costs over their useful life, instead of charging the full amount to the project in the year of purchase. As a result, expenses in the CDR for each reporting period will include only a portion (i.e., depreciation and amortization) of the total cost of an asset(s) until it is completely depreciated or amortized.  In addition, all inventory items (goods and materials produced for distribution, within projects) will be recorded as expenses only when they are consumed or distributed.</w:t>
      </w:r>
    </w:p>
    <w:p w14:paraId="6C1D6983" w14:textId="77777777" w:rsidR="00542197" w:rsidRPr="005920B6" w:rsidRDefault="00542197" w:rsidP="00542197">
      <w:pPr>
        <w:spacing w:after="0" w:line="240" w:lineRule="auto"/>
        <w:jc w:val="both"/>
        <w:rPr>
          <w:color w:val="548DD4" w:themeColor="text2" w:themeTint="99"/>
          <w:lang w:val="en-GB"/>
        </w:rPr>
      </w:pPr>
    </w:p>
    <w:p w14:paraId="3F65BF73" w14:textId="77777777" w:rsidR="00542197" w:rsidRPr="005920B6" w:rsidRDefault="00542197" w:rsidP="00542197">
      <w:pPr>
        <w:spacing w:after="0" w:line="240" w:lineRule="auto"/>
        <w:ind w:right="-90"/>
        <w:jc w:val="both"/>
        <w:rPr>
          <w:rFonts w:cstheme="minorHAnsi"/>
          <w:color w:val="000000" w:themeColor="text1"/>
          <w:sz w:val="24"/>
          <w:szCs w:val="24"/>
          <w:lang w:val="en-GB"/>
        </w:rPr>
      </w:pPr>
      <w:r w:rsidRPr="005920B6">
        <w:rPr>
          <w:rFonts w:cstheme="minorHAnsi"/>
          <w:color w:val="000000" w:themeColor="text1"/>
          <w:sz w:val="24"/>
          <w:szCs w:val="24"/>
          <w:lang w:val="en-GB"/>
        </w:rPr>
        <w:t>In addition, UNDP will introduce a “Funds Utilisation” page that will show outstanding NEX advances, un-depreciated fixed assets, unamortized intangibles, inventory, prepayments, and commitments of projects. (See Page 2)</w:t>
      </w:r>
    </w:p>
    <w:p w14:paraId="3D6E782B" w14:textId="77777777" w:rsidR="00542197" w:rsidRPr="005920B6" w:rsidRDefault="00542197" w:rsidP="00542197">
      <w:pPr>
        <w:spacing w:after="0" w:line="240" w:lineRule="auto"/>
        <w:jc w:val="both"/>
        <w:rPr>
          <w:rFonts w:cstheme="minorHAnsi"/>
          <w:sz w:val="24"/>
          <w:szCs w:val="24"/>
          <w:lang w:val="en-GB"/>
        </w:rPr>
      </w:pPr>
    </w:p>
    <w:p w14:paraId="5204D7D8" w14:textId="77777777" w:rsidR="00542197" w:rsidRPr="005920B6" w:rsidRDefault="00542197" w:rsidP="00542197">
      <w:pPr>
        <w:spacing w:after="0" w:line="240" w:lineRule="auto"/>
        <w:jc w:val="both"/>
        <w:rPr>
          <w:rFonts w:cstheme="minorHAnsi"/>
          <w:b/>
          <w:sz w:val="24"/>
          <w:szCs w:val="24"/>
          <w:lang w:val="en-GB"/>
        </w:rPr>
      </w:pPr>
    </w:p>
    <w:p w14:paraId="1ED96B96" w14:textId="77777777" w:rsidR="00542197" w:rsidRPr="005920B6" w:rsidRDefault="00542197" w:rsidP="00542197">
      <w:pPr>
        <w:spacing w:after="0" w:line="240" w:lineRule="auto"/>
        <w:jc w:val="both"/>
        <w:rPr>
          <w:rFonts w:cstheme="minorHAnsi"/>
          <w:i/>
          <w:sz w:val="24"/>
          <w:szCs w:val="24"/>
          <w:u w:val="single"/>
          <w:lang w:val="en-GB"/>
        </w:rPr>
      </w:pPr>
      <w:r w:rsidRPr="005920B6">
        <w:rPr>
          <w:rFonts w:cstheme="minorHAnsi"/>
          <w:b/>
          <w:sz w:val="24"/>
          <w:szCs w:val="24"/>
          <w:lang w:val="en-GB"/>
        </w:rPr>
        <w:t>Combined Delivery Report (including the Executive CDR)</w:t>
      </w:r>
    </w:p>
    <w:p w14:paraId="16012579" w14:textId="77777777" w:rsidR="00542197" w:rsidRPr="005920B6" w:rsidRDefault="00542197" w:rsidP="00542197">
      <w:pPr>
        <w:spacing w:after="0" w:line="240" w:lineRule="auto"/>
        <w:jc w:val="both"/>
        <w:rPr>
          <w:rFonts w:cstheme="minorHAnsi"/>
          <w:sz w:val="24"/>
          <w:szCs w:val="24"/>
          <w:lang w:val="en-GB"/>
        </w:rPr>
      </w:pPr>
      <w:r w:rsidRPr="005920B6">
        <w:rPr>
          <w:rFonts w:cstheme="minorHAnsi"/>
          <w:i/>
          <w:sz w:val="24"/>
          <w:szCs w:val="24"/>
          <w:u w:val="single"/>
          <w:lang w:val="en-GB"/>
        </w:rPr>
        <w:t>Government Expenses</w:t>
      </w:r>
      <w:r w:rsidRPr="005920B6">
        <w:rPr>
          <w:rFonts w:cstheme="minorHAnsi"/>
          <w:i/>
          <w:sz w:val="24"/>
          <w:szCs w:val="24"/>
          <w:lang w:val="en-GB"/>
        </w:rPr>
        <w:t xml:space="preserve"> - </w:t>
      </w:r>
      <w:r w:rsidRPr="005920B6">
        <w:rPr>
          <w:rFonts w:cstheme="minorHAnsi"/>
          <w:sz w:val="24"/>
          <w:szCs w:val="24"/>
          <w:lang w:val="en-GB"/>
        </w:rPr>
        <w:t>Continues to reflect the total disbursements by the implementing partner as reported on the Financial Report (for non-harmonised country programme) or Funding Authorization and Certification of Expenditure (FACE) (for harmonised-country programme).  This column will be unchanged.</w:t>
      </w:r>
    </w:p>
    <w:p w14:paraId="45074D7A" w14:textId="77777777" w:rsidR="00542197" w:rsidRPr="005920B6" w:rsidRDefault="00542197" w:rsidP="00542197">
      <w:pPr>
        <w:spacing w:after="0" w:line="240" w:lineRule="auto"/>
        <w:jc w:val="both"/>
        <w:rPr>
          <w:rFonts w:cstheme="minorHAnsi"/>
          <w:i/>
          <w:sz w:val="24"/>
          <w:szCs w:val="24"/>
          <w:u w:val="single"/>
          <w:lang w:val="en-GB"/>
        </w:rPr>
      </w:pPr>
    </w:p>
    <w:p w14:paraId="443415D7" w14:textId="77777777" w:rsidR="00542197" w:rsidRPr="005920B6" w:rsidRDefault="00542197" w:rsidP="00542197">
      <w:pPr>
        <w:spacing w:after="0" w:line="240" w:lineRule="auto"/>
        <w:jc w:val="both"/>
        <w:rPr>
          <w:rFonts w:cstheme="minorHAnsi"/>
          <w:sz w:val="24"/>
          <w:szCs w:val="24"/>
          <w:lang w:val="en-GB"/>
        </w:rPr>
      </w:pPr>
      <w:r w:rsidRPr="005920B6">
        <w:rPr>
          <w:rFonts w:cstheme="minorHAnsi"/>
          <w:i/>
          <w:sz w:val="24"/>
          <w:szCs w:val="24"/>
          <w:u w:val="single"/>
          <w:lang w:val="en-GB"/>
        </w:rPr>
        <w:t>UNDP Expenses</w:t>
      </w:r>
      <w:r w:rsidRPr="005920B6">
        <w:rPr>
          <w:rFonts w:cstheme="minorHAnsi"/>
          <w:sz w:val="24"/>
          <w:szCs w:val="24"/>
          <w:lang w:val="en-GB"/>
        </w:rPr>
        <w:t xml:space="preserve"> - Displays expenses</w:t>
      </w:r>
      <w:r w:rsidRPr="005920B6">
        <w:rPr>
          <w:rFonts w:cstheme="minorHAnsi"/>
          <w:b/>
          <w:sz w:val="24"/>
          <w:szCs w:val="24"/>
          <w:lang w:val="en-GB"/>
        </w:rPr>
        <w:t xml:space="preserve"> </w:t>
      </w:r>
      <w:r w:rsidRPr="005920B6">
        <w:rPr>
          <w:rFonts w:cstheme="minorHAnsi"/>
          <w:sz w:val="24"/>
          <w:szCs w:val="24"/>
          <w:lang w:val="en-GB"/>
        </w:rPr>
        <w:t xml:space="preserve">directly incurred by UNDP on behalf of the project, either through direct support for nationally executed projects or direct implementation.  It will include cost of goods delivered, services rendered, total employee benefits, depreciation and amortization of fixed assets.  The UNSAS report showed </w:t>
      </w:r>
      <w:r w:rsidRPr="005920B6">
        <w:rPr>
          <w:rFonts w:cstheme="minorHAnsi"/>
          <w:bCs/>
          <w:sz w:val="24"/>
          <w:szCs w:val="24"/>
          <w:lang w:val="en-GB"/>
        </w:rPr>
        <w:t>disbursements and committed expenditure</w:t>
      </w:r>
      <w:r w:rsidRPr="005920B6">
        <w:rPr>
          <w:rFonts w:cstheme="minorHAnsi"/>
          <w:sz w:val="24"/>
          <w:szCs w:val="24"/>
          <w:lang w:val="en-GB"/>
        </w:rPr>
        <w:t xml:space="preserve"> as a single figure, whereas in the IPSAS report </w:t>
      </w:r>
      <w:r w:rsidRPr="005920B6">
        <w:rPr>
          <w:rFonts w:cstheme="minorHAnsi"/>
          <w:color w:val="000000" w:themeColor="text1"/>
          <w:sz w:val="24"/>
          <w:szCs w:val="24"/>
          <w:lang w:val="en-GB"/>
        </w:rPr>
        <w:t>commitments (purchase orders) will not form part of the project expenses. Furthermore, u</w:t>
      </w:r>
      <w:r w:rsidRPr="005920B6">
        <w:rPr>
          <w:rFonts w:cstheme="minorHAnsi"/>
          <w:sz w:val="24"/>
          <w:szCs w:val="24"/>
          <w:lang w:val="en-GB"/>
        </w:rPr>
        <w:t xml:space="preserve">nder IPSAS, UNDP will record expenses related to employee benefits when services are rendered, not when cash is paid, as is the current practice.  This treatment will improve transparency of project expenses by recognising unpaid costs owed for benefits, such as annual leave, after-service health insurance, repatriation entitlement, separation, and more.  </w:t>
      </w:r>
    </w:p>
    <w:p w14:paraId="1D36AEC0" w14:textId="77777777" w:rsidR="00542197" w:rsidRPr="005920B6" w:rsidRDefault="00542197" w:rsidP="00542197">
      <w:pPr>
        <w:spacing w:after="0" w:line="240" w:lineRule="auto"/>
        <w:jc w:val="both"/>
        <w:rPr>
          <w:rFonts w:cstheme="minorHAnsi"/>
          <w:sz w:val="24"/>
          <w:szCs w:val="24"/>
          <w:lang w:val="en-GB"/>
        </w:rPr>
      </w:pPr>
      <w:r w:rsidRPr="005920B6">
        <w:rPr>
          <w:rFonts w:cstheme="minorHAnsi"/>
          <w:i/>
          <w:sz w:val="24"/>
          <w:szCs w:val="24"/>
          <w:u w:val="single"/>
          <w:lang w:val="en-GB"/>
        </w:rPr>
        <w:t>UN Agencies Expenses</w:t>
      </w:r>
      <w:r w:rsidRPr="005920B6">
        <w:rPr>
          <w:rFonts w:cstheme="minorHAnsi"/>
          <w:sz w:val="24"/>
          <w:szCs w:val="24"/>
          <w:lang w:val="en-GB"/>
        </w:rPr>
        <w:t xml:space="preserve"> - Shows only expenses incurred by UN agencies, acting as responsible parties to the project. This expense will be derived from project delivery reports (PDRs) reported to UNDP and accepted by the implementing partner as part of valid project expenses.</w:t>
      </w:r>
      <w:r w:rsidRPr="005920B6" w:rsidDel="00160C04">
        <w:rPr>
          <w:rFonts w:cstheme="minorHAnsi"/>
          <w:sz w:val="24"/>
          <w:szCs w:val="24"/>
          <w:lang w:val="en-GB"/>
        </w:rPr>
        <w:t xml:space="preserve"> </w:t>
      </w:r>
      <w:r w:rsidRPr="005920B6">
        <w:rPr>
          <w:rFonts w:cstheme="minorHAnsi"/>
          <w:sz w:val="24"/>
          <w:szCs w:val="24"/>
          <w:lang w:val="en-GB"/>
        </w:rPr>
        <w:t xml:space="preserve">  </w:t>
      </w:r>
    </w:p>
    <w:p w14:paraId="55DAC6D4" w14:textId="77777777" w:rsidR="00542197" w:rsidRPr="005920B6" w:rsidRDefault="00542197" w:rsidP="00542197">
      <w:pPr>
        <w:spacing w:after="0" w:line="240" w:lineRule="auto"/>
        <w:jc w:val="both"/>
        <w:rPr>
          <w:rFonts w:cstheme="minorHAnsi"/>
          <w:sz w:val="24"/>
          <w:szCs w:val="24"/>
          <w:lang w:val="en-GB"/>
        </w:rPr>
      </w:pPr>
    </w:p>
    <w:p w14:paraId="450A8D01" w14:textId="77777777" w:rsidR="00542197" w:rsidRPr="005920B6" w:rsidRDefault="00542197" w:rsidP="00542197">
      <w:pPr>
        <w:spacing w:after="0" w:line="240" w:lineRule="auto"/>
        <w:jc w:val="both"/>
        <w:rPr>
          <w:rFonts w:cstheme="minorHAnsi"/>
          <w:sz w:val="24"/>
          <w:szCs w:val="24"/>
          <w:lang w:val="en-GB"/>
        </w:rPr>
      </w:pPr>
      <w:r w:rsidRPr="005920B6">
        <w:rPr>
          <w:rFonts w:cstheme="minorHAnsi"/>
          <w:i/>
          <w:sz w:val="24"/>
          <w:szCs w:val="24"/>
          <w:u w:val="single"/>
          <w:lang w:val="en-GB"/>
        </w:rPr>
        <w:t xml:space="preserve">Total Expenses </w:t>
      </w:r>
      <w:r w:rsidRPr="005920B6">
        <w:rPr>
          <w:rFonts w:cstheme="minorHAnsi"/>
          <w:sz w:val="24"/>
          <w:szCs w:val="24"/>
          <w:lang w:val="en-GB"/>
        </w:rPr>
        <w:t>– Includes combined totals of government disbursements, UNDP expenses, and UN agencies’ expenses.</w:t>
      </w:r>
    </w:p>
    <w:p w14:paraId="40D03EF9" w14:textId="77777777" w:rsidR="00542197" w:rsidRPr="005920B6" w:rsidRDefault="00542197" w:rsidP="00542197">
      <w:pPr>
        <w:spacing w:after="0" w:line="240" w:lineRule="auto"/>
        <w:jc w:val="both"/>
        <w:rPr>
          <w:rFonts w:cstheme="minorHAnsi"/>
          <w:b/>
          <w:sz w:val="24"/>
          <w:szCs w:val="24"/>
          <w:lang w:val="en-GB"/>
        </w:rPr>
      </w:pPr>
    </w:p>
    <w:p w14:paraId="100CA79C" w14:textId="77777777" w:rsidR="00542197" w:rsidRPr="005920B6" w:rsidRDefault="00542197" w:rsidP="00542197">
      <w:pPr>
        <w:spacing w:after="0" w:line="240" w:lineRule="auto"/>
        <w:jc w:val="both"/>
        <w:rPr>
          <w:rFonts w:cstheme="minorHAnsi"/>
          <w:b/>
          <w:sz w:val="24"/>
          <w:szCs w:val="24"/>
          <w:lang w:val="en-GB"/>
        </w:rPr>
      </w:pPr>
    </w:p>
    <w:p w14:paraId="5086B448" w14:textId="77777777" w:rsidR="00542197" w:rsidRPr="005920B6" w:rsidRDefault="00542197" w:rsidP="00542197">
      <w:pPr>
        <w:spacing w:after="0" w:line="240" w:lineRule="auto"/>
        <w:jc w:val="both"/>
        <w:rPr>
          <w:rFonts w:cstheme="minorHAnsi"/>
          <w:b/>
          <w:sz w:val="24"/>
          <w:szCs w:val="24"/>
          <w:lang w:val="en-GB"/>
        </w:rPr>
      </w:pPr>
      <w:r w:rsidRPr="005920B6">
        <w:rPr>
          <w:rFonts w:cstheme="minorHAnsi"/>
          <w:b/>
          <w:sz w:val="24"/>
          <w:szCs w:val="24"/>
          <w:lang w:val="en-GB"/>
        </w:rPr>
        <w:t xml:space="preserve">Funds Utilization </w:t>
      </w:r>
    </w:p>
    <w:p w14:paraId="5ABF193A" w14:textId="77777777" w:rsidR="00542197" w:rsidRPr="005920B6" w:rsidRDefault="00542197" w:rsidP="00542197">
      <w:pPr>
        <w:spacing w:after="0" w:line="240" w:lineRule="auto"/>
        <w:jc w:val="both"/>
        <w:rPr>
          <w:rFonts w:cstheme="minorHAnsi"/>
          <w:b/>
          <w:i/>
          <w:sz w:val="24"/>
          <w:szCs w:val="24"/>
          <w:lang w:val="en-GB"/>
        </w:rPr>
      </w:pPr>
      <w:r w:rsidRPr="005920B6">
        <w:rPr>
          <w:rFonts w:cstheme="minorHAnsi"/>
          <w:i/>
          <w:sz w:val="24"/>
          <w:szCs w:val="24"/>
          <w:lang w:val="en-GB"/>
        </w:rPr>
        <w:t xml:space="preserve">This is a new section of the CDR report.  It will disclose utilisation of project funds as of the reporting period and consists of the following: </w:t>
      </w:r>
    </w:p>
    <w:p w14:paraId="7037B590" w14:textId="77777777" w:rsidR="00542197" w:rsidRPr="005920B6" w:rsidRDefault="00542197" w:rsidP="00542197">
      <w:pPr>
        <w:spacing w:after="0" w:line="240" w:lineRule="auto"/>
        <w:jc w:val="both"/>
        <w:rPr>
          <w:rFonts w:cstheme="minorHAnsi"/>
          <w:sz w:val="24"/>
          <w:szCs w:val="24"/>
          <w:lang w:val="en-GB"/>
        </w:rPr>
      </w:pPr>
      <w:r w:rsidRPr="005920B6">
        <w:rPr>
          <w:rFonts w:cstheme="minorHAnsi"/>
          <w:b/>
          <w:i/>
          <w:sz w:val="24"/>
          <w:szCs w:val="24"/>
          <w:lang w:val="en-GB"/>
        </w:rPr>
        <w:t xml:space="preserve"> </w:t>
      </w:r>
      <w:r w:rsidRPr="005920B6">
        <w:rPr>
          <w:rFonts w:cstheme="minorHAnsi"/>
          <w:sz w:val="24"/>
          <w:szCs w:val="24"/>
          <w:lang w:val="en-GB"/>
        </w:rPr>
        <w:tab/>
      </w:r>
    </w:p>
    <w:p w14:paraId="243D39F1" w14:textId="77777777" w:rsidR="00542197" w:rsidRPr="005920B6" w:rsidRDefault="00542197" w:rsidP="00542197">
      <w:pPr>
        <w:spacing w:after="0" w:line="240" w:lineRule="auto"/>
        <w:jc w:val="both"/>
        <w:rPr>
          <w:rFonts w:cstheme="minorHAnsi"/>
          <w:sz w:val="24"/>
          <w:szCs w:val="24"/>
          <w:lang w:val="en-GB"/>
        </w:rPr>
      </w:pPr>
      <w:r w:rsidRPr="005920B6">
        <w:rPr>
          <w:rFonts w:cstheme="minorHAnsi"/>
          <w:i/>
          <w:sz w:val="24"/>
          <w:szCs w:val="24"/>
          <w:u w:val="single"/>
          <w:lang w:val="en-GB"/>
        </w:rPr>
        <w:t>Outstanding NEX Advances</w:t>
      </w:r>
      <w:r w:rsidRPr="005920B6">
        <w:rPr>
          <w:rFonts w:cstheme="minorHAnsi"/>
          <w:sz w:val="24"/>
          <w:szCs w:val="24"/>
          <w:lang w:val="en-GB"/>
        </w:rPr>
        <w:t xml:space="preserve"> - Portion of funds advanced to governments and implementing partners where a financial report or FACE form is pending. These amounts are not recorded as expenses until the financial report or FACE form is received.</w:t>
      </w:r>
    </w:p>
    <w:p w14:paraId="5BE4AA4A" w14:textId="77777777" w:rsidR="00542197" w:rsidRPr="005920B6" w:rsidRDefault="00542197" w:rsidP="00542197">
      <w:pPr>
        <w:spacing w:after="0" w:line="240" w:lineRule="auto"/>
        <w:jc w:val="both"/>
        <w:rPr>
          <w:rFonts w:cstheme="minorHAnsi"/>
          <w:sz w:val="24"/>
          <w:szCs w:val="24"/>
          <w:lang w:val="en-GB"/>
        </w:rPr>
      </w:pPr>
      <w:r w:rsidRPr="005920B6">
        <w:rPr>
          <w:rFonts w:cstheme="minorHAnsi"/>
          <w:sz w:val="24"/>
          <w:szCs w:val="24"/>
          <w:lang w:val="en-GB"/>
        </w:rPr>
        <w:t xml:space="preserve"> </w:t>
      </w:r>
    </w:p>
    <w:p w14:paraId="6E65CD9E" w14:textId="77777777" w:rsidR="00542197" w:rsidRPr="005920B6" w:rsidRDefault="00542197" w:rsidP="00542197">
      <w:pPr>
        <w:spacing w:after="0" w:line="240" w:lineRule="auto"/>
        <w:jc w:val="both"/>
        <w:rPr>
          <w:rFonts w:cstheme="minorHAnsi"/>
          <w:sz w:val="24"/>
          <w:szCs w:val="24"/>
          <w:lang w:val="en-GB"/>
        </w:rPr>
      </w:pPr>
      <w:r w:rsidRPr="005920B6">
        <w:rPr>
          <w:rFonts w:cstheme="minorHAnsi"/>
          <w:i/>
          <w:sz w:val="24"/>
          <w:szCs w:val="24"/>
          <w:u w:val="single"/>
          <w:lang w:val="en-GB"/>
        </w:rPr>
        <w:t>Undepreciated Fixed Assets</w:t>
      </w:r>
      <w:r w:rsidRPr="005920B6">
        <w:rPr>
          <w:rFonts w:cstheme="minorHAnsi"/>
          <w:i/>
          <w:sz w:val="24"/>
          <w:szCs w:val="24"/>
          <w:lang w:val="en-GB"/>
        </w:rPr>
        <w:t xml:space="preserve"> -</w:t>
      </w:r>
      <w:r w:rsidRPr="005920B6">
        <w:rPr>
          <w:rFonts w:cstheme="minorHAnsi"/>
          <w:sz w:val="24"/>
          <w:szCs w:val="24"/>
          <w:lang w:val="en-GB"/>
        </w:rPr>
        <w:t xml:space="preserve"> Undepreciated assets (property, plant and equipment) represent the portion of fixed asset costs not yet charged as an expense that will be recognised as expense over the remaining useful life of the assets. </w:t>
      </w:r>
    </w:p>
    <w:p w14:paraId="528E2673" w14:textId="77777777" w:rsidR="00542197" w:rsidRPr="005920B6" w:rsidRDefault="00542197" w:rsidP="00542197">
      <w:pPr>
        <w:spacing w:after="0" w:line="240" w:lineRule="auto"/>
        <w:jc w:val="both"/>
        <w:rPr>
          <w:rFonts w:cstheme="minorHAnsi"/>
          <w:sz w:val="24"/>
          <w:szCs w:val="24"/>
          <w:lang w:val="en-GB"/>
        </w:rPr>
      </w:pPr>
    </w:p>
    <w:p w14:paraId="3265F3F4" w14:textId="77777777" w:rsidR="00542197" w:rsidRPr="005920B6" w:rsidRDefault="00542197" w:rsidP="00542197">
      <w:pPr>
        <w:spacing w:after="0" w:line="240" w:lineRule="auto"/>
        <w:jc w:val="both"/>
        <w:rPr>
          <w:rFonts w:cstheme="minorHAnsi"/>
          <w:sz w:val="24"/>
          <w:szCs w:val="24"/>
          <w:lang w:val="en-GB"/>
        </w:rPr>
      </w:pPr>
      <w:r w:rsidRPr="005920B6">
        <w:rPr>
          <w:rFonts w:cstheme="minorHAnsi"/>
          <w:i/>
          <w:sz w:val="24"/>
          <w:szCs w:val="24"/>
          <w:u w:val="single"/>
          <w:lang w:val="en-GB"/>
        </w:rPr>
        <w:t>Inventory</w:t>
      </w:r>
      <w:r w:rsidRPr="005920B6">
        <w:rPr>
          <w:rFonts w:cstheme="minorHAnsi"/>
          <w:sz w:val="24"/>
          <w:szCs w:val="24"/>
          <w:lang w:val="en-GB"/>
        </w:rPr>
        <w:t xml:space="preserve"> - </w:t>
      </w:r>
      <w:r w:rsidRPr="005920B6">
        <w:rPr>
          <w:sz w:val="24"/>
          <w:szCs w:val="24"/>
          <w:lang w:val="en-GB"/>
        </w:rPr>
        <w:t>Includes goods and materials that have been purchased but have not yet been consumed or distributed as part of a UNDP project. These purchases are not yet charged as an expense.</w:t>
      </w:r>
    </w:p>
    <w:p w14:paraId="0C4C99E1" w14:textId="77777777" w:rsidR="00542197" w:rsidRPr="005920B6" w:rsidRDefault="00542197" w:rsidP="00542197">
      <w:pPr>
        <w:spacing w:after="0" w:line="240" w:lineRule="auto"/>
        <w:jc w:val="both"/>
        <w:rPr>
          <w:rFonts w:cstheme="minorHAnsi"/>
          <w:sz w:val="24"/>
          <w:szCs w:val="24"/>
          <w:lang w:val="en-GB"/>
        </w:rPr>
      </w:pPr>
      <w:r w:rsidRPr="005920B6">
        <w:rPr>
          <w:rFonts w:cstheme="minorHAnsi"/>
          <w:i/>
          <w:sz w:val="24"/>
          <w:szCs w:val="24"/>
          <w:u w:val="single"/>
          <w:lang w:val="en-GB"/>
        </w:rPr>
        <w:t>Unamortized intangibles</w:t>
      </w:r>
      <w:r w:rsidRPr="005920B6">
        <w:rPr>
          <w:rFonts w:cstheme="minorHAnsi"/>
          <w:sz w:val="24"/>
          <w:szCs w:val="24"/>
          <w:lang w:val="en-GB"/>
        </w:rPr>
        <w:t xml:space="preserve"> -Unamortized intangibles represent the portion of intangible costs not yet charged as an amortization expense that will be recognized as expense over the remaining useful life of the assets.</w:t>
      </w:r>
    </w:p>
    <w:p w14:paraId="71B81617" w14:textId="77777777" w:rsidR="00542197" w:rsidRPr="005920B6" w:rsidRDefault="00542197" w:rsidP="00542197">
      <w:pPr>
        <w:spacing w:after="0" w:line="240" w:lineRule="auto"/>
        <w:jc w:val="both"/>
        <w:rPr>
          <w:rFonts w:cstheme="minorHAnsi"/>
          <w:sz w:val="24"/>
          <w:szCs w:val="24"/>
          <w:lang w:val="en-GB"/>
        </w:rPr>
      </w:pPr>
      <w:r w:rsidRPr="005920B6">
        <w:rPr>
          <w:rFonts w:cstheme="minorHAnsi"/>
          <w:i/>
          <w:sz w:val="24"/>
          <w:szCs w:val="24"/>
          <w:u w:val="single"/>
          <w:lang w:val="en-GB"/>
        </w:rPr>
        <w:t>Prepayments</w:t>
      </w:r>
      <w:r w:rsidRPr="005920B6">
        <w:rPr>
          <w:rFonts w:cstheme="minorHAnsi"/>
          <w:sz w:val="24"/>
          <w:szCs w:val="24"/>
          <w:lang w:val="en-GB"/>
        </w:rPr>
        <w:t xml:space="preserve"> – Shows advance payments made by UNDP to vendors for procuring goods and services for a project.  These payments are not yet charged as an expense.</w:t>
      </w:r>
    </w:p>
    <w:p w14:paraId="3E3469E4" w14:textId="77777777" w:rsidR="00542197" w:rsidRPr="005920B6" w:rsidRDefault="00542197" w:rsidP="00542197">
      <w:pPr>
        <w:spacing w:after="0" w:line="240" w:lineRule="auto"/>
        <w:jc w:val="both"/>
        <w:rPr>
          <w:rFonts w:cstheme="minorHAnsi"/>
          <w:sz w:val="24"/>
          <w:szCs w:val="24"/>
          <w:lang w:val="en-GB"/>
        </w:rPr>
      </w:pPr>
    </w:p>
    <w:p w14:paraId="7BCF1B47" w14:textId="77777777" w:rsidR="00542197" w:rsidRPr="005920B6" w:rsidRDefault="00542197" w:rsidP="00542197">
      <w:pPr>
        <w:spacing w:after="0" w:line="240" w:lineRule="auto"/>
        <w:jc w:val="both"/>
        <w:rPr>
          <w:lang w:val="en-GB"/>
        </w:rPr>
      </w:pPr>
      <w:r w:rsidRPr="005920B6">
        <w:rPr>
          <w:rFonts w:cstheme="minorHAnsi"/>
          <w:i/>
          <w:sz w:val="24"/>
          <w:szCs w:val="24"/>
          <w:u w:val="single"/>
          <w:lang w:val="en-GB"/>
        </w:rPr>
        <w:t>Commitments</w:t>
      </w:r>
      <w:r w:rsidRPr="005920B6">
        <w:rPr>
          <w:rFonts w:cstheme="minorHAnsi"/>
          <w:sz w:val="24"/>
          <w:szCs w:val="24"/>
          <w:lang w:val="en-GB"/>
        </w:rPr>
        <w:t xml:space="preserve"> - Represents purchase orders and/or legally binding vendor contracts entered into, but where goods or services have not yet been delivered or rendered by the end of the reporting period</w:t>
      </w:r>
      <w:r w:rsidRPr="005920B6">
        <w:rPr>
          <w:rFonts w:cstheme="minorHAnsi"/>
          <w:b/>
          <w:sz w:val="24"/>
          <w:szCs w:val="24"/>
          <w:lang w:val="en-GB"/>
        </w:rPr>
        <w:t>.</w:t>
      </w:r>
      <w:r w:rsidRPr="005920B6">
        <w:rPr>
          <w:lang w:val="en-GB"/>
        </w:rPr>
        <w:t xml:space="preserve"> </w:t>
      </w:r>
      <w:r w:rsidRPr="005920B6">
        <w:rPr>
          <w:rFonts w:cstheme="minorHAnsi"/>
          <w:sz w:val="24"/>
          <w:szCs w:val="24"/>
          <w:lang w:val="en-GB"/>
        </w:rPr>
        <w:t>These commitments are not charged as an expense until the goods are delivered or services rendered.</w:t>
      </w:r>
    </w:p>
    <w:p w14:paraId="53566F9F" w14:textId="77777777" w:rsidR="00542197" w:rsidRPr="005920B6" w:rsidRDefault="00542197" w:rsidP="00542197">
      <w:pPr>
        <w:spacing w:after="0" w:line="240" w:lineRule="auto"/>
        <w:jc w:val="both"/>
        <w:rPr>
          <w:lang w:val="en-GB"/>
        </w:rPr>
      </w:pPr>
    </w:p>
    <w:p w14:paraId="36051847" w14:textId="77777777" w:rsidR="00542197" w:rsidRPr="005920B6" w:rsidRDefault="00542197" w:rsidP="00542197">
      <w:pPr>
        <w:spacing w:after="0" w:line="240" w:lineRule="auto"/>
        <w:jc w:val="center"/>
        <w:rPr>
          <w:b/>
          <w:lang w:val="en-GB"/>
        </w:rPr>
      </w:pPr>
      <w:r w:rsidRPr="005920B6">
        <w:rPr>
          <w:b/>
          <w:lang w:val="en-GB"/>
        </w:rPr>
        <w:t>###</w:t>
      </w:r>
    </w:p>
    <w:p w14:paraId="7C813CBF" w14:textId="77777777" w:rsidR="00542197" w:rsidRPr="005920B6" w:rsidRDefault="00542197" w:rsidP="00542197">
      <w:pPr>
        <w:rPr>
          <w:b/>
          <w:lang w:val="en-GB"/>
        </w:rPr>
      </w:pPr>
      <w:r w:rsidRPr="005920B6">
        <w:rPr>
          <w:b/>
          <w:lang w:val="en-GB"/>
        </w:rPr>
        <w:br w:type="page"/>
      </w:r>
    </w:p>
    <w:p w14:paraId="05046D3E" w14:textId="77777777" w:rsidR="00542197" w:rsidRPr="005920B6" w:rsidRDefault="00542197" w:rsidP="00542197">
      <w:pPr>
        <w:pBdr>
          <w:bottom w:val="thickThinSmallGap" w:sz="24" w:space="0" w:color="622423"/>
        </w:pBdr>
        <w:tabs>
          <w:tab w:val="center" w:pos="4320"/>
          <w:tab w:val="right" w:pos="8640"/>
        </w:tabs>
        <w:spacing w:after="0" w:line="240" w:lineRule="auto"/>
        <w:jc w:val="center"/>
        <w:rPr>
          <w:rFonts w:ascii="Cambria" w:eastAsia="Times New Roman" w:hAnsi="Cambria" w:cs="Times New Roman"/>
          <w:sz w:val="32"/>
          <w:szCs w:val="32"/>
          <w:lang w:val="en-GB"/>
        </w:rPr>
      </w:pPr>
      <w:r w:rsidRPr="005920B6">
        <w:rPr>
          <w:rFonts w:ascii="Cambria" w:eastAsia="Times New Roman" w:hAnsi="Cambria" w:cs="Times New Roman"/>
          <w:sz w:val="32"/>
          <w:szCs w:val="32"/>
          <w:lang w:val="en-GB"/>
        </w:rPr>
        <w:t>IPSAS COMBINED DELIVERY REPORT</w:t>
      </w:r>
    </w:p>
    <w:p w14:paraId="15DF8EC3" w14:textId="77777777" w:rsidR="00542197" w:rsidRPr="005920B6" w:rsidRDefault="00542197" w:rsidP="00542197">
      <w:pPr>
        <w:spacing w:after="0" w:line="240" w:lineRule="auto"/>
        <w:ind w:right="455"/>
        <w:rPr>
          <w:rFonts w:ascii="Calibri" w:eastAsia="Times New Roman" w:hAnsi="Calibri" w:cs="Calibri"/>
          <w:b/>
          <w:bCs/>
          <w:color w:val="000000"/>
          <w:sz w:val="20"/>
          <w:szCs w:val="20"/>
          <w:u w:val="single"/>
          <w:lang w:val="en-GB"/>
        </w:rPr>
      </w:pPr>
    </w:p>
    <w:p w14:paraId="3C747AE6" w14:textId="77777777" w:rsidR="00542197" w:rsidRPr="005920B6" w:rsidRDefault="00542197" w:rsidP="00542197">
      <w:pPr>
        <w:spacing w:after="0" w:line="240" w:lineRule="auto"/>
        <w:ind w:right="455"/>
        <w:rPr>
          <w:rFonts w:ascii="Calibri" w:eastAsia="Times New Roman" w:hAnsi="Calibri" w:cs="Calibri"/>
          <w:color w:val="1E07CB"/>
          <w:sz w:val="28"/>
          <w:szCs w:val="28"/>
          <w:lang w:val="en-GB"/>
        </w:rPr>
      </w:pPr>
      <w:r w:rsidRPr="005920B6">
        <w:rPr>
          <w:rFonts w:ascii="Calibri" w:eastAsia="Times New Roman" w:hAnsi="Calibri" w:cs="Calibri"/>
          <w:b/>
          <w:bCs/>
          <w:color w:val="1E07CB"/>
          <w:sz w:val="28"/>
          <w:szCs w:val="28"/>
          <w:lang w:val="en-GB"/>
        </w:rPr>
        <w:t>Key Changes  </w:t>
      </w:r>
    </w:p>
    <w:p w14:paraId="5B9B9BE6" w14:textId="77777777" w:rsidR="00542197" w:rsidRPr="005920B6" w:rsidRDefault="00542197" w:rsidP="00542197">
      <w:pPr>
        <w:numPr>
          <w:ilvl w:val="0"/>
          <w:numId w:val="1"/>
        </w:numPr>
        <w:spacing w:after="0" w:line="240" w:lineRule="auto"/>
        <w:ind w:right="455"/>
        <w:rPr>
          <w:rFonts w:ascii="Calibri" w:eastAsia="Times New Roman" w:hAnsi="Calibri" w:cs="Calibri"/>
          <w:color w:val="000000"/>
          <w:sz w:val="20"/>
          <w:szCs w:val="20"/>
          <w:lang w:val="en-GB"/>
        </w:rPr>
      </w:pPr>
      <w:r w:rsidRPr="005920B6">
        <w:rPr>
          <w:rFonts w:ascii="Calibri" w:eastAsia="Times New Roman" w:hAnsi="Calibri" w:cs="Calibri"/>
          <w:b/>
          <w:bCs/>
          <w:color w:val="1E07CB"/>
          <w:sz w:val="20"/>
          <w:szCs w:val="20"/>
          <w:lang w:val="en-GB"/>
        </w:rPr>
        <w:t>New design provides comprehensive information</w:t>
      </w:r>
      <w:r w:rsidRPr="005920B6">
        <w:rPr>
          <w:rFonts w:ascii="Calibri" w:eastAsia="Times New Roman" w:hAnsi="Calibri" w:cs="Calibri"/>
          <w:color w:val="000000"/>
          <w:sz w:val="20"/>
          <w:szCs w:val="20"/>
          <w:lang w:val="en-GB"/>
        </w:rPr>
        <w:t xml:space="preserve"> related to programme delivery in accordance with IPSAS</w:t>
      </w:r>
    </w:p>
    <w:p w14:paraId="7BB8B84B" w14:textId="77777777" w:rsidR="00542197" w:rsidRPr="005920B6" w:rsidRDefault="00542197" w:rsidP="00542197">
      <w:pPr>
        <w:numPr>
          <w:ilvl w:val="0"/>
          <w:numId w:val="1"/>
        </w:numPr>
        <w:spacing w:after="0" w:line="240" w:lineRule="auto"/>
        <w:ind w:right="455"/>
        <w:rPr>
          <w:rFonts w:ascii="Calibri" w:eastAsia="Times New Roman" w:hAnsi="Calibri" w:cs="Calibri"/>
          <w:color w:val="000000"/>
          <w:sz w:val="20"/>
          <w:szCs w:val="20"/>
          <w:lang w:val="en-GB"/>
        </w:rPr>
      </w:pPr>
      <w:r w:rsidRPr="005920B6">
        <w:rPr>
          <w:rFonts w:ascii="Calibri" w:eastAsia="Times New Roman" w:hAnsi="Calibri" w:cs="Calibri"/>
          <w:b/>
          <w:bCs/>
          <w:color w:val="1E07CB"/>
          <w:sz w:val="20"/>
          <w:szCs w:val="20"/>
          <w:lang w:val="en-GB"/>
        </w:rPr>
        <w:t>UNDP Expenses</w:t>
      </w:r>
      <w:r w:rsidRPr="005920B6">
        <w:rPr>
          <w:rFonts w:ascii="Calibri" w:eastAsia="Times New Roman" w:hAnsi="Calibri" w:cs="Calibri"/>
          <w:b/>
          <w:bCs/>
          <w:color w:val="000000"/>
          <w:sz w:val="20"/>
          <w:szCs w:val="20"/>
          <w:lang w:val="en-GB"/>
        </w:rPr>
        <w:t xml:space="preserve"> </w:t>
      </w:r>
      <w:r w:rsidRPr="005920B6">
        <w:rPr>
          <w:rFonts w:ascii="Calibri" w:eastAsia="Times New Roman" w:hAnsi="Calibri" w:cs="Calibri"/>
          <w:color w:val="000000"/>
          <w:sz w:val="20"/>
          <w:szCs w:val="20"/>
          <w:lang w:val="en-GB"/>
        </w:rPr>
        <w:t>column includes receipts and disbursements, and excludes obligations</w:t>
      </w:r>
    </w:p>
    <w:p w14:paraId="78830B1B" w14:textId="77777777" w:rsidR="00542197" w:rsidRPr="005920B6" w:rsidRDefault="00542197" w:rsidP="00542197">
      <w:pPr>
        <w:numPr>
          <w:ilvl w:val="0"/>
          <w:numId w:val="2"/>
        </w:numPr>
        <w:spacing w:after="0" w:line="240" w:lineRule="auto"/>
        <w:ind w:right="455"/>
        <w:rPr>
          <w:rFonts w:ascii="Calibri" w:eastAsia="Times New Roman" w:hAnsi="Calibri" w:cs="Calibri"/>
          <w:color w:val="000000"/>
          <w:sz w:val="20"/>
          <w:szCs w:val="20"/>
          <w:lang w:val="en-GB"/>
        </w:rPr>
      </w:pPr>
      <w:r w:rsidRPr="005920B6">
        <w:rPr>
          <w:rFonts w:ascii="Calibri" w:eastAsia="Times New Roman" w:hAnsi="Calibri" w:cs="Calibri"/>
          <w:b/>
          <w:bCs/>
          <w:color w:val="1E07CB"/>
          <w:sz w:val="20"/>
          <w:szCs w:val="20"/>
          <w:lang w:val="en-GB"/>
        </w:rPr>
        <w:t>Encumbrances</w:t>
      </w:r>
      <w:r w:rsidRPr="005920B6">
        <w:rPr>
          <w:rFonts w:ascii="Calibri" w:eastAsia="Times New Roman" w:hAnsi="Calibri" w:cs="Calibri"/>
          <w:color w:val="000000"/>
          <w:sz w:val="20"/>
          <w:szCs w:val="20"/>
          <w:lang w:val="en-GB"/>
        </w:rPr>
        <w:t xml:space="preserve"> column—between </w:t>
      </w:r>
      <w:r w:rsidRPr="005920B6">
        <w:rPr>
          <w:rFonts w:ascii="Calibri" w:eastAsia="Times New Roman" w:hAnsi="Calibri" w:cs="Calibri"/>
          <w:b/>
          <w:bCs/>
          <w:color w:val="1E07CB"/>
          <w:sz w:val="20"/>
          <w:szCs w:val="20"/>
          <w:lang w:val="en-GB"/>
        </w:rPr>
        <w:t>UN Agencies</w:t>
      </w:r>
      <w:r w:rsidRPr="005920B6">
        <w:rPr>
          <w:rFonts w:ascii="Calibri" w:eastAsia="Times New Roman" w:hAnsi="Calibri" w:cs="Calibri"/>
          <w:color w:val="000000"/>
          <w:sz w:val="20"/>
          <w:szCs w:val="20"/>
          <w:lang w:val="en-GB"/>
        </w:rPr>
        <w:t xml:space="preserve"> and </w:t>
      </w:r>
      <w:r w:rsidRPr="005920B6">
        <w:rPr>
          <w:rFonts w:ascii="Calibri" w:eastAsia="Times New Roman" w:hAnsi="Calibri" w:cs="Calibri"/>
          <w:b/>
          <w:bCs/>
          <w:color w:val="1E07CB"/>
          <w:sz w:val="20"/>
          <w:szCs w:val="20"/>
          <w:lang w:val="en-GB"/>
        </w:rPr>
        <w:t>Total Expenses</w:t>
      </w:r>
      <w:r w:rsidRPr="005920B6">
        <w:rPr>
          <w:rFonts w:ascii="Calibri" w:eastAsia="Times New Roman" w:hAnsi="Calibri" w:cs="Calibri"/>
          <w:color w:val="000000"/>
          <w:sz w:val="20"/>
          <w:szCs w:val="20"/>
          <w:lang w:val="en-GB"/>
        </w:rPr>
        <w:t xml:space="preserve"> columns—is removed; only goods and services are recognized as expense under IPSAS</w:t>
      </w:r>
    </w:p>
    <w:p w14:paraId="564E005F" w14:textId="77777777" w:rsidR="00542197" w:rsidRPr="005920B6" w:rsidRDefault="00542197" w:rsidP="00542197">
      <w:pPr>
        <w:spacing w:after="0" w:line="240" w:lineRule="auto"/>
        <w:rPr>
          <w:rFonts w:ascii="Times New Roman" w:eastAsia="Times New Roman" w:hAnsi="Times New Roman" w:cs="Times New Roman"/>
          <w:sz w:val="20"/>
          <w:szCs w:val="20"/>
          <w:lang w:val="en-GB"/>
        </w:rPr>
      </w:pPr>
    </w:p>
    <w:p w14:paraId="09711634" w14:textId="77777777" w:rsidR="00542197" w:rsidRPr="005920B6" w:rsidRDefault="00542197" w:rsidP="00542197">
      <w:pPr>
        <w:spacing w:after="0" w:line="240" w:lineRule="auto"/>
        <w:jc w:val="center"/>
        <w:rPr>
          <w:rFonts w:ascii="Arial" w:eastAsia="Times New Roman" w:hAnsi="Arial" w:cs="Arial"/>
          <w:lang w:val="en-GB"/>
        </w:rPr>
      </w:pPr>
      <w:r w:rsidRPr="005920B6">
        <w:rPr>
          <w:noProof/>
        </w:rPr>
        <w:drawing>
          <wp:inline distT="0" distB="0" distL="0" distR="0" wp14:anchorId="02B49839" wp14:editId="6540677F">
            <wp:extent cx="4847434" cy="6048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2150" cy="6054260"/>
                    </a:xfrm>
                    <a:prstGeom prst="rect">
                      <a:avLst/>
                    </a:prstGeom>
                    <a:noFill/>
                    <a:ln>
                      <a:noFill/>
                    </a:ln>
                  </pic:spPr>
                </pic:pic>
              </a:graphicData>
            </a:graphic>
          </wp:inline>
        </w:drawing>
      </w:r>
    </w:p>
    <w:p w14:paraId="526D8CA0" w14:textId="77777777" w:rsidR="00542197" w:rsidRPr="005920B6" w:rsidRDefault="00542197" w:rsidP="00542197">
      <w:pPr>
        <w:spacing w:after="0" w:line="240" w:lineRule="auto"/>
        <w:rPr>
          <w:rFonts w:ascii="Arial" w:eastAsia="Times New Roman" w:hAnsi="Arial" w:cs="Arial"/>
          <w:lang w:val="en-GB"/>
        </w:rPr>
      </w:pPr>
      <w:r w:rsidRPr="005920B6">
        <w:rPr>
          <w:rFonts w:ascii="Arial" w:eastAsia="Times New Roman" w:hAnsi="Arial" w:cs="Arial"/>
          <w:lang w:val="en-GB"/>
        </w:rPr>
        <w:t xml:space="preserve">   </w:t>
      </w:r>
    </w:p>
    <w:p w14:paraId="4FB8B7C2" w14:textId="77777777" w:rsidR="00542197" w:rsidRPr="005920B6" w:rsidRDefault="00542197" w:rsidP="00542197">
      <w:pPr>
        <w:spacing w:after="0" w:line="240" w:lineRule="auto"/>
        <w:rPr>
          <w:rFonts w:ascii="Arial" w:eastAsia="Times New Roman" w:hAnsi="Arial" w:cs="Arial"/>
          <w:lang w:val="en-GB"/>
        </w:rPr>
      </w:pPr>
      <w:r w:rsidRPr="005920B6">
        <w:rPr>
          <w:rFonts w:ascii="Arial" w:eastAsia="Times New Roman" w:hAnsi="Arial" w:cs="Arial"/>
          <w:lang w:val="en-GB"/>
        </w:rPr>
        <w:t xml:space="preserve">              </w:t>
      </w:r>
    </w:p>
    <w:p w14:paraId="7C6E5AF3" w14:textId="77777777" w:rsidR="00542197" w:rsidRPr="005920B6" w:rsidRDefault="00542197" w:rsidP="00542197">
      <w:pPr>
        <w:spacing w:after="0" w:line="240" w:lineRule="auto"/>
        <w:rPr>
          <w:lang w:val="en-GB"/>
        </w:rPr>
      </w:pPr>
      <w:r w:rsidRPr="005920B6">
        <w:rPr>
          <w:rFonts w:ascii="Arial" w:eastAsia="Times New Roman" w:hAnsi="Arial" w:cs="Arial"/>
          <w:lang w:val="en-GB"/>
        </w:rPr>
        <w:t xml:space="preserve">            </w:t>
      </w:r>
    </w:p>
    <w:p w14:paraId="30A41570" w14:textId="77777777" w:rsidR="00542197" w:rsidRPr="005920B6" w:rsidRDefault="00542197" w:rsidP="00542197">
      <w:pPr>
        <w:spacing w:after="0" w:line="240" w:lineRule="auto"/>
        <w:ind w:right="-270"/>
        <w:rPr>
          <w:rFonts w:ascii="Arial" w:eastAsia="Times New Roman" w:hAnsi="Arial" w:cs="Arial"/>
          <w:lang w:val="en-GB"/>
        </w:rPr>
      </w:pPr>
      <w:r w:rsidRPr="005920B6">
        <w:rPr>
          <w:lang w:val="en-GB"/>
        </w:rPr>
        <w:t xml:space="preserve">            </w:t>
      </w:r>
    </w:p>
    <w:p w14:paraId="21D73897" w14:textId="77777777" w:rsidR="00542197" w:rsidRPr="005920B6" w:rsidRDefault="00542197" w:rsidP="00542197">
      <w:pPr>
        <w:tabs>
          <w:tab w:val="left" w:pos="4065"/>
        </w:tabs>
        <w:spacing w:after="0" w:line="240" w:lineRule="auto"/>
        <w:ind w:left="360"/>
        <w:jc w:val="right"/>
        <w:rPr>
          <w:rFonts w:ascii="Arial" w:eastAsia="Times New Roman" w:hAnsi="Arial" w:cs="Arial"/>
          <w:b/>
          <w:lang w:val="en-GB"/>
        </w:rPr>
      </w:pPr>
    </w:p>
    <w:p w14:paraId="58A2B698" w14:textId="77777777" w:rsidR="00542197" w:rsidRPr="005920B6" w:rsidRDefault="00542197" w:rsidP="00542197">
      <w:pPr>
        <w:spacing w:after="0" w:line="240" w:lineRule="auto"/>
        <w:rPr>
          <w:b/>
          <w:lang w:val="en-GB"/>
        </w:rPr>
      </w:pPr>
    </w:p>
    <w:p w14:paraId="7543D8D5" w14:textId="77777777" w:rsidR="00542197" w:rsidRPr="005920B6" w:rsidRDefault="00542197" w:rsidP="00542197">
      <w:pPr>
        <w:rPr>
          <w:lang w:val="en-GB"/>
        </w:rPr>
      </w:pPr>
    </w:p>
    <w:p w14:paraId="46E247A2" w14:textId="77777777" w:rsidR="00542197" w:rsidRPr="005920B6" w:rsidRDefault="00542197" w:rsidP="00542197">
      <w:pPr>
        <w:tabs>
          <w:tab w:val="left" w:pos="1230"/>
          <w:tab w:val="left" w:pos="2580"/>
        </w:tabs>
        <w:rPr>
          <w:lang w:val="en-GB"/>
        </w:rPr>
      </w:pPr>
      <w:r w:rsidRPr="005920B6">
        <w:rPr>
          <w:rFonts w:ascii="Arial" w:eastAsia="Times New Roman" w:hAnsi="Arial" w:cs="Arial"/>
          <w:b/>
          <w:noProof/>
        </w:rPr>
        <mc:AlternateContent>
          <mc:Choice Requires="wps">
            <w:drawing>
              <wp:anchor distT="0" distB="0" distL="114300" distR="114300" simplePos="0" relativeHeight="251652096" behindDoc="0" locked="0" layoutInCell="1" allowOverlap="1" wp14:anchorId="72CF5418" wp14:editId="16DA0F36">
                <wp:simplePos x="0" y="0"/>
                <wp:positionH relativeFrom="column">
                  <wp:posOffset>87882</wp:posOffset>
                </wp:positionH>
                <wp:positionV relativeFrom="paragraph">
                  <wp:posOffset>2351896</wp:posOffset>
                </wp:positionV>
                <wp:extent cx="400050" cy="44132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51DC3C79" w14:textId="77777777" w:rsidR="00542197" w:rsidRPr="00F3423A" w:rsidRDefault="00542197" w:rsidP="00542197">
                            <w:pPr>
                              <w:pStyle w:val="NormalWeb"/>
                              <w:spacing w:after="0"/>
                              <w:jc w:val="center"/>
                              <w:textAlignment w:val="baseline"/>
                              <w:rPr>
                                <w:rFonts w:ascii="Calibri" w:hAnsi="Calibri" w:cs="Calibri"/>
                                <w:color w:val="4BACC6"/>
                                <w:sz w:val="56"/>
                                <w:szCs w:val="56"/>
                              </w:rPr>
                            </w:pPr>
                            <w:r w:rsidRPr="00F3423A">
                              <w:rPr>
                                <w:rFonts w:ascii="Calibri" w:eastAsia="Helvetica Light" w:hAnsi="Calibri" w:cs="Calibri"/>
                                <w:b/>
                                <w:bCs/>
                                <w:color w:val="4BACC6"/>
                                <w:kern w:val="24"/>
                                <w:sz w:val="56"/>
                                <w:szCs w:val="5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F5418" id="_x0000_t202" coordsize="21600,21600" o:spt="202" path="m,l,21600r21600,l21600,xe">
                <v:stroke joinstyle="miter"/>
                <v:path gradientshapeok="t" o:connecttype="rect"/>
              </v:shapetype>
              <v:shape id="TextBox 7" o:spid="_x0000_s1026" type="#_x0000_t202" style="position:absolute;margin-left:6.9pt;margin-top:185.2pt;width:31.5pt;height:3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" filled="f" stroked="f">
                <v:stroke dashstyle="dash"/>
                <v:textbox>
                  <w:txbxContent>
                    <w:p w14:paraId="51DC3C79" w14:textId="77777777" w:rsidR="00542197" w:rsidRPr="00F3423A" w:rsidRDefault="00542197" w:rsidP="00542197">
                      <w:pPr>
                        <w:pStyle w:val="NormalWeb"/>
                        <w:spacing w:after="0"/>
                        <w:jc w:val="center"/>
                        <w:textAlignment w:val="baseline"/>
                        <w:rPr>
                          <w:rFonts w:ascii="Calibri" w:hAnsi="Calibri" w:cs="Calibri"/>
                          <w:color w:val="4BACC6"/>
                          <w:sz w:val="56"/>
                          <w:szCs w:val="56"/>
                        </w:rPr>
                      </w:pPr>
                      <w:r w:rsidRPr="00F3423A">
                        <w:rPr>
                          <w:rFonts w:ascii="Calibri" w:eastAsia="Helvetica Light" w:hAnsi="Calibri" w:cs="Calibri"/>
                          <w:b/>
                          <w:bCs/>
                          <w:color w:val="4BACC6"/>
                          <w:kern w:val="24"/>
                          <w:sz w:val="56"/>
                          <w:szCs w:val="56"/>
                        </w:rPr>
                        <w:t>A</w:t>
                      </w:r>
                    </w:p>
                  </w:txbxContent>
                </v:textbox>
              </v:shape>
            </w:pict>
          </mc:Fallback>
        </mc:AlternateContent>
      </w:r>
      <w:r w:rsidRPr="005920B6">
        <w:rPr>
          <w:rFonts w:ascii="Arial" w:eastAsia="Times New Roman" w:hAnsi="Arial" w:cs="Arial"/>
          <w:b/>
          <w:noProof/>
          <w:color w:val="4BACC6"/>
        </w:rPr>
        <mc:AlternateContent>
          <mc:Choice Requires="wps">
            <w:drawing>
              <wp:anchor distT="0" distB="0" distL="114300" distR="114300" simplePos="0" relativeHeight="251654144" behindDoc="0" locked="0" layoutInCell="1" allowOverlap="1" wp14:anchorId="46865313" wp14:editId="2A2DCC2E">
                <wp:simplePos x="0" y="0"/>
                <wp:positionH relativeFrom="column">
                  <wp:posOffset>517585</wp:posOffset>
                </wp:positionH>
                <wp:positionV relativeFrom="paragraph">
                  <wp:posOffset>953710</wp:posOffset>
                </wp:positionV>
                <wp:extent cx="238125" cy="3295291"/>
                <wp:effectExtent l="0" t="0" r="28575" b="1968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3295291"/>
                        </a:xfrm>
                        <a:prstGeom prst="leftBrace">
                          <a:avLst>
                            <a:gd name="adj1" fmla="val 62333"/>
                            <a:gd name="adj2" fmla="val 50000"/>
                          </a:avLst>
                        </a:prstGeom>
                        <a:noFill/>
                        <a:ln w="19050">
                          <a:solidFill>
                            <a:srgbClr val="4BAC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E2C4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 o:spid="_x0000_s1026" type="#_x0000_t87" style="position:absolute;margin-left:40.75pt;margin-top:75.1pt;width:18.75pt;height:259.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" adj="973" strokecolor="#4bacc6" strokeweight="1.5pt"/>
            </w:pict>
          </mc:Fallback>
        </mc:AlternateContent>
      </w:r>
      <w:r w:rsidRPr="005920B6">
        <w:rPr>
          <w:lang w:val="en-GB"/>
        </w:rPr>
        <w:tab/>
      </w:r>
      <w:r w:rsidRPr="005920B6">
        <w:rPr>
          <w:lang w:val="en-GB"/>
        </w:rPr>
        <w:tab/>
      </w:r>
      <w:r w:rsidRPr="005920B6">
        <w:rPr>
          <w:noProof/>
        </w:rPr>
        <w:drawing>
          <wp:inline distT="0" distB="0" distL="0" distR="0" wp14:anchorId="39FED71B" wp14:editId="008EEAD9">
            <wp:extent cx="5086350" cy="4105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86350" cy="4105275"/>
                    </a:xfrm>
                    <a:prstGeom prst="rect">
                      <a:avLst/>
                    </a:prstGeom>
                  </pic:spPr>
                </pic:pic>
              </a:graphicData>
            </a:graphic>
          </wp:inline>
        </w:drawing>
      </w:r>
    </w:p>
    <w:tbl>
      <w:tblPr>
        <w:tblW w:w="10760" w:type="dxa"/>
        <w:tblLook w:val="04A0" w:firstRow="1" w:lastRow="0" w:firstColumn="1" w:lastColumn="0" w:noHBand="0" w:noVBand="1"/>
      </w:tblPr>
      <w:tblGrid>
        <w:gridCol w:w="1176"/>
        <w:gridCol w:w="1160"/>
        <w:gridCol w:w="960"/>
        <w:gridCol w:w="960"/>
        <w:gridCol w:w="960"/>
        <w:gridCol w:w="960"/>
        <w:gridCol w:w="960"/>
        <w:gridCol w:w="960"/>
        <w:gridCol w:w="960"/>
        <w:gridCol w:w="960"/>
        <w:gridCol w:w="960"/>
      </w:tblGrid>
      <w:tr w:rsidR="00542197" w:rsidRPr="005920B6" w14:paraId="6DCCC75B" w14:textId="77777777" w:rsidTr="003A5F1E">
        <w:trPr>
          <w:trHeight w:val="300"/>
        </w:trPr>
        <w:tc>
          <w:tcPr>
            <w:tcW w:w="960" w:type="dxa"/>
            <w:tcBorders>
              <w:top w:val="nil"/>
              <w:left w:val="nil"/>
              <w:bottom w:val="nil"/>
              <w:right w:val="nil"/>
            </w:tcBorders>
            <w:shd w:val="clear" w:color="auto" w:fill="auto"/>
            <w:noWrap/>
            <w:vAlign w:val="bottom"/>
            <w:hideMark/>
          </w:tcPr>
          <w:p w14:paraId="71E2ED30"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noProof/>
                <w:color w:val="000000"/>
              </w:rPr>
              <mc:AlternateContent>
                <mc:Choice Requires="wps">
                  <w:drawing>
                    <wp:anchor distT="0" distB="0" distL="114300" distR="114300" simplePos="0" relativeHeight="251656192" behindDoc="0" locked="0" layoutInCell="1" allowOverlap="1" wp14:anchorId="05D4379D" wp14:editId="39663F07">
                      <wp:simplePos x="0" y="0"/>
                      <wp:positionH relativeFrom="column">
                        <wp:posOffset>142875</wp:posOffset>
                      </wp:positionH>
                      <wp:positionV relativeFrom="paragraph">
                        <wp:posOffset>-28575</wp:posOffset>
                      </wp:positionV>
                      <wp:extent cx="647700" cy="762000"/>
                      <wp:effectExtent l="0" t="0" r="0" b="0"/>
                      <wp:wrapNone/>
                      <wp:docPr id="17" name="Text Box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4B652F5F-3611-4735-8D95-C20B2EC95C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0908DF7A" w14:textId="77777777" w:rsidR="00542197" w:rsidRDefault="00542197" w:rsidP="00542197">
                                  <w:pPr>
                                    <w:pStyle w:val="NormalWeb"/>
                                    <w:spacing w:after="0"/>
                                    <w:jc w:val="center"/>
                                    <w:textAlignment w:val="baseline"/>
                                  </w:pPr>
                                  <w:r>
                                    <w:rPr>
                                      <w:rFonts w:ascii="Calibri" w:eastAsia="Helvetica Light" w:hAnsi="Calibri" w:cstheme="minorBidi"/>
                                      <w:b/>
                                      <w:bCs/>
                                      <w:color w:val="4BACC6"/>
                                      <w:kern w:val="24"/>
                                      <w:sz w:val="56"/>
                                      <w:szCs w:val="5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4379D" id="Text Box 17" o:spid="_x0000_s1027" type="#_x0000_t202" style="position:absolute;margin-left:11.25pt;margin-top:-2.25pt;width:51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" filled="f" stroked="f">
                      <v:stroke dashstyle="dash"/>
                      <v:textbox>
                        <w:txbxContent>
                          <w:p w14:paraId="0908DF7A" w14:textId="77777777" w:rsidR="00542197" w:rsidRDefault="00542197" w:rsidP="00542197">
                            <w:pPr>
                              <w:pStyle w:val="NormalWeb"/>
                              <w:spacing w:after="0"/>
                              <w:jc w:val="center"/>
                              <w:textAlignment w:val="baseline"/>
                            </w:pPr>
                            <w:r>
                              <w:rPr>
                                <w:rFonts w:ascii="Calibri" w:eastAsia="Helvetica Light" w:hAnsi="Calibri" w:cstheme="minorBidi"/>
                                <w:b/>
                                <w:bCs/>
                                <w:color w:val="4BACC6"/>
                                <w:kern w:val="24"/>
                                <w:sz w:val="56"/>
                                <w:szCs w:val="56"/>
                              </w:rPr>
                              <w:t>A</w:t>
                            </w:r>
                          </w:p>
                        </w:txbxContent>
                      </v:textbox>
                    </v:shape>
                  </w:pict>
                </mc:Fallback>
              </mc:AlternateContent>
            </w:r>
            <w:r w:rsidRPr="005920B6">
              <w:rPr>
                <w:rFonts w:ascii="Calibri" w:eastAsia="Times New Roman" w:hAnsi="Calibri" w:cs="Calibri"/>
                <w:noProof/>
                <w:color w:val="000000"/>
              </w:rPr>
              <mc:AlternateContent>
                <mc:Choice Requires="wps">
                  <w:drawing>
                    <wp:anchor distT="0" distB="0" distL="114300" distR="114300" simplePos="0" relativeHeight="251658240" behindDoc="0" locked="0" layoutInCell="1" allowOverlap="1" wp14:anchorId="228CCF56" wp14:editId="0EFADE07">
                      <wp:simplePos x="0" y="0"/>
                      <wp:positionH relativeFrom="column">
                        <wp:posOffset>609600</wp:posOffset>
                      </wp:positionH>
                      <wp:positionV relativeFrom="paragraph">
                        <wp:posOffset>0</wp:posOffset>
                      </wp:positionV>
                      <wp:extent cx="5857875" cy="514350"/>
                      <wp:effectExtent l="0" t="0" r="0" b="0"/>
                      <wp:wrapNone/>
                      <wp:docPr id="16" name="Text Box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3F86AB3-C752-4468-8EFE-05336F0C8B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205EA" w14:textId="77777777" w:rsidR="00542197" w:rsidRDefault="00542197" w:rsidP="00542197">
                                  <w:pPr>
                                    <w:pStyle w:val="NormalWeb"/>
                                    <w:spacing w:after="0"/>
                                    <w:textAlignment w:val="baseline"/>
                                  </w:pPr>
                                  <w:r>
                                    <w:rPr>
                                      <w:rFonts w:ascii="Calibri" w:eastAsia="Helvetica Light" w:hAnsi="Calibri" w:cstheme="minorBidi"/>
                                      <w:b/>
                                      <w:bCs/>
                                      <w:color w:val="3898B2"/>
                                      <w:kern w:val="24"/>
                                      <w:sz w:val="22"/>
                                      <w:szCs w:val="22"/>
                                    </w:rPr>
                                    <w:t>This section of the CDR report discloses utilisation of project funds as of the reporting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CCF56" id="Text Box 16" o:spid="_x0000_s1028" type="#_x0000_t202" style="position:absolute;margin-left:48pt;margin-top:0;width:461.2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" filled="f" stroked="f">
                      <v:textbox>
                        <w:txbxContent>
                          <w:p w14:paraId="347205EA" w14:textId="77777777" w:rsidR="00542197" w:rsidRDefault="00542197" w:rsidP="00542197">
                            <w:pPr>
                              <w:pStyle w:val="NormalWeb"/>
                              <w:spacing w:after="0"/>
                              <w:textAlignment w:val="baseline"/>
                            </w:pPr>
                            <w:r>
                              <w:rPr>
                                <w:rFonts w:ascii="Calibri" w:eastAsia="Helvetica Light" w:hAnsi="Calibri" w:cstheme="minorBidi"/>
                                <w:b/>
                                <w:bCs/>
                                <w:color w:val="3898B2"/>
                                <w:kern w:val="24"/>
                                <w:sz w:val="22"/>
                                <w:szCs w:val="22"/>
                              </w:rPr>
                              <w:t>This section of the CDR report discloses utilisation of project funds as of the reporting period.</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542197" w:rsidRPr="005920B6" w14:paraId="34908DD0" w14:textId="77777777" w:rsidTr="003A5F1E">
              <w:trPr>
                <w:trHeight w:val="300"/>
                <w:tblCellSpacing w:w="0" w:type="dxa"/>
              </w:trPr>
              <w:tc>
                <w:tcPr>
                  <w:tcW w:w="960" w:type="dxa"/>
                  <w:tcBorders>
                    <w:top w:val="nil"/>
                    <w:left w:val="nil"/>
                    <w:bottom w:val="nil"/>
                    <w:right w:val="nil"/>
                  </w:tcBorders>
                  <w:shd w:val="clear" w:color="000000" w:fill="FFFFFF"/>
                  <w:noWrap/>
                  <w:vAlign w:val="bottom"/>
                  <w:hideMark/>
                </w:tcPr>
                <w:p w14:paraId="29B23463"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r>
          </w:tbl>
          <w:p w14:paraId="289D21DB" w14:textId="77777777" w:rsidR="00542197" w:rsidRPr="005920B6" w:rsidRDefault="00542197" w:rsidP="003A5F1E">
            <w:pPr>
              <w:spacing w:after="0" w:line="240" w:lineRule="auto"/>
              <w:rPr>
                <w:rFonts w:ascii="Calibri" w:eastAsia="Times New Roman" w:hAnsi="Calibri" w:cs="Calibri"/>
                <w:color w:val="000000"/>
                <w:lang w:val="en-GB"/>
              </w:rPr>
            </w:pPr>
          </w:p>
        </w:tc>
        <w:tc>
          <w:tcPr>
            <w:tcW w:w="1160" w:type="dxa"/>
            <w:tcBorders>
              <w:top w:val="nil"/>
              <w:left w:val="nil"/>
              <w:bottom w:val="nil"/>
              <w:right w:val="nil"/>
            </w:tcBorders>
            <w:shd w:val="clear" w:color="000000" w:fill="FFFFFF"/>
            <w:noWrap/>
            <w:vAlign w:val="bottom"/>
            <w:hideMark/>
          </w:tcPr>
          <w:p w14:paraId="2F28985D"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4369FE67"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54518E5B"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57CF2A33"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4192CB02"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3782D575"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3143B927"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0E22EA3B"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6C80A3D6"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1E1A30BF"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r>
      <w:tr w:rsidR="00542197" w:rsidRPr="005920B6" w14:paraId="72E7AD2B" w14:textId="77777777" w:rsidTr="003A5F1E">
        <w:trPr>
          <w:trHeight w:val="300"/>
        </w:trPr>
        <w:tc>
          <w:tcPr>
            <w:tcW w:w="960" w:type="dxa"/>
            <w:tcBorders>
              <w:top w:val="nil"/>
              <w:left w:val="nil"/>
              <w:bottom w:val="nil"/>
              <w:right w:val="nil"/>
            </w:tcBorders>
            <w:shd w:val="clear" w:color="000000" w:fill="FFFFFF"/>
            <w:noWrap/>
            <w:vAlign w:val="bottom"/>
            <w:hideMark/>
          </w:tcPr>
          <w:p w14:paraId="6408E232"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1160" w:type="dxa"/>
            <w:tcBorders>
              <w:top w:val="nil"/>
              <w:left w:val="nil"/>
              <w:bottom w:val="nil"/>
              <w:right w:val="nil"/>
            </w:tcBorders>
            <w:shd w:val="clear" w:color="000000" w:fill="FFFFFF"/>
            <w:noWrap/>
            <w:vAlign w:val="bottom"/>
            <w:hideMark/>
          </w:tcPr>
          <w:p w14:paraId="43DA86FC"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31793DD3"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13459E0C"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70CCF664"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021557D6"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07D769D0"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6E030576"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04F579D8"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58501315"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12F8EEA3"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r>
      <w:tr w:rsidR="00542197" w:rsidRPr="005920B6" w14:paraId="0CAE12E2" w14:textId="77777777" w:rsidTr="003A5F1E">
        <w:trPr>
          <w:trHeight w:val="300"/>
        </w:trPr>
        <w:tc>
          <w:tcPr>
            <w:tcW w:w="960" w:type="dxa"/>
            <w:tcBorders>
              <w:top w:val="nil"/>
              <w:left w:val="nil"/>
              <w:bottom w:val="nil"/>
              <w:right w:val="nil"/>
            </w:tcBorders>
            <w:shd w:val="clear" w:color="000000" w:fill="FFFFFF"/>
            <w:noWrap/>
            <w:vAlign w:val="bottom"/>
            <w:hideMark/>
          </w:tcPr>
          <w:p w14:paraId="3CEB2F2D"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1160" w:type="dxa"/>
            <w:tcBorders>
              <w:top w:val="nil"/>
              <w:left w:val="nil"/>
              <w:bottom w:val="nil"/>
              <w:right w:val="nil"/>
            </w:tcBorders>
            <w:shd w:val="clear" w:color="000000" w:fill="FFFFFF"/>
            <w:noWrap/>
            <w:vAlign w:val="bottom"/>
            <w:hideMark/>
          </w:tcPr>
          <w:p w14:paraId="257DA232"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5FC431A0"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04B0C2B0"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0C297B36"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2E686C9B"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771B53AB"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6E65AD65"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4DB9F9A5"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72AB15D1"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2870DBD4"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r>
      <w:tr w:rsidR="00542197" w:rsidRPr="005920B6" w14:paraId="1E97D420" w14:textId="77777777" w:rsidTr="003A5F1E">
        <w:trPr>
          <w:trHeight w:val="300"/>
        </w:trPr>
        <w:tc>
          <w:tcPr>
            <w:tcW w:w="960" w:type="dxa"/>
            <w:tcBorders>
              <w:top w:val="nil"/>
              <w:left w:val="nil"/>
              <w:bottom w:val="nil"/>
              <w:right w:val="nil"/>
            </w:tcBorders>
            <w:shd w:val="clear" w:color="000000" w:fill="FFFFFF"/>
            <w:noWrap/>
            <w:vAlign w:val="bottom"/>
            <w:hideMark/>
          </w:tcPr>
          <w:p w14:paraId="0D172ACB"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1160" w:type="dxa"/>
            <w:tcBorders>
              <w:top w:val="nil"/>
              <w:left w:val="nil"/>
              <w:bottom w:val="nil"/>
              <w:right w:val="nil"/>
            </w:tcBorders>
            <w:shd w:val="clear" w:color="000000" w:fill="FFFFFF"/>
            <w:noWrap/>
            <w:vAlign w:val="bottom"/>
            <w:hideMark/>
          </w:tcPr>
          <w:p w14:paraId="4CD1542F"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15976FE2"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6DABFEA6"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7A55266E"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2FB03B2E"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16DB18DF"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6E55EF96"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71D53FC1"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1CFBCF78"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0352E7EB"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r>
      <w:tr w:rsidR="00542197" w:rsidRPr="005920B6" w14:paraId="4AAEFBED" w14:textId="77777777" w:rsidTr="003A5F1E">
        <w:trPr>
          <w:trHeight w:val="300"/>
        </w:trPr>
        <w:tc>
          <w:tcPr>
            <w:tcW w:w="960" w:type="dxa"/>
            <w:tcBorders>
              <w:top w:val="nil"/>
              <w:left w:val="nil"/>
              <w:bottom w:val="nil"/>
              <w:right w:val="nil"/>
            </w:tcBorders>
            <w:shd w:val="clear" w:color="000000" w:fill="FFFFFF"/>
            <w:noWrap/>
            <w:vAlign w:val="bottom"/>
            <w:hideMark/>
          </w:tcPr>
          <w:p w14:paraId="41B19A7B"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1160" w:type="dxa"/>
            <w:tcBorders>
              <w:top w:val="nil"/>
              <w:left w:val="nil"/>
              <w:bottom w:val="nil"/>
              <w:right w:val="nil"/>
            </w:tcBorders>
            <w:shd w:val="clear" w:color="000000" w:fill="FFFFFF"/>
            <w:noWrap/>
            <w:vAlign w:val="bottom"/>
            <w:hideMark/>
          </w:tcPr>
          <w:p w14:paraId="55803CC5"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33A83479"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56F1D6CE"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16CA764E"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70293D2A"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791C6240"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50F223F7"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745A982A"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528C7081"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70C4D868"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r>
      <w:tr w:rsidR="00542197" w:rsidRPr="005920B6" w14:paraId="75DEE9C1" w14:textId="77777777" w:rsidTr="003A5F1E">
        <w:trPr>
          <w:trHeight w:val="300"/>
        </w:trPr>
        <w:tc>
          <w:tcPr>
            <w:tcW w:w="960" w:type="dxa"/>
            <w:tcBorders>
              <w:top w:val="nil"/>
              <w:left w:val="nil"/>
              <w:bottom w:val="nil"/>
              <w:right w:val="nil"/>
            </w:tcBorders>
            <w:shd w:val="clear" w:color="000000" w:fill="FFFFFF"/>
            <w:noWrap/>
            <w:vAlign w:val="bottom"/>
            <w:hideMark/>
          </w:tcPr>
          <w:p w14:paraId="36038D89"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1160" w:type="dxa"/>
            <w:tcBorders>
              <w:top w:val="nil"/>
              <w:left w:val="nil"/>
              <w:bottom w:val="nil"/>
              <w:right w:val="nil"/>
            </w:tcBorders>
            <w:shd w:val="clear" w:color="000000" w:fill="FFFFFF"/>
            <w:noWrap/>
            <w:vAlign w:val="bottom"/>
            <w:hideMark/>
          </w:tcPr>
          <w:p w14:paraId="4159A3D3"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26EEB470"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2E8CFDE9"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71F5A996"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7877C671"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2604CD12"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213BF44C"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1417C966"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6F9613F6"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c>
          <w:tcPr>
            <w:tcW w:w="960" w:type="dxa"/>
            <w:tcBorders>
              <w:top w:val="nil"/>
              <w:left w:val="nil"/>
              <w:bottom w:val="nil"/>
              <w:right w:val="nil"/>
            </w:tcBorders>
            <w:shd w:val="clear" w:color="000000" w:fill="FFFFFF"/>
            <w:noWrap/>
            <w:vAlign w:val="bottom"/>
            <w:hideMark/>
          </w:tcPr>
          <w:p w14:paraId="6B88B043" w14:textId="77777777" w:rsidR="00542197" w:rsidRPr="005920B6" w:rsidRDefault="00542197" w:rsidP="003A5F1E">
            <w:pPr>
              <w:spacing w:after="0" w:line="240" w:lineRule="auto"/>
              <w:rPr>
                <w:rFonts w:ascii="Calibri" w:eastAsia="Times New Roman" w:hAnsi="Calibri" w:cs="Calibri"/>
                <w:color w:val="000000"/>
                <w:lang w:val="en-GB"/>
              </w:rPr>
            </w:pPr>
            <w:r w:rsidRPr="005920B6">
              <w:rPr>
                <w:rFonts w:ascii="Calibri" w:eastAsia="Times New Roman" w:hAnsi="Calibri" w:cs="Calibri"/>
                <w:color w:val="000000"/>
                <w:lang w:val="en-GB"/>
              </w:rPr>
              <w:t> </w:t>
            </w:r>
          </w:p>
        </w:tc>
      </w:tr>
    </w:tbl>
    <w:p w14:paraId="03BA9537" w14:textId="77777777" w:rsidR="00542197" w:rsidRPr="005920B6" w:rsidRDefault="00542197" w:rsidP="00542197">
      <w:pPr>
        <w:tabs>
          <w:tab w:val="left" w:pos="1230"/>
          <w:tab w:val="left" w:pos="2580"/>
        </w:tabs>
        <w:rPr>
          <w:lang w:val="en-GB"/>
        </w:rPr>
      </w:pPr>
    </w:p>
    <w:p w14:paraId="27FB1B73" w14:textId="77777777" w:rsidR="00542197" w:rsidRPr="005920B6" w:rsidRDefault="00542197" w:rsidP="00542197">
      <w:pPr>
        <w:tabs>
          <w:tab w:val="left" w:pos="1230"/>
          <w:tab w:val="left" w:pos="2580"/>
        </w:tabs>
        <w:rPr>
          <w:lang w:val="en-GB"/>
        </w:rPr>
      </w:pPr>
    </w:p>
    <w:p w14:paraId="6758D4A8" w14:textId="77777777" w:rsidR="00542197" w:rsidRPr="005920B6" w:rsidRDefault="00542197" w:rsidP="00542197">
      <w:pPr>
        <w:tabs>
          <w:tab w:val="left" w:pos="1230"/>
          <w:tab w:val="left" w:pos="2580"/>
        </w:tabs>
        <w:rPr>
          <w:lang w:val="en-GB"/>
        </w:rPr>
      </w:pPr>
    </w:p>
    <w:p w14:paraId="55E30E9E" w14:textId="77777777" w:rsidR="00542197" w:rsidRPr="005920B6" w:rsidRDefault="00542197" w:rsidP="00542197">
      <w:pPr>
        <w:tabs>
          <w:tab w:val="left" w:pos="1230"/>
          <w:tab w:val="left" w:pos="2580"/>
        </w:tabs>
        <w:rPr>
          <w:lang w:val="en-GB"/>
        </w:rPr>
      </w:pPr>
    </w:p>
    <w:p w14:paraId="4838C93E" w14:textId="13A23BC9" w:rsidR="00FA0088" w:rsidRPr="00542197" w:rsidRDefault="00FA0088" w:rsidP="00542197"/>
    <w:sectPr w:rsidR="00FA0088" w:rsidRPr="00542197" w:rsidSect="00477E55">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8C955" w14:textId="77777777" w:rsidR="00C92E76" w:rsidRDefault="00C92E76" w:rsidP="00477E55">
      <w:pPr>
        <w:spacing w:after="0" w:line="240" w:lineRule="auto"/>
      </w:pPr>
      <w:r>
        <w:separator/>
      </w:r>
    </w:p>
  </w:endnote>
  <w:endnote w:type="continuationSeparator" w:id="0">
    <w:p w14:paraId="4838C956" w14:textId="77777777" w:rsidR="00C92E76" w:rsidRDefault="00C92E76" w:rsidP="0047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Light">
    <w:charset w:val="00"/>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8126"/>
      <w:docPartObj>
        <w:docPartGallery w:val="Page Numbers (Bottom of Page)"/>
        <w:docPartUnique/>
      </w:docPartObj>
    </w:sdtPr>
    <w:sdtEndPr/>
    <w:sdtContent>
      <w:p w14:paraId="4838C957" w14:textId="77777777" w:rsidR="00477E55" w:rsidRDefault="00040D5F">
        <w:pPr>
          <w:pStyle w:val="Footer"/>
          <w:jc w:val="right"/>
        </w:pPr>
        <w:r>
          <w:fldChar w:fldCharType="begin"/>
        </w:r>
        <w:r w:rsidR="001E7556">
          <w:instrText xml:space="preserve"> PAGE   \* MERGEFORMAT </w:instrText>
        </w:r>
        <w:r>
          <w:fldChar w:fldCharType="separate"/>
        </w:r>
        <w:r w:rsidR="00BF12DE">
          <w:rPr>
            <w:noProof/>
          </w:rPr>
          <w:t>4</w:t>
        </w:r>
        <w:r>
          <w:rPr>
            <w:noProof/>
          </w:rPr>
          <w:fldChar w:fldCharType="end"/>
        </w:r>
      </w:p>
    </w:sdtContent>
  </w:sdt>
  <w:p w14:paraId="4838C958" w14:textId="77777777" w:rsidR="00477E55" w:rsidRDefault="00477E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8C953" w14:textId="77777777" w:rsidR="00C92E76" w:rsidRDefault="00C92E76" w:rsidP="00477E55">
      <w:pPr>
        <w:spacing w:after="0" w:line="240" w:lineRule="auto"/>
      </w:pPr>
      <w:r>
        <w:separator/>
      </w:r>
    </w:p>
  </w:footnote>
  <w:footnote w:type="continuationSeparator" w:id="0">
    <w:p w14:paraId="4838C954" w14:textId="77777777" w:rsidR="00C92E76" w:rsidRDefault="00C92E76" w:rsidP="0047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1A0D"/>
    <w:multiLevelType w:val="hybridMultilevel"/>
    <w:tmpl w:val="38A6C6EA"/>
    <w:lvl w:ilvl="0" w:tplc="A790B2C2">
      <w:start w:val="1"/>
      <w:numFmt w:val="bullet"/>
      <w:lvlText w:val="•"/>
      <w:lvlJc w:val="left"/>
      <w:pPr>
        <w:tabs>
          <w:tab w:val="num" w:pos="720"/>
        </w:tabs>
        <w:ind w:left="720" w:hanging="360"/>
      </w:pPr>
      <w:rPr>
        <w:rFonts w:ascii="Arial" w:hAnsi="Arial" w:hint="default"/>
      </w:rPr>
    </w:lvl>
    <w:lvl w:ilvl="1" w:tplc="5948AE6A" w:tentative="1">
      <w:start w:val="1"/>
      <w:numFmt w:val="bullet"/>
      <w:lvlText w:val="•"/>
      <w:lvlJc w:val="left"/>
      <w:pPr>
        <w:tabs>
          <w:tab w:val="num" w:pos="1440"/>
        </w:tabs>
        <w:ind w:left="1440" w:hanging="360"/>
      </w:pPr>
      <w:rPr>
        <w:rFonts w:ascii="Arial" w:hAnsi="Arial" w:hint="default"/>
      </w:rPr>
    </w:lvl>
    <w:lvl w:ilvl="2" w:tplc="A8929E24" w:tentative="1">
      <w:start w:val="1"/>
      <w:numFmt w:val="bullet"/>
      <w:lvlText w:val="•"/>
      <w:lvlJc w:val="left"/>
      <w:pPr>
        <w:tabs>
          <w:tab w:val="num" w:pos="2160"/>
        </w:tabs>
        <w:ind w:left="2160" w:hanging="360"/>
      </w:pPr>
      <w:rPr>
        <w:rFonts w:ascii="Arial" w:hAnsi="Arial" w:hint="default"/>
      </w:rPr>
    </w:lvl>
    <w:lvl w:ilvl="3" w:tplc="5AEC7AB4" w:tentative="1">
      <w:start w:val="1"/>
      <w:numFmt w:val="bullet"/>
      <w:lvlText w:val="•"/>
      <w:lvlJc w:val="left"/>
      <w:pPr>
        <w:tabs>
          <w:tab w:val="num" w:pos="2880"/>
        </w:tabs>
        <w:ind w:left="2880" w:hanging="360"/>
      </w:pPr>
      <w:rPr>
        <w:rFonts w:ascii="Arial" w:hAnsi="Arial" w:hint="default"/>
      </w:rPr>
    </w:lvl>
    <w:lvl w:ilvl="4" w:tplc="C7B60844" w:tentative="1">
      <w:start w:val="1"/>
      <w:numFmt w:val="bullet"/>
      <w:lvlText w:val="•"/>
      <w:lvlJc w:val="left"/>
      <w:pPr>
        <w:tabs>
          <w:tab w:val="num" w:pos="3600"/>
        </w:tabs>
        <w:ind w:left="3600" w:hanging="360"/>
      </w:pPr>
      <w:rPr>
        <w:rFonts w:ascii="Arial" w:hAnsi="Arial" w:hint="default"/>
      </w:rPr>
    </w:lvl>
    <w:lvl w:ilvl="5" w:tplc="80F257D4" w:tentative="1">
      <w:start w:val="1"/>
      <w:numFmt w:val="bullet"/>
      <w:lvlText w:val="•"/>
      <w:lvlJc w:val="left"/>
      <w:pPr>
        <w:tabs>
          <w:tab w:val="num" w:pos="4320"/>
        </w:tabs>
        <w:ind w:left="4320" w:hanging="360"/>
      </w:pPr>
      <w:rPr>
        <w:rFonts w:ascii="Arial" w:hAnsi="Arial" w:hint="default"/>
      </w:rPr>
    </w:lvl>
    <w:lvl w:ilvl="6" w:tplc="C16CCFF6" w:tentative="1">
      <w:start w:val="1"/>
      <w:numFmt w:val="bullet"/>
      <w:lvlText w:val="•"/>
      <w:lvlJc w:val="left"/>
      <w:pPr>
        <w:tabs>
          <w:tab w:val="num" w:pos="5040"/>
        </w:tabs>
        <w:ind w:left="5040" w:hanging="360"/>
      </w:pPr>
      <w:rPr>
        <w:rFonts w:ascii="Arial" w:hAnsi="Arial" w:hint="default"/>
      </w:rPr>
    </w:lvl>
    <w:lvl w:ilvl="7" w:tplc="8D64D70C" w:tentative="1">
      <w:start w:val="1"/>
      <w:numFmt w:val="bullet"/>
      <w:lvlText w:val="•"/>
      <w:lvlJc w:val="left"/>
      <w:pPr>
        <w:tabs>
          <w:tab w:val="num" w:pos="5760"/>
        </w:tabs>
        <w:ind w:left="5760" w:hanging="360"/>
      </w:pPr>
      <w:rPr>
        <w:rFonts w:ascii="Arial" w:hAnsi="Arial" w:hint="default"/>
      </w:rPr>
    </w:lvl>
    <w:lvl w:ilvl="8" w:tplc="98B25E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0667999"/>
    <w:multiLevelType w:val="hybridMultilevel"/>
    <w:tmpl w:val="44B43480"/>
    <w:lvl w:ilvl="0" w:tplc="69F66020">
      <w:start w:val="1"/>
      <w:numFmt w:val="bullet"/>
      <w:lvlText w:val="•"/>
      <w:lvlJc w:val="left"/>
      <w:pPr>
        <w:tabs>
          <w:tab w:val="num" w:pos="720"/>
        </w:tabs>
        <w:ind w:left="720" w:hanging="360"/>
      </w:pPr>
      <w:rPr>
        <w:rFonts w:ascii="Arial" w:hAnsi="Arial" w:hint="default"/>
      </w:rPr>
    </w:lvl>
    <w:lvl w:ilvl="1" w:tplc="229C0408" w:tentative="1">
      <w:start w:val="1"/>
      <w:numFmt w:val="bullet"/>
      <w:lvlText w:val="•"/>
      <w:lvlJc w:val="left"/>
      <w:pPr>
        <w:tabs>
          <w:tab w:val="num" w:pos="1440"/>
        </w:tabs>
        <w:ind w:left="1440" w:hanging="360"/>
      </w:pPr>
      <w:rPr>
        <w:rFonts w:ascii="Arial" w:hAnsi="Arial" w:hint="default"/>
      </w:rPr>
    </w:lvl>
    <w:lvl w:ilvl="2" w:tplc="0FE8B19C" w:tentative="1">
      <w:start w:val="1"/>
      <w:numFmt w:val="bullet"/>
      <w:lvlText w:val="•"/>
      <w:lvlJc w:val="left"/>
      <w:pPr>
        <w:tabs>
          <w:tab w:val="num" w:pos="2160"/>
        </w:tabs>
        <w:ind w:left="2160" w:hanging="360"/>
      </w:pPr>
      <w:rPr>
        <w:rFonts w:ascii="Arial" w:hAnsi="Arial" w:hint="default"/>
      </w:rPr>
    </w:lvl>
    <w:lvl w:ilvl="3" w:tplc="247C22A6" w:tentative="1">
      <w:start w:val="1"/>
      <w:numFmt w:val="bullet"/>
      <w:lvlText w:val="•"/>
      <w:lvlJc w:val="left"/>
      <w:pPr>
        <w:tabs>
          <w:tab w:val="num" w:pos="2880"/>
        </w:tabs>
        <w:ind w:left="2880" w:hanging="360"/>
      </w:pPr>
      <w:rPr>
        <w:rFonts w:ascii="Arial" w:hAnsi="Arial" w:hint="default"/>
      </w:rPr>
    </w:lvl>
    <w:lvl w:ilvl="4" w:tplc="88A0C5C0" w:tentative="1">
      <w:start w:val="1"/>
      <w:numFmt w:val="bullet"/>
      <w:lvlText w:val="•"/>
      <w:lvlJc w:val="left"/>
      <w:pPr>
        <w:tabs>
          <w:tab w:val="num" w:pos="3600"/>
        </w:tabs>
        <w:ind w:left="3600" w:hanging="360"/>
      </w:pPr>
      <w:rPr>
        <w:rFonts w:ascii="Arial" w:hAnsi="Arial" w:hint="default"/>
      </w:rPr>
    </w:lvl>
    <w:lvl w:ilvl="5" w:tplc="ECFE4B48" w:tentative="1">
      <w:start w:val="1"/>
      <w:numFmt w:val="bullet"/>
      <w:lvlText w:val="•"/>
      <w:lvlJc w:val="left"/>
      <w:pPr>
        <w:tabs>
          <w:tab w:val="num" w:pos="4320"/>
        </w:tabs>
        <w:ind w:left="4320" w:hanging="360"/>
      </w:pPr>
      <w:rPr>
        <w:rFonts w:ascii="Arial" w:hAnsi="Arial" w:hint="default"/>
      </w:rPr>
    </w:lvl>
    <w:lvl w:ilvl="6" w:tplc="82568C32" w:tentative="1">
      <w:start w:val="1"/>
      <w:numFmt w:val="bullet"/>
      <w:lvlText w:val="•"/>
      <w:lvlJc w:val="left"/>
      <w:pPr>
        <w:tabs>
          <w:tab w:val="num" w:pos="5040"/>
        </w:tabs>
        <w:ind w:left="5040" w:hanging="360"/>
      </w:pPr>
      <w:rPr>
        <w:rFonts w:ascii="Arial" w:hAnsi="Arial" w:hint="default"/>
      </w:rPr>
    </w:lvl>
    <w:lvl w:ilvl="7" w:tplc="FE9651BE" w:tentative="1">
      <w:start w:val="1"/>
      <w:numFmt w:val="bullet"/>
      <w:lvlText w:val="•"/>
      <w:lvlJc w:val="left"/>
      <w:pPr>
        <w:tabs>
          <w:tab w:val="num" w:pos="5760"/>
        </w:tabs>
        <w:ind w:left="5760" w:hanging="360"/>
      </w:pPr>
      <w:rPr>
        <w:rFonts w:ascii="Arial" w:hAnsi="Arial" w:hint="default"/>
      </w:rPr>
    </w:lvl>
    <w:lvl w:ilvl="8" w:tplc="6B56202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84"/>
    <w:rsid w:val="00032A3E"/>
    <w:rsid w:val="00040D5F"/>
    <w:rsid w:val="00042A2C"/>
    <w:rsid w:val="000910E9"/>
    <w:rsid w:val="00097A72"/>
    <w:rsid w:val="000B4BFD"/>
    <w:rsid w:val="000F4EEA"/>
    <w:rsid w:val="001033F9"/>
    <w:rsid w:val="00120275"/>
    <w:rsid w:val="00120A5C"/>
    <w:rsid w:val="001220F2"/>
    <w:rsid w:val="001376C7"/>
    <w:rsid w:val="00142B90"/>
    <w:rsid w:val="001439C7"/>
    <w:rsid w:val="00160C04"/>
    <w:rsid w:val="00166147"/>
    <w:rsid w:val="001D307B"/>
    <w:rsid w:val="001E7556"/>
    <w:rsid w:val="001F7946"/>
    <w:rsid w:val="00216D81"/>
    <w:rsid w:val="00217D13"/>
    <w:rsid w:val="002A1494"/>
    <w:rsid w:val="002A561F"/>
    <w:rsid w:val="002A574C"/>
    <w:rsid w:val="002D092A"/>
    <w:rsid w:val="00333052"/>
    <w:rsid w:val="00346F21"/>
    <w:rsid w:val="0035401D"/>
    <w:rsid w:val="0037070A"/>
    <w:rsid w:val="0037127A"/>
    <w:rsid w:val="003A1801"/>
    <w:rsid w:val="003C254C"/>
    <w:rsid w:val="003D0E1F"/>
    <w:rsid w:val="003F23D4"/>
    <w:rsid w:val="00434C1D"/>
    <w:rsid w:val="00445D85"/>
    <w:rsid w:val="00477E55"/>
    <w:rsid w:val="004D3F25"/>
    <w:rsid w:val="004D6C46"/>
    <w:rsid w:val="00510C74"/>
    <w:rsid w:val="0053254F"/>
    <w:rsid w:val="00542197"/>
    <w:rsid w:val="00550BC4"/>
    <w:rsid w:val="00573085"/>
    <w:rsid w:val="0057390F"/>
    <w:rsid w:val="005A580B"/>
    <w:rsid w:val="005D0DB8"/>
    <w:rsid w:val="005D43DB"/>
    <w:rsid w:val="00601BFC"/>
    <w:rsid w:val="00612A69"/>
    <w:rsid w:val="006134A8"/>
    <w:rsid w:val="00621501"/>
    <w:rsid w:val="00661559"/>
    <w:rsid w:val="00677C4C"/>
    <w:rsid w:val="00680F73"/>
    <w:rsid w:val="006B1F62"/>
    <w:rsid w:val="006F7A3B"/>
    <w:rsid w:val="0071086F"/>
    <w:rsid w:val="00714031"/>
    <w:rsid w:val="0071619D"/>
    <w:rsid w:val="0072274C"/>
    <w:rsid w:val="00741C2A"/>
    <w:rsid w:val="00757666"/>
    <w:rsid w:val="00772B42"/>
    <w:rsid w:val="00790984"/>
    <w:rsid w:val="0079144D"/>
    <w:rsid w:val="007C21D2"/>
    <w:rsid w:val="007C6421"/>
    <w:rsid w:val="007C6F14"/>
    <w:rsid w:val="007C7CF0"/>
    <w:rsid w:val="007D6863"/>
    <w:rsid w:val="007E4899"/>
    <w:rsid w:val="008047D8"/>
    <w:rsid w:val="008364D6"/>
    <w:rsid w:val="00851322"/>
    <w:rsid w:val="00870A8F"/>
    <w:rsid w:val="00883468"/>
    <w:rsid w:val="008924E4"/>
    <w:rsid w:val="00894704"/>
    <w:rsid w:val="008C3673"/>
    <w:rsid w:val="008E27EB"/>
    <w:rsid w:val="00915B46"/>
    <w:rsid w:val="0094398D"/>
    <w:rsid w:val="00961A23"/>
    <w:rsid w:val="00973EF5"/>
    <w:rsid w:val="009A5026"/>
    <w:rsid w:val="009B1FE2"/>
    <w:rsid w:val="009B4BCC"/>
    <w:rsid w:val="009C21F4"/>
    <w:rsid w:val="009E3DA6"/>
    <w:rsid w:val="009E5C10"/>
    <w:rsid w:val="00A30865"/>
    <w:rsid w:val="00A87942"/>
    <w:rsid w:val="00AD6761"/>
    <w:rsid w:val="00B219CC"/>
    <w:rsid w:val="00B44AAB"/>
    <w:rsid w:val="00B65EFB"/>
    <w:rsid w:val="00B8491D"/>
    <w:rsid w:val="00B940F4"/>
    <w:rsid w:val="00BA26CD"/>
    <w:rsid w:val="00BC6097"/>
    <w:rsid w:val="00BF12DE"/>
    <w:rsid w:val="00BF178F"/>
    <w:rsid w:val="00C053FC"/>
    <w:rsid w:val="00C55FBE"/>
    <w:rsid w:val="00C92E76"/>
    <w:rsid w:val="00CA1BDB"/>
    <w:rsid w:val="00CB1AB2"/>
    <w:rsid w:val="00CB451C"/>
    <w:rsid w:val="00CB5D6F"/>
    <w:rsid w:val="00CC5481"/>
    <w:rsid w:val="00D241BF"/>
    <w:rsid w:val="00D25F72"/>
    <w:rsid w:val="00D35123"/>
    <w:rsid w:val="00DA5441"/>
    <w:rsid w:val="00DA6DA7"/>
    <w:rsid w:val="00DE5213"/>
    <w:rsid w:val="00E212DE"/>
    <w:rsid w:val="00E727B7"/>
    <w:rsid w:val="00E7495C"/>
    <w:rsid w:val="00EA2C76"/>
    <w:rsid w:val="00EA6749"/>
    <w:rsid w:val="00EB778E"/>
    <w:rsid w:val="00EF00B7"/>
    <w:rsid w:val="00F1691C"/>
    <w:rsid w:val="00F26D6C"/>
    <w:rsid w:val="00F3423A"/>
    <w:rsid w:val="00F51D0F"/>
    <w:rsid w:val="00F6297B"/>
    <w:rsid w:val="00F630EF"/>
    <w:rsid w:val="00FA0088"/>
    <w:rsid w:val="00FB0C5E"/>
    <w:rsid w:val="00FE4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38C90C"/>
  <w15:docId w15:val="{9BA0CA02-5E0F-40A2-B7C5-1B45C8AC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90984"/>
    <w:pPr>
      <w:spacing w:line="240" w:lineRule="auto"/>
    </w:pPr>
    <w:rPr>
      <w:sz w:val="20"/>
      <w:szCs w:val="20"/>
    </w:rPr>
  </w:style>
  <w:style w:type="character" w:customStyle="1" w:styleId="CommentTextChar">
    <w:name w:val="Comment Text Char"/>
    <w:basedOn w:val="DefaultParagraphFont"/>
    <w:link w:val="CommentText"/>
    <w:uiPriority w:val="99"/>
    <w:rsid w:val="00790984"/>
    <w:rPr>
      <w:rFonts w:eastAsiaTheme="minorEastAsia"/>
      <w:sz w:val="20"/>
      <w:szCs w:val="20"/>
    </w:rPr>
  </w:style>
  <w:style w:type="paragraph" w:styleId="BalloonText">
    <w:name w:val="Balloon Text"/>
    <w:basedOn w:val="Normal"/>
    <w:link w:val="BalloonTextChar"/>
    <w:uiPriority w:val="99"/>
    <w:semiHidden/>
    <w:unhideWhenUsed/>
    <w:rsid w:val="002A5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74C"/>
    <w:rPr>
      <w:rFonts w:ascii="Tahoma" w:eastAsiaTheme="minorEastAsia" w:hAnsi="Tahoma" w:cs="Tahoma"/>
      <w:sz w:val="16"/>
      <w:szCs w:val="16"/>
    </w:rPr>
  </w:style>
  <w:style w:type="paragraph" w:styleId="Header">
    <w:name w:val="header"/>
    <w:basedOn w:val="Normal"/>
    <w:link w:val="HeaderChar"/>
    <w:uiPriority w:val="99"/>
    <w:unhideWhenUsed/>
    <w:rsid w:val="00477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E55"/>
    <w:rPr>
      <w:rFonts w:eastAsiaTheme="minorEastAsia"/>
    </w:rPr>
  </w:style>
  <w:style w:type="paragraph" w:styleId="Footer">
    <w:name w:val="footer"/>
    <w:basedOn w:val="Normal"/>
    <w:link w:val="FooterChar"/>
    <w:uiPriority w:val="99"/>
    <w:unhideWhenUsed/>
    <w:rsid w:val="00477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E55"/>
    <w:rPr>
      <w:rFonts w:eastAsiaTheme="minorEastAsia"/>
    </w:rPr>
  </w:style>
  <w:style w:type="character" w:styleId="CommentReference">
    <w:name w:val="annotation reference"/>
    <w:basedOn w:val="DefaultParagraphFont"/>
    <w:uiPriority w:val="99"/>
    <w:semiHidden/>
    <w:unhideWhenUsed/>
    <w:rsid w:val="0037070A"/>
    <w:rPr>
      <w:sz w:val="16"/>
      <w:szCs w:val="16"/>
    </w:rPr>
  </w:style>
  <w:style w:type="paragraph" w:styleId="CommentSubject">
    <w:name w:val="annotation subject"/>
    <w:basedOn w:val="CommentText"/>
    <w:next w:val="CommentText"/>
    <w:link w:val="CommentSubjectChar"/>
    <w:uiPriority w:val="99"/>
    <w:semiHidden/>
    <w:unhideWhenUsed/>
    <w:rsid w:val="0037070A"/>
    <w:rPr>
      <w:b/>
      <w:bCs/>
    </w:rPr>
  </w:style>
  <w:style w:type="character" w:customStyle="1" w:styleId="CommentSubjectChar">
    <w:name w:val="Comment Subject Char"/>
    <w:basedOn w:val="CommentTextChar"/>
    <w:link w:val="CommentSubject"/>
    <w:uiPriority w:val="99"/>
    <w:semiHidden/>
    <w:rsid w:val="0037070A"/>
    <w:rPr>
      <w:rFonts w:eastAsiaTheme="minorEastAsia"/>
      <w:b/>
      <w:bCs/>
      <w:sz w:val="20"/>
      <w:szCs w:val="20"/>
    </w:rPr>
  </w:style>
  <w:style w:type="paragraph" w:styleId="NormalWeb">
    <w:name w:val="Normal (Web)"/>
    <w:basedOn w:val="Normal"/>
    <w:uiPriority w:val="99"/>
    <w:semiHidden/>
    <w:unhideWhenUsed/>
    <w:rsid w:val="00F3423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22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350</Value>
    </TaxCatchAll>
    <Location xmlns="e560140e-7b2f-4392-90df-e7567e3021a3">Public</Location>
    <UNDP_POPP_NOTE xmlns="8264c5cc-ec60-4b56-8111-ce635d3d139a"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CDR-Narrative-and-Report-2012</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POPP-11-1924</_dlc_DocId>
    <_dlc_DocIdUrl xmlns="8264c5cc-ec60-4b56-8111-ce635d3d139a">
      <Url>https://popp.undp.org/_layouts/15/DocIdRedir.aspx?ID=POPP-11-1924</Url>
      <Description>POPP-11-1924</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18F14-5AD7-445B-A3DD-92B05245C4B4}"/>
</file>

<file path=customXml/itemProps2.xml><?xml version="1.0" encoding="utf-8"?>
<ds:datastoreItem xmlns:ds="http://schemas.openxmlformats.org/officeDocument/2006/customXml" ds:itemID="{DEDFEE6F-C59F-4F7C-A76A-47B64C6B24B1}">
  <ds:schemaRefs>
    <ds:schemaRef ds:uri="8264c5cc-ec60-4b56-8111-ce635d3d139a"/>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e560140e-7b2f-4392-90df-e7567e3021a3"/>
    <ds:schemaRef ds:uri="http://schemas.microsoft.com/sharepoint/v3"/>
  </ds:schemaRefs>
</ds:datastoreItem>
</file>

<file path=customXml/itemProps3.xml><?xml version="1.0" encoding="utf-8"?>
<ds:datastoreItem xmlns:ds="http://schemas.openxmlformats.org/officeDocument/2006/customXml" ds:itemID="{F3B03FA1-768D-42B2-B48D-82A205D58391}">
  <ds:schemaRefs>
    <ds:schemaRef ds:uri="http://schemas.microsoft.com/sharepoint/v3/contenttype/forms"/>
  </ds:schemaRefs>
</ds:datastoreItem>
</file>

<file path=customXml/itemProps4.xml><?xml version="1.0" encoding="utf-8"?>
<ds:datastoreItem xmlns:ds="http://schemas.openxmlformats.org/officeDocument/2006/customXml" ds:itemID="{2C80460E-3EA7-4317-BA90-36639CFA14AB}">
  <ds:schemaRefs>
    <ds:schemaRef ds:uri="http://schemas.microsoft.com/sharepoint/events"/>
  </ds:schemaRefs>
</ds:datastoreItem>
</file>

<file path=customXml/itemProps5.xml><?xml version="1.0" encoding="utf-8"?>
<ds:datastoreItem xmlns:ds="http://schemas.openxmlformats.org/officeDocument/2006/customXml" ds:itemID="{66494012-45EF-4A2F-9E67-8A1FB920CB3B}">
  <ds:schemaRefs>
    <ds:schemaRef ds:uri="office.server.policy"/>
  </ds:schemaRefs>
</ds:datastoreItem>
</file>

<file path=customXml/itemProps6.xml><?xml version="1.0" encoding="utf-8"?>
<ds:datastoreItem xmlns:ds="http://schemas.openxmlformats.org/officeDocument/2006/customXml" ds:itemID="{FFC05633-84B4-4FCC-8E4C-D7B01C34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798</Words>
  <Characters>4553</Characters>
  <Application>Microsoft Office Word</Application>
  <DocSecurity>0</DocSecurity>
  <Lines>37</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CDR Narrative and Report 2012</vt:lpstr>
      <vt:lpstr>CDR Narrative and Report 2012</vt:lpstr>
    </vt:vector>
  </TitlesOfParts>
  <Company>UNDP BOM/OFA</Company>
  <LinksUpToDate>false</LinksUpToDate>
  <CharactersWithSpaces>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CDR Narrative and Report 2012</dc:title>
  <dc:creator>amat.o.kebbeh</dc:creator>
  <cp:lastModifiedBy>Jane Ashley Gagne</cp:lastModifiedBy>
  <cp:revision>5</cp:revision>
  <cp:lastPrinted>2011-11-09T21:21:00Z</cp:lastPrinted>
  <dcterms:created xsi:type="dcterms:W3CDTF">2016-06-21T05:55:00Z</dcterms:created>
  <dcterms:modified xsi:type="dcterms:W3CDTF">2018-07-05T21:21:00Z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44b61bec-4256-4eb5-8355-b4673ad6abc8</vt:lpwstr>
  </property>
  <property fmtid="{D5CDD505-2E9C-101B-9397-08002B2CF9AE}" pid="4" name="UNDPPOPPKeywords">
    <vt:lpwstr>595;#Financial Resources Management|8ae7ec9e-733a-4082-a484-4cd9e22ad653;#1148;#Combined Delivery Report|a8443aff-923b-4405-8356-5a8f712a1cfe</vt:lpwstr>
  </property>
  <property fmtid="{D5CDD505-2E9C-101B-9397-08002B2CF9AE}" pid="5" name="_dlc_DocId">
    <vt:lpwstr>UNDPGBL-552-35</vt:lpwstr>
  </property>
  <property fmtid="{D5CDD505-2E9C-101B-9397-08002B2CF9AE}" pid="6" name="_dlc_DocIdUrl">
    <vt:lpwstr>https://intranet.undp.org/global/documents/_layouts/DocIdRedir.aspx?ID=UNDPGBL-552-35, UNDPGBL-552-35</vt:lpwstr>
  </property>
  <property fmtid="{D5CDD505-2E9C-101B-9397-08002B2CF9AE}" pid="7" name="UNDP_POPP_BUSINESSUNIT">
    <vt:lpwstr>350;#Financial Resources Management|682d4c54-a288-412d-bfec-ce5587bbd25c</vt:lpwstr>
  </property>
  <property fmtid="{D5CDD505-2E9C-101B-9397-08002B2CF9AE}" pid="8" name="POPPBusinessProcess">
    <vt:lpwstr/>
  </property>
</Properties>
</file>