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5F7E" w14:textId="7F636322" w:rsidR="005C6637" w:rsidRPr="005C6637" w:rsidRDefault="005C6637" w:rsidP="005C6637">
      <w:pPr>
        <w:shd w:val="clear" w:color="auto" w:fill="FFFFFF"/>
        <w:spacing w:line="240" w:lineRule="auto"/>
        <w:textAlignment w:val="top"/>
        <w:rPr>
          <w:rFonts w:ascii="Calibri" w:eastAsia="MS Mincho" w:hAnsi="Calibri" w:cs="Times New Roman"/>
          <w:b/>
          <w:bCs/>
          <w:kern w:val="0"/>
          <w:sz w:val="28"/>
          <w:szCs w:val="22"/>
          <w:lang w:val="es-ES" w:eastAsia="ja-JP"/>
          <w14:ligatures w14:val="none"/>
        </w:rPr>
      </w:pPr>
      <w:r w:rsidRPr="005C6637">
        <w:rPr>
          <w:rFonts w:ascii="Calibri" w:eastAsia="MS Mincho" w:hAnsi="Calibri" w:cs="Times New Roman"/>
          <w:b/>
          <w:bCs/>
          <w:kern w:val="0"/>
          <w:sz w:val="28"/>
          <w:szCs w:val="22"/>
          <w:lang w:val="es-ES" w:eastAsia="ja-JP"/>
          <w14:ligatures w14:val="none"/>
        </w:rPr>
        <w:t xml:space="preserve">Pago </w:t>
      </w:r>
      <w:proofErr w:type="spellStart"/>
      <w:r>
        <w:rPr>
          <w:rFonts w:ascii="Calibri" w:eastAsia="MS Mincho" w:hAnsi="Calibri" w:cs="Times New Roman"/>
          <w:b/>
          <w:bCs/>
          <w:kern w:val="0"/>
          <w:sz w:val="28"/>
          <w:szCs w:val="22"/>
          <w:lang w:val="es-ES" w:eastAsia="ja-JP"/>
          <w14:ligatures w14:val="none"/>
        </w:rPr>
        <w:t>y</w:t>
      </w:r>
      <w:proofErr w:type="spellEnd"/>
      <w:r w:rsidRPr="005C6637">
        <w:rPr>
          <w:rFonts w:ascii="Calibri" w:eastAsia="MS Mincho" w:hAnsi="Calibri" w:cs="Times New Roman"/>
          <w:b/>
          <w:bCs/>
          <w:kern w:val="0"/>
          <w:sz w:val="28"/>
          <w:szCs w:val="22"/>
          <w:lang w:val="es-ES" w:eastAsia="ja-JP"/>
          <w14:ligatures w14:val="none"/>
        </w:rPr>
        <w:t xml:space="preserve"> impuestos</w:t>
      </w:r>
    </w:p>
    <w:p w14:paraId="3037273C" w14:textId="77777777" w:rsidR="005C6637" w:rsidRPr="005C6637" w:rsidRDefault="005C6637" w:rsidP="005C6637">
      <w:pPr>
        <w:shd w:val="clear" w:color="auto" w:fill="FFFFFF"/>
        <w:spacing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b/>
          <w:bCs/>
          <w:kern w:val="0"/>
          <w:sz w:val="22"/>
          <w:szCs w:val="22"/>
          <w:lang w:val="es-ES" w:eastAsia="ja-JP"/>
          <w14:ligatures w14:val="none"/>
        </w:rPr>
        <w:t>Pagos parciales y anticipados</w:t>
      </w:r>
    </w:p>
    <w:p w14:paraId="4EE9070E"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5CC09141"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Excepto en los casos en que las prácticas comerciales habituales o los intereses del PNUD lo requieran, no se efectuará una orden de compra ni un contrato por cuenta del PNUD que solicite un pago anticipado para la adquisición de bienes o la prestación de servicios contractuales. Si se acuerda obtener un pago anticipado, se deberán documentar todas las razones. Si el contrato exige un pago anticipado que supera los USD 30,000, se le pedirá al Proveedor que proporcione una garantía bancaria (válida por la duración del contrato) o un cheque certificado. El pago anticipado, en cualquier caso, no podrá superar el 20 % del monto total del contrato. Si se requiere un anticipo superior a 30.000 USD o al 20% del importe total del contrato, se requiere la aprobación previa de la OFM. Algunas actividades que pueden justificar un pago anticipado son (1) los costos de movilización (obras civiles); (2) los costos de puesta en marcha (servicios) o (3) los costos de diseño.</w:t>
      </w:r>
    </w:p>
    <w:p w14:paraId="62915D67"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7DB91CBE"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Todo interés devengado por un beneficiario sobre un pago anticipado por el PNUD podrá recuperarse y, cuando se pague un interés al PNUD, se acreditará a ingresos varios en las cuentas del PNUD.</w:t>
      </w:r>
    </w:p>
    <w:p w14:paraId="4190AD8B"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665E8589"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xml:space="preserve">En el caso de los pagos parciales, el RR o el/la </w:t>
      </w:r>
      <w:proofErr w:type="gramStart"/>
      <w:r w:rsidRPr="005C6637">
        <w:rPr>
          <w:rFonts w:ascii="Calibri" w:eastAsia="MS Mincho" w:hAnsi="Calibri" w:cs="Times New Roman"/>
          <w:kern w:val="0"/>
          <w:sz w:val="22"/>
          <w:szCs w:val="22"/>
          <w:lang w:val="es-ES" w:eastAsia="ja-JP"/>
          <w14:ligatures w14:val="none"/>
        </w:rPr>
        <w:t>Jefe</w:t>
      </w:r>
      <w:proofErr w:type="gramEnd"/>
      <w:r w:rsidRPr="005C6637">
        <w:rPr>
          <w:rFonts w:ascii="Calibri" w:eastAsia="MS Mincho" w:hAnsi="Calibri" w:cs="Times New Roman"/>
          <w:kern w:val="0"/>
          <w:sz w:val="22"/>
          <w:szCs w:val="22"/>
          <w:lang w:val="es-ES" w:eastAsia="ja-JP"/>
          <w14:ligatures w14:val="none"/>
        </w:rPr>
        <w:t>/a de la Unidad de negocio podrá, cuando corresponda (es decir, según los intereses del PNUD), autorizar dichos pagos. Los pagos parciales, no obstante, se vincularán a la finalización exitosa de entregables solicitados.</w:t>
      </w:r>
    </w:p>
    <w:p w14:paraId="5335C304"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50876005"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Para recuperar un pago anticipado, los pagos parciales y el pago final estarán sujetos a una deducción porcentual equivalente al porcentaje que representa el pago anticipado sobre el precio total del contrato.</w:t>
      </w:r>
    </w:p>
    <w:p w14:paraId="747B8B69"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42A0350E"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b/>
          <w:bCs/>
          <w:kern w:val="0"/>
          <w:sz w:val="22"/>
          <w:szCs w:val="22"/>
          <w:lang w:val="es-ES" w:eastAsia="ja-JP"/>
          <w14:ligatures w14:val="none"/>
        </w:rPr>
        <w:t>Impuestos</w:t>
      </w:r>
    </w:p>
    <w:p w14:paraId="172021F2"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46C2FBCF"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El PNUD, como órgano subsidiario de las Naciones Unidas, está exento de impuestos directos como el impuesto sobre la renta y tiene derecho al reembolso de los impuestos indirectos, como el impuesto sobre ventas y el IVA, en compras importantes. Esto proviene de la Convención sobre Prerrogativas e Inmunidades de las Naciones Unidas, adoptada por la Asamblea General en 1946 (Convención General), secciones 7 y 8, respectivamente.</w:t>
      </w:r>
    </w:p>
    <w:p w14:paraId="41430532"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p>
    <w:p w14:paraId="432B3691"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Mientras que en algunos países los Gobiernos han proporcionado una exención absoluta a los impuestos indirectos, en la mayoría de los países se les puede solicitar a las Unidades de negocio que paguen impuestos y luego soliciten su reembolso. Los Gobiernos tienen la obligación, según la Convención General, de proporcionar un método de reembolso para compras importantes. La política de las Naciones Unidas, incluido el PNUD, es que todas nuestras compras son "importantes", dado que son recurrentes y necesarias para que el PNUD lleve a cabo sus actividades oficiales. Las Oficinas de país deben cooperar con el Ministerio de Asuntos Exteriores para garantizar los reembolsos.</w:t>
      </w:r>
    </w:p>
    <w:p w14:paraId="6BD925A0" w14:textId="61926E72" w:rsidR="005C6637" w:rsidRPr="005C6637" w:rsidRDefault="005C6637" w:rsidP="00C56385">
      <w:pPr>
        <w:shd w:val="clear" w:color="auto" w:fill="FFFFFF"/>
        <w:tabs>
          <w:tab w:val="center" w:pos="4680"/>
        </w:tabs>
        <w:spacing w:after="0" w:line="240" w:lineRule="auto"/>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 </w:t>
      </w:r>
      <w:r>
        <w:rPr>
          <w:rFonts w:ascii="Calibri" w:eastAsia="MS Mincho" w:hAnsi="Calibri" w:cs="Times New Roman"/>
          <w:kern w:val="0"/>
          <w:sz w:val="22"/>
          <w:szCs w:val="22"/>
          <w:lang w:val="es-ES" w:eastAsia="ja-JP"/>
          <w14:ligatures w14:val="none"/>
        </w:rPr>
        <w:tab/>
      </w:r>
    </w:p>
    <w:p w14:paraId="048559DF" w14:textId="77777777" w:rsidR="005C6637" w:rsidRPr="00C56385"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lastRenderedPageBreak/>
        <w:t xml:space="preserve">Cualquier dificultad con respecto a la exención de impuestos o el reembolso de impuestos se debe remitir al </w:t>
      </w:r>
      <w:proofErr w:type="gramStart"/>
      <w:r w:rsidRPr="005C6637">
        <w:rPr>
          <w:rFonts w:ascii="Calibri" w:eastAsia="MS Mincho" w:hAnsi="Calibri" w:cs="Times New Roman"/>
          <w:kern w:val="0"/>
          <w:sz w:val="22"/>
          <w:szCs w:val="22"/>
          <w:lang w:val="es-ES" w:eastAsia="ja-JP"/>
          <w14:ligatures w14:val="none"/>
        </w:rPr>
        <w:t>Director</w:t>
      </w:r>
      <w:proofErr w:type="gramEnd"/>
      <w:r w:rsidRPr="005C6637">
        <w:rPr>
          <w:rFonts w:ascii="Calibri" w:eastAsia="MS Mincho" w:hAnsi="Calibri" w:cs="Times New Roman"/>
          <w:kern w:val="0"/>
          <w:sz w:val="22"/>
          <w:szCs w:val="22"/>
          <w:lang w:val="es-ES" w:eastAsia="ja-JP"/>
          <w14:ligatures w14:val="none"/>
        </w:rPr>
        <w:t xml:space="preserve"> de la Oficina de Asesoramiento Jurídico (OLS). </w:t>
      </w:r>
    </w:p>
    <w:p w14:paraId="060CFEC9" w14:textId="77777777" w:rsidR="005C6637" w:rsidRPr="005C6637" w:rsidRDefault="005C6637" w:rsidP="00C56385">
      <w:p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p>
    <w:p w14:paraId="0AD58579" w14:textId="77777777" w:rsidR="005C6637" w:rsidRPr="005C6637" w:rsidRDefault="005C6637" w:rsidP="005C6637">
      <w:pPr>
        <w:shd w:val="clear" w:color="auto" w:fill="FFFFFF"/>
        <w:spacing w:after="0" w:line="240" w:lineRule="auto"/>
        <w:textAlignment w:val="top"/>
        <w:rPr>
          <w:rFonts w:ascii="Calibri" w:eastAsia="Times New Roman" w:hAnsi="Calibri" w:cs="Arial"/>
          <w:color w:val="333333"/>
          <w:kern w:val="0"/>
          <w:sz w:val="22"/>
          <w:szCs w:val="22"/>
          <w:lang w:val="es-ES" w:eastAsia="ja-JP"/>
          <w14:ligatures w14:val="none"/>
        </w:rPr>
      </w:pPr>
      <w:r w:rsidRPr="005C6637">
        <w:rPr>
          <w:rFonts w:ascii="Calibri" w:eastAsia="MS Mincho" w:hAnsi="Calibri" w:cs="Times New Roman"/>
          <w:noProof/>
          <w:kern w:val="0"/>
          <w:sz w:val="22"/>
          <w:szCs w:val="22"/>
          <w14:ligatures w14:val="none"/>
        </w:rPr>
        <w:drawing>
          <wp:inline distT="0" distB="0" distL="0" distR="0" wp14:anchorId="1D6A7040" wp14:editId="1761043F">
            <wp:extent cx="5943600" cy="4476799"/>
            <wp:effectExtent l="0" t="0" r="0" b="0"/>
            <wp:docPr id="2125742313" name="Imagen 1" descr="C:\Users\Usuario\Desktop\PSU_Award and Management of Contract_Payment and Tax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7">
                      <a:extLst>
                        <a:ext uri="{28A0092B-C50C-407E-A947-70E740481C1C}">
                          <a14:useLocalDpi xmlns:a14="http://schemas.microsoft.com/office/drawing/2010/main" val="0"/>
                        </a:ext>
                      </a:extLst>
                    </a:blip>
                    <a:stretch>
                      <a:fillRect/>
                    </a:stretch>
                  </pic:blipFill>
                  <pic:spPr>
                    <a:xfrm>
                      <a:off x="0" y="0"/>
                      <a:ext cx="5943600" cy="4476799"/>
                    </a:xfrm>
                    <a:prstGeom prst="rect">
                      <a:avLst/>
                    </a:prstGeom>
                  </pic:spPr>
                </pic:pic>
              </a:graphicData>
            </a:graphic>
          </wp:inline>
        </w:drawing>
      </w:r>
    </w:p>
    <w:p w14:paraId="3C6E350B" w14:textId="77777777" w:rsidR="005C6637" w:rsidRPr="005C6637" w:rsidRDefault="005C6637" w:rsidP="005C6637">
      <w:pPr>
        <w:shd w:val="clear" w:color="auto" w:fill="FFFFFF"/>
        <w:spacing w:after="0" w:line="240" w:lineRule="auto"/>
        <w:textAlignment w:val="top"/>
        <w:rPr>
          <w:rFonts w:ascii="Calibri" w:eastAsia="Times New Roman" w:hAnsi="Calibri" w:cs="Arial"/>
          <w:color w:val="333333"/>
          <w:kern w:val="0"/>
          <w:sz w:val="22"/>
          <w:szCs w:val="22"/>
          <w:lang w:val="es-ES" w:eastAsia="ja-JP"/>
          <w14:ligatures w14:val="none"/>
        </w:rPr>
      </w:pPr>
      <w:bookmarkStart w:id="0" w:name="RelevantPolicies"/>
      <w:bookmarkStart w:id="1" w:name="Procedures"/>
      <w:bookmarkEnd w:id="0"/>
      <w:bookmarkEnd w:id="1"/>
    </w:p>
    <w:p w14:paraId="6AF5C8C6" w14:textId="77777777" w:rsidR="005C6637" w:rsidRPr="005C6637" w:rsidRDefault="005C6637" w:rsidP="005C6637">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5C6637">
        <w:rPr>
          <w:rFonts w:ascii="Calibri" w:eastAsia="MS Mincho" w:hAnsi="Calibri" w:cs="Times New Roman"/>
          <w:b/>
          <w:bCs/>
          <w:kern w:val="0"/>
          <w:sz w:val="22"/>
          <w:szCs w:val="22"/>
          <w:lang w:val="es-ES" w:eastAsia="ja-JP"/>
          <w14:ligatures w14:val="none"/>
        </w:rPr>
        <w:t>Términos de pago</w:t>
      </w:r>
    </w:p>
    <w:p w14:paraId="722455B4"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76F8CB4E" w14:textId="77777777" w:rsidR="005C6637" w:rsidRPr="005C6637" w:rsidRDefault="005C6637" w:rsidP="005C6637">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En el caso de los bienes, los pagos deben concordar con los términos de entrega. En todos los casos, excepto cuando se utilizan términos de entrega para DDU o DAF, se debe efectuar el pago dentro de los 30 días posteriores a la recepción de las facturas y los documentos de envío. Del mismo modo, cuando se utilizan términos de entrega para DDU o DAF para suministro, se podrá efectuar el pago dentro de los 30 días posteriores a la recepción de los bienes.</w:t>
      </w:r>
    </w:p>
    <w:p w14:paraId="419C6559" w14:textId="77777777" w:rsidR="005C6637" w:rsidRPr="005C6637" w:rsidRDefault="005C6637" w:rsidP="005C6637">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27E8E478" w14:textId="77777777"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es-ES" w:eastAsia="ja-JP"/>
          <w14:ligatures w14:val="none"/>
        </w:rPr>
      </w:pPr>
      <w:bookmarkStart w:id="2" w:name="Inputs"/>
      <w:bookmarkStart w:id="3" w:name="Deliverables"/>
      <w:bookmarkEnd w:id="2"/>
      <w:bookmarkEnd w:id="3"/>
      <w:r w:rsidRPr="005C6637">
        <w:rPr>
          <w:rFonts w:ascii="Calibri" w:eastAsia="MS Mincho" w:hAnsi="Calibri" w:cs="Times New Roman"/>
          <w:kern w:val="0"/>
          <w:sz w:val="22"/>
          <w:szCs w:val="22"/>
          <w:lang w:val="es-ES" w:eastAsia="ja-JP"/>
          <w14:ligatures w14:val="none"/>
        </w:rPr>
        <w:t>Pagos anticipados</w:t>
      </w:r>
    </w:p>
    <w:p w14:paraId="2C91A0F8" w14:textId="77777777"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Pagos parciales</w:t>
      </w:r>
    </w:p>
    <w:p w14:paraId="69D9079C" w14:textId="77777777"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Pagos por etapas</w:t>
      </w:r>
    </w:p>
    <w:p w14:paraId="4605CA62" w14:textId="77777777"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es-ES" w:eastAsia="ja-JP"/>
          <w14:ligatures w14:val="none"/>
        </w:rPr>
      </w:pPr>
      <w:r w:rsidRPr="005C6637">
        <w:rPr>
          <w:rFonts w:ascii="Calibri" w:eastAsia="MS Mincho" w:hAnsi="Calibri" w:cs="Times New Roman"/>
          <w:kern w:val="0"/>
          <w:sz w:val="22"/>
          <w:szCs w:val="22"/>
          <w:lang w:val="es-ES" w:eastAsia="ja-JP"/>
          <w14:ligatures w14:val="none"/>
        </w:rPr>
        <w:t>Impuestos</w:t>
      </w:r>
    </w:p>
    <w:p w14:paraId="6731DBDA" w14:textId="22DF1D91"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color w:val="0072BC"/>
          <w:kern w:val="0"/>
          <w:sz w:val="22"/>
          <w:szCs w:val="22"/>
          <w:lang w:val="es-ES" w:eastAsia="ja-JP"/>
          <w14:ligatures w14:val="none"/>
        </w:rPr>
      </w:pPr>
      <w:hyperlink r:id="rId8" w:history="1">
        <w:r w:rsidRPr="005C6637">
          <w:rPr>
            <w:rFonts w:ascii="Calibri" w:eastAsia="MS Mincho" w:hAnsi="Calibri" w:cs="Times New Roman"/>
            <w:color w:val="0563C1"/>
            <w:kern w:val="0"/>
            <w:sz w:val="22"/>
            <w:szCs w:val="22"/>
            <w:u w:val="single"/>
            <w:lang w:val="es-ES" w:eastAsia="ja-JP"/>
            <w14:ligatures w14:val="none"/>
          </w:rPr>
          <w:t>Convención sobre Prerrogativas e Inmunidades de las Naciones Unidas</w:t>
        </w:r>
      </w:hyperlink>
      <w:r w:rsidR="009E5608">
        <w:rPr>
          <w:rFonts w:ascii="Calibri" w:eastAsia="MS Mincho" w:hAnsi="Calibri" w:cs="Times New Roman"/>
          <w:kern w:val="0"/>
          <w:sz w:val="22"/>
          <w:szCs w:val="22"/>
          <w:lang w:val="es-ES" w:eastAsia="ja-JP"/>
          <w14:ligatures w14:val="none"/>
        </w:rPr>
        <w:t xml:space="preserve"> (</w:t>
      </w:r>
      <w:r w:rsidR="009E5608" w:rsidRPr="009E5608">
        <w:rPr>
          <w:rFonts w:ascii="Calibri" w:eastAsia="MS Mincho" w:hAnsi="Calibri" w:cs="Times New Roman"/>
          <w:kern w:val="0"/>
          <w:sz w:val="22"/>
          <w:szCs w:val="22"/>
          <w:lang w:val="es-ES" w:eastAsia="ja-JP"/>
          <w14:ligatures w14:val="none"/>
        </w:rPr>
        <w:t>en inglés</w:t>
      </w:r>
      <w:r w:rsidR="009E5608">
        <w:rPr>
          <w:rFonts w:ascii="Calibri" w:eastAsia="MS Mincho" w:hAnsi="Calibri" w:cs="Times New Roman"/>
          <w:kern w:val="0"/>
          <w:sz w:val="22"/>
          <w:szCs w:val="22"/>
          <w:lang w:val="es-ES" w:eastAsia="ja-JP"/>
          <w14:ligatures w14:val="none"/>
        </w:rPr>
        <w:t>)</w:t>
      </w:r>
      <w:r w:rsidRPr="005C6637">
        <w:rPr>
          <w:rFonts w:ascii="Calibri" w:eastAsia="MS Mincho" w:hAnsi="Calibri" w:cs="Times New Roman"/>
          <w:color w:val="0072BC"/>
          <w:kern w:val="0"/>
          <w:sz w:val="22"/>
          <w:szCs w:val="22"/>
          <w:lang w:val="es-ES" w:eastAsia="ja-JP"/>
          <w14:ligatures w14:val="none"/>
        </w:rPr>
        <w:t xml:space="preserve"> </w:t>
      </w:r>
    </w:p>
    <w:p w14:paraId="7ECC3A9E" w14:textId="77777777" w:rsidR="005C6637" w:rsidRPr="005C6637" w:rsidRDefault="005C6637" w:rsidP="005C6637">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es-ES" w:eastAsia="ja-JP"/>
          <w14:ligatures w14:val="none"/>
        </w:rPr>
      </w:pPr>
      <w:r w:rsidRPr="005C6637">
        <w:rPr>
          <w:rFonts w:ascii="Calibri" w:eastAsia="Times New Roman" w:hAnsi="Calibri" w:cs="Arial"/>
          <w:kern w:val="0"/>
          <w:sz w:val="22"/>
          <w:szCs w:val="22"/>
          <w:lang w:val="es-ES" w:eastAsia="ja-JP"/>
          <w14:ligatures w14:val="none"/>
        </w:rPr>
        <w:t>Elemento estructural – Información y herramientas adicionales</w:t>
      </w:r>
    </w:p>
    <w:p w14:paraId="34D03B68" w14:textId="77777777" w:rsidR="005C6637" w:rsidRDefault="005C6637" w:rsidP="005C6637">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7355FDFF" w14:textId="77777777" w:rsidR="005C6637" w:rsidRDefault="005C6637" w:rsidP="005C6637">
      <w:pPr>
        <w:shd w:val="clear" w:color="auto" w:fill="FFFFFF"/>
        <w:spacing w:after="0" w:line="240" w:lineRule="auto"/>
        <w:rPr>
          <w:rFonts w:ascii="Calibri" w:eastAsia="Times New Roman" w:hAnsi="Calibri" w:cs="Times New Roman"/>
          <w:i/>
          <w:iCs/>
          <w:color w:val="000000"/>
          <w:kern w:val="0"/>
          <w:sz w:val="22"/>
          <w:szCs w:val="22"/>
          <w:bdr w:val="none" w:sz="0" w:space="0" w:color="auto" w:frame="1"/>
          <w14:ligatures w14:val="none"/>
        </w:rPr>
      </w:pPr>
    </w:p>
    <w:p w14:paraId="7BF1CC56" w14:textId="21B9E369" w:rsidR="005C6637" w:rsidRPr="00C56385" w:rsidRDefault="005C6637" w:rsidP="00C56385">
      <w:pPr>
        <w:shd w:val="clear" w:color="auto" w:fill="FFFFFF"/>
        <w:spacing w:after="0" w:line="240" w:lineRule="auto"/>
        <w:rPr>
          <w:rFonts w:ascii="Calibri" w:eastAsia="Times New Roman" w:hAnsi="Calibri" w:cs="Times New Roman"/>
          <w:color w:val="201F1E"/>
          <w:kern w:val="0"/>
          <w:sz w:val="22"/>
          <w:szCs w:val="22"/>
          <w14:ligatures w14:val="none"/>
        </w:rPr>
      </w:pPr>
      <w:r w:rsidRPr="00C56385">
        <w:rPr>
          <w:rFonts w:ascii="Calibri" w:eastAsia="Times New Roman" w:hAnsi="Calibri" w:cs="Times New Roman"/>
          <w:b/>
          <w:bCs/>
          <w:i/>
          <w:iCs/>
          <w:color w:val="000000"/>
          <w:kern w:val="0"/>
          <w:sz w:val="22"/>
          <w:szCs w:val="22"/>
          <w:bdr w:val="none" w:sz="0" w:space="0" w:color="auto" w:frame="1"/>
          <w14:ligatures w14:val="none"/>
        </w:rPr>
        <w:lastRenderedPageBreak/>
        <w:t>Disclaimer:</w:t>
      </w:r>
      <w:r w:rsidRPr="00C56385">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0638F2B6" w14:textId="77777777" w:rsidR="005C6637" w:rsidRPr="00C56385" w:rsidRDefault="005C6637" w:rsidP="00C56385">
      <w:pPr>
        <w:shd w:val="clear" w:color="auto" w:fill="FFFFFF"/>
        <w:spacing w:after="0" w:line="240" w:lineRule="auto"/>
        <w:rPr>
          <w:rFonts w:ascii="Calibri" w:eastAsia="Times New Roman" w:hAnsi="Calibri" w:cs="Times New Roman"/>
          <w:color w:val="201F1E"/>
          <w:kern w:val="0"/>
          <w:sz w:val="22"/>
          <w:szCs w:val="22"/>
          <w14:ligatures w14:val="none"/>
        </w:rPr>
      </w:pPr>
      <w:r w:rsidRPr="00C56385">
        <w:rPr>
          <w:rFonts w:ascii="Calibri" w:eastAsia="Times New Roman" w:hAnsi="Calibri" w:cs="Times New Roman"/>
          <w:i/>
          <w:iCs/>
          <w:color w:val="000000"/>
          <w:kern w:val="0"/>
          <w:sz w:val="22"/>
          <w:szCs w:val="22"/>
          <w:bdr w:val="none" w:sz="0" w:space="0" w:color="auto" w:frame="1"/>
          <w14:ligatures w14:val="none"/>
        </w:rPr>
        <w:t> </w:t>
      </w:r>
    </w:p>
    <w:p w14:paraId="51C3E025" w14:textId="77777777" w:rsidR="005C6637" w:rsidRPr="00C56385" w:rsidRDefault="005C6637" w:rsidP="00C56385">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C56385">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56385">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56385">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627AD5D6" w14:textId="77777777" w:rsidR="005C6637" w:rsidRPr="005C6637" w:rsidRDefault="005C6637" w:rsidP="005C6637">
      <w:pPr>
        <w:shd w:val="clear" w:color="auto" w:fill="FFFFFF"/>
        <w:spacing w:before="240" w:after="100" w:afterAutospacing="1" w:line="240" w:lineRule="auto"/>
        <w:ind w:left="1800"/>
        <w:textAlignment w:val="top"/>
        <w:rPr>
          <w:rFonts w:ascii="Calibri" w:eastAsia="Times New Roman" w:hAnsi="Calibri" w:cs="Arial"/>
          <w:kern w:val="0"/>
          <w:sz w:val="22"/>
          <w:szCs w:val="22"/>
          <w:lang w:val="es-ES_tradnl" w:eastAsia="ja-JP"/>
          <w14:ligatures w14:val="none"/>
        </w:rPr>
      </w:pPr>
    </w:p>
    <w:p w14:paraId="157A07E7" w14:textId="77777777" w:rsidR="00DA504D" w:rsidRDefault="00DA504D"/>
    <w:sectPr w:rsidR="00DA504D" w:rsidSect="00C56385">
      <w:headerReference w:type="default" r:id="rId9"/>
      <w:footerReference w:type="default" r:id="rId10"/>
      <w:pgSz w:w="12240" w:h="15840"/>
      <w:pgMar w:top="195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5D60" w14:textId="77777777" w:rsidR="009E7483" w:rsidRDefault="009E7483" w:rsidP="005C6637">
      <w:pPr>
        <w:spacing w:after="0" w:line="240" w:lineRule="auto"/>
      </w:pPr>
      <w:r>
        <w:separator/>
      </w:r>
    </w:p>
  </w:endnote>
  <w:endnote w:type="continuationSeparator" w:id="0">
    <w:p w14:paraId="3CDF1453" w14:textId="77777777" w:rsidR="009E7483" w:rsidRDefault="009E7483" w:rsidP="005C6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D6E8" w14:textId="77777777" w:rsidR="005C6637" w:rsidRPr="00C56385" w:rsidRDefault="005C6637" w:rsidP="006A6310">
    <w:pPr>
      <w:rPr>
        <w:rFonts w:ascii="Calibri" w:hAnsi="Calibri" w:cs="Calibri"/>
        <w:sz w:val="22"/>
        <w:szCs w:val="22"/>
      </w:rPr>
    </w:pPr>
    <w:r w:rsidRPr="00C56385">
      <w:rPr>
        <w:rFonts w:ascii="Calibri" w:hAnsi="Calibri" w:cs="Calibri"/>
        <w:sz w:val="22"/>
        <w:szCs w:val="22"/>
      </w:rPr>
      <w:t xml:space="preserve">Página </w:t>
    </w:r>
    <w:r w:rsidRPr="00C56385">
      <w:rPr>
        <w:rFonts w:ascii="Calibri" w:hAnsi="Calibri" w:cs="Calibri"/>
        <w:b/>
        <w:bCs/>
        <w:sz w:val="22"/>
        <w:szCs w:val="22"/>
      </w:rPr>
      <w:fldChar w:fldCharType="begin"/>
    </w:r>
    <w:r w:rsidRPr="00C56385">
      <w:rPr>
        <w:rFonts w:ascii="Calibri" w:hAnsi="Calibri" w:cs="Calibri"/>
        <w:b/>
        <w:bCs/>
        <w:sz w:val="22"/>
        <w:szCs w:val="22"/>
      </w:rPr>
      <w:instrText>PAGE  \* Arabic  \* MERGEFORMAT</w:instrText>
    </w:r>
    <w:r w:rsidRPr="00C56385">
      <w:rPr>
        <w:rFonts w:ascii="Calibri" w:hAnsi="Calibri" w:cs="Calibri"/>
        <w:b/>
        <w:bCs/>
        <w:sz w:val="22"/>
        <w:szCs w:val="22"/>
      </w:rPr>
      <w:fldChar w:fldCharType="separate"/>
    </w:r>
    <w:r w:rsidRPr="00C56385">
      <w:rPr>
        <w:rFonts w:ascii="Calibri" w:hAnsi="Calibri" w:cs="Calibri"/>
        <w:b/>
        <w:bCs/>
        <w:noProof/>
        <w:sz w:val="22"/>
        <w:szCs w:val="22"/>
      </w:rPr>
      <w:t>1</w:t>
    </w:r>
    <w:r w:rsidRPr="00C56385">
      <w:rPr>
        <w:rFonts w:ascii="Calibri" w:hAnsi="Calibri" w:cs="Calibri"/>
        <w:b/>
        <w:bCs/>
        <w:sz w:val="22"/>
        <w:szCs w:val="22"/>
      </w:rPr>
      <w:fldChar w:fldCharType="end"/>
    </w:r>
    <w:r w:rsidRPr="00C56385">
      <w:rPr>
        <w:rFonts w:ascii="Calibri" w:hAnsi="Calibri" w:cs="Calibri"/>
        <w:sz w:val="22"/>
        <w:szCs w:val="22"/>
      </w:rPr>
      <w:t xml:space="preserve"> de </w:t>
    </w:r>
    <w:r w:rsidRPr="00C56385">
      <w:rPr>
        <w:rFonts w:ascii="Calibri" w:hAnsi="Calibri" w:cs="Calibri"/>
        <w:b/>
        <w:bCs/>
        <w:sz w:val="22"/>
        <w:szCs w:val="22"/>
      </w:rPr>
      <w:fldChar w:fldCharType="begin"/>
    </w:r>
    <w:r w:rsidRPr="00C56385">
      <w:rPr>
        <w:rFonts w:ascii="Calibri" w:hAnsi="Calibri" w:cs="Calibri"/>
        <w:b/>
        <w:bCs/>
        <w:sz w:val="22"/>
        <w:szCs w:val="22"/>
      </w:rPr>
      <w:instrText>NUMPAGES  \* Arabic  \* MERGEFORMAT</w:instrText>
    </w:r>
    <w:r w:rsidRPr="00C56385">
      <w:rPr>
        <w:rFonts w:ascii="Calibri" w:hAnsi="Calibri" w:cs="Calibri"/>
        <w:b/>
        <w:bCs/>
        <w:sz w:val="22"/>
        <w:szCs w:val="22"/>
      </w:rPr>
      <w:fldChar w:fldCharType="separate"/>
    </w:r>
    <w:r w:rsidRPr="00C56385">
      <w:rPr>
        <w:rFonts w:ascii="Calibri" w:hAnsi="Calibri" w:cs="Calibri"/>
        <w:b/>
        <w:bCs/>
        <w:noProof/>
        <w:sz w:val="22"/>
        <w:szCs w:val="22"/>
      </w:rPr>
      <w:t>3</w:t>
    </w:r>
    <w:r w:rsidRPr="00C56385">
      <w:rPr>
        <w:rFonts w:ascii="Calibri" w:hAnsi="Calibri" w:cs="Calibri"/>
        <w:b/>
        <w:bCs/>
        <w:sz w:val="22"/>
        <w:szCs w:val="22"/>
      </w:rPr>
      <w:fldChar w:fldCharType="end"/>
    </w:r>
    <w:r w:rsidRPr="00C56385">
      <w:rPr>
        <w:rFonts w:ascii="Calibri" w:hAnsi="Calibri" w:cs="Calibri"/>
        <w:sz w:val="22"/>
        <w:szCs w:val="22"/>
      </w:rPr>
      <w:ptab w:relativeTo="margin" w:alignment="center" w:leader="none"/>
    </w:r>
    <w:r w:rsidRPr="00C56385">
      <w:rPr>
        <w:rFonts w:ascii="Calibri" w:hAnsi="Calibri" w:cs="Calibri"/>
        <w:sz w:val="22"/>
        <w:szCs w:val="22"/>
      </w:rPr>
      <w:t xml:space="preserve"> </w:t>
    </w:r>
    <w:proofErr w:type="spellStart"/>
    <w:r w:rsidRPr="00C56385">
      <w:rPr>
        <w:rFonts w:ascii="Calibri" w:hAnsi="Calibri" w:cs="Calibri"/>
        <w:sz w:val="22"/>
        <w:szCs w:val="22"/>
      </w:rPr>
      <w:t>Fecha</w:t>
    </w:r>
    <w:proofErr w:type="spellEnd"/>
    <w:r w:rsidRPr="00C56385">
      <w:rPr>
        <w:rFonts w:ascii="Calibri" w:hAnsi="Calibri" w:cs="Calibri"/>
        <w:sz w:val="22"/>
        <w:szCs w:val="22"/>
      </w:rPr>
      <w:t xml:space="preserve"> de entrada </w:t>
    </w:r>
    <w:proofErr w:type="spellStart"/>
    <w:r w:rsidRPr="00C56385">
      <w:rPr>
        <w:rFonts w:ascii="Calibri" w:hAnsi="Calibri" w:cs="Calibri"/>
        <w:sz w:val="22"/>
        <w:szCs w:val="22"/>
      </w:rPr>
      <w:t>en</w:t>
    </w:r>
    <w:proofErr w:type="spellEnd"/>
    <w:r w:rsidRPr="00C56385">
      <w:rPr>
        <w:rFonts w:ascii="Calibri" w:hAnsi="Calibri" w:cs="Calibri"/>
        <w:sz w:val="22"/>
        <w:szCs w:val="22"/>
      </w:rPr>
      <w:t xml:space="preserve"> vigor: 27/07/2016</w:t>
    </w:r>
    <w:r w:rsidRPr="00C56385">
      <w:rPr>
        <w:rFonts w:ascii="Calibri" w:hAnsi="Calibri" w:cs="Calibri"/>
        <w:sz w:val="22"/>
        <w:szCs w:val="22"/>
      </w:rPr>
      <w:tab/>
    </w:r>
    <w:r w:rsidRPr="00C56385">
      <w:rPr>
        <w:rFonts w:ascii="Calibri" w:hAnsi="Calibri" w:cs="Calibri"/>
        <w:sz w:val="22"/>
        <w:szCs w:val="22"/>
      </w:rPr>
      <w:tab/>
      <w:t xml:space="preserve">       </w:t>
    </w:r>
    <w:proofErr w:type="spellStart"/>
    <w:r w:rsidRPr="00C56385">
      <w:rPr>
        <w:rFonts w:ascii="Calibri" w:hAnsi="Calibri" w:cs="Calibri"/>
        <w:sz w:val="22"/>
        <w:szCs w:val="22"/>
      </w:rPr>
      <w:t>Versión</w:t>
    </w:r>
    <w:proofErr w:type="spellEnd"/>
    <w:r w:rsidRPr="00C56385">
      <w:rPr>
        <w:rFonts w:ascii="Calibri" w:hAnsi="Calibri" w:cs="Calibri"/>
        <w:sz w:val="22"/>
        <w:szCs w:val="22"/>
      </w:rPr>
      <w:t xml:space="preserve"> #: 9</w:t>
    </w:r>
    <w:r w:rsidRPr="00C56385">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DE5E" w14:textId="77777777" w:rsidR="009E7483" w:rsidRDefault="009E7483" w:rsidP="005C6637">
      <w:pPr>
        <w:spacing w:after="0" w:line="240" w:lineRule="auto"/>
      </w:pPr>
      <w:r>
        <w:separator/>
      </w:r>
    </w:p>
  </w:footnote>
  <w:footnote w:type="continuationSeparator" w:id="0">
    <w:p w14:paraId="6957FDB0" w14:textId="77777777" w:rsidR="009E7483" w:rsidRDefault="009E7483" w:rsidP="005C6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3AFD" w14:textId="0DCC92C6" w:rsidR="005C6637" w:rsidRDefault="005C6637" w:rsidP="006A6310">
    <w:pPr>
      <w:pStyle w:val="Header"/>
      <w:jc w:val="right"/>
    </w:pPr>
    <w:r>
      <w:rPr>
        <w:noProof/>
      </w:rPr>
      <w:drawing>
        <wp:anchor distT="0" distB="0" distL="114300" distR="114300" simplePos="0" relativeHeight="251659264" behindDoc="0" locked="0" layoutInCell="1" allowOverlap="1" wp14:anchorId="28C399F7" wp14:editId="20E3CA3B">
          <wp:simplePos x="0" y="0"/>
          <wp:positionH relativeFrom="rightMargin">
            <wp:posOffset>-47549</wp:posOffset>
          </wp:positionH>
          <wp:positionV relativeFrom="paragraph">
            <wp:posOffset>14631</wp:posOffset>
          </wp:positionV>
          <wp:extent cx="283210" cy="553085"/>
          <wp:effectExtent l="0" t="0" r="2540" b="0"/>
          <wp:wrapNone/>
          <wp:docPr id="190528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296CAE6A" w14:textId="77777777" w:rsidR="005C6637" w:rsidRDefault="005C6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C91"/>
    <w:multiLevelType w:val="hybridMultilevel"/>
    <w:tmpl w:val="3E1C0E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2057CC4"/>
    <w:multiLevelType w:val="hybridMultilevel"/>
    <w:tmpl w:val="979228EE"/>
    <w:lvl w:ilvl="0" w:tplc="8DBAC17A">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44374401">
    <w:abstractNumId w:val="0"/>
  </w:num>
  <w:num w:numId="2" w16cid:durableId="494685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37"/>
    <w:rsid w:val="00526011"/>
    <w:rsid w:val="005C6637"/>
    <w:rsid w:val="00616F07"/>
    <w:rsid w:val="006F2D78"/>
    <w:rsid w:val="009E5608"/>
    <w:rsid w:val="009E7483"/>
    <w:rsid w:val="00C5638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C120D"/>
  <w15:chartTrackingRefBased/>
  <w15:docId w15:val="{DAA097BA-1B1B-4C4A-8C81-1F9D5988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37"/>
    <w:rPr>
      <w:rFonts w:eastAsiaTheme="majorEastAsia" w:cstheme="majorBidi"/>
      <w:color w:val="272727" w:themeColor="text1" w:themeTint="D8"/>
    </w:rPr>
  </w:style>
  <w:style w:type="paragraph" w:styleId="Title">
    <w:name w:val="Title"/>
    <w:basedOn w:val="Normal"/>
    <w:next w:val="Normal"/>
    <w:link w:val="TitleChar"/>
    <w:uiPriority w:val="10"/>
    <w:qFormat/>
    <w:rsid w:val="005C6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37"/>
    <w:pPr>
      <w:spacing w:before="160"/>
      <w:jc w:val="center"/>
    </w:pPr>
    <w:rPr>
      <w:i/>
      <w:iCs/>
      <w:color w:val="404040" w:themeColor="text1" w:themeTint="BF"/>
    </w:rPr>
  </w:style>
  <w:style w:type="character" w:customStyle="1" w:styleId="QuoteChar">
    <w:name w:val="Quote Char"/>
    <w:basedOn w:val="DefaultParagraphFont"/>
    <w:link w:val="Quote"/>
    <w:uiPriority w:val="29"/>
    <w:rsid w:val="005C6637"/>
    <w:rPr>
      <w:i/>
      <w:iCs/>
      <w:color w:val="404040" w:themeColor="text1" w:themeTint="BF"/>
    </w:rPr>
  </w:style>
  <w:style w:type="paragraph" w:styleId="ListParagraph">
    <w:name w:val="List Paragraph"/>
    <w:basedOn w:val="Normal"/>
    <w:uiPriority w:val="34"/>
    <w:qFormat/>
    <w:rsid w:val="005C6637"/>
    <w:pPr>
      <w:ind w:left="720"/>
      <w:contextualSpacing/>
    </w:pPr>
  </w:style>
  <w:style w:type="character" w:styleId="IntenseEmphasis">
    <w:name w:val="Intense Emphasis"/>
    <w:basedOn w:val="DefaultParagraphFont"/>
    <w:uiPriority w:val="21"/>
    <w:qFormat/>
    <w:rsid w:val="005C6637"/>
    <w:rPr>
      <w:i/>
      <w:iCs/>
      <w:color w:val="0F4761" w:themeColor="accent1" w:themeShade="BF"/>
    </w:rPr>
  </w:style>
  <w:style w:type="paragraph" w:styleId="IntenseQuote">
    <w:name w:val="Intense Quote"/>
    <w:basedOn w:val="Normal"/>
    <w:next w:val="Normal"/>
    <w:link w:val="IntenseQuoteChar"/>
    <w:uiPriority w:val="30"/>
    <w:qFormat/>
    <w:rsid w:val="005C6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37"/>
    <w:rPr>
      <w:i/>
      <w:iCs/>
      <w:color w:val="0F4761" w:themeColor="accent1" w:themeShade="BF"/>
    </w:rPr>
  </w:style>
  <w:style w:type="character" w:styleId="IntenseReference">
    <w:name w:val="Intense Reference"/>
    <w:basedOn w:val="DefaultParagraphFont"/>
    <w:uiPriority w:val="32"/>
    <w:qFormat/>
    <w:rsid w:val="005C6637"/>
    <w:rPr>
      <w:b/>
      <w:bCs/>
      <w:smallCaps/>
      <w:color w:val="0F4761" w:themeColor="accent1" w:themeShade="BF"/>
      <w:spacing w:val="5"/>
    </w:rPr>
  </w:style>
  <w:style w:type="paragraph" w:styleId="Header">
    <w:name w:val="header"/>
    <w:basedOn w:val="Normal"/>
    <w:link w:val="HeaderChar"/>
    <w:uiPriority w:val="99"/>
    <w:unhideWhenUsed/>
    <w:rsid w:val="005C6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637"/>
  </w:style>
  <w:style w:type="paragraph" w:styleId="Footer">
    <w:name w:val="footer"/>
    <w:basedOn w:val="Normal"/>
    <w:link w:val="FooterChar"/>
    <w:uiPriority w:val="99"/>
    <w:unhideWhenUsed/>
    <w:rsid w:val="005C6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637"/>
  </w:style>
  <w:style w:type="paragraph" w:styleId="Revision">
    <w:name w:val="Revision"/>
    <w:hidden/>
    <w:uiPriority w:val="99"/>
    <w:semiHidden/>
    <w:rsid w:val="005C6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fr/ethics/assets/pdfs/Convention%20of%20Privileges-Immunities%20of%20the%20UN.pd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2026-05-13T10:17:00Z</dcterms:created>
  <dcterms:modified xsi:type="dcterms:W3CDTF">2026-05-13T10:24:00Z</dcterms:modified>
</cp:coreProperties>
</file>