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7806" w14:textId="77777777" w:rsidR="004B4CA6" w:rsidRPr="00981A99" w:rsidRDefault="004B4CA6" w:rsidP="004B4CA6">
      <w:pPr>
        <w:spacing w:after="0" w:line="259" w:lineRule="auto"/>
        <w:ind w:left="14" w:firstLine="0"/>
        <w:jc w:val="left"/>
      </w:pPr>
      <w:r>
        <w:rPr>
          <w:b/>
          <w:sz w:val="28"/>
        </w:rPr>
        <w:t>Droits à prestations à la cessation de service</w:t>
      </w:r>
    </w:p>
    <w:p w14:paraId="67933686" w14:textId="77777777" w:rsidR="004B4CA6" w:rsidRPr="00981A99" w:rsidRDefault="004B4CA6" w:rsidP="004B4CA6">
      <w:pPr>
        <w:spacing w:after="12" w:line="259" w:lineRule="auto"/>
        <w:ind w:left="14" w:firstLine="0"/>
        <w:jc w:val="left"/>
      </w:pPr>
    </w:p>
    <w:p w14:paraId="159FA34D" w14:textId="77777777" w:rsidR="004B4CA6" w:rsidRPr="00981A99" w:rsidRDefault="004B4CA6" w:rsidP="004B4CA6">
      <w:pPr>
        <w:numPr>
          <w:ilvl w:val="0"/>
          <w:numId w:val="1"/>
        </w:numPr>
        <w:ind w:hanging="360"/>
      </w:pPr>
      <w:r>
        <w:t>Le présent document s’applique à tous les fonctionnaires du Programme des Nations Unies pour le développement (PNUD) gouvernés par le Statut et le Règlement du personnel des Nations Unies.</w:t>
      </w:r>
    </w:p>
    <w:p w14:paraId="284874AD" w14:textId="77777777" w:rsidR="004B4CA6" w:rsidRPr="00981A99" w:rsidRDefault="004B4CA6" w:rsidP="004B4CA6">
      <w:pPr>
        <w:spacing w:after="11" w:line="259" w:lineRule="auto"/>
        <w:ind w:left="734" w:firstLine="0"/>
        <w:jc w:val="left"/>
      </w:pPr>
    </w:p>
    <w:p w14:paraId="7EB0D10F" w14:textId="77777777" w:rsidR="004B4CA6" w:rsidRPr="00981A99" w:rsidRDefault="004B4CA6" w:rsidP="004B4CA6">
      <w:pPr>
        <w:numPr>
          <w:ilvl w:val="0"/>
          <w:numId w:val="1"/>
        </w:numPr>
        <w:spacing w:after="120" w:line="259" w:lineRule="auto"/>
        <w:ind w:hanging="360"/>
      </w:pPr>
      <w:r>
        <w:t>On trouvera ci-après un récapitulatif des prestations normalement dues aux fonctionnaires en cas de cessation de service :</w:t>
      </w:r>
    </w:p>
    <w:p w14:paraId="60511FD6" w14:textId="77777777" w:rsidR="004B4CA6" w:rsidRPr="00981A99" w:rsidRDefault="004B4CA6" w:rsidP="004B4CA6">
      <w:pPr>
        <w:numPr>
          <w:ilvl w:val="1"/>
          <w:numId w:val="1"/>
        </w:numPr>
        <w:spacing w:after="120"/>
        <w:ind w:hanging="360"/>
      </w:pPr>
      <w:proofErr w:type="gramStart"/>
      <w:r>
        <w:t>le</w:t>
      </w:r>
      <w:proofErr w:type="gramEnd"/>
      <w:r>
        <w:t xml:space="preserve"> versement des traitements et des indemnités impayés ;</w:t>
      </w:r>
    </w:p>
    <w:p w14:paraId="233F4A75" w14:textId="77777777" w:rsidR="004B4CA6" w:rsidRPr="00981A99" w:rsidRDefault="004B4CA6" w:rsidP="004B4CA6">
      <w:pPr>
        <w:numPr>
          <w:ilvl w:val="1"/>
          <w:numId w:val="1"/>
        </w:numPr>
        <w:spacing w:after="120"/>
        <w:ind w:hanging="360"/>
      </w:pPr>
      <w:proofErr w:type="gramStart"/>
      <w:r>
        <w:t>le</w:t>
      </w:r>
      <w:proofErr w:type="gramEnd"/>
      <w:r>
        <w:t xml:space="preserve"> paiement des congés annuels (AL) accumulés ne doit pas dépasser :</w:t>
      </w:r>
    </w:p>
    <w:p w14:paraId="4E182BB1" w14:textId="77777777" w:rsidR="004B4CA6" w:rsidRPr="00981A99" w:rsidRDefault="004B4CA6" w:rsidP="004B4CA6">
      <w:pPr>
        <w:numPr>
          <w:ilvl w:val="1"/>
          <w:numId w:val="3"/>
        </w:numPr>
        <w:spacing w:after="0" w:line="252" w:lineRule="auto"/>
        <w:ind w:left="2160" w:hanging="360"/>
      </w:pPr>
      <w:proofErr w:type="gramStart"/>
      <w:r>
        <w:t>soixante</w:t>
      </w:r>
      <w:proofErr w:type="gramEnd"/>
      <w:r>
        <w:t xml:space="preserve"> jours en cas d’engagement à titre permanent, continu, ou à durée déterminée en vertu du Règlement du personnel de l’Organisation des Nations Unies (ONU) ;</w:t>
      </w:r>
    </w:p>
    <w:p w14:paraId="10510031" w14:textId="77777777" w:rsidR="004B4CA6" w:rsidRPr="00981A99" w:rsidRDefault="004B4CA6" w:rsidP="004B4CA6">
      <w:pPr>
        <w:numPr>
          <w:ilvl w:val="1"/>
          <w:numId w:val="3"/>
        </w:numPr>
        <w:spacing w:after="120"/>
        <w:ind w:left="2160" w:hanging="360"/>
      </w:pPr>
      <w:proofErr w:type="gramStart"/>
      <w:r>
        <w:t>dix</w:t>
      </w:r>
      <w:proofErr w:type="gramEnd"/>
      <w:r>
        <w:t>-huit jours pour les fonctionnaires en engagement temporaire en vertu du Règlement du personnel des Nations Unies ;</w:t>
      </w:r>
    </w:p>
    <w:p w14:paraId="0E8117F1" w14:textId="77777777" w:rsidR="004B4CA6" w:rsidRPr="00981A99" w:rsidRDefault="004B4CA6" w:rsidP="004B4CA6">
      <w:pPr>
        <w:numPr>
          <w:ilvl w:val="1"/>
          <w:numId w:val="1"/>
        </w:numPr>
        <w:spacing w:after="120"/>
        <w:ind w:hanging="360"/>
      </w:pPr>
      <w:proofErr w:type="gramStart"/>
      <w:r>
        <w:t>les</w:t>
      </w:r>
      <w:proofErr w:type="gramEnd"/>
      <w:r>
        <w:t xml:space="preserve"> prestations de retraite, conformément aux Statuts de la Caisse commune des pensions du personnel des Nations Unies (UNJSPF), par l’intermédiaire du Secrétariat de la Caisse commune des pensions du personnel des Nations Unies ;</w:t>
      </w:r>
    </w:p>
    <w:p w14:paraId="09803E9D" w14:textId="77777777" w:rsidR="004B4CA6" w:rsidRPr="00981A99" w:rsidRDefault="004B4CA6" w:rsidP="004B4CA6">
      <w:pPr>
        <w:numPr>
          <w:ilvl w:val="1"/>
          <w:numId w:val="1"/>
        </w:numPr>
        <w:spacing w:after="120"/>
        <w:ind w:hanging="360"/>
      </w:pPr>
      <w:proofErr w:type="gramStart"/>
      <w:r>
        <w:t>l’assurance</w:t>
      </w:r>
      <w:proofErr w:type="gramEnd"/>
      <w:r>
        <w:t xml:space="preserve"> maladie après la cessation de service (ASHI) pour les fonctionnaires éligibles ;</w:t>
      </w:r>
    </w:p>
    <w:p w14:paraId="17EEBA25" w14:textId="77777777" w:rsidR="004B4CA6" w:rsidRPr="00981A99" w:rsidRDefault="004B4CA6" w:rsidP="004B4CA6">
      <w:pPr>
        <w:numPr>
          <w:ilvl w:val="1"/>
          <w:numId w:val="1"/>
        </w:numPr>
        <w:spacing w:after="120"/>
        <w:ind w:hanging="360"/>
      </w:pPr>
      <w:proofErr w:type="gramStart"/>
      <w:r>
        <w:t>l’assurance</w:t>
      </w:r>
      <w:proofErr w:type="gramEnd"/>
      <w:r>
        <w:t xml:space="preserve"> vie après la cessation de service (ASLI), le cas échéant ;</w:t>
      </w:r>
    </w:p>
    <w:p w14:paraId="3C67DE41" w14:textId="77777777" w:rsidR="004B4CA6" w:rsidRPr="00981A99" w:rsidRDefault="004B4CA6" w:rsidP="004B4CA6">
      <w:pPr>
        <w:numPr>
          <w:ilvl w:val="1"/>
          <w:numId w:val="1"/>
        </w:numPr>
        <w:spacing w:after="120"/>
        <w:ind w:hanging="360"/>
      </w:pPr>
      <w:proofErr w:type="gramStart"/>
      <w:r>
        <w:t>toute</w:t>
      </w:r>
      <w:proofErr w:type="gramEnd"/>
      <w:r>
        <w:t xml:space="preserve"> indemnité due en vertu de </w:t>
      </w:r>
      <w:hyperlink r:id="rId7" w:anchor="AppendiceD" w:history="1">
        <w:r w:rsidRPr="009064AB">
          <w:rPr>
            <w:rStyle w:val="Hyperlink"/>
          </w:rPr>
          <w:t>l’appendice D</w:t>
        </w:r>
      </w:hyperlink>
      <w:r>
        <w:t xml:space="preserve"> du Règlement du personnel des Nations Unies ;</w:t>
      </w:r>
    </w:p>
    <w:p w14:paraId="77C64205" w14:textId="77777777" w:rsidR="004B4CA6" w:rsidRPr="00981A99" w:rsidRDefault="004B4CA6" w:rsidP="004B4CA6">
      <w:pPr>
        <w:numPr>
          <w:ilvl w:val="1"/>
          <w:numId w:val="1"/>
        </w:numPr>
        <w:spacing w:after="120"/>
        <w:ind w:hanging="360"/>
      </w:pPr>
      <w:proofErr w:type="gramStart"/>
      <w:r>
        <w:t>le</w:t>
      </w:r>
      <w:proofErr w:type="gramEnd"/>
      <w:r>
        <w:t xml:space="preserve"> voyage de retour pour le fonctionnaire admissible et les membres de sa famille ;</w:t>
      </w:r>
    </w:p>
    <w:p w14:paraId="0BDFB4ED" w14:textId="77777777" w:rsidR="004B4CA6" w:rsidRPr="00981A99" w:rsidRDefault="004B4CA6" w:rsidP="004B4CA6">
      <w:pPr>
        <w:numPr>
          <w:ilvl w:val="1"/>
          <w:numId w:val="1"/>
        </w:numPr>
        <w:spacing w:after="120"/>
        <w:ind w:hanging="360"/>
      </w:pPr>
      <w:proofErr w:type="gramStart"/>
      <w:r>
        <w:t>les</w:t>
      </w:r>
      <w:proofErr w:type="gramEnd"/>
      <w:r>
        <w:t xml:space="preserve"> frais de transport des effets personnels et des appareils ménagers pour le personnel admissible ;</w:t>
      </w:r>
    </w:p>
    <w:p w14:paraId="202CAC5C" w14:textId="77777777" w:rsidR="004B4CA6" w:rsidRPr="00981A99" w:rsidRDefault="004B4CA6" w:rsidP="004B4CA6">
      <w:pPr>
        <w:numPr>
          <w:ilvl w:val="1"/>
          <w:numId w:val="1"/>
        </w:numPr>
        <w:ind w:hanging="360"/>
      </w:pPr>
      <w:proofErr w:type="gramStart"/>
      <w:r>
        <w:t>le</w:t>
      </w:r>
      <w:proofErr w:type="gramEnd"/>
      <w:r>
        <w:t xml:space="preserve"> paiement d’une prime de rapatriement (RG) au fonctionnaire éligible.</w:t>
      </w:r>
    </w:p>
    <w:p w14:paraId="6CDD0B1A" w14:textId="77777777" w:rsidR="004B4CA6" w:rsidRPr="00981A99" w:rsidRDefault="004B4CA6" w:rsidP="004B4CA6">
      <w:pPr>
        <w:spacing w:after="11" w:line="259" w:lineRule="auto"/>
        <w:ind w:left="734" w:firstLine="0"/>
        <w:jc w:val="left"/>
      </w:pPr>
    </w:p>
    <w:p w14:paraId="76FFE1CC" w14:textId="77777777" w:rsidR="004B4CA6" w:rsidRPr="00981A99" w:rsidRDefault="004B4CA6" w:rsidP="004B4CA6">
      <w:pPr>
        <w:numPr>
          <w:ilvl w:val="0"/>
          <w:numId w:val="1"/>
        </w:numPr>
        <w:spacing w:after="120" w:line="252" w:lineRule="auto"/>
        <w:ind w:hanging="360"/>
      </w:pPr>
      <w:r>
        <w:t>Le tableau ci-dessous résume les droits dus aux membres de la famille ou bénéficiaires survivants d’un fonctionnaire qui décède :</w:t>
      </w:r>
    </w:p>
    <w:p w14:paraId="51864AF7"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tout traitement impayé et des indemnités dues au fonctionnaire au moment du décès, à ses bénéficiaires selon le pourcentage indiqué sur le formulaire </w:t>
      </w:r>
      <w:hyperlink r:id="rId8" w:history="1">
        <w:r w:rsidRPr="009064AB">
          <w:rPr>
            <w:rStyle w:val="Hyperlink"/>
          </w:rPr>
          <w:t>P-2 Désignation, modification ou révocation du bénéficiaire de l’ONU </w:t>
        </w:r>
      </w:hyperlink>
      <w:r>
        <w:t xml:space="preserve"> (en anglais</w:t>
      </w:r>
      <w:proofErr w:type="gramStart"/>
      <w:r>
        <w:t>);</w:t>
      </w:r>
      <w:proofErr w:type="gramEnd"/>
    </w:p>
    <w:p w14:paraId="27F6C950" w14:textId="77777777" w:rsidR="004B4CA6" w:rsidRPr="00981A99" w:rsidRDefault="004B4CA6" w:rsidP="004B4CA6">
      <w:pPr>
        <w:numPr>
          <w:ilvl w:val="1"/>
          <w:numId w:val="1"/>
        </w:numPr>
        <w:spacing w:after="120" w:line="252" w:lineRule="auto"/>
        <w:ind w:hanging="360"/>
      </w:pPr>
      <w:proofErr w:type="gramStart"/>
      <w:r>
        <w:lastRenderedPageBreak/>
        <w:t>le</w:t>
      </w:r>
      <w:proofErr w:type="gramEnd"/>
      <w:r>
        <w:t xml:space="preserve"> paiement de tout congé annuel accumulé jusqu’à un maximum de 60/45 jours aux bénéficiaires selon le pourcentage indiqué sur le formulaire </w:t>
      </w:r>
      <w:hyperlink r:id="rId9" w:history="1">
        <w:r w:rsidRPr="009064AB">
          <w:rPr>
            <w:rStyle w:val="Hyperlink"/>
          </w:rPr>
          <w:t>P-2 Désignation, modification ou révocation du bénéficiaire de l’ONU </w:t>
        </w:r>
      </w:hyperlink>
      <w:r>
        <w:t xml:space="preserve"> (en anglais</w:t>
      </w:r>
      <w:proofErr w:type="gramStart"/>
      <w:r>
        <w:t>);</w:t>
      </w:r>
      <w:proofErr w:type="gramEnd"/>
    </w:p>
    <w:p w14:paraId="4195C4E6" w14:textId="77777777" w:rsidR="004B4CA6" w:rsidRPr="00981A99" w:rsidRDefault="004B4CA6" w:rsidP="004B4CA6">
      <w:pPr>
        <w:numPr>
          <w:ilvl w:val="1"/>
          <w:numId w:val="1"/>
        </w:numPr>
        <w:spacing w:after="120" w:line="252" w:lineRule="auto"/>
        <w:ind w:hanging="360"/>
      </w:pPr>
      <w:proofErr w:type="gramStart"/>
      <w:r>
        <w:t>les</w:t>
      </w:r>
      <w:proofErr w:type="gramEnd"/>
      <w:r>
        <w:t xml:space="preserve"> prestations de retraite, conformément aux Statuts de l’UNJSPF ;</w:t>
      </w:r>
    </w:p>
    <w:p w14:paraId="29AF864B" w14:textId="77777777" w:rsidR="004B4CA6" w:rsidRPr="00981A99" w:rsidRDefault="004B4CA6" w:rsidP="004B4CA6">
      <w:pPr>
        <w:numPr>
          <w:ilvl w:val="1"/>
          <w:numId w:val="1"/>
        </w:numPr>
        <w:spacing w:after="120" w:line="252" w:lineRule="auto"/>
        <w:ind w:hanging="360"/>
      </w:pPr>
      <w:proofErr w:type="gramStart"/>
      <w:r>
        <w:t>la</w:t>
      </w:r>
      <w:proofErr w:type="gramEnd"/>
      <w:r>
        <w:t xml:space="preserve"> couverture ASHI pour les familles survivantes éligibles ;</w:t>
      </w:r>
    </w:p>
    <w:p w14:paraId="4DBFC3D0"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l’assurance-vie, le cas échéant ;</w:t>
      </w:r>
    </w:p>
    <w:p w14:paraId="50C7D0DD" w14:textId="77777777" w:rsidR="004B4CA6" w:rsidRPr="00981A99" w:rsidRDefault="004B4CA6" w:rsidP="004B4CA6">
      <w:pPr>
        <w:numPr>
          <w:ilvl w:val="1"/>
          <w:numId w:val="1"/>
        </w:numPr>
        <w:spacing w:after="120" w:line="252" w:lineRule="auto"/>
        <w:ind w:hanging="360"/>
      </w:pPr>
      <w:proofErr w:type="gramStart"/>
      <w:r>
        <w:t>l’indemnisation</w:t>
      </w:r>
      <w:proofErr w:type="gramEnd"/>
      <w:r>
        <w:t xml:space="preserve"> selon </w:t>
      </w:r>
      <w:hyperlink r:id="rId10" w:anchor="AppendiceD" w:history="1">
        <w:r w:rsidRPr="009064AB">
          <w:rPr>
            <w:rStyle w:val="Hyperlink"/>
          </w:rPr>
          <w:t>l’appendice D</w:t>
        </w:r>
      </w:hyperlink>
      <w:r>
        <w:t xml:space="preserve"> du Règlement du personnel de l’ONU, si le décès est causé par l’exercice des fonctions du PNUD ;</w:t>
      </w:r>
    </w:p>
    <w:p w14:paraId="1CA48102"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paiement de l’indemnisation en cas de décès au conjoint survivant ou aux enfants à charge ;</w:t>
      </w:r>
    </w:p>
    <w:p w14:paraId="6DF5F195" w14:textId="77777777" w:rsidR="004B4CA6" w:rsidRPr="00981A99" w:rsidRDefault="004B4CA6" w:rsidP="004B4CA6">
      <w:pPr>
        <w:numPr>
          <w:ilvl w:val="1"/>
          <w:numId w:val="1"/>
        </w:numPr>
        <w:spacing w:after="120" w:line="252" w:lineRule="auto"/>
        <w:ind w:hanging="360"/>
      </w:pPr>
      <w:proofErr w:type="gramStart"/>
      <w:r>
        <w:t>l’achèvement</w:t>
      </w:r>
      <w:proofErr w:type="gramEnd"/>
      <w:r>
        <w:t xml:space="preserve"> de l’année scolaire en vertu de l’indemnité pour frais d’études (EG) pour les enfants admissibles ;</w:t>
      </w:r>
    </w:p>
    <w:p w14:paraId="0F41C264"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transport du corps du fonctionnaire ;</w:t>
      </w:r>
    </w:p>
    <w:p w14:paraId="68CB211C" w14:textId="77777777" w:rsidR="004B4CA6" w:rsidRPr="00981A99" w:rsidRDefault="004B4CA6" w:rsidP="004B4CA6">
      <w:pPr>
        <w:numPr>
          <w:ilvl w:val="1"/>
          <w:numId w:val="1"/>
        </w:numPr>
        <w:spacing w:after="120" w:line="252" w:lineRule="auto"/>
        <w:ind w:hanging="360"/>
      </w:pPr>
      <w:proofErr w:type="gramStart"/>
      <w:r>
        <w:t>le</w:t>
      </w:r>
      <w:proofErr w:type="gramEnd"/>
      <w:r>
        <w:t xml:space="preserve"> voyage de retour pour les membres de la famille admissibles ;</w:t>
      </w:r>
    </w:p>
    <w:p w14:paraId="53C22482" w14:textId="77777777" w:rsidR="004B4CA6" w:rsidRPr="00981A99" w:rsidRDefault="004B4CA6" w:rsidP="004B4CA6">
      <w:pPr>
        <w:numPr>
          <w:ilvl w:val="1"/>
          <w:numId w:val="1"/>
        </w:numPr>
        <w:spacing w:after="120" w:line="252" w:lineRule="auto"/>
        <w:ind w:hanging="360"/>
      </w:pPr>
      <w:proofErr w:type="gramStart"/>
      <w:r>
        <w:t>frais</w:t>
      </w:r>
      <w:proofErr w:type="gramEnd"/>
      <w:r>
        <w:t xml:space="preserve"> de transport de retour des effets personnels et des appareils ménagers pour les membres de la famille admissibles ;</w:t>
      </w:r>
    </w:p>
    <w:p w14:paraId="3903A51A" w14:textId="475AF843" w:rsidR="004B4CA6" w:rsidRPr="00981A99" w:rsidRDefault="004B4CA6" w:rsidP="008A4591">
      <w:pPr>
        <w:numPr>
          <w:ilvl w:val="1"/>
          <w:numId w:val="1"/>
        </w:numPr>
        <w:ind w:hanging="360"/>
      </w:pPr>
      <w:proofErr w:type="gramStart"/>
      <w:r>
        <w:t>le</w:t>
      </w:r>
      <w:proofErr w:type="gramEnd"/>
      <w:r>
        <w:t xml:space="preserve"> versement de la prime de rapatriement au conjoint survivant ou à un ou plusieurs enfants à charge que le PNUD est tenu de rapatrier.</w:t>
      </w:r>
    </w:p>
    <w:p w14:paraId="5BE1BB13" w14:textId="77777777" w:rsidR="004B4CA6" w:rsidRPr="008A4591" w:rsidRDefault="004B4CA6" w:rsidP="004B4CA6">
      <w:pPr>
        <w:pStyle w:val="Heading1"/>
        <w:ind w:left="-5"/>
        <w:rPr>
          <w:rFonts w:ascii="Calibri" w:hAnsi="Calibri" w:cs="Calibri"/>
          <w:b/>
          <w:bCs/>
          <w:color w:val="auto"/>
          <w:sz w:val="24"/>
          <w:szCs w:val="24"/>
        </w:rPr>
      </w:pPr>
      <w:r w:rsidRPr="008A4591">
        <w:rPr>
          <w:rFonts w:ascii="Calibri" w:hAnsi="Calibri" w:cs="Calibri"/>
          <w:b/>
          <w:bCs/>
          <w:color w:val="auto"/>
          <w:sz w:val="24"/>
          <w:szCs w:val="24"/>
        </w:rPr>
        <w:t>Paiements rétroactifs</w:t>
      </w:r>
    </w:p>
    <w:p w14:paraId="7DD29F91" w14:textId="77777777" w:rsidR="004B4CA6" w:rsidRPr="00981A99" w:rsidRDefault="004B4CA6" w:rsidP="004B4CA6">
      <w:pPr>
        <w:spacing w:after="11" w:line="259" w:lineRule="auto"/>
        <w:ind w:left="734" w:firstLine="0"/>
        <w:jc w:val="left"/>
      </w:pPr>
    </w:p>
    <w:p w14:paraId="14406B73" w14:textId="77777777" w:rsidR="004B4CA6" w:rsidRPr="00981A99" w:rsidRDefault="004B4CA6" w:rsidP="004B4CA6">
      <w:pPr>
        <w:ind w:left="744" w:hanging="370"/>
      </w:pPr>
      <w:r>
        <w:t>4</w:t>
      </w:r>
      <w:r>
        <w:rPr>
          <w:rFonts w:ascii="Arial" w:hAnsi="Arial"/>
        </w:rPr>
        <w:t>.</w:t>
      </w:r>
      <w:r>
        <w:rPr>
          <w:rFonts w:ascii="Arial" w:hAnsi="Arial"/>
        </w:rPr>
        <w:tab/>
      </w:r>
      <w:r w:rsidRPr="00161631">
        <w:t>Dans</w:t>
      </w:r>
      <w:r>
        <w:t xml:space="preserve"> le cas d’une révision rétroactive d’une échelle de traitement, consécutive à la cessation de service d’un fonctionnaire, les anciens fonctionnaires en service pendant la période de rétroactivité peuvent prétendre à tout versement rétroactif qui leur est dû dans l’année suivant la publication des nouvelles révisions de traitement.</w:t>
      </w:r>
    </w:p>
    <w:p w14:paraId="0666D24E" w14:textId="77777777" w:rsidR="004B4CA6" w:rsidRPr="00981A99" w:rsidRDefault="004B4CA6" w:rsidP="004B4CA6">
      <w:pPr>
        <w:spacing w:after="0" w:line="259" w:lineRule="auto"/>
        <w:ind w:left="14" w:firstLine="0"/>
        <w:jc w:val="left"/>
      </w:pPr>
    </w:p>
    <w:p w14:paraId="2D2BD102" w14:textId="07F2FCA2" w:rsidR="004B4CA6" w:rsidRPr="00981A99" w:rsidRDefault="004B4CA6" w:rsidP="008A4591">
      <w:pPr>
        <w:spacing w:after="0" w:line="259" w:lineRule="auto"/>
        <w:ind w:left="-5"/>
        <w:jc w:val="left"/>
      </w:pPr>
      <w:r>
        <w:rPr>
          <w:b/>
        </w:rPr>
        <w:t>Avances</w:t>
      </w:r>
    </w:p>
    <w:p w14:paraId="04FDF5D3" w14:textId="77777777" w:rsidR="004B4CA6" w:rsidRPr="008A4591" w:rsidRDefault="004B4CA6" w:rsidP="008A4591">
      <w:pPr>
        <w:pStyle w:val="Heading1"/>
        <w:ind w:left="-5"/>
        <w:rPr>
          <w:rFonts w:ascii="Calibri" w:hAnsi="Calibri" w:cs="Calibri"/>
          <w:b/>
          <w:bCs/>
          <w:color w:val="auto"/>
          <w:sz w:val="24"/>
          <w:szCs w:val="24"/>
        </w:rPr>
      </w:pPr>
      <w:r w:rsidRPr="008A4591">
        <w:rPr>
          <w:rFonts w:ascii="Calibri" w:hAnsi="Calibri" w:cs="Calibri"/>
          <w:b/>
          <w:bCs/>
          <w:color w:val="auto"/>
          <w:sz w:val="24"/>
          <w:szCs w:val="24"/>
        </w:rPr>
        <w:t>Fonctionnaires internationaux</w:t>
      </w:r>
    </w:p>
    <w:p w14:paraId="1DCC46B1" w14:textId="77777777" w:rsidR="004B4CA6" w:rsidRPr="00981A99" w:rsidRDefault="004B4CA6" w:rsidP="004B4CA6">
      <w:pPr>
        <w:spacing w:after="11" w:line="259" w:lineRule="auto"/>
        <w:ind w:left="734" w:firstLine="0"/>
        <w:jc w:val="left"/>
      </w:pPr>
    </w:p>
    <w:p w14:paraId="3D9784EF" w14:textId="0FD2819C" w:rsidR="004B4CA6" w:rsidRPr="00981A99" w:rsidRDefault="004B4CA6" w:rsidP="008A4591">
      <w:pPr>
        <w:ind w:left="744" w:hanging="370"/>
      </w:pPr>
      <w:r>
        <w:t>5.</w:t>
      </w:r>
      <w:r>
        <w:rPr>
          <w:rFonts w:ascii="Arial" w:hAnsi="Arial"/>
        </w:rPr>
        <w:tab/>
      </w:r>
      <w:r>
        <w:t xml:space="preserve">Les fonctionnaires recrutés sur le plan international ne reçoivent pas immédiatement les allocations, indemnités et autres rémunérations qui leur sont dues à la suite de la cessation de service. Comme le paiement final peut prendre plusieurs semaines, les fonctionnaires recrutés sur le plan international peuvent demander une avance de 80 % sur ces montants, à l’exclusion des prestations de l’UNJSPF. Les demandes d’avance </w:t>
      </w:r>
      <w:r>
        <w:lastRenderedPageBreak/>
        <w:t>doivent être adressées au partenaire ressources humaines (HR) du Bureau des ressources humaines à Copenhague desservant le lieu d’affectation.</w:t>
      </w:r>
    </w:p>
    <w:p w14:paraId="78D3A195" w14:textId="77777777" w:rsidR="004B4CA6" w:rsidRPr="008A4591" w:rsidRDefault="004B4CA6" w:rsidP="008A4591">
      <w:pPr>
        <w:pStyle w:val="Heading1"/>
        <w:ind w:left="-5"/>
        <w:rPr>
          <w:rFonts w:ascii="Calibri" w:hAnsi="Calibri" w:cs="Calibri"/>
          <w:b/>
          <w:bCs/>
          <w:color w:val="auto"/>
          <w:sz w:val="24"/>
          <w:szCs w:val="24"/>
        </w:rPr>
      </w:pPr>
      <w:r w:rsidRPr="008A4591">
        <w:rPr>
          <w:rFonts w:ascii="Calibri" w:hAnsi="Calibri" w:cs="Calibri"/>
          <w:b/>
          <w:bCs/>
          <w:color w:val="auto"/>
          <w:sz w:val="24"/>
          <w:szCs w:val="24"/>
        </w:rPr>
        <w:t>Fonctionnaires locaux basés à New York (NY)</w:t>
      </w:r>
    </w:p>
    <w:p w14:paraId="69EACC62" w14:textId="77777777" w:rsidR="004B4CA6" w:rsidRPr="00981A99" w:rsidRDefault="004B4CA6" w:rsidP="004B4CA6">
      <w:pPr>
        <w:spacing w:after="9" w:line="259" w:lineRule="auto"/>
        <w:jc w:val="left"/>
      </w:pPr>
    </w:p>
    <w:p w14:paraId="45053CB3" w14:textId="19C2FE56" w:rsidR="004B4CA6" w:rsidRPr="00981A99" w:rsidRDefault="004B4CA6" w:rsidP="008A4591">
      <w:pPr>
        <w:ind w:left="744" w:hanging="370"/>
      </w:pPr>
      <w:r>
        <w:t>6</w:t>
      </w:r>
      <w:r>
        <w:rPr>
          <w:rFonts w:ascii="Arial" w:hAnsi="Arial"/>
        </w:rPr>
        <w:t>.</w:t>
      </w:r>
      <w:r>
        <w:rPr>
          <w:rFonts w:ascii="Arial" w:hAnsi="Arial"/>
        </w:rPr>
        <w:tab/>
      </w:r>
      <w:r>
        <w:t>Le paragraphe ci-dessus concernant les fonctionnaires recrutés sur le plan international s’applique également aux fonctionnaires locaux basés à New York, qui sont également payés par l’intermédiaire du système de paie des Nations Unies.</w:t>
      </w:r>
    </w:p>
    <w:p w14:paraId="74F676C4" w14:textId="77777777" w:rsidR="004B4CA6" w:rsidRPr="008A4591" w:rsidRDefault="004B4CA6" w:rsidP="008A4591">
      <w:pPr>
        <w:pStyle w:val="Heading1"/>
        <w:ind w:left="-5"/>
        <w:rPr>
          <w:rFonts w:ascii="Calibri" w:hAnsi="Calibri" w:cs="Calibri"/>
          <w:b/>
          <w:bCs/>
          <w:color w:val="auto"/>
          <w:sz w:val="24"/>
          <w:szCs w:val="24"/>
        </w:rPr>
      </w:pPr>
      <w:r w:rsidRPr="008A4591">
        <w:rPr>
          <w:rFonts w:ascii="Calibri" w:hAnsi="Calibri" w:cs="Calibri"/>
          <w:b/>
          <w:bCs/>
          <w:color w:val="auto"/>
          <w:sz w:val="24"/>
          <w:szCs w:val="24"/>
        </w:rPr>
        <w:t>Fonctionnaires locaux non affectés à New York</w:t>
      </w:r>
    </w:p>
    <w:p w14:paraId="2E3731F1" w14:textId="77777777" w:rsidR="004B4CA6" w:rsidRPr="00981A99" w:rsidRDefault="004B4CA6" w:rsidP="004B4CA6">
      <w:pPr>
        <w:spacing w:after="0" w:line="259" w:lineRule="auto"/>
        <w:ind w:left="14" w:firstLine="0"/>
        <w:jc w:val="left"/>
      </w:pPr>
    </w:p>
    <w:p w14:paraId="58120200" w14:textId="68A3F9B7" w:rsidR="004B4CA6" w:rsidRPr="00981A99" w:rsidRDefault="004B4CA6" w:rsidP="008A4591">
      <w:pPr>
        <w:ind w:left="744" w:hanging="370"/>
      </w:pPr>
      <w:r>
        <w:t>7</w:t>
      </w:r>
      <w:r>
        <w:rPr>
          <w:rFonts w:ascii="Arial" w:hAnsi="Arial"/>
        </w:rPr>
        <w:t>.</w:t>
      </w:r>
      <w:r>
        <w:rPr>
          <w:rFonts w:ascii="Arial" w:hAnsi="Arial"/>
        </w:rPr>
        <w:tab/>
      </w:r>
      <w:r>
        <w:t>Les fonctionnaires locaux non affectés à New York n’ont pas besoin de demander une avance sur leur dernier versement car l’unité locale des finances traite immédiatement le paiement des primes, indemnités et autres rémunérations qui leur sont dues lors de la cessation de service, à l’exclusion des prestations de l’UNJSPF.</w:t>
      </w:r>
    </w:p>
    <w:p w14:paraId="45E39364" w14:textId="77777777" w:rsidR="004B4CA6" w:rsidRPr="008A4591" w:rsidRDefault="004B4CA6" w:rsidP="004B4CA6">
      <w:pPr>
        <w:pStyle w:val="Heading1"/>
        <w:ind w:left="-5"/>
        <w:rPr>
          <w:rFonts w:ascii="Calibri" w:hAnsi="Calibri" w:cs="Calibri"/>
          <w:b/>
          <w:bCs/>
          <w:color w:val="auto"/>
          <w:sz w:val="24"/>
          <w:szCs w:val="24"/>
        </w:rPr>
      </w:pPr>
      <w:r w:rsidRPr="008A4591">
        <w:rPr>
          <w:rFonts w:ascii="Calibri" w:hAnsi="Calibri" w:cs="Calibri"/>
          <w:b/>
          <w:bCs/>
          <w:color w:val="auto"/>
          <w:sz w:val="24"/>
          <w:szCs w:val="24"/>
        </w:rPr>
        <w:t>Informations complémentaires</w:t>
      </w:r>
    </w:p>
    <w:p w14:paraId="469A318E" w14:textId="77777777" w:rsidR="004B4CA6" w:rsidRPr="00981A99" w:rsidRDefault="004B4CA6" w:rsidP="004B4CA6">
      <w:pPr>
        <w:spacing w:after="11" w:line="259" w:lineRule="auto"/>
        <w:ind w:left="14" w:firstLine="0"/>
        <w:jc w:val="left"/>
      </w:pPr>
    </w:p>
    <w:p w14:paraId="246BE057" w14:textId="77777777" w:rsidR="004B4CA6" w:rsidRPr="00981A99" w:rsidRDefault="004B4CA6" w:rsidP="004B4CA6">
      <w:r>
        <w:t>8</w:t>
      </w:r>
      <w:r>
        <w:rPr>
          <w:rFonts w:ascii="Arial" w:hAnsi="Arial"/>
        </w:rPr>
        <w:tab/>
      </w:r>
      <w:r>
        <w:t>Pour plus d’informations, se référer à :</w:t>
      </w:r>
    </w:p>
    <w:p w14:paraId="598A3595" w14:textId="77777777" w:rsidR="004B4CA6" w:rsidRPr="00981A99" w:rsidRDefault="004B4CA6" w:rsidP="004B4CA6">
      <w:pPr>
        <w:spacing w:after="9" w:line="259" w:lineRule="auto"/>
        <w:ind w:left="1454" w:firstLine="0"/>
        <w:jc w:val="left"/>
      </w:pPr>
    </w:p>
    <w:p w14:paraId="26367603" w14:textId="77777777" w:rsidR="004B4CA6" w:rsidRPr="00981A99" w:rsidRDefault="004B4CA6" w:rsidP="004B4CA6">
      <w:pPr>
        <w:numPr>
          <w:ilvl w:val="0"/>
          <w:numId w:val="2"/>
        </w:numPr>
        <w:spacing w:after="120" w:line="252" w:lineRule="auto"/>
        <w:ind w:hanging="360"/>
        <w:jc w:val="left"/>
      </w:pPr>
      <w:r>
        <w:t xml:space="preserve">Statuts de la Caisse commune des pensions des Nations Unies (UNJSPF) - </w:t>
      </w:r>
      <w:hyperlink r:id="rId11">
        <w:r>
          <w:rPr>
            <w:color w:val="0070C0"/>
            <w:u w:val="single"/>
          </w:rPr>
          <w:t>http://www.unjspf.or</w:t>
        </w:r>
      </w:hyperlink>
      <w:hyperlink r:id="rId12">
        <w:r>
          <w:rPr>
            <w:color w:val="0070C0"/>
            <w:u w:val="single"/>
          </w:rPr>
          <w:t>g</w:t>
        </w:r>
      </w:hyperlink>
    </w:p>
    <w:p w14:paraId="125A259D" w14:textId="77777777" w:rsidR="004B4CA6" w:rsidRPr="00981A99" w:rsidRDefault="004B4CA6" w:rsidP="004B4CA6">
      <w:pPr>
        <w:numPr>
          <w:ilvl w:val="0"/>
          <w:numId w:val="2"/>
        </w:numPr>
        <w:spacing w:after="0" w:line="259" w:lineRule="auto"/>
        <w:ind w:hanging="360"/>
        <w:jc w:val="left"/>
      </w:pPr>
      <w:hyperlink r:id="rId13" w:history="1">
        <w:r>
          <w:rPr>
            <w:rStyle w:val="Hyperlink"/>
            <w:color w:val="0070C0"/>
          </w:rPr>
          <w:t>Formulaire P-2 Désignation, modification ou révocation du bénéficiaire</w:t>
        </w:r>
      </w:hyperlink>
      <w:r>
        <w:rPr>
          <w:color w:val="0070C0"/>
        </w:rPr>
        <w:t xml:space="preserve"> </w:t>
      </w:r>
    </w:p>
    <w:p w14:paraId="2761A751" w14:textId="77777777" w:rsidR="004B4CA6" w:rsidRPr="00981A99" w:rsidRDefault="004B4CA6" w:rsidP="004B4CA6">
      <w:pPr>
        <w:spacing w:after="0" w:line="259" w:lineRule="auto"/>
        <w:ind w:left="14" w:firstLine="0"/>
        <w:jc w:val="left"/>
      </w:pPr>
    </w:p>
    <w:p w14:paraId="685C9980" w14:textId="77777777" w:rsidR="004B4CA6" w:rsidRDefault="004B4CA6" w:rsidP="004B4CA6">
      <w:pPr>
        <w:spacing w:after="0" w:line="259" w:lineRule="auto"/>
        <w:ind w:left="14" w:firstLine="0"/>
        <w:jc w:val="left"/>
      </w:pPr>
    </w:p>
    <w:p w14:paraId="6DF8E009" w14:textId="77777777" w:rsidR="00415E28" w:rsidRDefault="00415E28" w:rsidP="004B4CA6">
      <w:pPr>
        <w:spacing w:after="0" w:line="259" w:lineRule="auto"/>
        <w:ind w:left="14" w:firstLine="0"/>
        <w:jc w:val="left"/>
      </w:pPr>
    </w:p>
    <w:p w14:paraId="40675BA8" w14:textId="77777777" w:rsidR="00415E28" w:rsidRDefault="00415E28" w:rsidP="004B4CA6">
      <w:pPr>
        <w:spacing w:after="0" w:line="259" w:lineRule="auto"/>
        <w:ind w:left="14" w:firstLine="0"/>
        <w:jc w:val="left"/>
      </w:pPr>
    </w:p>
    <w:p w14:paraId="4379C3DA"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315B61CE" w14:textId="77777777" w:rsidR="004B4CA6" w:rsidRPr="003E3A32" w:rsidRDefault="004B4CA6" w:rsidP="004B4CA6">
      <w:pPr>
        <w:pStyle w:val="CommentText"/>
        <w:jc w:val="center"/>
        <w:rPr>
          <w:rFonts w:ascii="Calibri" w:hAnsi="Calibri"/>
          <w:b/>
          <w:bCs/>
          <w:i/>
          <w:iCs/>
          <w:color w:val="000000"/>
          <w:sz w:val="22"/>
          <w:szCs w:val="22"/>
          <w:bdr w:val="none" w:sz="0" w:space="0" w:color="auto" w:frame="1"/>
        </w:rPr>
      </w:pPr>
    </w:p>
    <w:p w14:paraId="1B8546A2" w14:textId="77777777" w:rsidR="00415E28" w:rsidRPr="00880B43" w:rsidRDefault="00415E28" w:rsidP="008A4591">
      <w:pPr>
        <w:shd w:val="clear" w:color="auto" w:fill="FFFFFF"/>
        <w:spacing w:after="0" w:line="240" w:lineRule="auto"/>
        <w:ind w:left="0"/>
        <w:rPr>
          <w:rFonts w:eastAsia="MS Mincho" w:cs="Times New Roman"/>
          <w:i/>
          <w:iCs/>
        </w:rPr>
      </w:pPr>
      <w:r w:rsidRPr="00880B43">
        <w:rPr>
          <w:rFonts w:eastAsia="MS Mincho" w:cs="Times New Roman"/>
          <w:b/>
          <w:bCs/>
          <w:i/>
          <w:iCs/>
          <w:color w:val="212121"/>
          <w:bdr w:val="none" w:sz="0" w:space="0" w:color="auto" w:frame="1"/>
        </w:rPr>
        <w:t>Avertissement :</w:t>
      </w:r>
      <w:r w:rsidRPr="00880B43">
        <w:rPr>
          <w:rFonts w:eastAsia="MS Mincho" w:cs="Times New Roman"/>
          <w:i/>
          <w:iCs/>
          <w:color w:val="212121"/>
          <w:bdr w:val="none" w:sz="0" w:space="0" w:color="auto" w:frame="1"/>
        </w:rPr>
        <w:t> Ce document a été traduit de l'anglais vers le français. En cas de divergence entre cette traduction et le document anglais original, le document anglais original prévaudra.</w:t>
      </w:r>
    </w:p>
    <w:p w14:paraId="62F36BEC" w14:textId="77777777" w:rsidR="00415E28" w:rsidRPr="00880B43" w:rsidRDefault="00415E28" w:rsidP="008A4591">
      <w:pPr>
        <w:shd w:val="clear" w:color="auto" w:fill="FFFFFF"/>
        <w:spacing w:after="0" w:line="240" w:lineRule="auto"/>
        <w:ind w:left="0"/>
        <w:rPr>
          <w:rFonts w:eastAsia="MS Mincho" w:cs="Times New Roman"/>
          <w:i/>
          <w:iCs/>
        </w:rPr>
      </w:pPr>
      <w:r w:rsidRPr="00880B43">
        <w:rPr>
          <w:rFonts w:eastAsia="MS Mincho" w:cs="Times New Roman"/>
          <w:i/>
          <w:iCs/>
          <w:color w:val="212121"/>
          <w:bdr w:val="none" w:sz="0" w:space="0" w:color="auto" w:frame="1"/>
        </w:rPr>
        <w:t> </w:t>
      </w:r>
    </w:p>
    <w:p w14:paraId="2F8029FB" w14:textId="77777777" w:rsidR="00415E28" w:rsidRDefault="00415E28" w:rsidP="008A4591">
      <w:pPr>
        <w:shd w:val="clear" w:color="auto" w:fill="FFFFFF"/>
        <w:spacing w:after="0" w:line="240" w:lineRule="auto"/>
        <w:ind w:left="0"/>
      </w:pPr>
      <w:r w:rsidRPr="00310BB3">
        <w:rPr>
          <w:rFonts w:eastAsia="MS Mincho" w:cs="Times New Roman"/>
          <w:b/>
          <w:bCs/>
          <w:i/>
          <w:iCs/>
          <w:bdr w:val="none" w:sz="0" w:space="0" w:color="auto" w:frame="1"/>
          <w:lang w:val="en-GB"/>
        </w:rPr>
        <w:t>Disclaimer:</w:t>
      </w:r>
      <w:r w:rsidRPr="00880B43">
        <w:rPr>
          <w:rFonts w:eastAsia="MS Mincho" w:cs="Times New Roman"/>
          <w:i/>
          <w:iCs/>
          <w:u w:val="single"/>
          <w:bdr w:val="none" w:sz="0" w:space="0" w:color="auto" w:frame="1"/>
          <w:lang w:val="en-GB"/>
        </w:rPr>
        <w:t> </w:t>
      </w:r>
      <w:r w:rsidRPr="00880B43">
        <w:rPr>
          <w:rFonts w:eastAsia="MS Mincho" w:cs="Times New Roman"/>
          <w:i/>
          <w:iCs/>
          <w:bdr w:val="none" w:sz="0" w:space="0" w:color="auto" w:frame="1"/>
          <w:lang w:val="en-GB"/>
        </w:rPr>
        <w:t>This document was translated from English into French. In the event of any discrepancy between this translation and the original English document, the original English document shall prevail.</w:t>
      </w:r>
    </w:p>
    <w:p w14:paraId="4BCE4C6A" w14:textId="77777777" w:rsidR="00A31C56" w:rsidRDefault="00A31C56" w:rsidP="008A4591">
      <w:pPr>
        <w:ind w:left="374" w:firstLine="0"/>
      </w:pPr>
    </w:p>
    <w:sectPr w:rsidR="00A31C56" w:rsidSect="004B4CA6">
      <w:headerReference w:type="default" r:id="rId14"/>
      <w:footerReference w:type="even" r:id="rId15"/>
      <w:footerReference w:type="default" r:id="rId16"/>
      <w:footerReference w:type="first" r:id="rId17"/>
      <w:pgSz w:w="12240" w:h="15840"/>
      <w:pgMar w:top="1162" w:right="1791" w:bottom="1672" w:left="178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684C" w14:textId="77777777" w:rsidR="00355C54" w:rsidRDefault="00355C54">
      <w:pPr>
        <w:spacing w:after="0" w:line="240" w:lineRule="auto"/>
      </w:pPr>
      <w:r>
        <w:separator/>
      </w:r>
    </w:p>
  </w:endnote>
  <w:endnote w:type="continuationSeparator" w:id="0">
    <w:p w14:paraId="2D126839" w14:textId="77777777" w:rsidR="00355C54" w:rsidRDefault="0035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B8A3" w14:textId="77777777" w:rsidR="00CC378C" w:rsidRDefault="00000000">
    <w:pPr>
      <w:spacing w:after="0" w:line="259" w:lineRule="auto"/>
      <w:ind w:left="8" w:firstLine="0"/>
      <w:jc w:val="center"/>
    </w:pPr>
    <w:r>
      <w:fldChar w:fldCharType="begin"/>
    </w:r>
    <w:r>
      <w:instrText xml:space="preserve"> PAGE   \* MERGEFORMAT </w:instrText>
    </w:r>
    <w:r>
      <w:fldChar w:fldCharType="separate"/>
    </w:r>
    <w:r>
      <w:rPr>
        <w:noProof/>
      </w:rPr>
      <w:t>166492528</w:t>
    </w:r>
    <w:r>
      <w:fldChar w:fldCharType="end"/>
    </w:r>
  </w:p>
  <w:p w14:paraId="10801252" w14:textId="77777777" w:rsidR="00CC378C" w:rsidRDefault="00CC378C">
    <w:pPr>
      <w:spacing w:after="0" w:line="259" w:lineRule="auto"/>
      <w:ind w:left="14"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F375" w14:textId="5168DBC0" w:rsidR="00CC378C" w:rsidRDefault="00000000">
    <w:pPr>
      <w:spacing w:after="0" w:line="259" w:lineRule="auto"/>
      <w:ind w:left="14"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00CC378C" w:rsidRPr="005666DC">
        <w:rPr>
          <w:b/>
          <w:noProof/>
        </w:rPr>
        <w:t>3</w:t>
      </w:r>
    </w:fldSimple>
    <w:r>
      <w:ptab w:relativeTo="margin" w:alignment="center" w:leader="none"/>
    </w:r>
    <w:r>
      <w:t>Date d’entrée en vigueur : 01/01/2025</w:t>
    </w:r>
    <w:r>
      <w:ptab w:relativeTo="margin" w:alignment="right" w:leader="none"/>
    </w:r>
    <w:r>
      <w:t xml:space="preserve">Version </w:t>
    </w:r>
    <w:r w:rsidR="00415E28">
      <w:t># </w:t>
    </w:r>
    <w:r>
      <w:t>: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D65A" w14:textId="77777777" w:rsidR="00CC378C" w:rsidRDefault="00000000">
    <w:pPr>
      <w:spacing w:after="0" w:line="259" w:lineRule="auto"/>
      <w:ind w:left="8" w:firstLine="0"/>
      <w:jc w:val="center"/>
    </w:pPr>
    <w:r>
      <w:fldChar w:fldCharType="begin"/>
    </w:r>
    <w:r>
      <w:instrText xml:space="preserve"> PAGE   \* MERGEFORMAT </w:instrText>
    </w:r>
    <w:r>
      <w:fldChar w:fldCharType="separate"/>
    </w:r>
    <w:r>
      <w:rPr>
        <w:noProof/>
      </w:rPr>
      <w:t>1</w:t>
    </w:r>
    <w:r>
      <w:fldChar w:fldCharType="end"/>
    </w:r>
    <w:r>
      <w:t xml:space="preserve">  </w:t>
    </w:r>
  </w:p>
  <w:p w14:paraId="2A9F36A1" w14:textId="77777777" w:rsidR="00CC378C" w:rsidRDefault="00000000">
    <w:pPr>
      <w:spacing w:after="0" w:line="259" w:lineRule="auto"/>
      <w:ind w:left="14" w:firstLine="0"/>
      <w:jc w:val="left"/>
    </w:pPr>
    <w:r>
      <w:rPr>
        <w:rFonts w:ascii="Times New Roman" w:hAnsi="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4984" w14:textId="77777777" w:rsidR="00355C54" w:rsidRDefault="00355C54">
      <w:pPr>
        <w:spacing w:after="0" w:line="240" w:lineRule="auto"/>
      </w:pPr>
      <w:r>
        <w:separator/>
      </w:r>
    </w:p>
  </w:footnote>
  <w:footnote w:type="continuationSeparator" w:id="0">
    <w:p w14:paraId="71EA7F84" w14:textId="77777777" w:rsidR="00355C54" w:rsidRDefault="0035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293D" w14:textId="77777777" w:rsidR="00CC378C" w:rsidRDefault="00000000" w:rsidP="00981A99">
    <w:pPr>
      <w:pStyle w:val="Header"/>
      <w:jc w:val="right"/>
    </w:pPr>
    <w:r>
      <w:rPr>
        <w:noProof/>
      </w:rPr>
      <w:drawing>
        <wp:inline distT="0" distB="0" distL="0" distR="0" wp14:anchorId="3D47C56F" wp14:editId="056E0A52">
          <wp:extent cx="591279" cy="900000"/>
          <wp:effectExtent l="0" t="0" r="0" b="0"/>
          <wp:docPr id="16236345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3455"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4D"/>
    <w:multiLevelType w:val="hybridMultilevel"/>
    <w:tmpl w:val="109ECBA8"/>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276D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510"/>
    <w:multiLevelType w:val="hybridMultilevel"/>
    <w:tmpl w:val="5AAE527A"/>
    <w:lvl w:ilvl="0" w:tplc="A862590E">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5C062E">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82FC6">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844AB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DB7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4ED36">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CF750">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16C82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EDDD6">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8E18A4"/>
    <w:multiLevelType w:val="hybridMultilevel"/>
    <w:tmpl w:val="19C88B54"/>
    <w:lvl w:ilvl="0" w:tplc="9A368D2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C203A">
      <w:start w:val="1"/>
      <w:numFmt w:val="lowerRoman"/>
      <w:lvlText w:val="%2)"/>
      <w:lvlJc w:val="left"/>
      <w:pPr>
        <w:ind w:left="143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08FC1FF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63F2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82CA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4679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431E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415C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B7F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00836809">
    <w:abstractNumId w:val="0"/>
  </w:num>
  <w:num w:numId="2" w16cid:durableId="329215180">
    <w:abstractNumId w:val="1"/>
  </w:num>
  <w:num w:numId="3" w16cid:durableId="206806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A6"/>
    <w:rsid w:val="000C0236"/>
    <w:rsid w:val="001577BB"/>
    <w:rsid w:val="00355C54"/>
    <w:rsid w:val="00415E28"/>
    <w:rsid w:val="00487C63"/>
    <w:rsid w:val="004B4CA6"/>
    <w:rsid w:val="008A4591"/>
    <w:rsid w:val="00902913"/>
    <w:rsid w:val="009E1241"/>
    <w:rsid w:val="00A31C56"/>
    <w:rsid w:val="00A9366F"/>
    <w:rsid w:val="00CC378C"/>
    <w:rsid w:val="00D07382"/>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6206"/>
  <w15:chartTrackingRefBased/>
  <w15:docId w15:val="{29D36274-A3A8-48F2-A59D-0B8A8AD6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A6"/>
    <w:pPr>
      <w:spacing w:after="3" w:line="253" w:lineRule="auto"/>
      <w:ind w:left="384" w:hanging="10"/>
      <w:jc w:val="both"/>
    </w:pPr>
    <w:rPr>
      <w:rFonts w:ascii="Calibri" w:eastAsia="Calibri" w:hAnsi="Calibri" w:cs="Calibri"/>
      <w:color w:val="000000"/>
      <w:kern w:val="0"/>
      <w:lang w:val="fr-FR"/>
      <w14:ligatures w14:val="none"/>
    </w:rPr>
  </w:style>
  <w:style w:type="paragraph" w:styleId="Heading1">
    <w:name w:val="heading 1"/>
    <w:basedOn w:val="Normal"/>
    <w:next w:val="Normal"/>
    <w:link w:val="Heading1Char"/>
    <w:uiPriority w:val="9"/>
    <w:qFormat/>
    <w:rsid w:val="004B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A6"/>
    <w:rPr>
      <w:rFonts w:eastAsiaTheme="majorEastAsia" w:cstheme="majorBidi"/>
      <w:color w:val="272727" w:themeColor="text1" w:themeTint="D8"/>
    </w:rPr>
  </w:style>
  <w:style w:type="paragraph" w:styleId="Title">
    <w:name w:val="Title"/>
    <w:basedOn w:val="Normal"/>
    <w:next w:val="Normal"/>
    <w:link w:val="TitleChar"/>
    <w:uiPriority w:val="10"/>
    <w:qFormat/>
    <w:rsid w:val="004B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A6"/>
    <w:pPr>
      <w:numPr>
        <w:ilvl w:val="1"/>
      </w:numPr>
      <w:ind w:left="38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A6"/>
    <w:pPr>
      <w:spacing w:before="160"/>
      <w:jc w:val="center"/>
    </w:pPr>
    <w:rPr>
      <w:i/>
      <w:iCs/>
      <w:color w:val="404040" w:themeColor="text1" w:themeTint="BF"/>
    </w:rPr>
  </w:style>
  <w:style w:type="character" w:customStyle="1" w:styleId="QuoteChar">
    <w:name w:val="Quote Char"/>
    <w:basedOn w:val="DefaultParagraphFont"/>
    <w:link w:val="Quote"/>
    <w:uiPriority w:val="29"/>
    <w:rsid w:val="004B4CA6"/>
    <w:rPr>
      <w:i/>
      <w:iCs/>
      <w:color w:val="404040" w:themeColor="text1" w:themeTint="BF"/>
    </w:rPr>
  </w:style>
  <w:style w:type="paragraph" w:styleId="ListParagraph">
    <w:name w:val="List Paragraph"/>
    <w:basedOn w:val="Normal"/>
    <w:uiPriority w:val="34"/>
    <w:qFormat/>
    <w:rsid w:val="004B4CA6"/>
    <w:pPr>
      <w:ind w:left="720"/>
      <w:contextualSpacing/>
    </w:pPr>
  </w:style>
  <w:style w:type="character" w:styleId="IntenseEmphasis">
    <w:name w:val="Intense Emphasis"/>
    <w:basedOn w:val="DefaultParagraphFont"/>
    <w:uiPriority w:val="21"/>
    <w:qFormat/>
    <w:rsid w:val="004B4CA6"/>
    <w:rPr>
      <w:i/>
      <w:iCs/>
      <w:color w:val="0F4761" w:themeColor="accent1" w:themeShade="BF"/>
    </w:rPr>
  </w:style>
  <w:style w:type="paragraph" w:styleId="IntenseQuote">
    <w:name w:val="Intense Quote"/>
    <w:basedOn w:val="Normal"/>
    <w:next w:val="Normal"/>
    <w:link w:val="IntenseQuoteChar"/>
    <w:uiPriority w:val="30"/>
    <w:qFormat/>
    <w:rsid w:val="004B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A6"/>
    <w:rPr>
      <w:i/>
      <w:iCs/>
      <w:color w:val="0F4761" w:themeColor="accent1" w:themeShade="BF"/>
    </w:rPr>
  </w:style>
  <w:style w:type="character" w:styleId="IntenseReference">
    <w:name w:val="Intense Reference"/>
    <w:basedOn w:val="DefaultParagraphFont"/>
    <w:uiPriority w:val="32"/>
    <w:qFormat/>
    <w:rsid w:val="004B4CA6"/>
    <w:rPr>
      <w:b/>
      <w:bCs/>
      <w:smallCaps/>
      <w:color w:val="0F4761" w:themeColor="accent1" w:themeShade="BF"/>
      <w:spacing w:val="5"/>
    </w:rPr>
  </w:style>
  <w:style w:type="character" w:styleId="Hyperlink">
    <w:name w:val="Hyperlink"/>
    <w:basedOn w:val="DefaultParagraphFont"/>
    <w:uiPriority w:val="99"/>
    <w:unhideWhenUsed/>
    <w:rsid w:val="004B4CA6"/>
    <w:rPr>
      <w:color w:val="467886" w:themeColor="hyperlink"/>
      <w:u w:val="single"/>
    </w:rPr>
  </w:style>
  <w:style w:type="paragraph" w:styleId="Header">
    <w:name w:val="header"/>
    <w:basedOn w:val="Normal"/>
    <w:link w:val="HeaderChar"/>
    <w:uiPriority w:val="99"/>
    <w:unhideWhenUsed/>
    <w:rsid w:val="004B4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A6"/>
    <w:rPr>
      <w:rFonts w:ascii="Calibri" w:eastAsia="Calibri" w:hAnsi="Calibri" w:cs="Calibri"/>
      <w:color w:val="000000"/>
      <w:kern w:val="0"/>
      <w:lang w:val="fr-FR"/>
      <w14:ligatures w14:val="none"/>
    </w:rPr>
  </w:style>
  <w:style w:type="paragraph" w:styleId="CommentText">
    <w:name w:val="annotation text"/>
    <w:basedOn w:val="Normal"/>
    <w:link w:val="CommentTextChar"/>
    <w:semiHidden/>
    <w:rsid w:val="004B4CA6"/>
    <w:pPr>
      <w:suppressAutoHyphens/>
      <w:spacing w:after="0" w:line="240" w:lineRule="exact"/>
      <w:ind w:left="0" w:firstLine="0"/>
      <w:jc w:val="left"/>
    </w:pPr>
    <w:rPr>
      <w:rFonts w:ascii="Times New Roman" w:eastAsia="Times New Roman" w:hAnsi="Times New Roman" w:cs="Times New Roman"/>
      <w:color w:val="auto"/>
      <w:spacing w:val="4"/>
      <w:w w:val="103"/>
      <w:kern w:val="14"/>
      <w:sz w:val="20"/>
      <w:szCs w:val="20"/>
    </w:rPr>
  </w:style>
  <w:style w:type="character" w:customStyle="1" w:styleId="CommentTextChar">
    <w:name w:val="Comment Text Char"/>
    <w:basedOn w:val="DefaultParagraphFont"/>
    <w:link w:val="CommentText"/>
    <w:semiHidden/>
    <w:rsid w:val="004B4CA6"/>
    <w:rPr>
      <w:rFonts w:ascii="Times New Roman" w:eastAsia="Times New Roman" w:hAnsi="Times New Roman" w:cs="Times New Roman"/>
      <w:spacing w:val="4"/>
      <w:w w:val="103"/>
      <w:kern w:val="14"/>
      <w:sz w:val="20"/>
      <w:szCs w:val="20"/>
      <w:lang w:val="fr-FR"/>
      <w14:ligatures w14:val="none"/>
    </w:rPr>
  </w:style>
  <w:style w:type="character" w:styleId="FollowedHyperlink">
    <w:name w:val="FollowedHyperlink"/>
    <w:basedOn w:val="DefaultParagraphFont"/>
    <w:uiPriority w:val="99"/>
    <w:semiHidden/>
    <w:unhideWhenUsed/>
    <w:rsid w:val="00415E28"/>
    <w:rPr>
      <w:color w:val="96607D" w:themeColor="followedHyperlink"/>
      <w:u w:val="single"/>
    </w:rPr>
  </w:style>
  <w:style w:type="paragraph" w:styleId="Revision">
    <w:name w:val="Revision"/>
    <w:hidden/>
    <w:uiPriority w:val="99"/>
    <w:semiHidden/>
    <w:rsid w:val="00415E28"/>
    <w:pPr>
      <w:spacing w:after="0" w:line="240" w:lineRule="auto"/>
    </w:pPr>
    <w:rPr>
      <w:rFonts w:ascii="Calibri" w:eastAsia="Calibri" w:hAnsi="Calibri" w:cs="Calibri"/>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insurance-plans-designation-change-or-revocation-beneficiary-form-p-2" TargetMode="External"/><Relationship Id="rId13" Type="http://schemas.openxmlformats.org/officeDocument/2006/relationships/hyperlink" Target="https://popp.undp.org/node/55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org/fr/appendices-staff-rules" TargetMode="External"/><Relationship Id="rId12" Type="http://schemas.openxmlformats.org/officeDocument/2006/relationships/hyperlink" Target="https://www.unjspf.org/f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jspf.org/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licy.un.org/fr/appendices-staff-r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document/insurance-plans-designation-change-or-revocation-beneficiary-form-p-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2025-01-14T12:43:00Z</dcterms:created>
  <dcterms:modified xsi:type="dcterms:W3CDTF">2026-05-13T23:34:00Z</dcterms:modified>
</cp:coreProperties>
</file>