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3AA4" w14:textId="77777777" w:rsidR="00430EF8" w:rsidRPr="00981A99" w:rsidRDefault="00430EF8" w:rsidP="00430EF8">
      <w:pPr>
        <w:spacing w:after="0" w:line="259" w:lineRule="auto"/>
        <w:ind w:left="14" w:firstLine="0"/>
        <w:jc w:val="left"/>
      </w:pPr>
      <w:r>
        <w:rPr>
          <w:b/>
          <w:sz w:val="28"/>
        </w:rPr>
        <w:t>Prestaciones en caso de Separación</w:t>
      </w:r>
    </w:p>
    <w:p w14:paraId="4FC770A8" w14:textId="77777777" w:rsidR="00430EF8" w:rsidRPr="00981A99" w:rsidRDefault="00430EF8" w:rsidP="00430EF8">
      <w:pPr>
        <w:spacing w:after="12" w:line="259" w:lineRule="auto"/>
        <w:ind w:left="14" w:firstLine="0"/>
        <w:jc w:val="left"/>
      </w:pPr>
      <w:r>
        <w:rPr>
          <w:b/>
        </w:rPr>
        <w:t xml:space="preserve"> </w:t>
      </w:r>
      <w:r>
        <w:t xml:space="preserve"> </w:t>
      </w:r>
    </w:p>
    <w:p w14:paraId="3139B705" w14:textId="77777777" w:rsidR="00430EF8" w:rsidRPr="00981A99" w:rsidRDefault="00430EF8" w:rsidP="00430EF8">
      <w:pPr>
        <w:numPr>
          <w:ilvl w:val="0"/>
          <w:numId w:val="1"/>
        </w:numPr>
        <w:ind w:hanging="360"/>
      </w:pPr>
      <w:r>
        <w:t xml:space="preserve">Este documento es aplicable a todos los miembros del personal del PNUD regidos por el Estatuto del Personal y el Reglamento del Personal de la ONU.  </w:t>
      </w:r>
    </w:p>
    <w:p w14:paraId="0E2F1A6E" w14:textId="77777777" w:rsidR="00430EF8" w:rsidRPr="00981A99" w:rsidRDefault="00430EF8" w:rsidP="00430EF8">
      <w:pPr>
        <w:spacing w:after="11" w:line="259" w:lineRule="auto"/>
        <w:ind w:left="734" w:firstLine="0"/>
        <w:jc w:val="left"/>
      </w:pPr>
      <w:r>
        <w:t xml:space="preserve">  </w:t>
      </w:r>
    </w:p>
    <w:p w14:paraId="401598BF" w14:textId="77777777" w:rsidR="00430EF8" w:rsidRPr="00981A99" w:rsidRDefault="00430EF8" w:rsidP="00430EF8">
      <w:pPr>
        <w:numPr>
          <w:ilvl w:val="0"/>
          <w:numId w:val="1"/>
        </w:numPr>
        <w:spacing w:after="120" w:line="259" w:lineRule="auto"/>
        <w:ind w:hanging="360"/>
      </w:pPr>
      <w:r>
        <w:t xml:space="preserve">El siguiente es un resumen de las prestaciones normalmente adeudadas al personal por separación:   </w:t>
      </w:r>
    </w:p>
    <w:p w14:paraId="1791A65D" w14:textId="77777777" w:rsidR="00430EF8" w:rsidRPr="00981A99" w:rsidRDefault="00430EF8" w:rsidP="00430EF8">
      <w:pPr>
        <w:numPr>
          <w:ilvl w:val="1"/>
          <w:numId w:val="1"/>
        </w:numPr>
        <w:spacing w:after="120"/>
        <w:ind w:hanging="360"/>
      </w:pPr>
      <w:r>
        <w:t xml:space="preserve">Pago de cualquier sueldo y prima pendiente de pago  </w:t>
      </w:r>
    </w:p>
    <w:p w14:paraId="49A8027E" w14:textId="77777777" w:rsidR="00430EF8" w:rsidRPr="00981A99" w:rsidRDefault="00430EF8" w:rsidP="00430EF8">
      <w:pPr>
        <w:numPr>
          <w:ilvl w:val="1"/>
          <w:numId w:val="1"/>
        </w:numPr>
        <w:spacing w:after="120"/>
        <w:ind w:hanging="360"/>
      </w:pPr>
      <w:r>
        <w:t xml:space="preserve">Pago de las vacaciones anuales (AL) acumuladas, que no exceda:   </w:t>
      </w:r>
    </w:p>
    <w:p w14:paraId="4D748B44" w14:textId="77777777" w:rsidR="00430EF8" w:rsidRPr="00981A99" w:rsidRDefault="00430EF8" w:rsidP="00430EF8">
      <w:pPr>
        <w:numPr>
          <w:ilvl w:val="1"/>
          <w:numId w:val="3"/>
        </w:numPr>
        <w:spacing w:after="0" w:line="252" w:lineRule="auto"/>
        <w:ind w:left="2160" w:hanging="360"/>
      </w:pPr>
      <w:r>
        <w:t xml:space="preserve">Sesenta días para miembros del personal con Nombramientos Permanentes, Continuos o de Plazo Fijo según el Reglamento del Personal de la ONU  </w:t>
      </w:r>
    </w:p>
    <w:p w14:paraId="0B0F9456" w14:textId="77777777" w:rsidR="00430EF8" w:rsidRPr="00981A99" w:rsidRDefault="00430EF8" w:rsidP="00430EF8">
      <w:pPr>
        <w:numPr>
          <w:ilvl w:val="1"/>
          <w:numId w:val="3"/>
        </w:numPr>
        <w:spacing w:after="120"/>
        <w:ind w:left="2160" w:hanging="360"/>
      </w:pPr>
      <w:r>
        <w:t xml:space="preserve">Dieciocho días para miembros del personal con Nombramientos Temporales según el Reglamento del Personal de la ONU;    </w:t>
      </w:r>
    </w:p>
    <w:p w14:paraId="6FBA588B" w14:textId="77777777" w:rsidR="00430EF8" w:rsidRPr="00981A99" w:rsidRDefault="00430EF8" w:rsidP="00430EF8">
      <w:pPr>
        <w:numPr>
          <w:ilvl w:val="1"/>
          <w:numId w:val="1"/>
        </w:numPr>
        <w:spacing w:after="120"/>
        <w:ind w:hanging="360"/>
      </w:pPr>
      <w:r>
        <w:t xml:space="preserve">Prestaciones del régimen de pensiones, de acuerdo con el Reglamento de la Caja Común de Pensiones del Personal de las Naciones Unidas (CMPPNU), a través de la Secretaría de la CMPPNU  </w:t>
      </w:r>
    </w:p>
    <w:p w14:paraId="5AE3BA44" w14:textId="77777777" w:rsidR="00430EF8" w:rsidRPr="00981A99" w:rsidRDefault="00430EF8" w:rsidP="00430EF8">
      <w:pPr>
        <w:numPr>
          <w:ilvl w:val="1"/>
          <w:numId w:val="1"/>
        </w:numPr>
        <w:spacing w:after="120"/>
        <w:ind w:hanging="360"/>
      </w:pPr>
      <w:r>
        <w:t xml:space="preserve">Cobertura de seguro médico después de la separación del servicio (ASHI) para los miembros del personal que reúnen las condiciones  </w:t>
      </w:r>
    </w:p>
    <w:p w14:paraId="6D6DA096" w14:textId="77777777" w:rsidR="00430EF8" w:rsidRPr="00981A99" w:rsidRDefault="00430EF8" w:rsidP="00430EF8">
      <w:pPr>
        <w:numPr>
          <w:ilvl w:val="1"/>
          <w:numId w:val="1"/>
        </w:numPr>
        <w:spacing w:after="120"/>
        <w:ind w:hanging="360"/>
      </w:pPr>
      <w:r>
        <w:t xml:space="preserve">Seguro de vida después de la separación del servicio (ASLI), si corresponde  </w:t>
      </w:r>
    </w:p>
    <w:p w14:paraId="21B68B30" w14:textId="77777777" w:rsidR="00430EF8" w:rsidRPr="00981A99" w:rsidRDefault="00430EF8" w:rsidP="00430EF8">
      <w:pPr>
        <w:numPr>
          <w:ilvl w:val="1"/>
          <w:numId w:val="1"/>
        </w:numPr>
        <w:spacing w:after="120"/>
        <w:ind w:hanging="360"/>
      </w:pPr>
      <w:r>
        <w:t xml:space="preserve">Cualquier pago de indemnización adeudado según el </w:t>
      </w:r>
      <w:hyperlink r:id="rId7" w:anchor="AppendixD" w:history="1">
        <w:r w:rsidRPr="008314B5">
          <w:rPr>
            <w:rStyle w:val="Hyperlink"/>
          </w:rPr>
          <w:t>Apéndice D</w:t>
        </w:r>
      </w:hyperlink>
      <w:r>
        <w:t xml:space="preserve"> (en inglés) del Reglamento del Personal de la ONU  </w:t>
      </w:r>
    </w:p>
    <w:p w14:paraId="73066B1B" w14:textId="77777777" w:rsidR="00430EF8" w:rsidRPr="00981A99" w:rsidRDefault="00430EF8" w:rsidP="00430EF8">
      <w:pPr>
        <w:numPr>
          <w:ilvl w:val="1"/>
          <w:numId w:val="1"/>
        </w:numPr>
        <w:spacing w:after="120"/>
        <w:ind w:hanging="360"/>
      </w:pPr>
      <w:r>
        <w:t xml:space="preserve">Viaje de regreso para el personal que reúne las condiciones y familiares  </w:t>
      </w:r>
    </w:p>
    <w:p w14:paraId="5847CD43" w14:textId="77777777" w:rsidR="00430EF8" w:rsidRPr="00981A99" w:rsidRDefault="00430EF8" w:rsidP="00430EF8">
      <w:pPr>
        <w:numPr>
          <w:ilvl w:val="1"/>
          <w:numId w:val="1"/>
        </w:numPr>
        <w:spacing w:after="120"/>
        <w:ind w:hanging="360"/>
      </w:pPr>
      <w:r>
        <w:t xml:space="preserve">Gastos de transporte de efectos personales y enseres domésticos para el personal que reúne las condiciones  </w:t>
      </w:r>
    </w:p>
    <w:p w14:paraId="559A7741" w14:textId="77777777" w:rsidR="00430EF8" w:rsidRPr="00981A99" w:rsidRDefault="00430EF8" w:rsidP="00430EF8">
      <w:pPr>
        <w:numPr>
          <w:ilvl w:val="1"/>
          <w:numId w:val="1"/>
        </w:numPr>
        <w:ind w:hanging="360"/>
      </w:pPr>
      <w:r>
        <w:t xml:space="preserve">Pago de una prima de repatriación (RG) para el personal que reúne las condiciones  </w:t>
      </w:r>
    </w:p>
    <w:p w14:paraId="21DDD261" w14:textId="77777777" w:rsidR="00430EF8" w:rsidRPr="00981A99" w:rsidRDefault="00430EF8" w:rsidP="00430EF8">
      <w:pPr>
        <w:spacing w:after="11" w:line="259" w:lineRule="auto"/>
        <w:ind w:left="734" w:firstLine="0"/>
        <w:jc w:val="left"/>
      </w:pPr>
      <w:r>
        <w:t xml:space="preserve">  </w:t>
      </w:r>
    </w:p>
    <w:p w14:paraId="55DC9DF1" w14:textId="77777777" w:rsidR="00430EF8" w:rsidRPr="00981A99" w:rsidRDefault="00430EF8" w:rsidP="00430EF8">
      <w:pPr>
        <w:numPr>
          <w:ilvl w:val="0"/>
          <w:numId w:val="1"/>
        </w:numPr>
        <w:spacing w:after="120" w:line="252" w:lineRule="auto"/>
        <w:ind w:hanging="360"/>
      </w:pPr>
      <w:r>
        <w:t xml:space="preserve">El siguiente es un resumen de las prestaciones adeudadas a los familiares/beneficiarios supérstites de un miembro del personal fallecido que reúnen las condiciones:   </w:t>
      </w:r>
    </w:p>
    <w:p w14:paraId="0BA40411" w14:textId="77777777" w:rsidR="00430EF8" w:rsidRPr="00981A99" w:rsidRDefault="00430EF8" w:rsidP="00430EF8">
      <w:pPr>
        <w:numPr>
          <w:ilvl w:val="1"/>
          <w:numId w:val="1"/>
        </w:numPr>
        <w:spacing w:after="120" w:line="252" w:lineRule="auto"/>
        <w:ind w:hanging="360"/>
      </w:pPr>
      <w:r>
        <w:t xml:space="preserve">Pago de los sueldos y las primas adeudados al miembro del personal al momento de muerte a los beneficiarios de acuerdo con el porcentaje incluido en el </w:t>
      </w:r>
      <w:hyperlink r:id="rId8" w:history="1">
        <w:r w:rsidRPr="008314B5">
          <w:rPr>
            <w:rStyle w:val="Hyperlink"/>
          </w:rPr>
          <w:t>Formulario P-2 de la ONU, Designación, Cambio o Revocación de Beneficiari</w:t>
        </w:r>
        <w:r>
          <w:rPr>
            <w:rStyle w:val="Hyperlink"/>
          </w:rPr>
          <w:t xml:space="preserve">o </w:t>
        </w:r>
        <w:r w:rsidRPr="00B237FF">
          <w:rPr>
            <w:rStyle w:val="Hyperlink"/>
          </w:rPr>
          <w:t>(en inglés)</w:t>
        </w:r>
        <w:r w:rsidRPr="008314B5">
          <w:rPr>
            <w:rStyle w:val="Hyperlink"/>
          </w:rPr>
          <w:t xml:space="preserve"> </w:t>
        </w:r>
      </w:hyperlink>
      <w:r>
        <w:t xml:space="preserve"> </w:t>
      </w:r>
    </w:p>
    <w:p w14:paraId="2E3CA7AA" w14:textId="77777777" w:rsidR="00430EF8" w:rsidRPr="00981A99" w:rsidRDefault="00430EF8" w:rsidP="00430EF8">
      <w:pPr>
        <w:numPr>
          <w:ilvl w:val="1"/>
          <w:numId w:val="1"/>
        </w:numPr>
        <w:spacing w:after="120" w:line="252" w:lineRule="auto"/>
        <w:ind w:hanging="360"/>
      </w:pPr>
      <w:r>
        <w:t xml:space="preserve">Pago de las vacaciones anuales acumuladas hasta un máximo de 60/45 días a los beneficiarios de acuerdo con el porcentaje incluido en el </w:t>
      </w:r>
      <w:hyperlink r:id="rId9" w:history="1">
        <w:r w:rsidRPr="008314B5">
          <w:rPr>
            <w:rStyle w:val="Hyperlink"/>
          </w:rPr>
          <w:t>Formulario P-2 de la ONU, Designación, Cambio o Revocación de Beneficiari</w:t>
        </w:r>
        <w:r>
          <w:rPr>
            <w:rStyle w:val="Hyperlink"/>
          </w:rPr>
          <w:t xml:space="preserve">o </w:t>
        </w:r>
        <w:r w:rsidRPr="00B237FF">
          <w:rPr>
            <w:rStyle w:val="Hyperlink"/>
          </w:rPr>
          <w:t>(en inglés)</w:t>
        </w:r>
      </w:hyperlink>
      <w:r>
        <w:t xml:space="preserve">  </w:t>
      </w:r>
    </w:p>
    <w:p w14:paraId="67F8F408" w14:textId="77777777" w:rsidR="00430EF8" w:rsidRPr="00981A99" w:rsidRDefault="00430EF8" w:rsidP="00430EF8">
      <w:pPr>
        <w:numPr>
          <w:ilvl w:val="1"/>
          <w:numId w:val="1"/>
        </w:numPr>
        <w:spacing w:after="120" w:line="252" w:lineRule="auto"/>
        <w:ind w:hanging="360"/>
      </w:pPr>
      <w:r>
        <w:lastRenderedPageBreak/>
        <w:t xml:space="preserve">Prestaciones del régimen de pensiones, de acuerdo con el Reglamento de la CMPPNU  </w:t>
      </w:r>
    </w:p>
    <w:p w14:paraId="54B6B77D" w14:textId="77777777" w:rsidR="00430EF8" w:rsidRPr="00981A99" w:rsidRDefault="00430EF8" w:rsidP="00430EF8">
      <w:pPr>
        <w:numPr>
          <w:ilvl w:val="1"/>
          <w:numId w:val="1"/>
        </w:numPr>
        <w:spacing w:after="120" w:line="252" w:lineRule="auto"/>
        <w:ind w:hanging="360"/>
      </w:pPr>
      <w:r>
        <w:t xml:space="preserve">Cobertura de ASHI para la familia supérstite que reúne las condiciones  </w:t>
      </w:r>
    </w:p>
    <w:p w14:paraId="00AA156C" w14:textId="77777777" w:rsidR="00430EF8" w:rsidRPr="00981A99" w:rsidRDefault="00430EF8" w:rsidP="00430EF8">
      <w:pPr>
        <w:numPr>
          <w:ilvl w:val="1"/>
          <w:numId w:val="1"/>
        </w:numPr>
        <w:spacing w:after="120" w:line="252" w:lineRule="auto"/>
        <w:ind w:hanging="360"/>
      </w:pPr>
      <w:r>
        <w:t xml:space="preserve">Pago de seguro de vida, si corresponde  </w:t>
      </w:r>
    </w:p>
    <w:p w14:paraId="18049000" w14:textId="77777777" w:rsidR="00430EF8" w:rsidRPr="00981A99" w:rsidRDefault="00430EF8" w:rsidP="00430EF8">
      <w:pPr>
        <w:numPr>
          <w:ilvl w:val="1"/>
          <w:numId w:val="1"/>
        </w:numPr>
        <w:spacing w:after="120" w:line="252" w:lineRule="auto"/>
        <w:ind w:hanging="360"/>
      </w:pPr>
      <w:r>
        <w:t xml:space="preserve">Indemnización de acuerdo con el </w:t>
      </w:r>
      <w:hyperlink r:id="rId10" w:anchor="AppendixD" w:history="1">
        <w:r w:rsidRPr="008314B5">
          <w:rPr>
            <w:rStyle w:val="Hyperlink"/>
          </w:rPr>
          <w:t>Apéndice D</w:t>
        </w:r>
      </w:hyperlink>
      <w:r>
        <w:t xml:space="preserve"> (en inglés) del Reglamento del Personal de la ONU, si la muerte es causada como resultado del cumplimiento de funciones del PNUD  </w:t>
      </w:r>
    </w:p>
    <w:p w14:paraId="02151996" w14:textId="77777777" w:rsidR="00430EF8" w:rsidRPr="00981A99" w:rsidRDefault="00430EF8" w:rsidP="00430EF8">
      <w:pPr>
        <w:numPr>
          <w:ilvl w:val="1"/>
          <w:numId w:val="1"/>
        </w:numPr>
        <w:spacing w:after="120" w:line="252" w:lineRule="auto"/>
        <w:ind w:hanging="360"/>
      </w:pPr>
      <w:r>
        <w:t xml:space="preserve">Pago de prestación por muerte al cónyuge supérstite o hijos a cargo  </w:t>
      </w:r>
    </w:p>
    <w:p w14:paraId="7E833657" w14:textId="77777777" w:rsidR="00430EF8" w:rsidRPr="00981A99" w:rsidRDefault="00430EF8" w:rsidP="00430EF8">
      <w:pPr>
        <w:numPr>
          <w:ilvl w:val="1"/>
          <w:numId w:val="1"/>
        </w:numPr>
        <w:spacing w:after="120" w:line="252" w:lineRule="auto"/>
        <w:ind w:hanging="360"/>
      </w:pPr>
      <w:r>
        <w:t xml:space="preserve">Finalización del año escolar en virtud de los términos del subsidio de educación (EG) para los hijos que reúnen las condiciones  </w:t>
      </w:r>
    </w:p>
    <w:p w14:paraId="0AC89B90" w14:textId="77777777" w:rsidR="00430EF8" w:rsidRPr="00981A99" w:rsidRDefault="00430EF8" w:rsidP="00430EF8">
      <w:pPr>
        <w:numPr>
          <w:ilvl w:val="1"/>
          <w:numId w:val="1"/>
        </w:numPr>
        <w:spacing w:after="120" w:line="252" w:lineRule="auto"/>
        <w:ind w:hanging="360"/>
      </w:pPr>
      <w:r>
        <w:t xml:space="preserve">Traslado del cuerpo del miembro del personal  </w:t>
      </w:r>
    </w:p>
    <w:p w14:paraId="4D049E21" w14:textId="77777777" w:rsidR="00430EF8" w:rsidRPr="00981A99" w:rsidRDefault="00430EF8" w:rsidP="00430EF8">
      <w:pPr>
        <w:numPr>
          <w:ilvl w:val="1"/>
          <w:numId w:val="1"/>
        </w:numPr>
        <w:spacing w:after="120" w:line="252" w:lineRule="auto"/>
        <w:ind w:hanging="360"/>
      </w:pPr>
      <w:r>
        <w:t xml:space="preserve">Viaje de regreso para los familiares que reúnen las condiciones  </w:t>
      </w:r>
    </w:p>
    <w:p w14:paraId="45334861" w14:textId="77777777" w:rsidR="00430EF8" w:rsidRPr="00981A99" w:rsidRDefault="00430EF8" w:rsidP="00430EF8">
      <w:pPr>
        <w:numPr>
          <w:ilvl w:val="1"/>
          <w:numId w:val="1"/>
        </w:numPr>
        <w:spacing w:after="120" w:line="252" w:lineRule="auto"/>
        <w:ind w:hanging="360"/>
      </w:pPr>
      <w:r>
        <w:t xml:space="preserve">Gastos del transporte de regreso de efectos personales y enseres domésticos para los familiares que reúnen las condiciones  </w:t>
      </w:r>
    </w:p>
    <w:p w14:paraId="70C6B16A" w14:textId="05D4C6BD" w:rsidR="00430EF8" w:rsidRPr="00981A99" w:rsidRDefault="00430EF8" w:rsidP="00315647">
      <w:pPr>
        <w:numPr>
          <w:ilvl w:val="1"/>
          <w:numId w:val="1"/>
        </w:numPr>
        <w:ind w:hanging="360"/>
      </w:pPr>
      <w:r>
        <w:t xml:space="preserve">Pago de Prima de Repatriación al cónyuge supérstite o uno o más hijos a cargo a quienes el PNUD está obligado a repatriar  </w:t>
      </w:r>
    </w:p>
    <w:p w14:paraId="119121C7" w14:textId="77777777" w:rsidR="00430EF8" w:rsidRPr="00315647" w:rsidRDefault="00430EF8" w:rsidP="00430EF8">
      <w:pPr>
        <w:pStyle w:val="Heading1"/>
        <w:ind w:left="-5"/>
        <w:rPr>
          <w:rFonts w:ascii="Calibri" w:hAnsi="Calibri" w:cs="Calibri"/>
          <w:b/>
          <w:bCs/>
          <w:color w:val="auto"/>
          <w:sz w:val="24"/>
          <w:szCs w:val="24"/>
        </w:rPr>
      </w:pPr>
      <w:r w:rsidRPr="00315647">
        <w:rPr>
          <w:rFonts w:ascii="Calibri" w:hAnsi="Calibri" w:cs="Calibri"/>
          <w:b/>
          <w:bCs/>
          <w:color w:val="auto"/>
          <w:sz w:val="24"/>
          <w:szCs w:val="24"/>
        </w:rPr>
        <w:t xml:space="preserve">Pagos Retroactivos   </w:t>
      </w:r>
    </w:p>
    <w:p w14:paraId="07C982EC" w14:textId="77777777" w:rsidR="00430EF8" w:rsidRPr="00981A99" w:rsidRDefault="00430EF8" w:rsidP="00430EF8">
      <w:pPr>
        <w:spacing w:after="11" w:line="259" w:lineRule="auto"/>
        <w:ind w:left="734" w:firstLine="0"/>
        <w:jc w:val="left"/>
      </w:pPr>
      <w:r>
        <w:t xml:space="preserve">  </w:t>
      </w:r>
    </w:p>
    <w:p w14:paraId="58B050FA" w14:textId="77777777" w:rsidR="00430EF8" w:rsidRPr="00981A99" w:rsidRDefault="00430EF8" w:rsidP="00430EF8">
      <w:pPr>
        <w:ind w:left="744" w:hanging="370"/>
      </w:pPr>
      <w:r>
        <w:t>4.</w:t>
      </w:r>
      <w:r>
        <w:rPr>
          <w:rFonts w:ascii="Arial" w:hAnsi="Arial"/>
        </w:rPr>
        <w:t xml:space="preserve">  </w:t>
      </w:r>
      <w:r>
        <w:t xml:space="preserve">En el caso de que se lleve a cabo una revisión retroactiva de una escala de sueldos tras la separación de un miembro del personal, los antiguos miembros del personal que prestaban servicio durante el período de retroactividad pueden reclamar cualquier pago retroactivo que se les adeude dentro de un año desde la emisión de las nuevas revisiones de sueldos.   </w:t>
      </w:r>
    </w:p>
    <w:p w14:paraId="7F1F7E54" w14:textId="77777777" w:rsidR="00430EF8" w:rsidRPr="00981A99" w:rsidRDefault="00430EF8" w:rsidP="00430EF8">
      <w:pPr>
        <w:spacing w:after="0" w:line="259" w:lineRule="auto"/>
        <w:ind w:left="14" w:firstLine="0"/>
        <w:jc w:val="left"/>
      </w:pPr>
      <w:r>
        <w:rPr>
          <w:b/>
        </w:rPr>
        <w:t xml:space="preserve"> </w:t>
      </w:r>
      <w:r>
        <w:t xml:space="preserve"> </w:t>
      </w:r>
    </w:p>
    <w:p w14:paraId="4FD7036B" w14:textId="2225EAA6" w:rsidR="00430EF8" w:rsidRPr="00981A99" w:rsidRDefault="00430EF8" w:rsidP="00315647">
      <w:pPr>
        <w:spacing w:after="0" w:line="259" w:lineRule="auto"/>
        <w:ind w:left="-5"/>
        <w:jc w:val="left"/>
      </w:pPr>
      <w:r>
        <w:rPr>
          <w:b/>
        </w:rPr>
        <w:t xml:space="preserve">Anticipos </w:t>
      </w:r>
      <w:r>
        <w:t xml:space="preserve">  </w:t>
      </w:r>
    </w:p>
    <w:p w14:paraId="06AAF704" w14:textId="77777777" w:rsidR="00430EF8" w:rsidRPr="00315647" w:rsidRDefault="00430EF8" w:rsidP="00315647">
      <w:pPr>
        <w:pStyle w:val="Heading1"/>
        <w:ind w:left="0"/>
        <w:rPr>
          <w:rFonts w:ascii="Calibri" w:hAnsi="Calibri" w:cs="Calibri"/>
          <w:b/>
          <w:bCs/>
          <w:color w:val="auto"/>
          <w:sz w:val="24"/>
          <w:szCs w:val="24"/>
        </w:rPr>
      </w:pPr>
      <w:r w:rsidRPr="00315647">
        <w:rPr>
          <w:rFonts w:ascii="Calibri" w:hAnsi="Calibri" w:cs="Calibri"/>
          <w:b/>
          <w:bCs/>
          <w:color w:val="auto"/>
          <w:sz w:val="24"/>
          <w:szCs w:val="24"/>
        </w:rPr>
        <w:t xml:space="preserve">Miembros del Personal Internacional  </w:t>
      </w:r>
    </w:p>
    <w:p w14:paraId="67D31171" w14:textId="77777777" w:rsidR="00430EF8" w:rsidRPr="00981A99" w:rsidRDefault="00430EF8" w:rsidP="00430EF8">
      <w:pPr>
        <w:spacing w:after="11" w:line="259" w:lineRule="auto"/>
        <w:ind w:left="734" w:firstLine="0"/>
        <w:jc w:val="left"/>
      </w:pPr>
      <w:r>
        <w:t xml:space="preserve">  </w:t>
      </w:r>
    </w:p>
    <w:p w14:paraId="275116B6" w14:textId="77777777" w:rsidR="00430EF8" w:rsidRPr="00981A99" w:rsidRDefault="00430EF8" w:rsidP="00430EF8">
      <w:pPr>
        <w:ind w:left="744" w:hanging="370"/>
      </w:pPr>
      <w:r>
        <w:t>5.</w:t>
      </w:r>
      <w:r>
        <w:rPr>
          <w:rFonts w:ascii="Arial" w:hAnsi="Arial"/>
        </w:rPr>
        <w:t xml:space="preserve">  </w:t>
      </w:r>
      <w:r>
        <w:t xml:space="preserve">Los miembros del personal internacional no reciben las primas, las indemnizaciones ni el resto de las remuneraciones que se les adeudan como resultado de la separación inmediatamente. Ya que el pago final puede llevar varias semanas, los miembros del personal internacional pueden solicitar un anticipo del 80 por ciento de estos montos, con la excepción de los beneficios de la CMPPNU. Las solicitudes de anticipo deben estar dirigidas al Asociado de Recursos Humanos de la Oficina de Recursos Humanos (ORH) de Copenhague que preste servicios al lugar de destino.   </w:t>
      </w:r>
    </w:p>
    <w:p w14:paraId="6CE104DA" w14:textId="77777777" w:rsidR="00430EF8" w:rsidRPr="00981A99" w:rsidRDefault="00430EF8" w:rsidP="00430EF8">
      <w:pPr>
        <w:spacing w:after="0" w:line="259" w:lineRule="auto"/>
        <w:ind w:left="14" w:firstLine="0"/>
        <w:jc w:val="left"/>
      </w:pPr>
      <w:r>
        <w:rPr>
          <w:b/>
        </w:rPr>
        <w:t xml:space="preserve"> </w:t>
      </w:r>
      <w:r>
        <w:t xml:space="preserve"> </w:t>
      </w:r>
    </w:p>
    <w:p w14:paraId="0F841D01" w14:textId="77777777" w:rsidR="00430EF8" w:rsidRPr="00315647" w:rsidRDefault="00430EF8" w:rsidP="00315647">
      <w:pPr>
        <w:pStyle w:val="Heading1"/>
        <w:ind w:left="0"/>
        <w:rPr>
          <w:rFonts w:ascii="Calibri" w:hAnsi="Calibri" w:cs="Calibri"/>
          <w:b/>
          <w:bCs/>
          <w:color w:val="auto"/>
          <w:sz w:val="24"/>
          <w:szCs w:val="24"/>
        </w:rPr>
      </w:pPr>
      <w:r w:rsidRPr="00315647">
        <w:rPr>
          <w:rFonts w:ascii="Calibri" w:hAnsi="Calibri" w:cs="Calibri"/>
          <w:b/>
          <w:bCs/>
          <w:color w:val="auto"/>
          <w:sz w:val="24"/>
          <w:szCs w:val="24"/>
        </w:rPr>
        <w:lastRenderedPageBreak/>
        <w:t xml:space="preserve">Miembros del Personal Local destinados en Nueva York (NY)  </w:t>
      </w:r>
    </w:p>
    <w:p w14:paraId="5A5961F0" w14:textId="77777777" w:rsidR="00430EF8" w:rsidRPr="00981A99" w:rsidRDefault="00430EF8" w:rsidP="00430EF8">
      <w:pPr>
        <w:spacing w:after="9" w:line="259" w:lineRule="auto"/>
        <w:ind w:left="14" w:firstLine="0"/>
        <w:jc w:val="left"/>
      </w:pPr>
      <w:r>
        <w:rPr>
          <w:b/>
        </w:rPr>
        <w:t xml:space="preserve"> </w:t>
      </w:r>
      <w:r>
        <w:t xml:space="preserve"> </w:t>
      </w:r>
    </w:p>
    <w:p w14:paraId="320F2555" w14:textId="77777777" w:rsidR="00430EF8" w:rsidRPr="00981A99" w:rsidRDefault="00430EF8" w:rsidP="00430EF8">
      <w:pPr>
        <w:ind w:left="744" w:hanging="370"/>
      </w:pPr>
      <w:r>
        <w:t>6.</w:t>
      </w:r>
      <w:r>
        <w:rPr>
          <w:rFonts w:ascii="Arial" w:hAnsi="Arial"/>
        </w:rPr>
        <w:t xml:space="preserve">  </w:t>
      </w:r>
      <w:r>
        <w:t xml:space="preserve">El párrafo anterior, relativo a miembros del personal internacional, también rige para miembros del personal local destacados en NY, a quienes también se les paga mediante la nómina de la ONU.   </w:t>
      </w:r>
    </w:p>
    <w:p w14:paraId="0A17EC00" w14:textId="77777777" w:rsidR="00430EF8" w:rsidRPr="00981A99" w:rsidRDefault="00430EF8" w:rsidP="00430EF8">
      <w:pPr>
        <w:spacing w:after="0" w:line="259" w:lineRule="auto"/>
        <w:ind w:left="14" w:firstLine="0"/>
        <w:jc w:val="left"/>
      </w:pPr>
      <w:r>
        <w:t xml:space="preserve">  </w:t>
      </w:r>
    </w:p>
    <w:p w14:paraId="52C55F5E" w14:textId="77777777" w:rsidR="00430EF8" w:rsidRPr="00315647" w:rsidRDefault="00430EF8" w:rsidP="00315647">
      <w:pPr>
        <w:pStyle w:val="Heading1"/>
        <w:ind w:left="0"/>
        <w:rPr>
          <w:rFonts w:ascii="Calibri" w:hAnsi="Calibri" w:cs="Calibri"/>
          <w:b/>
          <w:bCs/>
          <w:color w:val="auto"/>
          <w:sz w:val="24"/>
          <w:szCs w:val="24"/>
        </w:rPr>
      </w:pPr>
      <w:r w:rsidRPr="00315647">
        <w:rPr>
          <w:rFonts w:ascii="Calibri" w:hAnsi="Calibri" w:cs="Calibri"/>
          <w:b/>
          <w:bCs/>
          <w:color w:val="auto"/>
          <w:sz w:val="24"/>
          <w:szCs w:val="24"/>
        </w:rPr>
        <w:t xml:space="preserve">Miembros del Personal Local destinados fuera de NY  </w:t>
      </w:r>
    </w:p>
    <w:p w14:paraId="78E868CB" w14:textId="77777777" w:rsidR="00430EF8" w:rsidRPr="00981A99" w:rsidRDefault="00430EF8" w:rsidP="00430EF8">
      <w:pPr>
        <w:spacing w:after="0" w:line="259" w:lineRule="auto"/>
        <w:ind w:left="14" w:firstLine="0"/>
        <w:jc w:val="left"/>
      </w:pPr>
      <w:r>
        <w:t xml:space="preserve">  </w:t>
      </w:r>
    </w:p>
    <w:p w14:paraId="0709372D" w14:textId="77777777" w:rsidR="00430EF8" w:rsidRPr="00981A99" w:rsidRDefault="00430EF8" w:rsidP="00430EF8">
      <w:pPr>
        <w:ind w:left="744" w:hanging="370"/>
      </w:pPr>
      <w:r>
        <w:t>7.</w:t>
      </w:r>
      <w:r w:rsidRPr="7D2EF1C8">
        <w:rPr>
          <w:rFonts w:ascii="Arial" w:hAnsi="Arial"/>
        </w:rPr>
        <w:t xml:space="preserve">  </w:t>
      </w:r>
      <w:r>
        <w:t>Los miembros del personal local destinados</w:t>
      </w:r>
      <w:r w:rsidRPr="004835FC">
        <w:t xml:space="preserve"> fuera</w:t>
      </w:r>
      <w:r>
        <w:t xml:space="preserve"> de NY no necesitan solicitar un anticipo de su pago final, ya que la Dependencia de Finanzas local procesa el pago de cualquier prima, indemnización y otra remuneración que se les adeude como resultado de la separación inmediatamente, con la excepción de los beneficios de la CMPPNU.  </w:t>
      </w:r>
    </w:p>
    <w:p w14:paraId="07965D8B" w14:textId="77777777" w:rsidR="00430EF8" w:rsidRPr="00981A99" w:rsidRDefault="00430EF8" w:rsidP="00430EF8">
      <w:pPr>
        <w:spacing w:after="0" w:line="259" w:lineRule="auto"/>
        <w:ind w:left="14" w:firstLine="0"/>
        <w:jc w:val="left"/>
      </w:pPr>
      <w:r>
        <w:rPr>
          <w:b/>
        </w:rPr>
        <w:t xml:space="preserve"> </w:t>
      </w:r>
      <w:r>
        <w:t xml:space="preserve"> </w:t>
      </w:r>
    </w:p>
    <w:p w14:paraId="2E8F46B5" w14:textId="77777777" w:rsidR="00430EF8" w:rsidRPr="00315647" w:rsidRDefault="00430EF8" w:rsidP="00315647">
      <w:pPr>
        <w:pStyle w:val="Heading1"/>
        <w:ind w:left="0"/>
        <w:rPr>
          <w:rFonts w:ascii="Calibri" w:hAnsi="Calibri" w:cs="Calibri"/>
          <w:b/>
          <w:bCs/>
          <w:color w:val="auto"/>
          <w:sz w:val="24"/>
          <w:szCs w:val="24"/>
        </w:rPr>
      </w:pPr>
      <w:r w:rsidRPr="00315647">
        <w:rPr>
          <w:rFonts w:ascii="Calibri" w:hAnsi="Calibri" w:cs="Calibri"/>
          <w:b/>
          <w:bCs/>
          <w:color w:val="auto"/>
          <w:sz w:val="24"/>
          <w:szCs w:val="24"/>
        </w:rPr>
        <w:t xml:space="preserve">Información adicional   </w:t>
      </w:r>
    </w:p>
    <w:p w14:paraId="499863D9" w14:textId="77777777" w:rsidR="00430EF8" w:rsidRPr="00981A99" w:rsidRDefault="00430EF8" w:rsidP="00430EF8">
      <w:pPr>
        <w:spacing w:after="11" w:line="259" w:lineRule="auto"/>
        <w:ind w:left="14" w:firstLine="0"/>
        <w:jc w:val="left"/>
      </w:pPr>
      <w:r>
        <w:t xml:space="preserve">  </w:t>
      </w:r>
    </w:p>
    <w:p w14:paraId="763B4A5B" w14:textId="77777777" w:rsidR="00430EF8" w:rsidRPr="00981A99" w:rsidRDefault="00430EF8" w:rsidP="00430EF8">
      <w:r>
        <w:t>8.</w:t>
      </w:r>
      <w:r>
        <w:rPr>
          <w:rFonts w:ascii="Arial" w:hAnsi="Arial"/>
        </w:rPr>
        <w:t xml:space="preserve"> </w:t>
      </w:r>
      <w:r>
        <w:t xml:space="preserve">Para obtener más información, consultar:  </w:t>
      </w:r>
    </w:p>
    <w:p w14:paraId="5BA06CAF" w14:textId="77777777" w:rsidR="00430EF8" w:rsidRPr="00981A99" w:rsidRDefault="00430EF8" w:rsidP="00430EF8">
      <w:pPr>
        <w:spacing w:after="9" w:line="259" w:lineRule="auto"/>
        <w:ind w:left="1454" w:firstLine="0"/>
        <w:jc w:val="left"/>
      </w:pPr>
      <w:r>
        <w:t xml:space="preserve">  </w:t>
      </w:r>
    </w:p>
    <w:p w14:paraId="34765782" w14:textId="77777777" w:rsidR="00430EF8" w:rsidRPr="00981A99" w:rsidRDefault="00430EF8" w:rsidP="00430EF8">
      <w:pPr>
        <w:numPr>
          <w:ilvl w:val="0"/>
          <w:numId w:val="2"/>
        </w:numPr>
        <w:spacing w:after="120" w:line="252" w:lineRule="auto"/>
        <w:ind w:hanging="360"/>
        <w:jc w:val="left"/>
      </w:pPr>
      <w:r>
        <w:t xml:space="preserve">Reglamento de la Caja Común de Pensiones del Personal de las Naciones Unidas (CMPPNU): </w:t>
      </w:r>
      <w:hyperlink r:id="rId11" w:history="1">
        <w:r w:rsidRPr="00B85F88">
          <w:rPr>
            <w:rStyle w:val="Hyperlink"/>
          </w:rPr>
          <w:t>https://www.unjspf.org/</w:t>
        </w:r>
      </w:hyperlink>
      <w:r>
        <w:rPr>
          <w:color w:val="0070C0"/>
        </w:rPr>
        <w:t xml:space="preserve">  </w:t>
      </w:r>
    </w:p>
    <w:p w14:paraId="3B07D937" w14:textId="77777777" w:rsidR="00430EF8" w:rsidRPr="00981A99" w:rsidRDefault="00430EF8" w:rsidP="00430EF8">
      <w:pPr>
        <w:numPr>
          <w:ilvl w:val="0"/>
          <w:numId w:val="2"/>
        </w:numPr>
        <w:spacing w:after="0" w:line="259" w:lineRule="auto"/>
        <w:ind w:hanging="360"/>
        <w:jc w:val="left"/>
      </w:pPr>
      <w:hyperlink r:id="rId12" w:history="1">
        <w:r w:rsidRPr="00842C72">
          <w:rPr>
            <w:rStyle w:val="Hyperlink"/>
          </w:rPr>
          <w:t>Formulario P-2, Designación, Cambio y Revocación de Beneficiari</w:t>
        </w:r>
        <w:r>
          <w:rPr>
            <w:rStyle w:val="Hyperlink"/>
          </w:rPr>
          <w:t xml:space="preserve">o </w:t>
        </w:r>
        <w:r w:rsidRPr="00B237FF">
          <w:rPr>
            <w:rStyle w:val="Hyperlink"/>
          </w:rPr>
          <w:t>(en inglé</w:t>
        </w:r>
        <w:r>
          <w:rPr>
            <w:rStyle w:val="Hyperlink"/>
          </w:rPr>
          <w:t>s)</w:t>
        </w:r>
      </w:hyperlink>
    </w:p>
    <w:p w14:paraId="3724D54B" w14:textId="77777777" w:rsidR="00430EF8" w:rsidRDefault="00430EF8" w:rsidP="00430EF8">
      <w:pPr>
        <w:spacing w:after="0" w:line="259" w:lineRule="auto"/>
        <w:ind w:left="14" w:firstLine="0"/>
        <w:jc w:val="left"/>
      </w:pPr>
      <w:r>
        <w:t xml:space="preserve">  </w:t>
      </w:r>
    </w:p>
    <w:p w14:paraId="1B176E92" w14:textId="77777777" w:rsidR="00430EF8" w:rsidRDefault="00430EF8" w:rsidP="00430EF8">
      <w:pPr>
        <w:spacing w:after="0" w:line="259" w:lineRule="auto"/>
        <w:ind w:left="14" w:firstLine="0"/>
        <w:jc w:val="left"/>
      </w:pPr>
    </w:p>
    <w:p w14:paraId="456AEF2F" w14:textId="77777777" w:rsidR="00430EF8" w:rsidRDefault="00430EF8" w:rsidP="00315647">
      <w:pPr>
        <w:spacing w:after="0" w:line="259" w:lineRule="auto"/>
        <w:ind w:left="0" w:firstLine="0"/>
        <w:jc w:val="left"/>
      </w:pPr>
    </w:p>
    <w:p w14:paraId="3266B6B7" w14:textId="77777777" w:rsidR="00430EF8" w:rsidRDefault="00430EF8" w:rsidP="00430EF8">
      <w:pPr>
        <w:spacing w:after="0" w:line="259" w:lineRule="auto"/>
        <w:ind w:left="14" w:firstLine="0"/>
        <w:jc w:val="left"/>
      </w:pPr>
    </w:p>
    <w:p w14:paraId="297C5FC0" w14:textId="77777777" w:rsidR="00430EF8" w:rsidRDefault="00430EF8" w:rsidP="00430EF8">
      <w:pPr>
        <w:spacing w:after="0" w:line="259" w:lineRule="auto"/>
        <w:ind w:left="14" w:firstLine="0"/>
        <w:jc w:val="left"/>
      </w:pPr>
    </w:p>
    <w:p w14:paraId="2372175A" w14:textId="77777777" w:rsidR="00430EF8" w:rsidRDefault="00430EF8" w:rsidP="00430EF8">
      <w:pPr>
        <w:spacing w:after="0" w:line="259" w:lineRule="auto"/>
        <w:ind w:left="14" w:firstLine="0"/>
        <w:jc w:val="left"/>
      </w:pPr>
    </w:p>
    <w:p w14:paraId="6AF69FED" w14:textId="77777777" w:rsidR="00430EF8" w:rsidRPr="00981A99" w:rsidRDefault="00430EF8" w:rsidP="00430EF8">
      <w:pPr>
        <w:spacing w:after="0" w:line="259" w:lineRule="auto"/>
        <w:ind w:left="14" w:firstLine="0"/>
        <w:jc w:val="left"/>
      </w:pPr>
    </w:p>
    <w:p w14:paraId="126224D6" w14:textId="77777777" w:rsidR="00430EF8" w:rsidRDefault="00430EF8" w:rsidP="00430EF8">
      <w:pPr>
        <w:spacing w:after="0" w:line="259" w:lineRule="auto"/>
        <w:ind w:left="14" w:firstLine="0"/>
        <w:jc w:val="left"/>
      </w:pPr>
      <w:r>
        <w:rPr>
          <w:b/>
        </w:rPr>
        <w:t xml:space="preserve"> </w:t>
      </w:r>
      <w:r>
        <w:t xml:space="preserve"> </w:t>
      </w:r>
    </w:p>
    <w:p w14:paraId="5A2BE235" w14:textId="77777777" w:rsidR="00430EF8" w:rsidRPr="00B91C40" w:rsidRDefault="00430EF8" w:rsidP="00315647">
      <w:pPr>
        <w:pStyle w:val="NormalWeb"/>
        <w:shd w:val="clear" w:color="auto" w:fill="FFFFFF"/>
        <w:spacing w:before="0" w:beforeAutospacing="0" w:after="0" w:afterAutospacing="0"/>
        <w:rPr>
          <w:rFonts w:ascii="Calibri" w:hAnsi="Calibri"/>
          <w:color w:val="000000"/>
          <w:sz w:val="22"/>
          <w:szCs w:val="22"/>
        </w:rPr>
      </w:pPr>
      <w:r w:rsidRPr="00B91C40">
        <w:rPr>
          <w:rFonts w:ascii="Calibri" w:hAnsi="Calibri"/>
          <w:b/>
          <w:bCs/>
          <w:i/>
          <w:iCs/>
          <w:color w:val="212121"/>
          <w:sz w:val="22"/>
          <w:szCs w:val="22"/>
        </w:rPr>
        <w:t>Disclaimer:</w:t>
      </w:r>
      <w:r w:rsidRPr="00B91C40">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6091FB7F" w14:textId="77777777" w:rsidR="00430EF8" w:rsidRPr="00B91C40" w:rsidRDefault="00430EF8" w:rsidP="00315647">
      <w:pPr>
        <w:pStyle w:val="NormalWeb"/>
        <w:shd w:val="clear" w:color="auto" w:fill="FFFFFF"/>
        <w:spacing w:before="0" w:beforeAutospacing="0" w:after="0" w:afterAutospacing="0"/>
        <w:rPr>
          <w:rFonts w:ascii="Calibri" w:hAnsi="Calibri"/>
          <w:color w:val="000000"/>
          <w:sz w:val="22"/>
          <w:szCs w:val="22"/>
        </w:rPr>
      </w:pPr>
      <w:r w:rsidRPr="00B91C40">
        <w:rPr>
          <w:rFonts w:ascii="Calibri" w:hAnsi="Calibri"/>
          <w:i/>
          <w:iCs/>
          <w:color w:val="212121"/>
          <w:sz w:val="22"/>
          <w:szCs w:val="22"/>
        </w:rPr>
        <w:t> </w:t>
      </w:r>
    </w:p>
    <w:p w14:paraId="5B6A14B9" w14:textId="77777777" w:rsidR="00430EF8" w:rsidRPr="00B91C40" w:rsidRDefault="00430EF8" w:rsidP="00315647">
      <w:pPr>
        <w:pStyle w:val="NormalWeb"/>
        <w:shd w:val="clear" w:color="auto" w:fill="FFFFFF"/>
        <w:spacing w:before="0" w:beforeAutospacing="0" w:after="0" w:afterAutospacing="0"/>
        <w:rPr>
          <w:rFonts w:ascii="Calibri" w:hAnsi="Calibri"/>
          <w:color w:val="000000"/>
          <w:sz w:val="22"/>
          <w:szCs w:val="22"/>
          <w:lang w:val="es-ES_tradnl"/>
        </w:rPr>
      </w:pPr>
      <w:r w:rsidRPr="00B91C40">
        <w:rPr>
          <w:rFonts w:ascii="Calibri" w:hAnsi="Calibri"/>
          <w:b/>
          <w:bCs/>
          <w:i/>
          <w:iCs/>
          <w:color w:val="212121"/>
          <w:sz w:val="22"/>
          <w:szCs w:val="22"/>
          <w:shd w:val="clear" w:color="auto" w:fill="FFFFFF"/>
          <w:lang w:val="es-ES_tradnl"/>
        </w:rPr>
        <w:t>Descargo de responsabilidad:</w:t>
      </w:r>
      <w:r w:rsidRPr="00B91C40">
        <w:rPr>
          <w:rFonts w:ascii="Calibri" w:hAnsi="Calibri"/>
          <w:i/>
          <w:iCs/>
          <w:color w:val="212121"/>
          <w:sz w:val="22"/>
          <w:szCs w:val="22"/>
          <w:shd w:val="clear" w:color="auto" w:fill="FFFFFF"/>
          <w:lang w:val="es-ES_tradnl"/>
        </w:rPr>
        <w:t xml:space="preserve"> esta es una traducción de un documento original en inglés. </w:t>
      </w:r>
      <w:r w:rsidRPr="00B91C40">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0FA9D207" w14:textId="77777777" w:rsidR="00430EF8" w:rsidRPr="00B91C40" w:rsidRDefault="00430EF8" w:rsidP="00430EF8">
      <w:pPr>
        <w:spacing w:after="0" w:line="259" w:lineRule="auto"/>
        <w:ind w:left="14" w:firstLine="0"/>
        <w:jc w:val="left"/>
        <w:rPr>
          <w:lang w:val="es-ES_tradnl"/>
        </w:rPr>
      </w:pPr>
    </w:p>
    <w:p w14:paraId="7E7A7C1F" w14:textId="77777777" w:rsidR="00A31C56" w:rsidRPr="00430EF8" w:rsidRDefault="00A31C56">
      <w:pPr>
        <w:rPr>
          <w:lang w:val="es-ES_tradnl"/>
        </w:rPr>
      </w:pPr>
    </w:p>
    <w:sectPr w:rsidR="00A31C56" w:rsidRPr="00430EF8" w:rsidSect="00430EF8">
      <w:headerReference w:type="default" r:id="rId13"/>
      <w:footerReference w:type="even" r:id="rId14"/>
      <w:footerReference w:type="default" r:id="rId15"/>
      <w:footerReference w:type="first" r:id="rId16"/>
      <w:pgSz w:w="12240" w:h="15840"/>
      <w:pgMar w:top="1162" w:right="1791" w:bottom="1672" w:left="1786"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0E3A" w14:textId="77777777" w:rsidR="0042650A" w:rsidRDefault="0042650A">
      <w:pPr>
        <w:spacing w:after="0" w:line="240" w:lineRule="auto"/>
      </w:pPr>
      <w:r>
        <w:separator/>
      </w:r>
    </w:p>
  </w:endnote>
  <w:endnote w:type="continuationSeparator" w:id="0">
    <w:p w14:paraId="0B533059" w14:textId="77777777" w:rsidR="0042650A" w:rsidRDefault="0042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D140" w14:textId="77777777" w:rsidR="00E5336E" w:rsidRDefault="00000000">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0AEA613D" w14:textId="77777777" w:rsidR="00E5336E" w:rsidRDefault="00000000">
    <w:pPr>
      <w:spacing w:after="0" w:line="259" w:lineRule="auto"/>
      <w:ind w:left="14" w:firstLine="0"/>
      <w:jc w:val="left"/>
    </w:pPr>
    <w:r>
      <w:rPr>
        <w:rFonts w:ascii="Times New Roman" w:hAnsi="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C757" w14:textId="23A7B70D" w:rsidR="00E5336E" w:rsidRDefault="00000000">
    <w:pPr>
      <w:spacing w:after="0" w:line="259" w:lineRule="auto"/>
      <w:ind w:left="14" w:firstLine="0"/>
      <w:jc w:val="left"/>
    </w:pPr>
    <w:r>
      <w:t xml:space="preserve">Página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t xml:space="preserve">Fecha de entrada en vigor: 01/01/2025 </w:t>
    </w:r>
    <w:r>
      <w:ptab w:relativeTo="margin" w:alignment="right" w:leader="none"/>
    </w:r>
    <w:r>
      <w:t xml:space="preserve">Versión </w:t>
    </w:r>
    <w:r w:rsidR="00070CDE">
      <w:t>#</w:t>
    </w:r>
    <w:r>
      <w:t>: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B5F9" w14:textId="77777777" w:rsidR="00E5336E" w:rsidRDefault="00000000">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40D6EE5E" w14:textId="77777777" w:rsidR="00E5336E" w:rsidRDefault="00000000">
    <w:pPr>
      <w:spacing w:after="0" w:line="259" w:lineRule="auto"/>
      <w:ind w:left="14" w:firstLine="0"/>
      <w:jc w:val="left"/>
    </w:pPr>
    <w:r>
      <w:rPr>
        <w:rFonts w:ascii="Times New Roman" w:hAnsi="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A40D" w14:textId="77777777" w:rsidR="0042650A" w:rsidRDefault="0042650A">
      <w:pPr>
        <w:spacing w:after="0" w:line="240" w:lineRule="auto"/>
      </w:pPr>
      <w:r>
        <w:separator/>
      </w:r>
    </w:p>
  </w:footnote>
  <w:footnote w:type="continuationSeparator" w:id="0">
    <w:p w14:paraId="76E624C3" w14:textId="77777777" w:rsidR="0042650A" w:rsidRDefault="0042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21B3" w14:textId="77777777" w:rsidR="00E5336E" w:rsidRDefault="00000000" w:rsidP="00981A99">
    <w:pPr>
      <w:pStyle w:val="Header"/>
      <w:jc w:val="right"/>
    </w:pPr>
    <w:r>
      <w:rPr>
        <w:noProof/>
      </w:rPr>
      <w:drawing>
        <wp:inline distT="0" distB="0" distL="0" distR="0" wp14:anchorId="1D455D11" wp14:editId="09100C67">
          <wp:extent cx="591279" cy="900000"/>
          <wp:effectExtent l="0" t="0" r="0" b="0"/>
          <wp:docPr id="202747379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73792"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84D"/>
    <w:multiLevelType w:val="hybridMultilevel"/>
    <w:tmpl w:val="109ECBA8"/>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276D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510"/>
    <w:multiLevelType w:val="hybridMultilevel"/>
    <w:tmpl w:val="5AAE527A"/>
    <w:lvl w:ilvl="0" w:tplc="A862590E">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5C062E">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482FC6">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844AB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DB74">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74ED36">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FCF750">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16C82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DEDDD6">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8E18A4"/>
    <w:multiLevelType w:val="hybridMultilevel"/>
    <w:tmpl w:val="19C88B54"/>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C203A">
      <w:start w:val="1"/>
      <w:numFmt w:val="lowerRoman"/>
      <w:lvlText w:val="%2)"/>
      <w:lvlJc w:val="left"/>
      <w:pPr>
        <w:ind w:left="143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38514242">
    <w:abstractNumId w:val="0"/>
  </w:num>
  <w:num w:numId="2" w16cid:durableId="1774009903">
    <w:abstractNumId w:val="1"/>
  </w:num>
  <w:num w:numId="3" w16cid:durableId="119426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F8"/>
    <w:rsid w:val="00070CDE"/>
    <w:rsid w:val="000C0236"/>
    <w:rsid w:val="00147745"/>
    <w:rsid w:val="001577BB"/>
    <w:rsid w:val="00315647"/>
    <w:rsid w:val="0042650A"/>
    <w:rsid w:val="00430EF8"/>
    <w:rsid w:val="00487C63"/>
    <w:rsid w:val="00902913"/>
    <w:rsid w:val="00A31C56"/>
    <w:rsid w:val="00A72FA3"/>
    <w:rsid w:val="00A9366F"/>
    <w:rsid w:val="00BC3688"/>
    <w:rsid w:val="00E1356D"/>
    <w:rsid w:val="00E5336E"/>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34C7"/>
  <w15:chartTrackingRefBased/>
  <w15:docId w15:val="{CE41B5F5-9C51-4310-813D-F047E7D9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F8"/>
    <w:pPr>
      <w:spacing w:after="3" w:line="253" w:lineRule="auto"/>
      <w:ind w:left="384" w:hanging="10"/>
      <w:jc w:val="both"/>
    </w:pPr>
    <w:rPr>
      <w:rFonts w:ascii="Calibri" w:eastAsia="Calibri" w:hAnsi="Calibri" w:cs="Calibri"/>
      <w:color w:val="000000"/>
      <w:kern w:val="0"/>
      <w:lang w:val="es-ES" w:eastAsia="es-ES" w:bidi="es-ES"/>
      <w14:ligatures w14:val="none"/>
    </w:rPr>
  </w:style>
  <w:style w:type="paragraph" w:styleId="Heading1">
    <w:name w:val="heading 1"/>
    <w:basedOn w:val="Normal"/>
    <w:next w:val="Normal"/>
    <w:link w:val="Heading1Char"/>
    <w:uiPriority w:val="9"/>
    <w:qFormat/>
    <w:rsid w:val="00430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EF8"/>
    <w:rPr>
      <w:rFonts w:eastAsiaTheme="majorEastAsia" w:cstheme="majorBidi"/>
      <w:color w:val="272727" w:themeColor="text1" w:themeTint="D8"/>
    </w:rPr>
  </w:style>
  <w:style w:type="paragraph" w:styleId="Title">
    <w:name w:val="Title"/>
    <w:basedOn w:val="Normal"/>
    <w:next w:val="Normal"/>
    <w:link w:val="TitleChar"/>
    <w:uiPriority w:val="10"/>
    <w:qFormat/>
    <w:rsid w:val="00430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EF8"/>
    <w:pPr>
      <w:numPr>
        <w:ilvl w:val="1"/>
      </w:numPr>
      <w:ind w:left="38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EF8"/>
    <w:pPr>
      <w:spacing w:before="160"/>
      <w:jc w:val="center"/>
    </w:pPr>
    <w:rPr>
      <w:i/>
      <w:iCs/>
      <w:color w:val="404040" w:themeColor="text1" w:themeTint="BF"/>
    </w:rPr>
  </w:style>
  <w:style w:type="character" w:customStyle="1" w:styleId="QuoteChar">
    <w:name w:val="Quote Char"/>
    <w:basedOn w:val="DefaultParagraphFont"/>
    <w:link w:val="Quote"/>
    <w:uiPriority w:val="29"/>
    <w:rsid w:val="00430EF8"/>
    <w:rPr>
      <w:i/>
      <w:iCs/>
      <w:color w:val="404040" w:themeColor="text1" w:themeTint="BF"/>
    </w:rPr>
  </w:style>
  <w:style w:type="paragraph" w:styleId="ListParagraph">
    <w:name w:val="List Paragraph"/>
    <w:basedOn w:val="Normal"/>
    <w:uiPriority w:val="34"/>
    <w:qFormat/>
    <w:rsid w:val="00430EF8"/>
    <w:pPr>
      <w:ind w:left="720"/>
      <w:contextualSpacing/>
    </w:pPr>
  </w:style>
  <w:style w:type="character" w:styleId="IntenseEmphasis">
    <w:name w:val="Intense Emphasis"/>
    <w:basedOn w:val="DefaultParagraphFont"/>
    <w:uiPriority w:val="21"/>
    <w:qFormat/>
    <w:rsid w:val="00430EF8"/>
    <w:rPr>
      <w:i/>
      <w:iCs/>
      <w:color w:val="0F4761" w:themeColor="accent1" w:themeShade="BF"/>
    </w:rPr>
  </w:style>
  <w:style w:type="paragraph" w:styleId="IntenseQuote">
    <w:name w:val="Intense Quote"/>
    <w:basedOn w:val="Normal"/>
    <w:next w:val="Normal"/>
    <w:link w:val="IntenseQuoteChar"/>
    <w:uiPriority w:val="30"/>
    <w:qFormat/>
    <w:rsid w:val="00430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EF8"/>
    <w:rPr>
      <w:i/>
      <w:iCs/>
      <w:color w:val="0F4761" w:themeColor="accent1" w:themeShade="BF"/>
    </w:rPr>
  </w:style>
  <w:style w:type="character" w:styleId="IntenseReference">
    <w:name w:val="Intense Reference"/>
    <w:basedOn w:val="DefaultParagraphFont"/>
    <w:uiPriority w:val="32"/>
    <w:qFormat/>
    <w:rsid w:val="00430EF8"/>
    <w:rPr>
      <w:b/>
      <w:bCs/>
      <w:smallCaps/>
      <w:color w:val="0F4761" w:themeColor="accent1" w:themeShade="BF"/>
      <w:spacing w:val="5"/>
    </w:rPr>
  </w:style>
  <w:style w:type="character" w:styleId="Hyperlink">
    <w:name w:val="Hyperlink"/>
    <w:basedOn w:val="DefaultParagraphFont"/>
    <w:uiPriority w:val="99"/>
    <w:unhideWhenUsed/>
    <w:rsid w:val="00430EF8"/>
    <w:rPr>
      <w:color w:val="467886" w:themeColor="hyperlink"/>
      <w:u w:val="single"/>
    </w:rPr>
  </w:style>
  <w:style w:type="paragraph" w:styleId="Header">
    <w:name w:val="header"/>
    <w:basedOn w:val="Normal"/>
    <w:link w:val="HeaderChar"/>
    <w:uiPriority w:val="99"/>
    <w:unhideWhenUsed/>
    <w:rsid w:val="00430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EF8"/>
    <w:rPr>
      <w:rFonts w:ascii="Calibri" w:eastAsia="Calibri" w:hAnsi="Calibri" w:cs="Calibri"/>
      <w:color w:val="000000"/>
      <w:kern w:val="0"/>
      <w:lang w:val="es-ES" w:eastAsia="es-ES" w:bidi="es-ES"/>
      <w14:ligatures w14:val="none"/>
    </w:rPr>
  </w:style>
  <w:style w:type="paragraph" w:styleId="NormalWeb">
    <w:name w:val="Normal (Web)"/>
    <w:basedOn w:val="Normal"/>
    <w:uiPriority w:val="99"/>
    <w:semiHidden/>
    <w:unhideWhenUsed/>
    <w:rsid w:val="00430EF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 w:type="paragraph" w:styleId="Revision">
    <w:name w:val="Revision"/>
    <w:hidden/>
    <w:uiPriority w:val="99"/>
    <w:semiHidden/>
    <w:rsid w:val="00070CDE"/>
    <w:pPr>
      <w:spacing w:after="0" w:line="240" w:lineRule="auto"/>
    </w:pPr>
    <w:rPr>
      <w:rFonts w:ascii="Calibri" w:eastAsia="Calibri" w:hAnsi="Calibri" w:cs="Calibri"/>
      <w:color w:val="000000"/>
      <w:kern w:val="0"/>
      <w:lang w:val="es-ES" w:eastAsia="es-ES" w:bidi="es-ES"/>
      <w14:ligatures w14:val="none"/>
    </w:rPr>
  </w:style>
  <w:style w:type="character" w:styleId="FollowedHyperlink">
    <w:name w:val="FollowedHyperlink"/>
    <w:basedOn w:val="DefaultParagraphFont"/>
    <w:uiPriority w:val="99"/>
    <w:semiHidden/>
    <w:unhideWhenUsed/>
    <w:rsid w:val="00070C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insurance-plans-designation-change-or-revocation-beneficiary-form-p-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n.org/en/appendices-staff-rules-0" TargetMode="External"/><Relationship Id="rId12" Type="http://schemas.openxmlformats.org/officeDocument/2006/relationships/hyperlink" Target="https://popp.undp.org/node/55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jspf.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olicy.un.org/en/appendices-staff-rules-0" TargetMode="External"/><Relationship Id="rId4" Type="http://schemas.openxmlformats.org/officeDocument/2006/relationships/webSettings" Target="webSettings.xml"/><Relationship Id="rId9" Type="http://schemas.openxmlformats.org/officeDocument/2006/relationships/hyperlink" Target="https://popp.undp.org/document/insurance-plans-designation-change-or-revocation-beneficiary-form-p-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3</cp:revision>
  <dcterms:created xsi:type="dcterms:W3CDTF">2025-01-14T12:50:00Z</dcterms:created>
  <dcterms:modified xsi:type="dcterms:W3CDTF">2026-05-13T23:37:00Z</dcterms:modified>
</cp:coreProperties>
</file>