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9699" w14:textId="77777777" w:rsidR="00E76012" w:rsidRPr="00AE1F1B" w:rsidRDefault="00EC2167" w:rsidP="003211AB">
      <w:pPr>
        <w:pStyle w:val="Heading1"/>
        <w:rPr>
          <w:rFonts w:asciiTheme="minorHAnsi" w:hAnsiTheme="minorHAnsi"/>
          <w:b/>
        </w:rPr>
      </w:pPr>
      <w:r w:rsidRPr="00AE1F1B">
        <w:rPr>
          <w:rFonts w:asciiTheme="minorHAnsi" w:hAnsiTheme="minorHAnsi"/>
          <w:b/>
          <w:color w:val="auto"/>
        </w:rPr>
        <w:t xml:space="preserve">Prestación por Muerte </w:t>
      </w:r>
    </w:p>
    <w:p w14:paraId="0F6E969A" w14:textId="77777777" w:rsidR="00E76012" w:rsidRPr="00926137" w:rsidRDefault="00EC2167">
      <w:pPr>
        <w:spacing w:line="259" w:lineRule="auto"/>
        <w:ind w:left="0" w:firstLine="0"/>
      </w:pPr>
      <w:r>
        <w:rPr>
          <w:b/>
          <w:sz w:val="28"/>
        </w:rPr>
        <w:t xml:space="preserve"> </w:t>
      </w:r>
    </w:p>
    <w:p w14:paraId="0F6E969B" w14:textId="77777777" w:rsidR="00E76012" w:rsidRPr="00926137" w:rsidRDefault="00EC2167">
      <w:pPr>
        <w:numPr>
          <w:ilvl w:val="0"/>
          <w:numId w:val="1"/>
        </w:numPr>
        <w:ind w:hanging="360"/>
      </w:pPr>
      <w:r>
        <w:t xml:space="preserve">Esta sección describe la prestación por muerte que se pagará cuando un miembro del personal muera y deje a un cónyuge supérstite o un hijo a cargo. </w:t>
      </w:r>
    </w:p>
    <w:p w14:paraId="0F6E969C" w14:textId="77777777" w:rsidR="00E76012" w:rsidRPr="00926137" w:rsidRDefault="00EC2167">
      <w:pPr>
        <w:spacing w:after="12" w:line="259" w:lineRule="auto"/>
        <w:ind w:left="720" w:firstLine="0"/>
      </w:pPr>
      <w:r>
        <w:t xml:space="preserve"> </w:t>
      </w:r>
    </w:p>
    <w:p w14:paraId="0F6E969D" w14:textId="77777777" w:rsidR="00E76012" w:rsidRPr="00926137" w:rsidRDefault="00EC2167">
      <w:pPr>
        <w:numPr>
          <w:ilvl w:val="0"/>
          <w:numId w:val="1"/>
        </w:numPr>
        <w:ind w:hanging="360"/>
      </w:pPr>
      <w:r>
        <w:t xml:space="preserve">Cuando un miembro del personal muere y deja a un cónyuge supérstite o un hijo a cargo, puede pagarse una prestación por muerte de acuerdo con el siguiente calendario: </w:t>
      </w:r>
    </w:p>
    <w:p w14:paraId="0F6E969E" w14:textId="77777777" w:rsidR="00926137" w:rsidRPr="00926137" w:rsidRDefault="00EC2167" w:rsidP="00926137">
      <w:pPr>
        <w:pStyle w:val="ListParagraph"/>
        <w:ind w:left="720"/>
        <w:jc w:val="both"/>
        <w:rPr>
          <w:rFonts w:ascii="Calibri" w:eastAsia="Times New Roman" w:hAnsi="Calibri" w:cs="Arial"/>
          <w:iCs/>
          <w:sz w:val="22"/>
          <w:szCs w:val="22"/>
        </w:rPr>
      </w:pPr>
      <w:r>
        <w:t xml:space="preserve"> </w:t>
      </w:r>
    </w:p>
    <w:tbl>
      <w:tblPr>
        <w:tblW w:w="0" w:type="auto"/>
        <w:tblInd w:w="1155" w:type="dxa"/>
        <w:shd w:val="clear" w:color="auto" w:fill="FFFFFF"/>
        <w:tblCellMar>
          <w:left w:w="0" w:type="dxa"/>
          <w:right w:w="0" w:type="dxa"/>
        </w:tblCellMar>
        <w:tblLook w:val="04A0" w:firstRow="1" w:lastRow="0" w:firstColumn="1" w:lastColumn="0" w:noHBand="0" w:noVBand="1"/>
      </w:tblPr>
      <w:tblGrid>
        <w:gridCol w:w="3150"/>
        <w:gridCol w:w="2250"/>
      </w:tblGrid>
      <w:tr w:rsidR="00926137" w:rsidRPr="00926137" w14:paraId="0F6E96A1" w14:textId="77777777" w:rsidTr="00B837D2">
        <w:trPr>
          <w:tblHeader/>
        </w:trPr>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9F" w14:textId="77777777" w:rsidR="00926137" w:rsidRPr="00926137" w:rsidRDefault="00926137" w:rsidP="00EB2291">
            <w:pPr>
              <w:jc w:val="center"/>
              <w:rPr>
                <w:rFonts w:cs="Arial"/>
              </w:rPr>
            </w:pPr>
            <w:r>
              <w:rPr>
                <w:b/>
              </w:rPr>
              <w:t>Años de servicio cumplidos</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0" w14:textId="77777777" w:rsidR="00926137" w:rsidRPr="00926137" w:rsidRDefault="00926137" w:rsidP="00EB2291">
            <w:pPr>
              <w:jc w:val="center"/>
              <w:rPr>
                <w:rFonts w:cs="Arial"/>
              </w:rPr>
            </w:pPr>
            <w:r>
              <w:rPr>
                <w:b/>
              </w:rPr>
              <w:t>Meses de sueldo</w:t>
            </w:r>
          </w:p>
        </w:tc>
      </w:tr>
      <w:tr w:rsidR="00926137" w:rsidRPr="00926137" w14:paraId="0F6E96A4"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2" w14:textId="77777777" w:rsidR="00926137" w:rsidRPr="00926137" w:rsidRDefault="00926137" w:rsidP="00EB2291">
            <w:pPr>
              <w:ind w:left="720"/>
              <w:jc w:val="both"/>
              <w:rPr>
                <w:rFonts w:cs="Arial"/>
              </w:rPr>
            </w:pPr>
            <w:r>
              <w:t>3 o menos</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3" w14:textId="77777777" w:rsidR="00926137" w:rsidRPr="00926137" w:rsidRDefault="00926137" w:rsidP="00EB2291">
            <w:pPr>
              <w:jc w:val="center"/>
              <w:rPr>
                <w:rFonts w:cs="Arial"/>
              </w:rPr>
            </w:pPr>
            <w:r>
              <w:t>3</w:t>
            </w:r>
          </w:p>
        </w:tc>
      </w:tr>
      <w:tr w:rsidR="00926137" w:rsidRPr="00926137" w14:paraId="0F6E96A7"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5" w14:textId="77777777" w:rsidR="00926137" w:rsidRPr="00926137" w:rsidRDefault="00926137" w:rsidP="00EB2291">
            <w:pPr>
              <w:ind w:left="720"/>
              <w:jc w:val="both"/>
              <w:rPr>
                <w:rFonts w:cs="Arial"/>
              </w:rPr>
            </w:pPr>
            <w:r>
              <w:t>4</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6" w14:textId="77777777" w:rsidR="00926137" w:rsidRPr="00926137" w:rsidRDefault="00926137" w:rsidP="00EB2291">
            <w:pPr>
              <w:jc w:val="center"/>
              <w:rPr>
                <w:rFonts w:cs="Arial"/>
              </w:rPr>
            </w:pPr>
            <w:r>
              <w:t>4</w:t>
            </w:r>
          </w:p>
        </w:tc>
      </w:tr>
      <w:tr w:rsidR="00926137" w:rsidRPr="00926137" w14:paraId="0F6E96AA"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8" w14:textId="77777777" w:rsidR="00926137" w:rsidRPr="00926137" w:rsidRDefault="00926137" w:rsidP="00EB2291">
            <w:pPr>
              <w:ind w:left="720"/>
              <w:jc w:val="both"/>
              <w:rPr>
                <w:rFonts w:cs="Arial"/>
              </w:rPr>
            </w:pPr>
            <w:r>
              <w:t>5</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9" w14:textId="77777777" w:rsidR="00926137" w:rsidRPr="00926137" w:rsidRDefault="00926137" w:rsidP="00EB2291">
            <w:pPr>
              <w:jc w:val="center"/>
              <w:rPr>
                <w:rFonts w:cs="Arial"/>
              </w:rPr>
            </w:pPr>
            <w:r>
              <w:t>5</w:t>
            </w:r>
          </w:p>
        </w:tc>
      </w:tr>
      <w:tr w:rsidR="00926137" w:rsidRPr="00926137" w14:paraId="0F6E96AD"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B" w14:textId="77777777" w:rsidR="00926137" w:rsidRPr="00926137" w:rsidRDefault="00926137" w:rsidP="00EB2291">
            <w:pPr>
              <w:ind w:left="720"/>
              <w:jc w:val="both"/>
              <w:rPr>
                <w:rFonts w:cs="Arial"/>
              </w:rPr>
            </w:pPr>
            <w:r>
              <w:t>6</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C" w14:textId="77777777" w:rsidR="00926137" w:rsidRPr="00926137" w:rsidRDefault="00926137" w:rsidP="00EB2291">
            <w:pPr>
              <w:jc w:val="center"/>
              <w:rPr>
                <w:rFonts w:cs="Arial"/>
              </w:rPr>
            </w:pPr>
            <w:r>
              <w:t>6</w:t>
            </w:r>
          </w:p>
        </w:tc>
      </w:tr>
      <w:tr w:rsidR="00926137" w:rsidRPr="00926137" w14:paraId="0F6E96B0"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E" w14:textId="77777777" w:rsidR="00926137" w:rsidRPr="00926137" w:rsidRDefault="00926137" w:rsidP="00EB2291">
            <w:pPr>
              <w:ind w:left="720"/>
              <w:jc w:val="both"/>
              <w:rPr>
                <w:rFonts w:cs="Arial"/>
              </w:rPr>
            </w:pPr>
            <w:r>
              <w:t>7</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F" w14:textId="77777777" w:rsidR="00926137" w:rsidRPr="00926137" w:rsidRDefault="00926137" w:rsidP="00EB2291">
            <w:pPr>
              <w:jc w:val="center"/>
              <w:rPr>
                <w:rFonts w:cs="Arial"/>
              </w:rPr>
            </w:pPr>
            <w:r>
              <w:t>7</w:t>
            </w:r>
          </w:p>
        </w:tc>
      </w:tr>
      <w:tr w:rsidR="00926137" w:rsidRPr="00926137" w14:paraId="0F6E96B3"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1" w14:textId="77777777" w:rsidR="00926137" w:rsidRPr="00926137" w:rsidRDefault="00926137" w:rsidP="00EB2291">
            <w:pPr>
              <w:ind w:left="720"/>
              <w:jc w:val="both"/>
              <w:rPr>
                <w:rFonts w:cs="Arial"/>
              </w:rPr>
            </w:pPr>
            <w:r>
              <w:t>8</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2" w14:textId="77777777" w:rsidR="00926137" w:rsidRPr="00926137" w:rsidRDefault="00926137" w:rsidP="00EB2291">
            <w:pPr>
              <w:jc w:val="center"/>
              <w:rPr>
                <w:rFonts w:cs="Arial"/>
              </w:rPr>
            </w:pPr>
            <w:r>
              <w:t>8</w:t>
            </w:r>
          </w:p>
        </w:tc>
      </w:tr>
      <w:tr w:rsidR="00926137" w:rsidRPr="00926137" w14:paraId="0F6E96B6"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4" w14:textId="77777777" w:rsidR="00926137" w:rsidRPr="00926137" w:rsidRDefault="00926137" w:rsidP="00EB2291">
            <w:pPr>
              <w:ind w:left="720"/>
              <w:jc w:val="both"/>
              <w:rPr>
                <w:rFonts w:cs="Arial"/>
              </w:rPr>
            </w:pPr>
            <w:r>
              <w:t>9 o más</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5" w14:textId="77777777" w:rsidR="00926137" w:rsidRPr="00926137" w:rsidRDefault="00926137" w:rsidP="00EB2291">
            <w:pPr>
              <w:jc w:val="center"/>
              <w:rPr>
                <w:rFonts w:cs="Arial"/>
              </w:rPr>
            </w:pPr>
            <w:r>
              <w:t>9</w:t>
            </w:r>
          </w:p>
        </w:tc>
      </w:tr>
    </w:tbl>
    <w:p w14:paraId="0F6E96B7" w14:textId="77777777" w:rsidR="00926137" w:rsidRPr="00926137" w:rsidRDefault="00926137" w:rsidP="00926137">
      <w:pPr>
        <w:jc w:val="both"/>
        <w:rPr>
          <w:rFonts w:cs="Arial"/>
          <w:iCs/>
        </w:rPr>
      </w:pPr>
    </w:p>
    <w:p w14:paraId="0F6E96B8" w14:textId="77777777" w:rsidR="00926137" w:rsidRPr="00926137" w:rsidRDefault="00926137" w:rsidP="00926137">
      <w:pPr>
        <w:spacing w:line="259" w:lineRule="auto"/>
        <w:ind w:left="720" w:firstLine="0"/>
      </w:pPr>
    </w:p>
    <w:p w14:paraId="0F6E96B9" w14:textId="77777777" w:rsidR="00E76012" w:rsidRPr="00926137" w:rsidRDefault="00EC2167">
      <w:pPr>
        <w:numPr>
          <w:ilvl w:val="0"/>
          <w:numId w:val="1"/>
        </w:numPr>
        <w:ind w:hanging="360"/>
      </w:pPr>
      <w:r>
        <w:t xml:space="preserve">No se genera crédito para la prestación por muerte durante meses completos de licencia especial con sueldo parcial o sin sueldo.  </w:t>
      </w:r>
    </w:p>
    <w:p w14:paraId="0F6E96BA" w14:textId="77777777" w:rsidR="00E76012" w:rsidRPr="00926137" w:rsidRDefault="00EC2167">
      <w:pPr>
        <w:spacing w:after="11" w:line="259" w:lineRule="auto"/>
        <w:ind w:left="720" w:firstLine="0"/>
      </w:pPr>
      <w:r>
        <w:t xml:space="preserve"> </w:t>
      </w:r>
    </w:p>
    <w:p w14:paraId="0F6E96BB" w14:textId="77777777" w:rsidR="00E76012" w:rsidRPr="00926137" w:rsidRDefault="00EC2167" w:rsidP="00926137">
      <w:pPr>
        <w:numPr>
          <w:ilvl w:val="0"/>
          <w:numId w:val="1"/>
        </w:numPr>
        <w:spacing w:after="120" w:line="247" w:lineRule="auto"/>
        <w:ind w:left="706" w:hanging="360"/>
      </w:pPr>
      <w:r>
        <w:t xml:space="preserve">La prestación por muerte solo puede efectuarse a las siguientes personas: </w:t>
      </w:r>
    </w:p>
    <w:p w14:paraId="0F6E96BC" w14:textId="77777777" w:rsidR="00E76012" w:rsidRPr="00926137" w:rsidRDefault="00EC2167">
      <w:pPr>
        <w:numPr>
          <w:ilvl w:val="1"/>
          <w:numId w:val="1"/>
        </w:numPr>
        <w:ind w:hanging="360"/>
      </w:pPr>
      <w:r>
        <w:t xml:space="preserve">El cónyuge supérstite, ya sea que esté a cargo o no; o  </w:t>
      </w:r>
    </w:p>
    <w:p w14:paraId="0F6E96BD" w14:textId="77777777" w:rsidR="00E76012" w:rsidRPr="00926137" w:rsidRDefault="00EC2167">
      <w:pPr>
        <w:numPr>
          <w:ilvl w:val="1"/>
          <w:numId w:val="1"/>
        </w:numPr>
        <w:ind w:hanging="360"/>
      </w:pPr>
      <w:r>
        <w:t xml:space="preserve">Un hijo a cargo o un representante legal de dicho hijo </w:t>
      </w:r>
    </w:p>
    <w:p w14:paraId="0F6E96BE" w14:textId="77777777" w:rsidR="00E76012" w:rsidRPr="00926137" w:rsidRDefault="00EC2167">
      <w:pPr>
        <w:spacing w:after="12" w:line="259" w:lineRule="auto"/>
        <w:ind w:left="720" w:firstLine="0"/>
      </w:pPr>
      <w:r>
        <w:t xml:space="preserve"> </w:t>
      </w:r>
    </w:p>
    <w:p w14:paraId="0F6E96BF" w14:textId="77777777" w:rsidR="00E76012" w:rsidRPr="00926137" w:rsidRDefault="00EC2167">
      <w:pPr>
        <w:numPr>
          <w:ilvl w:val="0"/>
          <w:numId w:val="1"/>
        </w:numPr>
        <w:ind w:hanging="360"/>
      </w:pPr>
      <w:r>
        <w:t xml:space="preserve">La prestación por muerte no puede pagarse a la sucesión del miembro del personal ni a familiares secundarios a cargo. </w:t>
      </w:r>
    </w:p>
    <w:p w14:paraId="0F6E96C0" w14:textId="77777777" w:rsidR="00E76012" w:rsidRPr="00926137" w:rsidRDefault="00EC2167">
      <w:pPr>
        <w:spacing w:after="11" w:line="259" w:lineRule="auto"/>
        <w:ind w:left="720" w:firstLine="0"/>
      </w:pPr>
      <w:r>
        <w:t xml:space="preserve"> </w:t>
      </w:r>
    </w:p>
    <w:p w14:paraId="0F6E96C1" w14:textId="77777777" w:rsidR="00E76012" w:rsidRPr="00926137" w:rsidRDefault="00EC2167" w:rsidP="00926137">
      <w:pPr>
        <w:numPr>
          <w:ilvl w:val="0"/>
          <w:numId w:val="1"/>
        </w:numPr>
        <w:spacing w:after="120" w:line="247" w:lineRule="auto"/>
        <w:ind w:left="706" w:hanging="360"/>
      </w:pPr>
      <w:r>
        <w:t xml:space="preserve">El pago deberá calcularse de la siguiente manera:  </w:t>
      </w:r>
    </w:p>
    <w:p w14:paraId="0F6E96C2" w14:textId="77777777" w:rsidR="00E76012" w:rsidRPr="00926137" w:rsidRDefault="00EC2167" w:rsidP="00926137">
      <w:pPr>
        <w:numPr>
          <w:ilvl w:val="1"/>
          <w:numId w:val="1"/>
        </w:numPr>
        <w:spacing w:after="120" w:line="247" w:lineRule="auto"/>
        <w:ind w:hanging="360"/>
      </w:pPr>
      <w:r>
        <w:t xml:space="preserve">Para miembros del personal local, sobre la base de la remuneración pensionable del miembro del personal, incluida la prima de idiomas, si hubiere, menos las contribuciones del personal  </w:t>
      </w:r>
    </w:p>
    <w:p w14:paraId="0F6E96C3" w14:textId="77777777" w:rsidR="00E76012" w:rsidRPr="00926137" w:rsidRDefault="00EC2167">
      <w:pPr>
        <w:numPr>
          <w:ilvl w:val="1"/>
          <w:numId w:val="1"/>
        </w:numPr>
        <w:ind w:hanging="360"/>
      </w:pPr>
      <w:r>
        <w:t xml:space="preserve">Para miembros del personal internacional, sobre la base del sueldo bruto del miembro del personal, menos las contribuciones del personal </w:t>
      </w:r>
    </w:p>
    <w:p w14:paraId="0F6E96C4" w14:textId="77777777" w:rsidR="00E76012" w:rsidRPr="00926137" w:rsidRDefault="00EC2167">
      <w:pPr>
        <w:spacing w:after="11" w:line="259" w:lineRule="auto"/>
        <w:ind w:left="720" w:firstLine="0"/>
      </w:pPr>
      <w:r>
        <w:t xml:space="preserve"> </w:t>
      </w:r>
    </w:p>
    <w:p w14:paraId="0F6E96C5" w14:textId="77777777" w:rsidR="00E76012" w:rsidRPr="00926137" w:rsidRDefault="00EC2167">
      <w:pPr>
        <w:numPr>
          <w:ilvl w:val="0"/>
          <w:numId w:val="1"/>
        </w:numPr>
        <w:ind w:hanging="360"/>
      </w:pPr>
      <w:r>
        <w:t xml:space="preserve">La prestación por muerte se efectúa en una suma fija.  </w:t>
      </w:r>
    </w:p>
    <w:p w14:paraId="0F6E96C6" w14:textId="77777777" w:rsidR="00E76012" w:rsidRPr="00926137" w:rsidRDefault="00EC2167">
      <w:pPr>
        <w:spacing w:after="12" w:line="259" w:lineRule="auto"/>
        <w:ind w:left="720" w:firstLine="0"/>
      </w:pPr>
      <w:r>
        <w:t xml:space="preserve"> </w:t>
      </w:r>
    </w:p>
    <w:p w14:paraId="0F6E96C7" w14:textId="77777777" w:rsidR="00E76012" w:rsidRPr="00926137" w:rsidRDefault="00EC2167">
      <w:pPr>
        <w:numPr>
          <w:ilvl w:val="0"/>
          <w:numId w:val="1"/>
        </w:numPr>
        <w:ind w:hanging="360"/>
      </w:pPr>
      <w:r>
        <w:t xml:space="preserve">No se realiza ninguna contribución al régimen de pensiones en el pago de una prestación por muerte. </w:t>
      </w:r>
    </w:p>
    <w:p w14:paraId="0F6E96C8" w14:textId="77777777" w:rsidR="00E76012" w:rsidRDefault="00E76012">
      <w:pPr>
        <w:spacing w:line="259" w:lineRule="auto"/>
        <w:ind w:left="0" w:firstLine="0"/>
      </w:pPr>
    </w:p>
    <w:p w14:paraId="17E1A339" w14:textId="77777777" w:rsidR="00AE1F1B" w:rsidRDefault="00AE1F1B">
      <w:pPr>
        <w:spacing w:line="259" w:lineRule="auto"/>
        <w:ind w:left="0" w:firstLine="0"/>
      </w:pPr>
    </w:p>
    <w:p w14:paraId="109C540A" w14:textId="77777777" w:rsidR="00AE1F1B" w:rsidRDefault="00AE1F1B" w:rsidP="00AE1F1B">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5850BC6D" w14:textId="77777777" w:rsidR="00AE1F1B" w:rsidRDefault="00AE1F1B" w:rsidP="00AE1F1B">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2C5995AA" w14:textId="77777777" w:rsidR="00AE1F1B" w:rsidRPr="00AE1F1B" w:rsidRDefault="00AE1F1B" w:rsidP="00AE1F1B">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63F8811" w14:textId="77777777" w:rsidR="00AE1F1B" w:rsidRPr="00AE1F1B" w:rsidRDefault="00AE1F1B">
      <w:pPr>
        <w:spacing w:line="259" w:lineRule="auto"/>
        <w:ind w:left="0" w:firstLine="0"/>
        <w:rPr>
          <w:lang w:val="es-ES_tradnl"/>
        </w:rPr>
      </w:pPr>
    </w:p>
    <w:sectPr w:rsidR="00AE1F1B" w:rsidRPr="00AE1F1B">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A8B7" w14:textId="77777777" w:rsidR="005C4B5E" w:rsidRDefault="005C4B5E" w:rsidP="00926137">
      <w:pPr>
        <w:spacing w:line="240" w:lineRule="auto"/>
      </w:pPr>
      <w:r>
        <w:separator/>
      </w:r>
    </w:p>
  </w:endnote>
  <w:endnote w:type="continuationSeparator" w:id="0">
    <w:p w14:paraId="170F9AE8" w14:textId="77777777" w:rsidR="005C4B5E" w:rsidRDefault="005C4B5E" w:rsidP="0092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400E" w14:textId="77777777" w:rsidR="00284161" w:rsidRDefault="00284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6CF" w14:textId="3DF01E45" w:rsidR="00926137" w:rsidRPr="00926137" w:rsidRDefault="00926137">
    <w:pPr>
      <w:pStyle w:val="Footer"/>
    </w:pPr>
    <w:r>
      <w:t xml:space="preserve">Página </w:t>
    </w:r>
    <w:r w:rsidRPr="00926137">
      <w:rPr>
        <w:b/>
      </w:rPr>
      <w:fldChar w:fldCharType="begin"/>
    </w:r>
    <w:r w:rsidRPr="00926137">
      <w:rPr>
        <w:b/>
      </w:rPr>
      <w:instrText xml:space="preserve"> PAGE  \* Arabic  \* MERGEFORMAT </w:instrText>
    </w:r>
    <w:r w:rsidRPr="00926137">
      <w:rPr>
        <w:b/>
      </w:rPr>
      <w:fldChar w:fldCharType="separate"/>
    </w:r>
    <w:r w:rsidR="00511E40">
      <w:rPr>
        <w:b/>
        <w:noProof/>
      </w:rPr>
      <w:t>2</w:t>
    </w:r>
    <w:r w:rsidRPr="00926137">
      <w:rPr>
        <w:b/>
      </w:rPr>
      <w:fldChar w:fldCharType="end"/>
    </w:r>
    <w:r>
      <w:t xml:space="preserve"> de </w:t>
    </w:r>
    <w:r w:rsidRPr="00926137">
      <w:rPr>
        <w:b/>
      </w:rPr>
      <w:fldChar w:fldCharType="begin"/>
    </w:r>
    <w:r w:rsidRPr="00926137">
      <w:rPr>
        <w:b/>
      </w:rPr>
      <w:instrText xml:space="preserve"> NUMPAGES  \* Arabic  \* MERGEFORMAT </w:instrText>
    </w:r>
    <w:r w:rsidRPr="00926137">
      <w:rPr>
        <w:b/>
      </w:rPr>
      <w:fldChar w:fldCharType="separate"/>
    </w:r>
    <w:r w:rsidR="00511E40">
      <w:rPr>
        <w:b/>
        <w:noProof/>
      </w:rPr>
      <w:t>2</w:t>
    </w:r>
    <w:r w:rsidRPr="00926137">
      <w:rPr>
        <w:b/>
      </w:rPr>
      <w:fldChar w:fldCharType="end"/>
    </w:r>
    <w:r>
      <w:ptab w:relativeTo="margin" w:alignment="center" w:leader="none"/>
    </w:r>
    <w:r>
      <w:t xml:space="preserve">Fecha de entrada en vigor: </w:t>
    </w:r>
    <w:sdt>
      <w:sdtPr>
        <w:alias w:val="Fecha de entrada en vigor"/>
        <w:tag w:val="UNDP_POPP_EFFECTIVEDATE"/>
        <w:id w:val="1206218611"/>
        <w:placeholder>
          <w:docPart w:val="913E8875EBEA469C999A1FC443ED36A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CE5EFD0-CA9A-4212-85CE-A33614A0907F}"/>
        <w:date w:fullDate="2004-04-02T19:00:00Z">
          <w:dateFormat w:val="dd/MM/yyyy"/>
          <w:lid w:val="en-US"/>
          <w:storeMappedDataAs w:val="dateTime"/>
          <w:calendar w:val="gregorian"/>
        </w:date>
      </w:sdtPr>
      <w:sdtEndPr/>
      <w:sdtContent>
        <w:r w:rsidR="003211AB">
          <w:t>02/04/2004</w:t>
        </w:r>
      </w:sdtContent>
    </w:sdt>
    <w:r>
      <w:ptab w:relativeTo="margin" w:alignment="right" w:leader="none"/>
    </w:r>
    <w:r>
      <w:t xml:space="preserve">Versión n.°: </w:t>
    </w:r>
    <w:sdt>
      <w:sdtPr>
        <w:alias w:val="POPPRefItemVersion"/>
        <w:tag w:val="UNDP_POPP_REFITEM_VERSION"/>
        <w:id w:val="311298799"/>
        <w:placeholder>
          <w:docPart w:val="93FDB2E5D20F451CA8E5D24336539BE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E5EFD0-CA9A-4212-85CE-A33614A0907F}"/>
        <w:text/>
      </w:sdtPr>
      <w:sdtEndPr/>
      <w:sdtContent>
        <w:r w:rsidRPr="00926137">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663A" w14:textId="77777777" w:rsidR="00284161" w:rsidRDefault="0028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FCB8" w14:textId="77777777" w:rsidR="005C4B5E" w:rsidRDefault="005C4B5E" w:rsidP="00926137">
      <w:pPr>
        <w:spacing w:line="240" w:lineRule="auto"/>
      </w:pPr>
      <w:r>
        <w:separator/>
      </w:r>
    </w:p>
  </w:footnote>
  <w:footnote w:type="continuationSeparator" w:id="0">
    <w:p w14:paraId="7B99BB8E" w14:textId="77777777" w:rsidR="005C4B5E" w:rsidRDefault="005C4B5E" w:rsidP="00926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F43C" w14:textId="77777777" w:rsidR="00284161" w:rsidRDefault="00284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6CE" w14:textId="0F2B952F" w:rsidR="00926137" w:rsidRDefault="00284161" w:rsidP="00926137">
    <w:pPr>
      <w:pStyle w:val="Header"/>
      <w:jc w:val="right"/>
    </w:pPr>
    <w:r>
      <w:rPr>
        <w:noProof/>
      </w:rPr>
      <w:drawing>
        <wp:inline distT="0" distB="0" distL="0" distR="0" wp14:anchorId="524CBC1B" wp14:editId="64D9370A">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BBD6" w14:textId="77777777" w:rsidR="00284161" w:rsidRDefault="0028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94955"/>
    <w:multiLevelType w:val="hybridMultilevel"/>
    <w:tmpl w:val="215C2E72"/>
    <w:lvl w:ilvl="0" w:tplc="3B5827A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495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28F5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AA2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709A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328A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6CC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1A83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DA98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008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12"/>
    <w:rsid w:val="00284161"/>
    <w:rsid w:val="003211AB"/>
    <w:rsid w:val="00394F8B"/>
    <w:rsid w:val="004A16A9"/>
    <w:rsid w:val="00511E40"/>
    <w:rsid w:val="005C4B5E"/>
    <w:rsid w:val="00926137"/>
    <w:rsid w:val="00946757"/>
    <w:rsid w:val="00AE1F1B"/>
    <w:rsid w:val="00B837D2"/>
    <w:rsid w:val="00C2770C"/>
    <w:rsid w:val="00DF3E85"/>
    <w:rsid w:val="00E76012"/>
    <w:rsid w:val="00EC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E9699"/>
  <w15:docId w15:val="{637F9F43-24E4-4655-9F5E-EF897F2A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hanging="370"/>
    </w:pPr>
    <w:rPr>
      <w:rFonts w:ascii="Calibri" w:eastAsia="Calibri" w:hAnsi="Calibri" w:cs="Calibri"/>
      <w:color w:val="000000"/>
    </w:rPr>
  </w:style>
  <w:style w:type="paragraph" w:styleId="Heading1">
    <w:name w:val="heading 1"/>
    <w:basedOn w:val="Normal"/>
    <w:next w:val="Normal"/>
    <w:link w:val="Heading1Char"/>
    <w:uiPriority w:val="9"/>
    <w:qFormat/>
    <w:rsid w:val="003211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26137"/>
    <w:pPr>
      <w:spacing w:line="240" w:lineRule="auto"/>
      <w:ind w:left="0" w:firstLine="0"/>
      <w:contextualSpacing/>
    </w:pPr>
    <w:rPr>
      <w:rFonts w:asciiTheme="minorHAnsi" w:eastAsiaTheme="minorEastAsia" w:hAnsiTheme="minorHAnsi" w:cstheme="minorBidi"/>
      <w:color w:val="auto"/>
      <w:sz w:val="24"/>
      <w:szCs w:val="24"/>
    </w:rPr>
  </w:style>
  <w:style w:type="paragraph" w:styleId="Header">
    <w:name w:val="header"/>
    <w:basedOn w:val="Normal"/>
    <w:link w:val="HeaderChar"/>
    <w:uiPriority w:val="99"/>
    <w:unhideWhenUsed/>
    <w:rsid w:val="00926137"/>
    <w:pPr>
      <w:tabs>
        <w:tab w:val="center" w:pos="4513"/>
        <w:tab w:val="right" w:pos="9026"/>
      </w:tabs>
      <w:spacing w:line="240" w:lineRule="auto"/>
    </w:pPr>
  </w:style>
  <w:style w:type="character" w:customStyle="1" w:styleId="HeaderChar">
    <w:name w:val="Header Char"/>
    <w:basedOn w:val="DefaultParagraphFont"/>
    <w:link w:val="Header"/>
    <w:uiPriority w:val="99"/>
    <w:rsid w:val="00926137"/>
    <w:rPr>
      <w:rFonts w:ascii="Calibri" w:eastAsia="Calibri" w:hAnsi="Calibri" w:cs="Calibri"/>
      <w:color w:val="000000"/>
    </w:rPr>
  </w:style>
  <w:style w:type="paragraph" w:styleId="Footer">
    <w:name w:val="footer"/>
    <w:basedOn w:val="Normal"/>
    <w:link w:val="FooterChar"/>
    <w:uiPriority w:val="99"/>
    <w:unhideWhenUsed/>
    <w:rsid w:val="00926137"/>
    <w:pPr>
      <w:tabs>
        <w:tab w:val="center" w:pos="4513"/>
        <w:tab w:val="right" w:pos="9026"/>
      </w:tabs>
      <w:spacing w:line="240" w:lineRule="auto"/>
    </w:pPr>
  </w:style>
  <w:style w:type="character" w:customStyle="1" w:styleId="FooterChar">
    <w:name w:val="Footer Char"/>
    <w:basedOn w:val="DefaultParagraphFont"/>
    <w:link w:val="Footer"/>
    <w:uiPriority w:val="99"/>
    <w:rsid w:val="00926137"/>
    <w:rPr>
      <w:rFonts w:ascii="Calibri" w:eastAsia="Calibri" w:hAnsi="Calibri" w:cs="Calibri"/>
      <w:color w:val="000000"/>
    </w:rPr>
  </w:style>
  <w:style w:type="paragraph" w:styleId="BalloonText">
    <w:name w:val="Balloon Text"/>
    <w:basedOn w:val="Normal"/>
    <w:link w:val="BalloonTextChar"/>
    <w:uiPriority w:val="99"/>
    <w:semiHidden/>
    <w:unhideWhenUsed/>
    <w:rsid w:val="009261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37"/>
    <w:rPr>
      <w:rFonts w:ascii="Tahoma" w:eastAsia="Calibri" w:hAnsi="Tahoma" w:cs="Tahoma"/>
      <w:color w:val="000000"/>
      <w:sz w:val="16"/>
      <w:szCs w:val="16"/>
    </w:rPr>
  </w:style>
  <w:style w:type="character" w:styleId="PlaceholderText">
    <w:name w:val="Placeholder Text"/>
    <w:basedOn w:val="DefaultParagraphFont"/>
    <w:uiPriority w:val="99"/>
    <w:semiHidden/>
    <w:rsid w:val="00926137"/>
    <w:rPr>
      <w:color w:val="808080"/>
    </w:rPr>
  </w:style>
  <w:style w:type="character" w:customStyle="1" w:styleId="Heading1Char">
    <w:name w:val="Heading 1 Char"/>
    <w:basedOn w:val="DefaultParagraphFont"/>
    <w:link w:val="Heading1"/>
    <w:uiPriority w:val="9"/>
    <w:rsid w:val="003211A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AE1F1B"/>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72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E8875EBEA469C999A1FC443ED36AF"/>
        <w:category>
          <w:name w:val="General"/>
          <w:gallery w:val="placeholder"/>
        </w:category>
        <w:types>
          <w:type w:val="bbPlcHdr"/>
        </w:types>
        <w:behaviors>
          <w:behavior w:val="content"/>
        </w:behaviors>
        <w:guid w:val="{C02C5344-D23D-4DD6-83A1-75AE01E6EF60}"/>
      </w:docPartPr>
      <w:docPartBody>
        <w:p w:rsidR="00CE49C9" w:rsidRDefault="00A44A85">
          <w:r w:rsidRPr="00FC3A36">
            <w:rPr>
              <w:rStyle w:val="PlaceholderText"/>
            </w:rPr>
            <w:t>[Effective Date]</w:t>
          </w:r>
        </w:p>
      </w:docPartBody>
    </w:docPart>
    <w:docPart>
      <w:docPartPr>
        <w:name w:val="93FDB2E5D20F451CA8E5D24336539BE2"/>
        <w:category>
          <w:name w:val="General"/>
          <w:gallery w:val="placeholder"/>
        </w:category>
        <w:types>
          <w:type w:val="bbPlcHdr"/>
        </w:types>
        <w:behaviors>
          <w:behavior w:val="content"/>
        </w:behaviors>
        <w:guid w:val="{4BAA5734-1BF3-493D-9822-E5B28E93AE53}"/>
      </w:docPartPr>
      <w:docPartBody>
        <w:p w:rsidR="00CE49C9" w:rsidRDefault="00A44A85">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85"/>
    <w:rsid w:val="00A0208C"/>
    <w:rsid w:val="00A44A85"/>
    <w:rsid w:val="00A54817"/>
    <w:rsid w:val="00B50C0C"/>
    <w:rsid w:val="00B668DD"/>
    <w:rsid w:val="00CE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A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UNITBMS-1904581467-170</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2</DLCPolicyLabelValue>
    <UNDP_POPP_EFFECTIVEDATE xmlns="8264c5cc-ec60-4b56-8111-ce635d3d139a" xsi:nil="true"/>
    <UNDP_POPP_FILEVERSION xmlns="8264c5cc-ec60-4b56-8111-ce635d3d139a">1536</UNDP_POPP_FILEVERSION>
    <UNDP_POPP_REFITEM_VERSION xmlns="8264c5cc-ec60-4b56-8111-ce635d3d139a">2</UNDP_POPP_REFITEM_VERSION>
    <UNDP_POPP_ISACTIVE xmlns="8264c5cc-ec60-4b56-8111-ce635d3d139a">true</UNDP_POPP_ISACTIVE>
    <UNDP_POPP_TITLE_EN xmlns="8264c5cc-ec60-4b56-8111-ce635d3d139a">Prestación por muerte</UNDP_POPP_TITLE_EN>
    <_dlc_DocIdUrl xmlns="8264c5cc-ec60-4b56-8111-ce635d3d139a">
      <Url>https://intranet.undp.org/unit/bms/dir/internal/init_popp/_layouts/15/DocIdRedir.aspx?ID=UNITBMS-1904581467-170</Url>
      <Description>UNITBMS-1904581467-170</Description>
    </_dlc_DocIdUrl>
    <DLCPolicyLabelLock xmlns="e560140e-7b2f-4392-90df-e7567e3021a3" xsi:nil="true"/>
    <DLCPolicyLabelClientValue xmlns="e560140e-7b2f-4392-90df-e7567e3021a3" xsi:nil="true"/>
    <UNDP_POPP_BUSINESSUNITID_HIDDEN xmlns="8264c5cc-ec60-4b56-8111-ce635d3d139a" xsi:nil="tr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A102B91-D208-4190-AD04-9D8892DB1E17}">
  <ds:schemaRefs>
    <ds:schemaRef ds:uri="http://schemas.microsoft.com/sharepoint/v3/contenttype/forms"/>
  </ds:schemaRefs>
</ds:datastoreItem>
</file>

<file path=customXml/itemProps2.xml><?xml version="1.0" encoding="utf-8"?>
<ds:datastoreItem xmlns:ds="http://schemas.openxmlformats.org/officeDocument/2006/customXml" ds:itemID="{1416AB19-FF48-45BE-BF70-894FCDFC6D04}"/>
</file>

<file path=customXml/itemProps3.xml><?xml version="1.0" encoding="utf-8"?>
<ds:datastoreItem xmlns:ds="http://schemas.openxmlformats.org/officeDocument/2006/customXml" ds:itemID="{2555BD53-570C-4856-B1C3-83C0F3F6BF2A}">
  <ds:schemaRefs>
    <ds:schemaRef ds:uri="http://schemas.microsoft.com/sharepoint/events"/>
  </ds:schemaRefs>
</ds:datastoreItem>
</file>

<file path=customXml/itemProps4.xml><?xml version="1.0" encoding="utf-8"?>
<ds:datastoreItem xmlns:ds="http://schemas.openxmlformats.org/officeDocument/2006/customXml" ds:itemID="{7CE5EFD0-CA9A-4212-85CE-A33614A0907F}">
  <ds:schemaRefs>
    <ds:schemaRef ds:uri="http://schemas.microsoft.com/office/2006/documentManagement/types"/>
    <ds:schemaRef ds:uri="39c2ef4d-a13e-4025-8c8a-679686bde336"/>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1ed4137b-41b2-488b-8250-6d369ec27664"/>
    <ds:schemaRef ds:uri="http://schemas.microsoft.com/sharepoint/v3/fields"/>
    <ds:schemaRef ds:uri="http://schemas.microsoft.com/office/2006/metadata/properties"/>
  </ds:schemaRefs>
</ds:datastoreItem>
</file>

<file path=customXml/itemProps5.xml><?xml version="1.0" encoding="utf-8"?>
<ds:datastoreItem xmlns:ds="http://schemas.openxmlformats.org/officeDocument/2006/customXml" ds:itemID="{8342736E-EEA4-49B5-A088-3382F074A9A6}"/>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dcterms:created xsi:type="dcterms:W3CDTF">2019-12-05T16:26:00Z</dcterms:created>
  <dcterms:modified xsi:type="dcterms:W3CDTF">2022-10-07T14:22:00Z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69eae326-1890-4658-aba0-5813c7b3e79e</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1536</vt:r8>
  </property>
  <property fmtid="{D5CDD505-2E9C-101B-9397-08002B2CF9AE}" pid="20" name="UNDP_POPP_REFITEM_VERSION">
    <vt:r8>2</vt:r8>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