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E908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b/>
          <w:color w:val="000000"/>
          <w:kern w:val="0"/>
          <w:sz w:val="28"/>
          <w:lang w:val="fr-FR"/>
          <w14:ligatures w14:val="none"/>
        </w:rPr>
        <w:t>Versement en compensation de jours de congé annuel</w:t>
      </w:r>
    </w:p>
    <w:p w14:paraId="3CE89CFE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42DB81E2" w14:textId="77777777" w:rsidR="00F657AB" w:rsidRPr="00F657AB" w:rsidRDefault="00F657AB" w:rsidP="00F657AB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Ce versement tient lieu de congé annuel lors de la cessation de service d’un fonctionnaire.</w:t>
      </w:r>
    </w:p>
    <w:p w14:paraId="7A128B1F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3470242A" w14:textId="77777777" w:rsidR="00F657AB" w:rsidRPr="00F657AB" w:rsidRDefault="00F657AB" w:rsidP="00F657AB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Un fonctionnaire qui a accumulé des congés annuels (AL) et qui ne les a pas utilisés avant la date de cessation de service, est rémunéré pour les jours d’AL accumulés jusqu’à un maximum de :</w:t>
      </w:r>
    </w:p>
    <w:p w14:paraId="4D283B7E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1B7F419E" w14:textId="77777777" w:rsidR="00F657AB" w:rsidRPr="00F657AB" w:rsidRDefault="00F657AB" w:rsidP="00F657AB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60 jours pour les fonctionnaires ayant un engagement permanent, continu ou à durée déterminée ;</w:t>
      </w:r>
    </w:p>
    <w:p w14:paraId="7C051300" w14:textId="77777777" w:rsidR="00F657AB" w:rsidRPr="00F657AB" w:rsidRDefault="00F657AB" w:rsidP="00F657AB">
      <w:pPr>
        <w:spacing w:after="11"/>
        <w:ind w:left="144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69B6E793" w14:textId="77777777" w:rsidR="00F657AB" w:rsidRPr="00F657AB" w:rsidRDefault="00F657AB" w:rsidP="00F657AB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18 jours pour les fonctionnaires en engagement temporaire.</w:t>
      </w:r>
    </w:p>
    <w:p w14:paraId="28DEE6EB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0A4D8A29" w14:textId="77777777" w:rsidR="00F657AB" w:rsidRPr="00F657AB" w:rsidRDefault="00F657AB" w:rsidP="00F657AB">
      <w:pPr>
        <w:spacing w:after="0"/>
        <w:ind w:left="-5" w:hanging="1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b/>
          <w:color w:val="000000"/>
          <w:kern w:val="0"/>
          <w:lang w:val="fr-FR"/>
          <w14:ligatures w14:val="none"/>
        </w:rPr>
        <w:t>Calcul</w:t>
      </w:r>
    </w:p>
    <w:p w14:paraId="5BB9F0A1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07513100" w14:textId="77777777" w:rsidR="00F657AB" w:rsidRPr="00F657AB" w:rsidRDefault="00F657AB" w:rsidP="00F657AB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Lors de la cessation de service, le paiement des congés annuels accumulés est calculé pour :</w:t>
      </w:r>
    </w:p>
    <w:p w14:paraId="50D17EAD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0FF59D19" w14:textId="77777777" w:rsidR="00F657AB" w:rsidRPr="00F657AB" w:rsidRDefault="00F657AB" w:rsidP="00F657AB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proofErr w:type="gramStart"/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les</w:t>
      </w:r>
      <w:proofErr w:type="gramEnd"/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 xml:space="preserve"> fonctionnaires recrutés sur le plan local, sur la base du traitement brut, y compris la prime de connaissances linguistiques, le cas échéant, déduction faite des contributions du personnel ;</w:t>
      </w:r>
    </w:p>
    <w:p w14:paraId="5C989149" w14:textId="77777777" w:rsidR="00F657AB" w:rsidRPr="00F657AB" w:rsidRDefault="00F657AB" w:rsidP="00F657AB">
      <w:pPr>
        <w:spacing w:after="12"/>
        <w:ind w:left="144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640A891D" w14:textId="77777777" w:rsidR="00F657AB" w:rsidRPr="00F657AB" w:rsidRDefault="00F657AB" w:rsidP="00F657AB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proofErr w:type="gramStart"/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les</w:t>
      </w:r>
      <w:proofErr w:type="gramEnd"/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 xml:space="preserve"> fonctionnaires recrutés sur le plan international, sur la base du traitement net et de l’indemnité de poste de leur dernier lieu d’affectation.</w:t>
      </w:r>
    </w:p>
    <w:p w14:paraId="033B1773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0CFF3833" w14:textId="77777777" w:rsidR="00F657AB" w:rsidRPr="00F657AB" w:rsidRDefault="00F657AB" w:rsidP="00F657AB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Aucune cotisation de retraite n’est versée lors du paiement de la compensation de jours de congé annuel</w:t>
      </w:r>
    </w:p>
    <w:p w14:paraId="361BB075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5F4D3E40" w14:textId="77777777" w:rsidR="00F657AB" w:rsidRPr="00F657AB" w:rsidRDefault="00F657AB" w:rsidP="00F657AB">
      <w:pPr>
        <w:spacing w:after="0"/>
        <w:ind w:left="-5" w:hanging="1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b/>
          <w:color w:val="000000"/>
          <w:kern w:val="0"/>
          <w:lang w:val="fr-FR"/>
          <w14:ligatures w14:val="none"/>
        </w:rPr>
        <w:t>Restitution des congés annuels anticipés</w:t>
      </w:r>
    </w:p>
    <w:p w14:paraId="315A124A" w14:textId="77777777" w:rsidR="00F657AB" w:rsidRPr="00F657AB" w:rsidRDefault="00F657AB" w:rsidP="00F657AB">
      <w:pPr>
        <w:spacing w:after="12"/>
        <w:ind w:left="720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</w:p>
    <w:p w14:paraId="677C7014" w14:textId="77777777" w:rsidR="00F657AB" w:rsidRPr="00F657AB" w:rsidRDefault="00F657AB" w:rsidP="00F657AB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lang w:val="fr-FR"/>
          <w14:ligatures w14:val="none"/>
        </w:rPr>
      </w:pPr>
      <w:r w:rsidRPr="00F657AB">
        <w:rPr>
          <w:rFonts w:ascii="Calibri" w:eastAsia="Calibri" w:hAnsi="Calibri" w:cs="Calibri"/>
          <w:color w:val="000000"/>
          <w:kern w:val="0"/>
          <w:lang w:val="fr-FR"/>
          <w14:ligatures w14:val="none"/>
        </w:rPr>
        <w:t>Lors de la cessation de service, les fonctionnaires qui ont pris un congé annuel anticipé au-delà du total accumulé doivent, soit effectuer un remboursement en espèces, soit déduire le montant correspondant des versements qui leur sont dus.</w:t>
      </w:r>
    </w:p>
    <w:p w14:paraId="2BE4AF3F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b/>
          <w:color w:val="000000"/>
          <w:kern w:val="0"/>
          <w:lang w:val="fr-FR"/>
          <w14:ligatures w14:val="none"/>
        </w:rPr>
      </w:pPr>
    </w:p>
    <w:p w14:paraId="7F23C0A6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b/>
          <w:color w:val="000000"/>
          <w:kern w:val="0"/>
          <w:lang w:val="fr-FR"/>
          <w14:ligatures w14:val="none"/>
        </w:rPr>
      </w:pPr>
    </w:p>
    <w:p w14:paraId="19A2AC6C" w14:textId="77777777" w:rsidR="00F657AB" w:rsidRPr="00F657AB" w:rsidRDefault="00F657AB" w:rsidP="00F657AB">
      <w:pPr>
        <w:spacing w:after="0"/>
        <w:rPr>
          <w:rFonts w:ascii="Calibri" w:eastAsia="Calibri" w:hAnsi="Calibri" w:cs="Calibri"/>
          <w:b/>
          <w:color w:val="000000"/>
          <w:kern w:val="0"/>
          <w:lang w:val="fr-FR"/>
          <w14:ligatures w14:val="none"/>
        </w:rPr>
      </w:pPr>
    </w:p>
    <w:p w14:paraId="10BD787D" w14:textId="77777777" w:rsidR="00F657AB" w:rsidRPr="00F657AB" w:rsidRDefault="00F657AB" w:rsidP="00F657AB">
      <w:pPr>
        <w:suppressAutoHyphens/>
        <w:spacing w:after="0" w:line="240" w:lineRule="exact"/>
        <w:jc w:val="center"/>
        <w:rPr>
          <w:rFonts w:ascii="Calibri" w:eastAsia="Times New Roman" w:hAnsi="Calibri" w:cs="Times New Roman"/>
          <w:i/>
          <w:iCs/>
          <w:color w:val="000000"/>
          <w:spacing w:val="4"/>
          <w:w w:val="103"/>
          <w:kern w:val="14"/>
          <w:bdr w:val="none" w:sz="0" w:space="0" w:color="auto" w:frame="1"/>
          <w:lang w:val="en-GB"/>
          <w14:ligatures w14:val="none"/>
        </w:rPr>
      </w:pPr>
      <w:bookmarkStart w:id="0" w:name="_Hlk187230617"/>
      <w:r w:rsidRPr="00F657AB">
        <w:rPr>
          <w:rFonts w:ascii="Calibri" w:eastAsia="Times New Roman" w:hAnsi="Calibri" w:cs="Times New Roman"/>
          <w:b/>
          <w:bCs/>
          <w:i/>
          <w:iCs/>
          <w:color w:val="000000"/>
          <w:spacing w:val="4"/>
          <w:w w:val="103"/>
          <w:kern w:val="14"/>
          <w:bdr w:val="none" w:sz="0" w:space="0" w:color="auto" w:frame="1"/>
          <w:lang w:val="en-GB"/>
          <w14:ligatures w14:val="none"/>
        </w:rPr>
        <w:t>Disclaimer</w:t>
      </w:r>
      <w:r w:rsidRPr="00F657AB">
        <w:rPr>
          <w:rFonts w:ascii="Calibri" w:eastAsia="Times New Roman" w:hAnsi="Calibri" w:cs="Times New Roman"/>
          <w:i/>
          <w:iCs/>
          <w:color w:val="000000"/>
          <w:spacing w:val="4"/>
          <w:w w:val="103"/>
          <w:kern w:val="14"/>
          <w:bdr w:val="none" w:sz="0" w:space="0" w:color="auto" w:frame="1"/>
          <w:lang w:val="en-GB"/>
          <w14:ligatures w14:val="none"/>
        </w:rPr>
        <w:t>: This document was translated from English into French. In the event of any discrepancy between this translation and the original English document, the original English document shall prevail.</w:t>
      </w:r>
    </w:p>
    <w:bookmarkEnd w:id="0"/>
    <w:p w14:paraId="4FC4114D" w14:textId="77777777" w:rsidR="00F657AB" w:rsidRPr="00F657AB" w:rsidRDefault="00F657AB" w:rsidP="00F657AB">
      <w:pPr>
        <w:suppressAutoHyphens/>
        <w:spacing w:after="0" w:line="240" w:lineRule="exact"/>
        <w:jc w:val="center"/>
        <w:rPr>
          <w:rFonts w:ascii="Calibri" w:eastAsia="MS Mincho" w:hAnsi="Calibri" w:cs="Arial"/>
          <w:kern w:val="0"/>
          <w:lang w:val="en-GB"/>
          <w14:ligatures w14:val="none"/>
        </w:rPr>
      </w:pPr>
    </w:p>
    <w:p w14:paraId="2FD89229" w14:textId="77777777" w:rsidR="00F657AB" w:rsidRPr="00F657AB" w:rsidRDefault="00F657AB" w:rsidP="00F657AB">
      <w:pPr>
        <w:suppressAutoHyphens/>
        <w:spacing w:after="0" w:line="240" w:lineRule="exact"/>
        <w:jc w:val="center"/>
        <w:rPr>
          <w:rFonts w:ascii="Calibri" w:eastAsia="Times New Roman" w:hAnsi="Calibri" w:cs="Arial"/>
          <w:b/>
          <w:i/>
          <w:spacing w:val="4"/>
          <w:w w:val="103"/>
          <w:kern w:val="14"/>
          <w:u w:val="single"/>
          <w:lang w:val="fr-FR"/>
          <w14:ligatures w14:val="none"/>
        </w:rPr>
      </w:pPr>
      <w:proofErr w:type="gramStart"/>
      <w:r w:rsidRPr="00F657AB">
        <w:rPr>
          <w:rFonts w:ascii="Calibri" w:eastAsia="MS Mincho" w:hAnsi="Calibri" w:cs="Arial"/>
          <w:b/>
          <w:i/>
          <w:iCs/>
          <w:kern w:val="0"/>
          <w:u w:val="single"/>
          <w:lang w:val="fr-FR"/>
          <w14:ligatures w14:val="none"/>
        </w:rPr>
        <w:t>Attention</w:t>
      </w:r>
      <w:r w:rsidRPr="00F657AB">
        <w:rPr>
          <w:rFonts w:ascii="Calibri" w:eastAsia="MS Mincho" w:hAnsi="Calibri" w:cs="Arial"/>
          <w:i/>
          <w:iCs/>
          <w:kern w:val="0"/>
          <w:lang w:val="fr-FR"/>
          <w14:ligatures w14:val="none"/>
        </w:rPr>
        <w:t>:</w:t>
      </w:r>
      <w:proofErr w:type="gramEnd"/>
      <w:r w:rsidRPr="00F657AB">
        <w:rPr>
          <w:rFonts w:ascii="Calibri" w:eastAsia="MS Mincho" w:hAnsi="Calibri" w:cs="Arial"/>
          <w:i/>
          <w:iCs/>
          <w:kern w:val="0"/>
          <w:lang w:val="fr-FR"/>
          <w14:ligatures w14:val="none"/>
        </w:rPr>
        <w:t xml:space="preserve"> En cas de divergence entre les textes français et anglais de cette politique, le texte anglais fait foi, sauf disposition expresse écrite contraire.</w:t>
      </w:r>
    </w:p>
    <w:p w14:paraId="48498DD0" w14:textId="77777777" w:rsidR="00A31C56" w:rsidRPr="00F657AB" w:rsidRDefault="00A31C56">
      <w:pPr>
        <w:rPr>
          <w:lang w:val="fr-FR"/>
        </w:rPr>
      </w:pPr>
    </w:p>
    <w:sectPr w:rsidR="00A31C56" w:rsidRPr="00F657AB" w:rsidSect="00F657AB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5D27" w14:textId="77777777" w:rsidR="00000000" w:rsidRPr="00222386" w:rsidRDefault="00000000">
    <w:pPr>
      <w:pStyle w:val="Footer"/>
    </w:pPr>
    <w:r>
      <w:t xml:space="preserve">Page </w:t>
    </w:r>
    <w:r w:rsidRPr="00222386">
      <w:rPr>
        <w:b/>
      </w:rPr>
      <w:fldChar w:fldCharType="begin"/>
    </w:r>
    <w:r w:rsidRPr="00222386">
      <w:rPr>
        <w:b/>
      </w:rPr>
      <w:instrText xml:space="preserve"> PAGE  \* Arabic  \* MERGEFORMAT </w:instrText>
    </w:r>
    <w:r w:rsidRPr="00222386">
      <w:rPr>
        <w:b/>
      </w:rPr>
      <w:fldChar w:fldCharType="separate"/>
    </w:r>
    <w:r>
      <w:rPr>
        <w:b/>
        <w:noProof/>
      </w:rPr>
      <w:t>1</w:t>
    </w:r>
    <w:r w:rsidRPr="00222386">
      <w:rPr>
        <w:b/>
      </w:rPr>
      <w:fldChar w:fldCharType="end"/>
    </w:r>
    <w:r>
      <w:t xml:space="preserve"> de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CD2D04">
      <w:rPr>
        <w:b/>
        <w:noProof/>
      </w:rPr>
      <w:t>1</w:t>
    </w:r>
    <w:r>
      <w:rPr>
        <w:b/>
        <w:noProof/>
      </w:rPr>
      <w:fldChar w:fldCharType="end"/>
    </w:r>
    <w:r>
      <w:ptab w:relativeTo="margin" w:alignment="center" w:leader="none"/>
    </w:r>
    <w:r>
      <w:t>Date d</w:t>
    </w:r>
    <w:r>
      <w:t>’</w:t>
    </w:r>
    <w:r>
      <w:t>entrée en vigueur</w:t>
    </w:r>
    <w:r>
      <w:t> :</w:t>
    </w:r>
    <w:r>
      <w:t xml:space="preserve"> </w:t>
    </w:r>
    <w:r>
      <w:t>01/01/2025</w:t>
    </w:r>
    <w:r>
      <w:ptab w:relativeTo="margin" w:alignment="right" w:leader="none"/>
    </w:r>
    <w:r>
      <w:t>Version n</w:t>
    </w:r>
    <w:r w:rsidRPr="0065296A">
      <w:rPr>
        <w:vertAlign w:val="superscript"/>
      </w:rPr>
      <w:t>o</w:t>
    </w:r>
    <w:r>
      <w:t> :</w:t>
    </w:r>
    <w:r>
      <w:t xml:space="preserve"> </w:t>
    </w:r>
    <w: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4238" w14:textId="77777777" w:rsidR="00000000" w:rsidRDefault="00000000" w:rsidP="00222386">
    <w:pPr>
      <w:pStyle w:val="Header"/>
      <w:jc w:val="right"/>
    </w:pPr>
    <w:r>
      <w:rPr>
        <w:noProof/>
      </w:rPr>
      <w:drawing>
        <wp:inline distT="0" distB="0" distL="0" distR="0" wp14:anchorId="7127AF56" wp14:editId="1A7E6716">
          <wp:extent cx="591279" cy="900000"/>
          <wp:effectExtent l="0" t="0" r="0" b="0"/>
          <wp:docPr id="162363455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3455" name="Picture 1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7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9D1"/>
    <w:multiLevelType w:val="hybridMultilevel"/>
    <w:tmpl w:val="9BB2A12C"/>
    <w:lvl w:ilvl="0" w:tplc="8AA09E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EF4E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E87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80C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609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EE3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E5C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629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80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98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AB"/>
    <w:rsid w:val="000C0236"/>
    <w:rsid w:val="001577BB"/>
    <w:rsid w:val="003C037C"/>
    <w:rsid w:val="00487C63"/>
    <w:rsid w:val="00A31C56"/>
    <w:rsid w:val="00A9366F"/>
    <w:rsid w:val="00E1356D"/>
    <w:rsid w:val="00F036CA"/>
    <w:rsid w:val="00F657AB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9AF2B"/>
  <w15:chartTrackingRefBased/>
  <w15:docId w15:val="{AE2F52B8-52DA-4BF2-9D15-CF0FE89A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7A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657AB"/>
    <w:rPr>
      <w:rFonts w:ascii="Calibri" w:eastAsia="Calibri" w:hAnsi="Calibri" w:cs="Calibri"/>
      <w:color w:val="000000"/>
      <w:kern w:val="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57AB"/>
    <w:pPr>
      <w:tabs>
        <w:tab w:val="center" w:pos="4513"/>
        <w:tab w:val="right" w:pos="9026"/>
      </w:tabs>
      <w:spacing w:after="0" w:line="240" w:lineRule="auto"/>
      <w:ind w:left="730" w:hanging="370"/>
      <w:jc w:val="both"/>
    </w:pPr>
    <w:rPr>
      <w:rFonts w:ascii="Calibri" w:eastAsia="Calibri" w:hAnsi="Calibri" w:cs="Calibri"/>
      <w:color w:val="000000"/>
      <w:kern w:val="0"/>
      <w:lang w:val="fr-F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657AB"/>
    <w:rPr>
      <w:rFonts w:ascii="Calibri" w:eastAsia="Calibri" w:hAnsi="Calibri" w:cs="Calibri"/>
      <w:color w:val="000000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Pablo Morete</cp:lastModifiedBy>
  <cp:revision>1</cp:revision>
  <dcterms:created xsi:type="dcterms:W3CDTF">2025-01-17T13:19:00Z</dcterms:created>
  <dcterms:modified xsi:type="dcterms:W3CDTF">2025-01-17T13:20:00Z</dcterms:modified>
</cp:coreProperties>
</file>