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7885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b/>
          <w:color w:val="000000"/>
          <w:kern w:val="0"/>
          <w:sz w:val="28"/>
          <w:lang w:val="es-ES" w:eastAsia="es-ES" w:bidi="es-ES"/>
          <w14:ligatures w14:val="none"/>
        </w:rPr>
        <w:t xml:space="preserve">Compensación por los Días Acumulados de Vacaciones Anuales </w:t>
      </w:r>
    </w:p>
    <w:p w14:paraId="2640330D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7F33E10" w14:textId="77777777" w:rsidR="001E58C3" w:rsidRPr="001E58C3" w:rsidRDefault="001E58C3" w:rsidP="001E58C3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Este pago es efectuado en lugar de las vacaciones anuales ante la separación de un miembro del personal. </w:t>
      </w:r>
    </w:p>
    <w:p w14:paraId="19A0921B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4011C251" w14:textId="77777777" w:rsidR="001E58C3" w:rsidRPr="001E58C3" w:rsidRDefault="001E58C3" w:rsidP="001E58C3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Un miembro del personal que ha acumulado vacaciones anuales (AL) y no las ha usado antes de la fecha de separación recibe el pago de AL acumuladas hasta un máximo de:  </w:t>
      </w:r>
    </w:p>
    <w:p w14:paraId="04587339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5049045C" w14:textId="77777777" w:rsidR="001E58C3" w:rsidRPr="001E58C3" w:rsidRDefault="001E58C3" w:rsidP="001E58C3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60 días para personal con Nombramientos Permanentes, Continuos o de Plazo Fijo  </w:t>
      </w:r>
    </w:p>
    <w:p w14:paraId="1C390F2C" w14:textId="77777777" w:rsidR="001E58C3" w:rsidRPr="001E58C3" w:rsidRDefault="001E58C3" w:rsidP="001E58C3">
      <w:pPr>
        <w:spacing w:after="11"/>
        <w:ind w:left="144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407C4FA" w14:textId="77777777" w:rsidR="001E58C3" w:rsidRPr="001E58C3" w:rsidRDefault="001E58C3" w:rsidP="001E58C3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18 días para personal con Nombramientos Temporales </w:t>
      </w:r>
    </w:p>
    <w:p w14:paraId="491C9B4A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697E3202" w14:textId="77777777" w:rsidR="001E58C3" w:rsidRPr="001E58C3" w:rsidRDefault="001E58C3" w:rsidP="001E58C3">
      <w:pPr>
        <w:spacing w:after="0"/>
        <w:ind w:left="-5" w:hanging="1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Cálculo  </w:t>
      </w:r>
    </w:p>
    <w:p w14:paraId="2951658C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32B17823" w14:textId="77777777" w:rsidR="001E58C3" w:rsidRPr="001E58C3" w:rsidRDefault="001E58C3" w:rsidP="001E58C3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En caso de separación del servicio, el pago de vacaciones anuales acumuladas se calcula de la siguiente manera:  </w:t>
      </w:r>
    </w:p>
    <w:p w14:paraId="5D5AAD1B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7AAFCF34" w14:textId="77777777" w:rsidR="001E58C3" w:rsidRPr="001E58C3" w:rsidRDefault="001E58C3" w:rsidP="001E58C3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Para miembros del personal local, en base al sueldo bruto del miembro del personal, incluida la prima de idiomas, si hubiere, menos las contribuciones del personal  </w:t>
      </w:r>
    </w:p>
    <w:p w14:paraId="45ACFB65" w14:textId="77777777" w:rsidR="001E58C3" w:rsidRPr="001E58C3" w:rsidRDefault="001E58C3" w:rsidP="001E58C3">
      <w:pPr>
        <w:spacing w:after="12"/>
        <w:ind w:left="144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18353520" w14:textId="77777777" w:rsidR="001E58C3" w:rsidRPr="001E58C3" w:rsidRDefault="001E58C3" w:rsidP="001E58C3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Para miembros del personal internacional, en base al sueldo neto del miembro del personal más el ajuste por su lugar de destino final </w:t>
      </w:r>
    </w:p>
    <w:p w14:paraId="4C43C186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E6414A9" w14:textId="77777777" w:rsidR="001E58C3" w:rsidRPr="001E58C3" w:rsidRDefault="001E58C3" w:rsidP="001E58C3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No se realiza ninguna contribución al régimen de pensiones en el pago de AL acumuladas.  </w:t>
      </w:r>
    </w:p>
    <w:p w14:paraId="40796F36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DAC3FF7" w14:textId="77777777" w:rsidR="001E58C3" w:rsidRPr="001E58C3" w:rsidRDefault="001E58C3" w:rsidP="001E58C3">
      <w:pPr>
        <w:spacing w:after="0"/>
        <w:ind w:left="-5" w:hanging="1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Restitución de Vacaciones Anuales Anticipadas  </w:t>
      </w:r>
    </w:p>
    <w:p w14:paraId="241E95F0" w14:textId="77777777" w:rsidR="001E58C3" w:rsidRPr="001E58C3" w:rsidRDefault="001E58C3" w:rsidP="001E58C3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446ADC4C" w14:textId="77777777" w:rsidR="001E58C3" w:rsidRPr="001E58C3" w:rsidRDefault="001E58C3" w:rsidP="001E58C3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Tras la separación, miembros del personal que hayan tomado </w:t>
      </w:r>
      <w:proofErr w:type="gramStart"/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>AL anticipadas</w:t>
      </w:r>
      <w:proofErr w:type="gramEnd"/>
      <w:r w:rsidRPr="001E58C3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que superen las acumuladas deben realizar un reembolso en efectivo o hacer que se deduzca el monto apropiado de los pagos que se les adeuden.  </w:t>
      </w:r>
    </w:p>
    <w:p w14:paraId="52922DB8" w14:textId="77777777" w:rsidR="001E58C3" w:rsidRPr="001E58C3" w:rsidRDefault="001E58C3" w:rsidP="001E58C3">
      <w:pPr>
        <w:spacing w:after="0" w:line="248" w:lineRule="auto"/>
        <w:ind w:left="705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CF0CB14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CAB92EF" w14:textId="77777777" w:rsidR="001E58C3" w:rsidRPr="001E58C3" w:rsidRDefault="001E58C3" w:rsidP="001E5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bookmarkStart w:id="0" w:name="_Hlk187328088"/>
      <w:r w:rsidRPr="001E58C3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>Disclaimer:</w:t>
      </w:r>
      <w:r w:rsidRPr="001E58C3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6D30BE67" w14:textId="77777777" w:rsidR="001E58C3" w:rsidRPr="001E58C3" w:rsidRDefault="001E58C3" w:rsidP="001E5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r w:rsidRPr="001E58C3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> </w:t>
      </w:r>
    </w:p>
    <w:p w14:paraId="02055E9F" w14:textId="77777777" w:rsidR="001E58C3" w:rsidRPr="001E58C3" w:rsidRDefault="001E58C3" w:rsidP="001E5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s-ES_tradnl"/>
          <w14:ligatures w14:val="none"/>
        </w:rPr>
      </w:pPr>
      <w:r w:rsidRPr="001E58C3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1E58C3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1E58C3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bookmarkEnd w:id="0"/>
    <w:p w14:paraId="230BAE24" w14:textId="77777777" w:rsidR="001E58C3" w:rsidRPr="001E58C3" w:rsidRDefault="001E58C3" w:rsidP="001E58C3">
      <w:pPr>
        <w:spacing w:after="0"/>
        <w:rPr>
          <w:rFonts w:ascii="Calibri" w:eastAsia="Calibri" w:hAnsi="Calibri" w:cs="Calibri"/>
          <w:color w:val="000000"/>
          <w:kern w:val="0"/>
          <w:lang w:val="es-ES_tradnl" w:eastAsia="es-ES" w:bidi="es-ES"/>
          <w14:ligatures w14:val="none"/>
        </w:rPr>
      </w:pPr>
    </w:p>
    <w:p w14:paraId="7B7F84EF" w14:textId="77777777" w:rsidR="00A31C56" w:rsidRPr="001E58C3" w:rsidRDefault="00A31C56">
      <w:pPr>
        <w:rPr>
          <w:lang w:val="es-ES_tradnl"/>
        </w:rPr>
      </w:pPr>
    </w:p>
    <w:sectPr w:rsidR="00A31C56" w:rsidRPr="001E58C3" w:rsidSect="001E58C3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8085" w14:textId="77777777" w:rsidR="00000000" w:rsidRPr="00222386" w:rsidRDefault="00000000">
    <w:pPr>
      <w:pStyle w:val="Footer"/>
    </w:pPr>
    <w:r>
      <w:t xml:space="preserve">Página </w:t>
    </w:r>
    <w:r w:rsidRPr="00222386">
      <w:rPr>
        <w:b/>
      </w:rPr>
      <w:fldChar w:fldCharType="begin"/>
    </w:r>
    <w:r w:rsidRPr="00222386">
      <w:rPr>
        <w:b/>
      </w:rPr>
      <w:instrText xml:space="preserve"> PAGE  \* Arabic  \* MERGEFORMAT </w:instrText>
    </w:r>
    <w:r w:rsidRPr="00222386">
      <w:rPr>
        <w:b/>
      </w:rPr>
      <w:fldChar w:fldCharType="separate"/>
    </w:r>
    <w:r>
      <w:rPr>
        <w:b/>
        <w:noProof/>
      </w:rPr>
      <w:t>1</w:t>
    </w:r>
    <w:r w:rsidRPr="00222386">
      <w:rPr>
        <w:b/>
      </w:rPr>
      <w:fldChar w:fldCharType="end"/>
    </w:r>
    <w:r>
      <w:t xml:space="preserve"> de </w:t>
    </w:r>
    <w:r w:rsidRPr="00222386">
      <w:rPr>
        <w:b/>
      </w:rPr>
      <w:fldChar w:fldCharType="begin"/>
    </w:r>
    <w:r w:rsidRPr="00222386">
      <w:rPr>
        <w:b/>
      </w:rPr>
      <w:instrText xml:space="preserve"> NUMPAGES  \* Arabic  \* MERGEFORMAT </w:instrText>
    </w:r>
    <w:r w:rsidRPr="00222386">
      <w:rPr>
        <w:b/>
      </w:rPr>
      <w:fldChar w:fldCharType="separate"/>
    </w:r>
    <w:r>
      <w:rPr>
        <w:b/>
        <w:noProof/>
      </w:rPr>
      <w:t>1</w:t>
    </w:r>
    <w:r w:rsidRPr="00222386">
      <w:rPr>
        <w:b/>
      </w:rPr>
      <w:fldChar w:fldCharType="end"/>
    </w:r>
    <w:r>
      <w:ptab w:relativeTo="margin" w:alignment="center" w:leader="none"/>
    </w:r>
    <w:r>
      <w:t xml:space="preserve">Fecha de entrada en vigor: </w:t>
    </w:r>
    <w:r>
      <w:t>01/01/2025</w:t>
    </w:r>
    <w:r>
      <w:ptab w:relativeTo="margin" w:alignment="right" w:leader="none"/>
    </w:r>
    <w:r>
      <w:t xml:space="preserve">Versión </w:t>
    </w:r>
    <w:proofErr w:type="spellStart"/>
    <w:r>
      <w:t>n.°</w:t>
    </w:r>
    <w:proofErr w:type="spellEnd"/>
    <w:r>
      <w:t xml:space="preserve">: </w:t>
    </w:r>
    <w: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4D49" w14:textId="77777777" w:rsidR="00000000" w:rsidRDefault="00000000" w:rsidP="00222386">
    <w:pPr>
      <w:pStyle w:val="Header"/>
      <w:jc w:val="right"/>
    </w:pPr>
    <w:r>
      <w:rPr>
        <w:noProof/>
      </w:rPr>
      <w:drawing>
        <wp:inline distT="0" distB="0" distL="0" distR="0" wp14:anchorId="782973C0" wp14:editId="694A8B27">
          <wp:extent cx="591279" cy="900000"/>
          <wp:effectExtent l="0" t="0" r="0" b="0"/>
          <wp:docPr id="1970003099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03099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9D1"/>
    <w:multiLevelType w:val="hybridMultilevel"/>
    <w:tmpl w:val="9BB2A12C"/>
    <w:lvl w:ilvl="0" w:tplc="8AA09E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EF4E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E87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80C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609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EE3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E5C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629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80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2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C3"/>
    <w:rsid w:val="000C0236"/>
    <w:rsid w:val="001577BB"/>
    <w:rsid w:val="001E58C3"/>
    <w:rsid w:val="00487C63"/>
    <w:rsid w:val="00A31C56"/>
    <w:rsid w:val="00A9366F"/>
    <w:rsid w:val="00E1356D"/>
    <w:rsid w:val="00EB59F3"/>
    <w:rsid w:val="00F036C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5BB97"/>
  <w15:chartTrackingRefBased/>
  <w15:docId w15:val="{7087F8E5-1E9C-48F7-A6E4-86E683E7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8C3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58C3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58C3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E58C3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Pablo Morete</cp:lastModifiedBy>
  <cp:revision>1</cp:revision>
  <dcterms:created xsi:type="dcterms:W3CDTF">2025-01-17T13:16:00Z</dcterms:created>
  <dcterms:modified xsi:type="dcterms:W3CDTF">2025-01-17T13:18:00Z</dcterms:modified>
</cp:coreProperties>
</file>