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07D4" w14:textId="29B6C2DE" w:rsidR="007969B4" w:rsidRPr="00396EED" w:rsidRDefault="00396EED" w:rsidP="00396EED">
      <w:pPr>
        <w:rPr>
          <w:bCs/>
          <w:sz w:val="28"/>
          <w:szCs w:val="28"/>
        </w:rPr>
      </w:pPr>
      <w:r w:rsidRPr="00396EED">
        <w:rPr>
          <w:bCs/>
          <w:sz w:val="28"/>
          <w:szCs w:val="28"/>
        </w:rPr>
        <w:t>UNDP-supported Guarantees Operational Manual</w:t>
      </w:r>
    </w:p>
    <w:bookmarkStart w:id="0" w:name="_Toc493088777" w:displacedByCustomXml="next"/>
    <w:bookmarkStart w:id="1" w:name="_Toc288396291" w:displacedByCustomXml="next"/>
    <w:bookmarkStart w:id="2" w:name="_Toc287231383" w:displacedByCustomXml="next"/>
    <w:sdt>
      <w:sdtPr>
        <w:rPr>
          <w:rFonts w:asciiTheme="minorHAnsi" w:eastAsiaTheme="minorHAnsi" w:hAnsiTheme="minorHAnsi" w:cstheme="minorBidi"/>
          <w:color w:val="auto"/>
          <w:sz w:val="22"/>
          <w:szCs w:val="22"/>
        </w:rPr>
        <w:id w:val="353703869"/>
        <w:docPartObj>
          <w:docPartGallery w:val="Table of Contents"/>
          <w:docPartUnique/>
        </w:docPartObj>
      </w:sdtPr>
      <w:sdtEndPr>
        <w:rPr>
          <w:rFonts w:eastAsiaTheme="minorEastAsia"/>
          <w:b/>
          <w:bCs/>
          <w:noProof/>
        </w:rPr>
      </w:sdtEndPr>
      <w:sdtContent>
        <w:p w14:paraId="7A355E4D" w14:textId="77777777" w:rsidR="002C5B20" w:rsidRDefault="002C5B20">
          <w:pPr>
            <w:pStyle w:val="TOCHeading"/>
          </w:pPr>
          <w:r>
            <w:t>Contents</w:t>
          </w:r>
        </w:p>
        <w:p w14:paraId="168F23C0" w14:textId="009E1611" w:rsidR="009358C0" w:rsidRDefault="002C5B20">
          <w:pPr>
            <w:pStyle w:val="TOC1"/>
            <w:rPr>
              <w:rFonts w:cstheme="minorBidi"/>
              <w:b w:val="0"/>
              <w:bCs w:val="0"/>
              <w:caps w:val="0"/>
              <w:noProof/>
              <w:sz w:val="22"/>
              <w:szCs w:val="22"/>
            </w:rPr>
          </w:pPr>
          <w:r>
            <w:rPr>
              <w:noProof/>
            </w:rPr>
            <w:fldChar w:fldCharType="begin"/>
          </w:r>
          <w:r>
            <w:rPr>
              <w:noProof/>
            </w:rPr>
            <w:instrText xml:space="preserve"> TOC \o "1-3" \h \z \u </w:instrText>
          </w:r>
          <w:r>
            <w:rPr>
              <w:noProof/>
            </w:rPr>
            <w:fldChar w:fldCharType="separate"/>
          </w:r>
          <w:hyperlink w:anchor="_Toc121313753" w:history="1">
            <w:r w:rsidR="009358C0" w:rsidRPr="001E762C">
              <w:rPr>
                <w:rStyle w:val="Hyperlink"/>
                <w:noProof/>
                <w:lang w:val="en-GB"/>
              </w:rPr>
              <w:t>1.</w:t>
            </w:r>
            <w:r w:rsidR="009358C0">
              <w:rPr>
                <w:rFonts w:cstheme="minorBidi"/>
                <w:b w:val="0"/>
                <w:bCs w:val="0"/>
                <w:caps w:val="0"/>
                <w:noProof/>
                <w:sz w:val="22"/>
                <w:szCs w:val="22"/>
              </w:rPr>
              <w:tab/>
            </w:r>
            <w:r w:rsidR="009358C0" w:rsidRPr="001E762C">
              <w:rPr>
                <w:rStyle w:val="Hyperlink"/>
                <w:noProof/>
                <w:lang w:val="en-GB"/>
              </w:rPr>
              <w:t>Introduction</w:t>
            </w:r>
            <w:r w:rsidR="009358C0">
              <w:rPr>
                <w:noProof/>
                <w:webHidden/>
              </w:rPr>
              <w:tab/>
            </w:r>
            <w:r w:rsidR="009358C0">
              <w:rPr>
                <w:noProof/>
                <w:webHidden/>
              </w:rPr>
              <w:fldChar w:fldCharType="begin"/>
            </w:r>
            <w:r w:rsidR="009358C0">
              <w:rPr>
                <w:noProof/>
                <w:webHidden/>
              </w:rPr>
              <w:instrText xml:space="preserve"> PAGEREF _Toc121313753 \h </w:instrText>
            </w:r>
            <w:r w:rsidR="009358C0">
              <w:rPr>
                <w:noProof/>
                <w:webHidden/>
              </w:rPr>
            </w:r>
            <w:r w:rsidR="009358C0">
              <w:rPr>
                <w:noProof/>
                <w:webHidden/>
              </w:rPr>
              <w:fldChar w:fldCharType="separate"/>
            </w:r>
            <w:r w:rsidR="009358C0">
              <w:rPr>
                <w:noProof/>
                <w:webHidden/>
              </w:rPr>
              <w:t>3</w:t>
            </w:r>
            <w:r w:rsidR="009358C0">
              <w:rPr>
                <w:noProof/>
                <w:webHidden/>
              </w:rPr>
              <w:fldChar w:fldCharType="end"/>
            </w:r>
          </w:hyperlink>
        </w:p>
        <w:p w14:paraId="0C5B4C67" w14:textId="25053EB8" w:rsidR="009358C0" w:rsidRDefault="00000000">
          <w:pPr>
            <w:pStyle w:val="TOC2"/>
            <w:rPr>
              <w:rFonts w:cstheme="minorBidi"/>
              <w:smallCaps w:val="0"/>
              <w:noProof/>
              <w:sz w:val="22"/>
              <w:szCs w:val="22"/>
            </w:rPr>
          </w:pPr>
          <w:hyperlink w:anchor="_Toc121313754" w:history="1">
            <w:r w:rsidR="009358C0" w:rsidRPr="001E762C">
              <w:rPr>
                <w:rStyle w:val="Hyperlink"/>
                <w:b/>
                <w:noProof/>
                <w:lang w:val="en-GB"/>
              </w:rPr>
              <w:t>1.1</w:t>
            </w:r>
            <w:r w:rsidR="009358C0">
              <w:rPr>
                <w:rFonts w:cstheme="minorBidi"/>
                <w:smallCaps w:val="0"/>
                <w:noProof/>
                <w:sz w:val="22"/>
                <w:szCs w:val="22"/>
              </w:rPr>
              <w:tab/>
            </w:r>
            <w:r w:rsidR="009358C0" w:rsidRPr="001E762C">
              <w:rPr>
                <w:rStyle w:val="Hyperlink"/>
                <w:b/>
                <w:noProof/>
                <w:lang w:val="en-GB"/>
              </w:rPr>
              <w:t>Definition of guarantees</w:t>
            </w:r>
            <w:r w:rsidR="009358C0">
              <w:rPr>
                <w:noProof/>
                <w:webHidden/>
              </w:rPr>
              <w:tab/>
            </w:r>
            <w:r w:rsidR="009358C0">
              <w:rPr>
                <w:noProof/>
                <w:webHidden/>
              </w:rPr>
              <w:fldChar w:fldCharType="begin"/>
            </w:r>
            <w:r w:rsidR="009358C0">
              <w:rPr>
                <w:noProof/>
                <w:webHidden/>
              </w:rPr>
              <w:instrText xml:space="preserve"> PAGEREF _Toc121313754 \h </w:instrText>
            </w:r>
            <w:r w:rsidR="009358C0">
              <w:rPr>
                <w:noProof/>
                <w:webHidden/>
              </w:rPr>
            </w:r>
            <w:r w:rsidR="009358C0">
              <w:rPr>
                <w:noProof/>
                <w:webHidden/>
              </w:rPr>
              <w:fldChar w:fldCharType="separate"/>
            </w:r>
            <w:r w:rsidR="009358C0">
              <w:rPr>
                <w:noProof/>
                <w:webHidden/>
              </w:rPr>
              <w:t>4</w:t>
            </w:r>
            <w:r w:rsidR="009358C0">
              <w:rPr>
                <w:noProof/>
                <w:webHidden/>
              </w:rPr>
              <w:fldChar w:fldCharType="end"/>
            </w:r>
          </w:hyperlink>
        </w:p>
        <w:p w14:paraId="258EC21E" w14:textId="328D2C3E" w:rsidR="009358C0" w:rsidRDefault="00000000">
          <w:pPr>
            <w:pStyle w:val="TOC2"/>
            <w:rPr>
              <w:rFonts w:cstheme="minorBidi"/>
              <w:smallCaps w:val="0"/>
              <w:noProof/>
              <w:sz w:val="22"/>
              <w:szCs w:val="22"/>
            </w:rPr>
          </w:pPr>
          <w:hyperlink w:anchor="_Toc121313755" w:history="1">
            <w:r w:rsidR="009358C0" w:rsidRPr="001E762C">
              <w:rPr>
                <w:rStyle w:val="Hyperlink"/>
                <w:b/>
                <w:noProof/>
                <w:lang w:val="en-GB"/>
              </w:rPr>
              <w:t>1.2</w:t>
            </w:r>
            <w:r w:rsidR="009358C0">
              <w:rPr>
                <w:rFonts w:cstheme="minorBidi"/>
                <w:smallCaps w:val="0"/>
                <w:noProof/>
                <w:sz w:val="22"/>
                <w:szCs w:val="22"/>
              </w:rPr>
              <w:tab/>
            </w:r>
            <w:r w:rsidR="009358C0" w:rsidRPr="001E762C">
              <w:rPr>
                <w:rStyle w:val="Hyperlink"/>
                <w:b/>
                <w:noProof/>
                <w:lang w:val="en-GB"/>
              </w:rPr>
              <w:t>Objectives of UNDP-supported guarantees</w:t>
            </w:r>
            <w:r w:rsidR="009358C0">
              <w:rPr>
                <w:noProof/>
                <w:webHidden/>
              </w:rPr>
              <w:tab/>
            </w:r>
            <w:r w:rsidR="009358C0">
              <w:rPr>
                <w:noProof/>
                <w:webHidden/>
              </w:rPr>
              <w:fldChar w:fldCharType="begin"/>
            </w:r>
            <w:r w:rsidR="009358C0">
              <w:rPr>
                <w:noProof/>
                <w:webHidden/>
              </w:rPr>
              <w:instrText xml:space="preserve"> PAGEREF _Toc121313755 \h </w:instrText>
            </w:r>
            <w:r w:rsidR="009358C0">
              <w:rPr>
                <w:noProof/>
                <w:webHidden/>
              </w:rPr>
            </w:r>
            <w:r w:rsidR="009358C0">
              <w:rPr>
                <w:noProof/>
                <w:webHidden/>
              </w:rPr>
              <w:fldChar w:fldCharType="separate"/>
            </w:r>
            <w:r w:rsidR="009358C0">
              <w:rPr>
                <w:noProof/>
                <w:webHidden/>
              </w:rPr>
              <w:t>4</w:t>
            </w:r>
            <w:r w:rsidR="009358C0">
              <w:rPr>
                <w:noProof/>
                <w:webHidden/>
              </w:rPr>
              <w:fldChar w:fldCharType="end"/>
            </w:r>
          </w:hyperlink>
        </w:p>
        <w:p w14:paraId="70B9C34D" w14:textId="5893880F" w:rsidR="009358C0" w:rsidRDefault="00000000">
          <w:pPr>
            <w:pStyle w:val="TOC2"/>
            <w:rPr>
              <w:rFonts w:cstheme="minorBidi"/>
              <w:smallCaps w:val="0"/>
              <w:noProof/>
              <w:sz w:val="22"/>
              <w:szCs w:val="22"/>
            </w:rPr>
          </w:pPr>
          <w:hyperlink w:anchor="_Toc121313756" w:history="1">
            <w:r w:rsidR="009358C0" w:rsidRPr="001E762C">
              <w:rPr>
                <w:rStyle w:val="Hyperlink"/>
                <w:b/>
                <w:noProof/>
                <w:lang w:val="en-GB"/>
              </w:rPr>
              <w:t>1.3</w:t>
            </w:r>
            <w:r w:rsidR="009358C0">
              <w:rPr>
                <w:rFonts w:cstheme="minorBidi"/>
                <w:smallCaps w:val="0"/>
                <w:noProof/>
                <w:sz w:val="22"/>
                <w:szCs w:val="22"/>
              </w:rPr>
              <w:tab/>
            </w:r>
            <w:r w:rsidR="009358C0" w:rsidRPr="001E762C">
              <w:rPr>
                <w:rStyle w:val="Hyperlink"/>
                <w:b/>
                <w:noProof/>
                <w:lang w:val="en-GB"/>
              </w:rPr>
              <w:t>Objectives of UNDP-supported Guarantees Operational Manual</w:t>
            </w:r>
            <w:r w:rsidR="009358C0">
              <w:rPr>
                <w:noProof/>
                <w:webHidden/>
              </w:rPr>
              <w:tab/>
            </w:r>
            <w:r w:rsidR="009358C0">
              <w:rPr>
                <w:noProof/>
                <w:webHidden/>
              </w:rPr>
              <w:fldChar w:fldCharType="begin"/>
            </w:r>
            <w:r w:rsidR="009358C0">
              <w:rPr>
                <w:noProof/>
                <w:webHidden/>
              </w:rPr>
              <w:instrText xml:space="preserve"> PAGEREF _Toc121313756 \h </w:instrText>
            </w:r>
            <w:r w:rsidR="009358C0">
              <w:rPr>
                <w:noProof/>
                <w:webHidden/>
              </w:rPr>
            </w:r>
            <w:r w:rsidR="009358C0">
              <w:rPr>
                <w:noProof/>
                <w:webHidden/>
              </w:rPr>
              <w:fldChar w:fldCharType="separate"/>
            </w:r>
            <w:r w:rsidR="009358C0">
              <w:rPr>
                <w:noProof/>
                <w:webHidden/>
              </w:rPr>
              <w:t>6</w:t>
            </w:r>
            <w:r w:rsidR="009358C0">
              <w:rPr>
                <w:noProof/>
                <w:webHidden/>
              </w:rPr>
              <w:fldChar w:fldCharType="end"/>
            </w:r>
          </w:hyperlink>
        </w:p>
        <w:p w14:paraId="218648FA" w14:textId="3C78AED2" w:rsidR="009358C0" w:rsidRDefault="00000000">
          <w:pPr>
            <w:pStyle w:val="TOC1"/>
            <w:rPr>
              <w:rFonts w:cstheme="minorBidi"/>
              <w:b w:val="0"/>
              <w:bCs w:val="0"/>
              <w:caps w:val="0"/>
              <w:noProof/>
              <w:sz w:val="22"/>
              <w:szCs w:val="22"/>
            </w:rPr>
          </w:pPr>
          <w:hyperlink w:anchor="_Toc121313757" w:history="1">
            <w:r w:rsidR="009358C0" w:rsidRPr="001E762C">
              <w:rPr>
                <w:rStyle w:val="Hyperlink"/>
                <w:noProof/>
                <w:lang w:val="en-GB"/>
              </w:rPr>
              <w:t>2.</w:t>
            </w:r>
            <w:r w:rsidR="009358C0">
              <w:rPr>
                <w:rFonts w:cstheme="minorBidi"/>
                <w:b w:val="0"/>
                <w:bCs w:val="0"/>
                <w:caps w:val="0"/>
                <w:noProof/>
                <w:sz w:val="22"/>
                <w:szCs w:val="22"/>
              </w:rPr>
              <w:tab/>
            </w:r>
            <w:r w:rsidR="009358C0" w:rsidRPr="001E762C">
              <w:rPr>
                <w:rStyle w:val="Hyperlink"/>
                <w:rFonts w:eastAsia="Century Gothic"/>
                <w:noProof/>
                <w:lang w:val="en-GB"/>
              </w:rPr>
              <w:t>Key Principles in Designing UNDP-supported Guarantees as Part of UNDP Projects</w:t>
            </w:r>
            <w:r w:rsidR="009358C0">
              <w:rPr>
                <w:noProof/>
                <w:webHidden/>
              </w:rPr>
              <w:tab/>
            </w:r>
            <w:r w:rsidR="009358C0">
              <w:rPr>
                <w:noProof/>
                <w:webHidden/>
              </w:rPr>
              <w:fldChar w:fldCharType="begin"/>
            </w:r>
            <w:r w:rsidR="009358C0">
              <w:rPr>
                <w:noProof/>
                <w:webHidden/>
              </w:rPr>
              <w:instrText xml:space="preserve"> PAGEREF _Toc121313757 \h </w:instrText>
            </w:r>
            <w:r w:rsidR="009358C0">
              <w:rPr>
                <w:noProof/>
                <w:webHidden/>
              </w:rPr>
            </w:r>
            <w:r w:rsidR="009358C0">
              <w:rPr>
                <w:noProof/>
                <w:webHidden/>
              </w:rPr>
              <w:fldChar w:fldCharType="separate"/>
            </w:r>
            <w:r w:rsidR="009358C0">
              <w:rPr>
                <w:noProof/>
                <w:webHidden/>
              </w:rPr>
              <w:t>6</w:t>
            </w:r>
            <w:r w:rsidR="009358C0">
              <w:rPr>
                <w:noProof/>
                <w:webHidden/>
              </w:rPr>
              <w:fldChar w:fldCharType="end"/>
            </w:r>
          </w:hyperlink>
        </w:p>
        <w:p w14:paraId="37AA56CB" w14:textId="6D691E52" w:rsidR="009358C0" w:rsidRDefault="00000000">
          <w:pPr>
            <w:pStyle w:val="TOC2"/>
            <w:rPr>
              <w:rFonts w:cstheme="minorBidi"/>
              <w:smallCaps w:val="0"/>
              <w:noProof/>
              <w:sz w:val="22"/>
              <w:szCs w:val="22"/>
            </w:rPr>
          </w:pPr>
          <w:hyperlink w:anchor="_Toc121313758" w:history="1">
            <w:r w:rsidR="009358C0" w:rsidRPr="001E762C">
              <w:rPr>
                <w:rStyle w:val="Hyperlink"/>
                <w:rFonts w:ascii="Calibri Light" w:hAnsi="Calibri Light"/>
                <w:b/>
                <w:noProof/>
              </w:rPr>
              <w:t>2.1</w:t>
            </w:r>
            <w:r w:rsidR="009358C0">
              <w:rPr>
                <w:rFonts w:cstheme="minorBidi"/>
                <w:smallCaps w:val="0"/>
                <w:noProof/>
                <w:sz w:val="22"/>
                <w:szCs w:val="22"/>
              </w:rPr>
              <w:tab/>
            </w:r>
            <w:r w:rsidR="009358C0" w:rsidRPr="001E762C">
              <w:rPr>
                <w:rStyle w:val="Hyperlink"/>
                <w:b/>
                <w:noProof/>
              </w:rPr>
              <w:t>Offer UNDP-supported guarantees as part of broader development projects and not as stand-alone interventions.</w:t>
            </w:r>
            <w:r w:rsidR="009358C0">
              <w:rPr>
                <w:noProof/>
                <w:webHidden/>
              </w:rPr>
              <w:tab/>
            </w:r>
            <w:r w:rsidR="009358C0">
              <w:rPr>
                <w:noProof/>
                <w:webHidden/>
              </w:rPr>
              <w:fldChar w:fldCharType="begin"/>
            </w:r>
            <w:r w:rsidR="009358C0">
              <w:rPr>
                <w:noProof/>
                <w:webHidden/>
              </w:rPr>
              <w:instrText xml:space="preserve"> PAGEREF _Toc121313758 \h </w:instrText>
            </w:r>
            <w:r w:rsidR="009358C0">
              <w:rPr>
                <w:noProof/>
                <w:webHidden/>
              </w:rPr>
            </w:r>
            <w:r w:rsidR="009358C0">
              <w:rPr>
                <w:noProof/>
                <w:webHidden/>
              </w:rPr>
              <w:fldChar w:fldCharType="separate"/>
            </w:r>
            <w:r w:rsidR="009358C0">
              <w:rPr>
                <w:noProof/>
                <w:webHidden/>
              </w:rPr>
              <w:t>6</w:t>
            </w:r>
            <w:r w:rsidR="009358C0">
              <w:rPr>
                <w:noProof/>
                <w:webHidden/>
              </w:rPr>
              <w:fldChar w:fldCharType="end"/>
            </w:r>
          </w:hyperlink>
        </w:p>
        <w:p w14:paraId="1CD07786" w14:textId="7DE050BA" w:rsidR="009358C0" w:rsidRDefault="00000000">
          <w:pPr>
            <w:pStyle w:val="TOC2"/>
            <w:rPr>
              <w:rFonts w:cstheme="minorBidi"/>
              <w:smallCaps w:val="0"/>
              <w:noProof/>
              <w:sz w:val="22"/>
              <w:szCs w:val="22"/>
            </w:rPr>
          </w:pPr>
          <w:hyperlink w:anchor="_Toc121313759" w:history="1">
            <w:r w:rsidR="009358C0" w:rsidRPr="001E762C">
              <w:rPr>
                <w:rStyle w:val="Hyperlink"/>
                <w:rFonts w:ascii="Calibri Light" w:hAnsi="Calibri Light"/>
                <w:b/>
                <w:noProof/>
              </w:rPr>
              <w:t>2.2</w:t>
            </w:r>
            <w:r w:rsidR="009358C0">
              <w:rPr>
                <w:rFonts w:cstheme="minorBidi"/>
                <w:smallCaps w:val="0"/>
                <w:noProof/>
                <w:sz w:val="22"/>
                <w:szCs w:val="22"/>
              </w:rPr>
              <w:tab/>
            </w:r>
            <w:r w:rsidR="009358C0" w:rsidRPr="001E762C">
              <w:rPr>
                <w:rStyle w:val="Hyperlink"/>
                <w:b/>
                <w:noProof/>
              </w:rPr>
              <w:t>Offer fully funded development guarantees.</w:t>
            </w:r>
            <w:r w:rsidR="009358C0">
              <w:rPr>
                <w:noProof/>
                <w:webHidden/>
              </w:rPr>
              <w:tab/>
            </w:r>
            <w:r w:rsidR="009358C0">
              <w:rPr>
                <w:noProof/>
                <w:webHidden/>
              </w:rPr>
              <w:fldChar w:fldCharType="begin"/>
            </w:r>
            <w:r w:rsidR="009358C0">
              <w:rPr>
                <w:noProof/>
                <w:webHidden/>
              </w:rPr>
              <w:instrText xml:space="preserve"> PAGEREF _Toc121313759 \h </w:instrText>
            </w:r>
            <w:r w:rsidR="009358C0">
              <w:rPr>
                <w:noProof/>
                <w:webHidden/>
              </w:rPr>
            </w:r>
            <w:r w:rsidR="009358C0">
              <w:rPr>
                <w:noProof/>
                <w:webHidden/>
              </w:rPr>
              <w:fldChar w:fldCharType="separate"/>
            </w:r>
            <w:r w:rsidR="009358C0">
              <w:rPr>
                <w:noProof/>
                <w:webHidden/>
              </w:rPr>
              <w:t>7</w:t>
            </w:r>
            <w:r w:rsidR="009358C0">
              <w:rPr>
                <w:noProof/>
                <w:webHidden/>
              </w:rPr>
              <w:fldChar w:fldCharType="end"/>
            </w:r>
          </w:hyperlink>
        </w:p>
        <w:p w14:paraId="048617FD" w14:textId="548690B7" w:rsidR="009358C0" w:rsidRDefault="00000000">
          <w:pPr>
            <w:pStyle w:val="TOC2"/>
            <w:rPr>
              <w:rFonts w:cstheme="minorBidi"/>
              <w:smallCaps w:val="0"/>
              <w:noProof/>
              <w:sz w:val="22"/>
              <w:szCs w:val="22"/>
            </w:rPr>
          </w:pPr>
          <w:hyperlink w:anchor="_Toc121313760" w:history="1">
            <w:r w:rsidR="009358C0" w:rsidRPr="001E762C">
              <w:rPr>
                <w:rStyle w:val="Hyperlink"/>
                <w:rFonts w:ascii="Calibri Light" w:hAnsi="Calibri Light"/>
                <w:b/>
                <w:noProof/>
              </w:rPr>
              <w:t>2.3</w:t>
            </w:r>
            <w:r w:rsidR="009358C0">
              <w:rPr>
                <w:rFonts w:cstheme="minorBidi"/>
                <w:smallCaps w:val="0"/>
                <w:noProof/>
                <w:sz w:val="22"/>
                <w:szCs w:val="22"/>
              </w:rPr>
              <w:tab/>
            </w:r>
            <w:r w:rsidR="009358C0" w:rsidRPr="001E762C">
              <w:rPr>
                <w:rStyle w:val="Hyperlink"/>
                <w:b/>
                <w:noProof/>
              </w:rPr>
              <w:t>UNDP-supported Guarantees shall generate “additionality” to deliver impact efficiently.</w:t>
            </w:r>
            <w:r w:rsidR="009358C0">
              <w:rPr>
                <w:noProof/>
                <w:webHidden/>
              </w:rPr>
              <w:tab/>
            </w:r>
            <w:r w:rsidR="009358C0">
              <w:rPr>
                <w:noProof/>
                <w:webHidden/>
              </w:rPr>
              <w:fldChar w:fldCharType="begin"/>
            </w:r>
            <w:r w:rsidR="009358C0">
              <w:rPr>
                <w:noProof/>
                <w:webHidden/>
              </w:rPr>
              <w:instrText xml:space="preserve"> PAGEREF _Toc121313760 \h </w:instrText>
            </w:r>
            <w:r w:rsidR="009358C0">
              <w:rPr>
                <w:noProof/>
                <w:webHidden/>
              </w:rPr>
            </w:r>
            <w:r w:rsidR="009358C0">
              <w:rPr>
                <w:noProof/>
                <w:webHidden/>
              </w:rPr>
              <w:fldChar w:fldCharType="separate"/>
            </w:r>
            <w:r w:rsidR="009358C0">
              <w:rPr>
                <w:noProof/>
                <w:webHidden/>
              </w:rPr>
              <w:t>7</w:t>
            </w:r>
            <w:r w:rsidR="009358C0">
              <w:rPr>
                <w:noProof/>
                <w:webHidden/>
              </w:rPr>
              <w:fldChar w:fldCharType="end"/>
            </w:r>
          </w:hyperlink>
        </w:p>
        <w:p w14:paraId="27530341" w14:textId="6EBFC4D4" w:rsidR="009358C0" w:rsidRDefault="00000000">
          <w:pPr>
            <w:pStyle w:val="TOC2"/>
            <w:rPr>
              <w:rFonts w:cstheme="minorBidi"/>
              <w:smallCaps w:val="0"/>
              <w:noProof/>
              <w:sz w:val="22"/>
              <w:szCs w:val="22"/>
            </w:rPr>
          </w:pPr>
          <w:hyperlink w:anchor="_Toc121313761" w:history="1">
            <w:r w:rsidR="009358C0" w:rsidRPr="001E762C">
              <w:rPr>
                <w:rStyle w:val="Hyperlink"/>
                <w:rFonts w:ascii="Calibri Light" w:hAnsi="Calibri Light"/>
                <w:b/>
                <w:noProof/>
              </w:rPr>
              <w:t>2.4</w:t>
            </w:r>
            <w:r w:rsidR="009358C0">
              <w:rPr>
                <w:rFonts w:cstheme="minorBidi"/>
                <w:smallCaps w:val="0"/>
                <w:noProof/>
                <w:sz w:val="22"/>
                <w:szCs w:val="22"/>
              </w:rPr>
              <w:tab/>
            </w:r>
            <w:r w:rsidR="009358C0" w:rsidRPr="001E762C">
              <w:rPr>
                <w:rStyle w:val="Hyperlink"/>
                <w:b/>
                <w:noProof/>
              </w:rPr>
              <w:t>Target specific risks or barriers inherent in projects that the lenders are unable to assess or reluctant to bear.</w:t>
            </w:r>
            <w:r w:rsidR="009358C0">
              <w:rPr>
                <w:noProof/>
                <w:webHidden/>
              </w:rPr>
              <w:tab/>
            </w:r>
            <w:r w:rsidR="009358C0">
              <w:rPr>
                <w:noProof/>
                <w:webHidden/>
              </w:rPr>
              <w:fldChar w:fldCharType="begin"/>
            </w:r>
            <w:r w:rsidR="009358C0">
              <w:rPr>
                <w:noProof/>
                <w:webHidden/>
              </w:rPr>
              <w:instrText xml:space="preserve"> PAGEREF _Toc121313761 \h </w:instrText>
            </w:r>
            <w:r w:rsidR="009358C0">
              <w:rPr>
                <w:noProof/>
                <w:webHidden/>
              </w:rPr>
            </w:r>
            <w:r w:rsidR="009358C0">
              <w:rPr>
                <w:noProof/>
                <w:webHidden/>
              </w:rPr>
              <w:fldChar w:fldCharType="separate"/>
            </w:r>
            <w:r w:rsidR="009358C0">
              <w:rPr>
                <w:noProof/>
                <w:webHidden/>
              </w:rPr>
              <w:t>8</w:t>
            </w:r>
            <w:r w:rsidR="009358C0">
              <w:rPr>
                <w:noProof/>
                <w:webHidden/>
              </w:rPr>
              <w:fldChar w:fldCharType="end"/>
            </w:r>
          </w:hyperlink>
        </w:p>
        <w:p w14:paraId="36B08CE3" w14:textId="18031B03" w:rsidR="009358C0" w:rsidRDefault="00000000">
          <w:pPr>
            <w:pStyle w:val="TOC2"/>
            <w:rPr>
              <w:rFonts w:cstheme="minorBidi"/>
              <w:smallCaps w:val="0"/>
              <w:noProof/>
              <w:sz w:val="22"/>
              <w:szCs w:val="22"/>
            </w:rPr>
          </w:pPr>
          <w:hyperlink w:anchor="_Toc121313762" w:history="1">
            <w:r w:rsidR="009358C0" w:rsidRPr="001E762C">
              <w:rPr>
                <w:rStyle w:val="Hyperlink"/>
                <w:rFonts w:ascii="Calibri Light" w:hAnsi="Calibri Light"/>
                <w:b/>
                <w:noProof/>
              </w:rPr>
              <w:t>2.5</w:t>
            </w:r>
            <w:r w:rsidR="009358C0">
              <w:rPr>
                <w:rFonts w:cstheme="minorBidi"/>
                <w:smallCaps w:val="0"/>
                <w:noProof/>
                <w:sz w:val="22"/>
                <w:szCs w:val="22"/>
              </w:rPr>
              <w:tab/>
            </w:r>
            <w:r w:rsidR="009358C0" w:rsidRPr="001E762C">
              <w:rPr>
                <w:rStyle w:val="Hyperlink"/>
                <w:b/>
                <w:noProof/>
              </w:rPr>
              <w:t>Guarantees will seek to target underserved sectors</w:t>
            </w:r>
            <w:r w:rsidR="009358C0">
              <w:rPr>
                <w:noProof/>
                <w:webHidden/>
              </w:rPr>
              <w:tab/>
            </w:r>
            <w:r w:rsidR="009358C0">
              <w:rPr>
                <w:noProof/>
                <w:webHidden/>
              </w:rPr>
              <w:fldChar w:fldCharType="begin"/>
            </w:r>
            <w:r w:rsidR="009358C0">
              <w:rPr>
                <w:noProof/>
                <w:webHidden/>
              </w:rPr>
              <w:instrText xml:space="preserve"> PAGEREF _Toc121313762 \h </w:instrText>
            </w:r>
            <w:r w:rsidR="009358C0">
              <w:rPr>
                <w:noProof/>
                <w:webHidden/>
              </w:rPr>
            </w:r>
            <w:r w:rsidR="009358C0">
              <w:rPr>
                <w:noProof/>
                <w:webHidden/>
              </w:rPr>
              <w:fldChar w:fldCharType="separate"/>
            </w:r>
            <w:r w:rsidR="009358C0">
              <w:rPr>
                <w:noProof/>
                <w:webHidden/>
              </w:rPr>
              <w:t>9</w:t>
            </w:r>
            <w:r w:rsidR="009358C0">
              <w:rPr>
                <w:noProof/>
                <w:webHidden/>
              </w:rPr>
              <w:fldChar w:fldCharType="end"/>
            </w:r>
          </w:hyperlink>
        </w:p>
        <w:p w14:paraId="2E19A3C0" w14:textId="1479F476" w:rsidR="009358C0" w:rsidRDefault="00000000">
          <w:pPr>
            <w:pStyle w:val="TOC2"/>
            <w:rPr>
              <w:rFonts w:cstheme="minorBidi"/>
              <w:smallCaps w:val="0"/>
              <w:noProof/>
              <w:sz w:val="22"/>
              <w:szCs w:val="22"/>
            </w:rPr>
          </w:pPr>
          <w:hyperlink w:anchor="_Toc121313763" w:history="1">
            <w:r w:rsidR="009358C0" w:rsidRPr="001E762C">
              <w:rPr>
                <w:rStyle w:val="Hyperlink"/>
                <w:rFonts w:ascii="Calibri Light" w:hAnsi="Calibri Light"/>
                <w:b/>
                <w:noProof/>
              </w:rPr>
              <w:t>2.6</w:t>
            </w:r>
            <w:r w:rsidR="009358C0">
              <w:rPr>
                <w:rFonts w:cstheme="minorBidi"/>
                <w:smallCaps w:val="0"/>
                <w:noProof/>
                <w:sz w:val="22"/>
                <w:szCs w:val="22"/>
              </w:rPr>
              <w:tab/>
            </w:r>
            <w:r w:rsidR="009358C0" w:rsidRPr="001E762C">
              <w:rPr>
                <w:rStyle w:val="Hyperlink"/>
                <w:b/>
                <w:noProof/>
              </w:rPr>
              <w:t>Engagement of reputable financial institutions (“Guarantee Issuers”) to issue guarantees.</w:t>
            </w:r>
            <w:r w:rsidR="009358C0">
              <w:rPr>
                <w:noProof/>
                <w:webHidden/>
              </w:rPr>
              <w:tab/>
            </w:r>
            <w:r w:rsidR="009358C0">
              <w:rPr>
                <w:noProof/>
                <w:webHidden/>
              </w:rPr>
              <w:fldChar w:fldCharType="begin"/>
            </w:r>
            <w:r w:rsidR="009358C0">
              <w:rPr>
                <w:noProof/>
                <w:webHidden/>
              </w:rPr>
              <w:instrText xml:space="preserve"> PAGEREF _Toc121313763 \h </w:instrText>
            </w:r>
            <w:r w:rsidR="009358C0">
              <w:rPr>
                <w:noProof/>
                <w:webHidden/>
              </w:rPr>
            </w:r>
            <w:r w:rsidR="009358C0">
              <w:rPr>
                <w:noProof/>
                <w:webHidden/>
              </w:rPr>
              <w:fldChar w:fldCharType="separate"/>
            </w:r>
            <w:r w:rsidR="009358C0">
              <w:rPr>
                <w:noProof/>
                <w:webHidden/>
              </w:rPr>
              <w:t>9</w:t>
            </w:r>
            <w:r w:rsidR="009358C0">
              <w:rPr>
                <w:noProof/>
                <w:webHidden/>
              </w:rPr>
              <w:fldChar w:fldCharType="end"/>
            </w:r>
          </w:hyperlink>
        </w:p>
        <w:p w14:paraId="28ABDAF0" w14:textId="317E4DFC" w:rsidR="009358C0" w:rsidRDefault="00000000">
          <w:pPr>
            <w:pStyle w:val="TOC2"/>
            <w:rPr>
              <w:rFonts w:cstheme="minorBidi"/>
              <w:smallCaps w:val="0"/>
              <w:noProof/>
              <w:sz w:val="22"/>
              <w:szCs w:val="22"/>
            </w:rPr>
          </w:pPr>
          <w:hyperlink w:anchor="_Toc121313764" w:history="1">
            <w:r w:rsidR="009358C0" w:rsidRPr="001E762C">
              <w:rPr>
                <w:rStyle w:val="Hyperlink"/>
                <w:rFonts w:ascii="Calibri Light" w:hAnsi="Calibri Light"/>
                <w:b/>
                <w:noProof/>
              </w:rPr>
              <w:t>2.7</w:t>
            </w:r>
            <w:r w:rsidR="009358C0">
              <w:rPr>
                <w:rFonts w:cstheme="minorBidi"/>
                <w:smallCaps w:val="0"/>
                <w:noProof/>
                <w:sz w:val="22"/>
                <w:szCs w:val="22"/>
              </w:rPr>
              <w:tab/>
            </w:r>
            <w:r w:rsidR="009358C0" w:rsidRPr="001E762C">
              <w:rPr>
                <w:rStyle w:val="Hyperlink"/>
                <w:b/>
                <w:noProof/>
              </w:rPr>
              <w:t>Eligible lenders and borrowers for UNDP-supported guarantees.</w:t>
            </w:r>
            <w:r w:rsidR="009358C0">
              <w:rPr>
                <w:noProof/>
                <w:webHidden/>
              </w:rPr>
              <w:tab/>
            </w:r>
            <w:r w:rsidR="009358C0">
              <w:rPr>
                <w:noProof/>
                <w:webHidden/>
              </w:rPr>
              <w:fldChar w:fldCharType="begin"/>
            </w:r>
            <w:r w:rsidR="009358C0">
              <w:rPr>
                <w:noProof/>
                <w:webHidden/>
              </w:rPr>
              <w:instrText xml:space="preserve"> PAGEREF _Toc121313764 \h </w:instrText>
            </w:r>
            <w:r w:rsidR="009358C0">
              <w:rPr>
                <w:noProof/>
                <w:webHidden/>
              </w:rPr>
            </w:r>
            <w:r w:rsidR="009358C0">
              <w:rPr>
                <w:noProof/>
                <w:webHidden/>
              </w:rPr>
              <w:fldChar w:fldCharType="separate"/>
            </w:r>
            <w:r w:rsidR="009358C0">
              <w:rPr>
                <w:noProof/>
                <w:webHidden/>
              </w:rPr>
              <w:t>10</w:t>
            </w:r>
            <w:r w:rsidR="009358C0">
              <w:rPr>
                <w:noProof/>
                <w:webHidden/>
              </w:rPr>
              <w:fldChar w:fldCharType="end"/>
            </w:r>
          </w:hyperlink>
        </w:p>
        <w:p w14:paraId="63FAE906" w14:textId="26405873" w:rsidR="009358C0" w:rsidRDefault="00000000">
          <w:pPr>
            <w:pStyle w:val="TOC2"/>
            <w:rPr>
              <w:rFonts w:cstheme="minorBidi"/>
              <w:smallCaps w:val="0"/>
              <w:noProof/>
              <w:sz w:val="22"/>
              <w:szCs w:val="22"/>
            </w:rPr>
          </w:pPr>
          <w:hyperlink w:anchor="_Toc121313765" w:history="1">
            <w:r w:rsidR="009358C0" w:rsidRPr="001E762C">
              <w:rPr>
                <w:rStyle w:val="Hyperlink"/>
                <w:rFonts w:ascii="Calibri Light" w:hAnsi="Calibri Light"/>
                <w:b/>
                <w:noProof/>
              </w:rPr>
              <w:t>2.8</w:t>
            </w:r>
            <w:r w:rsidR="009358C0">
              <w:rPr>
                <w:rFonts w:cstheme="minorBidi"/>
                <w:smallCaps w:val="0"/>
                <w:noProof/>
                <w:sz w:val="22"/>
                <w:szCs w:val="22"/>
              </w:rPr>
              <w:tab/>
            </w:r>
            <w:r w:rsidR="009358C0" w:rsidRPr="001E762C">
              <w:rPr>
                <w:rStyle w:val="Hyperlink"/>
                <w:b/>
                <w:noProof/>
              </w:rPr>
              <w:t>UNDP Programming modalities</w:t>
            </w:r>
            <w:r w:rsidR="009358C0">
              <w:rPr>
                <w:noProof/>
                <w:webHidden/>
              </w:rPr>
              <w:tab/>
            </w:r>
            <w:r w:rsidR="009358C0">
              <w:rPr>
                <w:noProof/>
                <w:webHidden/>
              </w:rPr>
              <w:fldChar w:fldCharType="begin"/>
            </w:r>
            <w:r w:rsidR="009358C0">
              <w:rPr>
                <w:noProof/>
                <w:webHidden/>
              </w:rPr>
              <w:instrText xml:space="preserve"> PAGEREF _Toc121313765 \h </w:instrText>
            </w:r>
            <w:r w:rsidR="009358C0">
              <w:rPr>
                <w:noProof/>
                <w:webHidden/>
              </w:rPr>
            </w:r>
            <w:r w:rsidR="009358C0">
              <w:rPr>
                <w:noProof/>
                <w:webHidden/>
              </w:rPr>
              <w:fldChar w:fldCharType="separate"/>
            </w:r>
            <w:r w:rsidR="009358C0">
              <w:rPr>
                <w:noProof/>
                <w:webHidden/>
              </w:rPr>
              <w:t>12</w:t>
            </w:r>
            <w:r w:rsidR="009358C0">
              <w:rPr>
                <w:noProof/>
                <w:webHidden/>
              </w:rPr>
              <w:fldChar w:fldCharType="end"/>
            </w:r>
          </w:hyperlink>
        </w:p>
        <w:p w14:paraId="2BCA8218" w14:textId="540AACB0" w:rsidR="009358C0" w:rsidRDefault="00000000">
          <w:pPr>
            <w:pStyle w:val="TOC2"/>
            <w:rPr>
              <w:rFonts w:cstheme="minorBidi"/>
              <w:smallCaps w:val="0"/>
              <w:noProof/>
              <w:sz w:val="22"/>
              <w:szCs w:val="22"/>
            </w:rPr>
          </w:pPr>
          <w:hyperlink w:anchor="_Toc121313766" w:history="1">
            <w:r w:rsidR="009358C0" w:rsidRPr="001E762C">
              <w:rPr>
                <w:rStyle w:val="Hyperlink"/>
                <w:rFonts w:ascii="Calibri Light" w:hAnsi="Calibri Light"/>
                <w:b/>
                <w:noProof/>
              </w:rPr>
              <w:t>2.9</w:t>
            </w:r>
            <w:r w:rsidR="009358C0">
              <w:rPr>
                <w:rFonts w:cstheme="minorBidi"/>
                <w:smallCaps w:val="0"/>
                <w:noProof/>
                <w:sz w:val="22"/>
                <w:szCs w:val="22"/>
              </w:rPr>
              <w:tab/>
            </w:r>
            <w:r w:rsidR="009358C0" w:rsidRPr="001E762C">
              <w:rPr>
                <w:rStyle w:val="Hyperlink"/>
                <w:b/>
                <w:noProof/>
              </w:rPr>
              <w:t>Preferably guarantee a portfolio of investments</w:t>
            </w:r>
            <w:r w:rsidR="009358C0">
              <w:rPr>
                <w:noProof/>
                <w:webHidden/>
              </w:rPr>
              <w:tab/>
            </w:r>
            <w:r w:rsidR="009358C0">
              <w:rPr>
                <w:noProof/>
                <w:webHidden/>
              </w:rPr>
              <w:fldChar w:fldCharType="begin"/>
            </w:r>
            <w:r w:rsidR="009358C0">
              <w:rPr>
                <w:noProof/>
                <w:webHidden/>
              </w:rPr>
              <w:instrText xml:space="preserve"> PAGEREF _Toc121313766 \h </w:instrText>
            </w:r>
            <w:r w:rsidR="009358C0">
              <w:rPr>
                <w:noProof/>
                <w:webHidden/>
              </w:rPr>
            </w:r>
            <w:r w:rsidR="009358C0">
              <w:rPr>
                <w:noProof/>
                <w:webHidden/>
              </w:rPr>
              <w:fldChar w:fldCharType="separate"/>
            </w:r>
            <w:r w:rsidR="009358C0">
              <w:rPr>
                <w:noProof/>
                <w:webHidden/>
              </w:rPr>
              <w:t>12</w:t>
            </w:r>
            <w:r w:rsidR="009358C0">
              <w:rPr>
                <w:noProof/>
                <w:webHidden/>
              </w:rPr>
              <w:fldChar w:fldCharType="end"/>
            </w:r>
          </w:hyperlink>
        </w:p>
        <w:p w14:paraId="12ED9050" w14:textId="6D4F4DCA" w:rsidR="009358C0" w:rsidRDefault="00000000">
          <w:pPr>
            <w:pStyle w:val="TOC1"/>
            <w:rPr>
              <w:rFonts w:cstheme="minorBidi"/>
              <w:b w:val="0"/>
              <w:bCs w:val="0"/>
              <w:caps w:val="0"/>
              <w:noProof/>
              <w:sz w:val="22"/>
              <w:szCs w:val="22"/>
            </w:rPr>
          </w:pPr>
          <w:hyperlink w:anchor="_Toc121313767" w:history="1">
            <w:r w:rsidR="009358C0" w:rsidRPr="001E762C">
              <w:rPr>
                <w:rStyle w:val="Hyperlink"/>
                <w:rFonts w:eastAsia="Century Gothic"/>
                <w:noProof/>
                <w:lang w:val="en-GB"/>
              </w:rPr>
              <w:t>3.</w:t>
            </w:r>
            <w:r w:rsidR="009358C0">
              <w:rPr>
                <w:rFonts w:cstheme="minorBidi"/>
                <w:b w:val="0"/>
                <w:bCs w:val="0"/>
                <w:caps w:val="0"/>
                <w:noProof/>
                <w:sz w:val="22"/>
                <w:szCs w:val="22"/>
              </w:rPr>
              <w:tab/>
            </w:r>
            <w:r w:rsidR="009358C0" w:rsidRPr="001E762C">
              <w:rPr>
                <w:rStyle w:val="Hyperlink"/>
                <w:rFonts w:eastAsia="Century Gothic"/>
                <w:noProof/>
                <w:lang w:val="en-GB"/>
              </w:rPr>
              <w:t>Types of Guarantees Offered by UNDP through Guarantee Issuers</w:t>
            </w:r>
            <w:r w:rsidR="009358C0">
              <w:rPr>
                <w:noProof/>
                <w:webHidden/>
              </w:rPr>
              <w:tab/>
            </w:r>
            <w:r w:rsidR="009358C0">
              <w:rPr>
                <w:noProof/>
                <w:webHidden/>
              </w:rPr>
              <w:fldChar w:fldCharType="begin"/>
            </w:r>
            <w:r w:rsidR="009358C0">
              <w:rPr>
                <w:noProof/>
                <w:webHidden/>
              </w:rPr>
              <w:instrText xml:space="preserve"> PAGEREF _Toc121313767 \h </w:instrText>
            </w:r>
            <w:r w:rsidR="009358C0">
              <w:rPr>
                <w:noProof/>
                <w:webHidden/>
              </w:rPr>
            </w:r>
            <w:r w:rsidR="009358C0">
              <w:rPr>
                <w:noProof/>
                <w:webHidden/>
              </w:rPr>
              <w:fldChar w:fldCharType="separate"/>
            </w:r>
            <w:r w:rsidR="009358C0">
              <w:rPr>
                <w:noProof/>
                <w:webHidden/>
              </w:rPr>
              <w:t>12</w:t>
            </w:r>
            <w:r w:rsidR="009358C0">
              <w:rPr>
                <w:noProof/>
                <w:webHidden/>
              </w:rPr>
              <w:fldChar w:fldCharType="end"/>
            </w:r>
          </w:hyperlink>
        </w:p>
        <w:p w14:paraId="3EC60C61" w14:textId="2CBE4238" w:rsidR="009358C0" w:rsidRDefault="00000000">
          <w:pPr>
            <w:pStyle w:val="TOC2"/>
            <w:rPr>
              <w:rFonts w:cstheme="minorBidi"/>
              <w:smallCaps w:val="0"/>
              <w:noProof/>
              <w:sz w:val="22"/>
              <w:szCs w:val="22"/>
            </w:rPr>
          </w:pPr>
          <w:hyperlink w:anchor="_Toc121313768" w:history="1">
            <w:r w:rsidR="009358C0" w:rsidRPr="001E762C">
              <w:rPr>
                <w:rStyle w:val="Hyperlink"/>
                <w:rFonts w:ascii="Calibri Light" w:hAnsi="Calibri Light"/>
                <w:b/>
                <w:noProof/>
              </w:rPr>
              <w:t>3.1</w:t>
            </w:r>
            <w:r w:rsidR="009358C0">
              <w:rPr>
                <w:rFonts w:cstheme="minorBidi"/>
                <w:smallCaps w:val="0"/>
                <w:noProof/>
                <w:sz w:val="22"/>
                <w:szCs w:val="22"/>
              </w:rPr>
              <w:tab/>
            </w:r>
            <w:r w:rsidR="009358C0" w:rsidRPr="001E762C">
              <w:rPr>
                <w:rStyle w:val="Hyperlink"/>
                <w:b/>
                <w:noProof/>
              </w:rPr>
              <w:t>Credit (Loan) Guarantees</w:t>
            </w:r>
            <w:r w:rsidR="009358C0">
              <w:rPr>
                <w:noProof/>
                <w:webHidden/>
              </w:rPr>
              <w:tab/>
            </w:r>
            <w:r w:rsidR="009358C0">
              <w:rPr>
                <w:noProof/>
                <w:webHidden/>
              </w:rPr>
              <w:fldChar w:fldCharType="begin"/>
            </w:r>
            <w:r w:rsidR="009358C0">
              <w:rPr>
                <w:noProof/>
                <w:webHidden/>
              </w:rPr>
              <w:instrText xml:space="preserve"> PAGEREF _Toc121313768 \h </w:instrText>
            </w:r>
            <w:r w:rsidR="009358C0">
              <w:rPr>
                <w:noProof/>
                <w:webHidden/>
              </w:rPr>
            </w:r>
            <w:r w:rsidR="009358C0">
              <w:rPr>
                <w:noProof/>
                <w:webHidden/>
              </w:rPr>
              <w:fldChar w:fldCharType="separate"/>
            </w:r>
            <w:r w:rsidR="009358C0">
              <w:rPr>
                <w:noProof/>
                <w:webHidden/>
              </w:rPr>
              <w:t>13</w:t>
            </w:r>
            <w:r w:rsidR="009358C0">
              <w:rPr>
                <w:noProof/>
                <w:webHidden/>
              </w:rPr>
              <w:fldChar w:fldCharType="end"/>
            </w:r>
          </w:hyperlink>
        </w:p>
        <w:p w14:paraId="4ED5AB5F" w14:textId="001AE500" w:rsidR="009358C0" w:rsidRDefault="00000000">
          <w:pPr>
            <w:pStyle w:val="TOC2"/>
            <w:rPr>
              <w:rFonts w:cstheme="minorBidi"/>
              <w:smallCaps w:val="0"/>
              <w:noProof/>
              <w:sz w:val="22"/>
              <w:szCs w:val="22"/>
            </w:rPr>
          </w:pPr>
          <w:hyperlink w:anchor="_Toc121313769" w:history="1">
            <w:r w:rsidR="009358C0" w:rsidRPr="001E762C">
              <w:rPr>
                <w:rStyle w:val="Hyperlink"/>
                <w:rFonts w:ascii="Calibri Light" w:hAnsi="Calibri Light"/>
                <w:b/>
                <w:noProof/>
              </w:rPr>
              <w:t>3.2</w:t>
            </w:r>
            <w:r w:rsidR="009358C0">
              <w:rPr>
                <w:rFonts w:cstheme="minorBidi"/>
                <w:smallCaps w:val="0"/>
                <w:noProof/>
                <w:sz w:val="22"/>
                <w:szCs w:val="22"/>
              </w:rPr>
              <w:tab/>
            </w:r>
            <w:r w:rsidR="009358C0" w:rsidRPr="001E762C">
              <w:rPr>
                <w:rStyle w:val="Hyperlink"/>
                <w:b/>
                <w:noProof/>
              </w:rPr>
              <w:t>Procurement Guarantees</w:t>
            </w:r>
            <w:r w:rsidR="009358C0">
              <w:rPr>
                <w:noProof/>
                <w:webHidden/>
              </w:rPr>
              <w:tab/>
            </w:r>
            <w:r w:rsidR="009358C0">
              <w:rPr>
                <w:noProof/>
                <w:webHidden/>
              </w:rPr>
              <w:fldChar w:fldCharType="begin"/>
            </w:r>
            <w:r w:rsidR="009358C0">
              <w:rPr>
                <w:noProof/>
                <w:webHidden/>
              </w:rPr>
              <w:instrText xml:space="preserve"> PAGEREF _Toc121313769 \h </w:instrText>
            </w:r>
            <w:r w:rsidR="009358C0">
              <w:rPr>
                <w:noProof/>
                <w:webHidden/>
              </w:rPr>
            </w:r>
            <w:r w:rsidR="009358C0">
              <w:rPr>
                <w:noProof/>
                <w:webHidden/>
              </w:rPr>
              <w:fldChar w:fldCharType="separate"/>
            </w:r>
            <w:r w:rsidR="009358C0">
              <w:rPr>
                <w:noProof/>
                <w:webHidden/>
              </w:rPr>
              <w:t>14</w:t>
            </w:r>
            <w:r w:rsidR="009358C0">
              <w:rPr>
                <w:noProof/>
                <w:webHidden/>
              </w:rPr>
              <w:fldChar w:fldCharType="end"/>
            </w:r>
          </w:hyperlink>
        </w:p>
        <w:p w14:paraId="761C35F2" w14:textId="7625431D" w:rsidR="009358C0" w:rsidRDefault="00000000">
          <w:pPr>
            <w:pStyle w:val="TOC2"/>
            <w:rPr>
              <w:rFonts w:cstheme="minorBidi"/>
              <w:smallCaps w:val="0"/>
              <w:noProof/>
              <w:sz w:val="22"/>
              <w:szCs w:val="22"/>
            </w:rPr>
          </w:pPr>
          <w:hyperlink w:anchor="_Toc121313770" w:history="1">
            <w:r w:rsidR="009358C0" w:rsidRPr="001E762C">
              <w:rPr>
                <w:rStyle w:val="Hyperlink"/>
                <w:rFonts w:ascii="Calibri Light" w:hAnsi="Calibri Light"/>
                <w:b/>
                <w:noProof/>
              </w:rPr>
              <w:t>3.3</w:t>
            </w:r>
            <w:r w:rsidR="009358C0">
              <w:rPr>
                <w:rFonts w:cstheme="minorBidi"/>
                <w:smallCaps w:val="0"/>
                <w:noProof/>
                <w:sz w:val="22"/>
                <w:szCs w:val="22"/>
              </w:rPr>
              <w:tab/>
            </w:r>
            <w:r w:rsidR="009358C0" w:rsidRPr="001E762C">
              <w:rPr>
                <w:rStyle w:val="Hyperlink"/>
                <w:b/>
                <w:noProof/>
              </w:rPr>
              <w:t>Performance Guarantees</w:t>
            </w:r>
            <w:r w:rsidR="009358C0">
              <w:rPr>
                <w:noProof/>
                <w:webHidden/>
              </w:rPr>
              <w:tab/>
            </w:r>
            <w:r w:rsidR="009358C0">
              <w:rPr>
                <w:noProof/>
                <w:webHidden/>
              </w:rPr>
              <w:fldChar w:fldCharType="begin"/>
            </w:r>
            <w:r w:rsidR="009358C0">
              <w:rPr>
                <w:noProof/>
                <w:webHidden/>
              </w:rPr>
              <w:instrText xml:space="preserve"> PAGEREF _Toc121313770 \h </w:instrText>
            </w:r>
            <w:r w:rsidR="009358C0">
              <w:rPr>
                <w:noProof/>
                <w:webHidden/>
              </w:rPr>
            </w:r>
            <w:r w:rsidR="009358C0">
              <w:rPr>
                <w:noProof/>
                <w:webHidden/>
              </w:rPr>
              <w:fldChar w:fldCharType="separate"/>
            </w:r>
            <w:r w:rsidR="009358C0">
              <w:rPr>
                <w:noProof/>
                <w:webHidden/>
              </w:rPr>
              <w:t>15</w:t>
            </w:r>
            <w:r w:rsidR="009358C0">
              <w:rPr>
                <w:noProof/>
                <w:webHidden/>
              </w:rPr>
              <w:fldChar w:fldCharType="end"/>
            </w:r>
          </w:hyperlink>
        </w:p>
        <w:p w14:paraId="334E8E55" w14:textId="41DB351A" w:rsidR="009358C0" w:rsidRDefault="00000000">
          <w:pPr>
            <w:pStyle w:val="TOC1"/>
            <w:rPr>
              <w:rFonts w:cstheme="minorBidi"/>
              <w:b w:val="0"/>
              <w:bCs w:val="0"/>
              <w:caps w:val="0"/>
              <w:noProof/>
              <w:sz w:val="22"/>
              <w:szCs w:val="22"/>
            </w:rPr>
          </w:pPr>
          <w:hyperlink w:anchor="_Toc121313771" w:history="1">
            <w:r w:rsidR="009358C0" w:rsidRPr="001E762C">
              <w:rPr>
                <w:rStyle w:val="Hyperlink"/>
                <w:rFonts w:eastAsia="Century Gothic"/>
                <w:noProof/>
                <w:lang w:val="en-GB"/>
              </w:rPr>
              <w:t>4.</w:t>
            </w:r>
            <w:r w:rsidR="009358C0">
              <w:rPr>
                <w:rFonts w:cstheme="minorBidi"/>
                <w:b w:val="0"/>
                <w:bCs w:val="0"/>
                <w:caps w:val="0"/>
                <w:noProof/>
                <w:sz w:val="22"/>
                <w:szCs w:val="22"/>
              </w:rPr>
              <w:tab/>
            </w:r>
            <w:r w:rsidR="009358C0" w:rsidRPr="001E762C">
              <w:rPr>
                <w:rStyle w:val="Hyperlink"/>
                <w:rFonts w:eastAsia="Century Gothic"/>
                <w:noProof/>
                <w:lang w:val="en-GB"/>
              </w:rPr>
              <w:t>Operational Guidance related to Structuring, Issuing and Managing UNDP-supported Guarantees</w:t>
            </w:r>
            <w:r w:rsidR="009358C0">
              <w:rPr>
                <w:noProof/>
                <w:webHidden/>
              </w:rPr>
              <w:tab/>
            </w:r>
            <w:r w:rsidR="009358C0">
              <w:rPr>
                <w:noProof/>
                <w:webHidden/>
              </w:rPr>
              <w:fldChar w:fldCharType="begin"/>
            </w:r>
            <w:r w:rsidR="009358C0">
              <w:rPr>
                <w:noProof/>
                <w:webHidden/>
              </w:rPr>
              <w:instrText xml:space="preserve"> PAGEREF _Toc121313771 \h </w:instrText>
            </w:r>
            <w:r w:rsidR="009358C0">
              <w:rPr>
                <w:noProof/>
                <w:webHidden/>
              </w:rPr>
            </w:r>
            <w:r w:rsidR="009358C0">
              <w:rPr>
                <w:noProof/>
                <w:webHidden/>
              </w:rPr>
              <w:fldChar w:fldCharType="separate"/>
            </w:r>
            <w:r w:rsidR="009358C0">
              <w:rPr>
                <w:noProof/>
                <w:webHidden/>
              </w:rPr>
              <w:t>15</w:t>
            </w:r>
            <w:r w:rsidR="009358C0">
              <w:rPr>
                <w:noProof/>
                <w:webHidden/>
              </w:rPr>
              <w:fldChar w:fldCharType="end"/>
            </w:r>
          </w:hyperlink>
        </w:p>
        <w:p w14:paraId="67B731D0" w14:textId="1E8AA302" w:rsidR="009358C0" w:rsidRDefault="00000000">
          <w:pPr>
            <w:pStyle w:val="TOC2"/>
            <w:rPr>
              <w:rFonts w:cstheme="minorBidi"/>
              <w:smallCaps w:val="0"/>
              <w:noProof/>
              <w:sz w:val="22"/>
              <w:szCs w:val="22"/>
            </w:rPr>
          </w:pPr>
          <w:hyperlink w:anchor="_Toc121313772" w:history="1">
            <w:r w:rsidR="009358C0" w:rsidRPr="001E762C">
              <w:rPr>
                <w:rStyle w:val="Hyperlink"/>
                <w:rFonts w:ascii="Calibri" w:hAnsi="Calibri"/>
                <w:b/>
                <w:noProof/>
              </w:rPr>
              <w:t>4.1</w:t>
            </w:r>
            <w:r w:rsidR="009358C0">
              <w:rPr>
                <w:rFonts w:cstheme="minorBidi"/>
                <w:smallCaps w:val="0"/>
                <w:noProof/>
                <w:sz w:val="22"/>
                <w:szCs w:val="22"/>
              </w:rPr>
              <w:tab/>
            </w:r>
            <w:r w:rsidR="009358C0" w:rsidRPr="001E762C">
              <w:rPr>
                <w:rStyle w:val="Hyperlink"/>
                <w:b/>
                <w:noProof/>
              </w:rPr>
              <w:t>Origination of UNDP-supported Guarantees</w:t>
            </w:r>
            <w:r w:rsidR="009358C0">
              <w:rPr>
                <w:noProof/>
                <w:webHidden/>
              </w:rPr>
              <w:tab/>
            </w:r>
            <w:r w:rsidR="009358C0">
              <w:rPr>
                <w:noProof/>
                <w:webHidden/>
              </w:rPr>
              <w:fldChar w:fldCharType="begin"/>
            </w:r>
            <w:r w:rsidR="009358C0">
              <w:rPr>
                <w:noProof/>
                <w:webHidden/>
              </w:rPr>
              <w:instrText xml:space="preserve"> PAGEREF _Toc121313772 \h </w:instrText>
            </w:r>
            <w:r w:rsidR="009358C0">
              <w:rPr>
                <w:noProof/>
                <w:webHidden/>
              </w:rPr>
            </w:r>
            <w:r w:rsidR="009358C0">
              <w:rPr>
                <w:noProof/>
                <w:webHidden/>
              </w:rPr>
              <w:fldChar w:fldCharType="separate"/>
            </w:r>
            <w:r w:rsidR="009358C0">
              <w:rPr>
                <w:noProof/>
                <w:webHidden/>
              </w:rPr>
              <w:t>15</w:t>
            </w:r>
            <w:r w:rsidR="009358C0">
              <w:rPr>
                <w:noProof/>
                <w:webHidden/>
              </w:rPr>
              <w:fldChar w:fldCharType="end"/>
            </w:r>
          </w:hyperlink>
        </w:p>
        <w:p w14:paraId="79FED7B8" w14:textId="3BA0C20E" w:rsidR="009358C0" w:rsidRDefault="00000000">
          <w:pPr>
            <w:pStyle w:val="TOC2"/>
            <w:rPr>
              <w:rFonts w:cstheme="minorBidi"/>
              <w:smallCaps w:val="0"/>
              <w:noProof/>
              <w:sz w:val="22"/>
              <w:szCs w:val="22"/>
            </w:rPr>
          </w:pPr>
          <w:hyperlink w:anchor="_Toc121313773" w:history="1">
            <w:r w:rsidR="009358C0" w:rsidRPr="001E762C">
              <w:rPr>
                <w:rStyle w:val="Hyperlink"/>
                <w:rFonts w:ascii="Calibri" w:hAnsi="Calibri"/>
                <w:b/>
                <w:noProof/>
              </w:rPr>
              <w:t>4.2</w:t>
            </w:r>
            <w:r w:rsidR="009358C0">
              <w:rPr>
                <w:rFonts w:cstheme="minorBidi"/>
                <w:smallCaps w:val="0"/>
                <w:noProof/>
                <w:sz w:val="22"/>
                <w:szCs w:val="22"/>
              </w:rPr>
              <w:tab/>
            </w:r>
            <w:r w:rsidR="009358C0" w:rsidRPr="001E762C">
              <w:rPr>
                <w:rStyle w:val="Hyperlink"/>
                <w:b/>
                <w:noProof/>
              </w:rPr>
              <w:t>Initial diagnostic of UNDP-supported guarantees</w:t>
            </w:r>
            <w:r w:rsidR="009358C0">
              <w:rPr>
                <w:noProof/>
                <w:webHidden/>
              </w:rPr>
              <w:tab/>
            </w:r>
            <w:r w:rsidR="009358C0">
              <w:rPr>
                <w:noProof/>
                <w:webHidden/>
              </w:rPr>
              <w:fldChar w:fldCharType="begin"/>
            </w:r>
            <w:r w:rsidR="009358C0">
              <w:rPr>
                <w:noProof/>
                <w:webHidden/>
              </w:rPr>
              <w:instrText xml:space="preserve"> PAGEREF _Toc121313773 \h </w:instrText>
            </w:r>
            <w:r w:rsidR="009358C0">
              <w:rPr>
                <w:noProof/>
                <w:webHidden/>
              </w:rPr>
            </w:r>
            <w:r w:rsidR="009358C0">
              <w:rPr>
                <w:noProof/>
                <w:webHidden/>
              </w:rPr>
              <w:fldChar w:fldCharType="separate"/>
            </w:r>
            <w:r w:rsidR="009358C0">
              <w:rPr>
                <w:noProof/>
                <w:webHidden/>
              </w:rPr>
              <w:t>16</w:t>
            </w:r>
            <w:r w:rsidR="009358C0">
              <w:rPr>
                <w:noProof/>
                <w:webHidden/>
              </w:rPr>
              <w:fldChar w:fldCharType="end"/>
            </w:r>
          </w:hyperlink>
        </w:p>
        <w:p w14:paraId="40A6A1E8" w14:textId="04C5C80C" w:rsidR="009358C0" w:rsidRDefault="00000000">
          <w:pPr>
            <w:pStyle w:val="TOC2"/>
            <w:rPr>
              <w:rFonts w:cstheme="minorBidi"/>
              <w:smallCaps w:val="0"/>
              <w:noProof/>
              <w:sz w:val="22"/>
              <w:szCs w:val="22"/>
            </w:rPr>
          </w:pPr>
          <w:hyperlink w:anchor="_Toc121313774" w:history="1">
            <w:r w:rsidR="009358C0" w:rsidRPr="001E762C">
              <w:rPr>
                <w:rStyle w:val="Hyperlink"/>
                <w:rFonts w:ascii="Calibri" w:hAnsi="Calibri"/>
                <w:b/>
                <w:noProof/>
              </w:rPr>
              <w:t>4.3</w:t>
            </w:r>
            <w:r w:rsidR="009358C0">
              <w:rPr>
                <w:rFonts w:cstheme="minorBidi"/>
                <w:smallCaps w:val="0"/>
                <w:noProof/>
                <w:sz w:val="22"/>
                <w:szCs w:val="22"/>
              </w:rPr>
              <w:tab/>
            </w:r>
            <w:r w:rsidR="009358C0" w:rsidRPr="001E762C">
              <w:rPr>
                <w:rStyle w:val="Hyperlink"/>
                <w:b/>
                <w:noProof/>
              </w:rPr>
              <w:t>Target leverage ratio</w:t>
            </w:r>
            <w:r w:rsidR="009358C0">
              <w:rPr>
                <w:noProof/>
                <w:webHidden/>
              </w:rPr>
              <w:tab/>
            </w:r>
            <w:r w:rsidR="009358C0">
              <w:rPr>
                <w:noProof/>
                <w:webHidden/>
              </w:rPr>
              <w:fldChar w:fldCharType="begin"/>
            </w:r>
            <w:r w:rsidR="009358C0">
              <w:rPr>
                <w:noProof/>
                <w:webHidden/>
              </w:rPr>
              <w:instrText xml:space="preserve"> PAGEREF _Toc121313774 \h </w:instrText>
            </w:r>
            <w:r w:rsidR="009358C0">
              <w:rPr>
                <w:noProof/>
                <w:webHidden/>
              </w:rPr>
            </w:r>
            <w:r w:rsidR="009358C0">
              <w:rPr>
                <w:noProof/>
                <w:webHidden/>
              </w:rPr>
              <w:fldChar w:fldCharType="separate"/>
            </w:r>
            <w:r w:rsidR="009358C0">
              <w:rPr>
                <w:noProof/>
                <w:webHidden/>
              </w:rPr>
              <w:t>19</w:t>
            </w:r>
            <w:r w:rsidR="009358C0">
              <w:rPr>
                <w:noProof/>
                <w:webHidden/>
              </w:rPr>
              <w:fldChar w:fldCharType="end"/>
            </w:r>
          </w:hyperlink>
        </w:p>
        <w:p w14:paraId="539E290E" w14:textId="454767CF" w:rsidR="009358C0" w:rsidRDefault="00000000">
          <w:pPr>
            <w:pStyle w:val="TOC2"/>
            <w:rPr>
              <w:rFonts w:cstheme="minorBidi"/>
              <w:smallCaps w:val="0"/>
              <w:noProof/>
              <w:sz w:val="22"/>
              <w:szCs w:val="22"/>
            </w:rPr>
          </w:pPr>
          <w:hyperlink w:anchor="_Toc121313775" w:history="1">
            <w:r w:rsidR="009358C0" w:rsidRPr="001E762C">
              <w:rPr>
                <w:rStyle w:val="Hyperlink"/>
                <w:rFonts w:ascii="Calibri" w:hAnsi="Calibri"/>
                <w:b/>
                <w:noProof/>
              </w:rPr>
              <w:t>4.4</w:t>
            </w:r>
            <w:r w:rsidR="009358C0">
              <w:rPr>
                <w:rFonts w:cstheme="minorBidi"/>
                <w:smallCaps w:val="0"/>
                <w:noProof/>
                <w:sz w:val="22"/>
                <w:szCs w:val="22"/>
              </w:rPr>
              <w:tab/>
            </w:r>
            <w:r w:rsidR="009358C0" w:rsidRPr="001E762C">
              <w:rPr>
                <w:rStyle w:val="Hyperlink"/>
                <w:b/>
                <w:noProof/>
              </w:rPr>
              <w:t>Guarantee currency</w:t>
            </w:r>
            <w:r w:rsidR="009358C0">
              <w:rPr>
                <w:noProof/>
                <w:webHidden/>
              </w:rPr>
              <w:tab/>
            </w:r>
            <w:r w:rsidR="009358C0">
              <w:rPr>
                <w:noProof/>
                <w:webHidden/>
              </w:rPr>
              <w:fldChar w:fldCharType="begin"/>
            </w:r>
            <w:r w:rsidR="009358C0">
              <w:rPr>
                <w:noProof/>
                <w:webHidden/>
              </w:rPr>
              <w:instrText xml:space="preserve"> PAGEREF _Toc121313775 \h </w:instrText>
            </w:r>
            <w:r w:rsidR="009358C0">
              <w:rPr>
                <w:noProof/>
                <w:webHidden/>
              </w:rPr>
            </w:r>
            <w:r w:rsidR="009358C0">
              <w:rPr>
                <w:noProof/>
                <w:webHidden/>
              </w:rPr>
              <w:fldChar w:fldCharType="separate"/>
            </w:r>
            <w:r w:rsidR="009358C0">
              <w:rPr>
                <w:noProof/>
                <w:webHidden/>
              </w:rPr>
              <w:t>20</w:t>
            </w:r>
            <w:r w:rsidR="009358C0">
              <w:rPr>
                <w:noProof/>
                <w:webHidden/>
              </w:rPr>
              <w:fldChar w:fldCharType="end"/>
            </w:r>
          </w:hyperlink>
        </w:p>
        <w:p w14:paraId="7599EDE0" w14:textId="6503AEB5" w:rsidR="009358C0" w:rsidRDefault="00000000">
          <w:pPr>
            <w:pStyle w:val="TOC2"/>
            <w:rPr>
              <w:rFonts w:cstheme="minorBidi"/>
              <w:smallCaps w:val="0"/>
              <w:noProof/>
              <w:sz w:val="22"/>
              <w:szCs w:val="22"/>
            </w:rPr>
          </w:pPr>
          <w:hyperlink w:anchor="_Toc121313776" w:history="1">
            <w:r w:rsidR="009358C0" w:rsidRPr="001E762C">
              <w:rPr>
                <w:rStyle w:val="Hyperlink"/>
                <w:rFonts w:ascii="Calibri" w:hAnsi="Calibri"/>
                <w:b/>
                <w:noProof/>
              </w:rPr>
              <w:t>4.5</w:t>
            </w:r>
            <w:r w:rsidR="009358C0">
              <w:rPr>
                <w:rFonts w:cstheme="minorBidi"/>
                <w:smallCaps w:val="0"/>
                <w:noProof/>
                <w:sz w:val="22"/>
                <w:szCs w:val="22"/>
              </w:rPr>
              <w:tab/>
            </w:r>
            <w:r w:rsidR="009358C0" w:rsidRPr="001E762C">
              <w:rPr>
                <w:rStyle w:val="Hyperlink"/>
                <w:b/>
                <w:noProof/>
              </w:rPr>
              <w:t>Guarantee size</w:t>
            </w:r>
            <w:r w:rsidR="009358C0">
              <w:rPr>
                <w:noProof/>
                <w:webHidden/>
              </w:rPr>
              <w:tab/>
            </w:r>
            <w:r w:rsidR="009358C0">
              <w:rPr>
                <w:noProof/>
                <w:webHidden/>
              </w:rPr>
              <w:fldChar w:fldCharType="begin"/>
            </w:r>
            <w:r w:rsidR="009358C0">
              <w:rPr>
                <w:noProof/>
                <w:webHidden/>
              </w:rPr>
              <w:instrText xml:space="preserve"> PAGEREF _Toc121313776 \h </w:instrText>
            </w:r>
            <w:r w:rsidR="009358C0">
              <w:rPr>
                <w:noProof/>
                <w:webHidden/>
              </w:rPr>
            </w:r>
            <w:r w:rsidR="009358C0">
              <w:rPr>
                <w:noProof/>
                <w:webHidden/>
              </w:rPr>
              <w:fldChar w:fldCharType="separate"/>
            </w:r>
            <w:r w:rsidR="009358C0">
              <w:rPr>
                <w:noProof/>
                <w:webHidden/>
              </w:rPr>
              <w:t>21</w:t>
            </w:r>
            <w:r w:rsidR="009358C0">
              <w:rPr>
                <w:noProof/>
                <w:webHidden/>
              </w:rPr>
              <w:fldChar w:fldCharType="end"/>
            </w:r>
          </w:hyperlink>
        </w:p>
        <w:p w14:paraId="2D47AAE1" w14:textId="1768D1A6" w:rsidR="009358C0" w:rsidRDefault="00000000">
          <w:pPr>
            <w:pStyle w:val="TOC2"/>
            <w:rPr>
              <w:rFonts w:cstheme="minorBidi"/>
              <w:smallCaps w:val="0"/>
              <w:noProof/>
              <w:sz w:val="22"/>
              <w:szCs w:val="22"/>
            </w:rPr>
          </w:pPr>
          <w:hyperlink w:anchor="_Toc121313777" w:history="1">
            <w:r w:rsidR="009358C0" w:rsidRPr="001E762C">
              <w:rPr>
                <w:rStyle w:val="Hyperlink"/>
                <w:rFonts w:ascii="Calibri" w:hAnsi="Calibri"/>
                <w:b/>
                <w:noProof/>
              </w:rPr>
              <w:t>4.6</w:t>
            </w:r>
            <w:r w:rsidR="009358C0">
              <w:rPr>
                <w:rFonts w:cstheme="minorBidi"/>
                <w:smallCaps w:val="0"/>
                <w:noProof/>
                <w:sz w:val="22"/>
                <w:szCs w:val="22"/>
              </w:rPr>
              <w:tab/>
            </w:r>
            <w:r w:rsidR="009358C0" w:rsidRPr="001E762C">
              <w:rPr>
                <w:rStyle w:val="Hyperlink"/>
                <w:b/>
                <w:noProof/>
              </w:rPr>
              <w:t>Guarantee tenor</w:t>
            </w:r>
            <w:r w:rsidR="009358C0">
              <w:rPr>
                <w:noProof/>
                <w:webHidden/>
              </w:rPr>
              <w:tab/>
            </w:r>
            <w:r w:rsidR="009358C0">
              <w:rPr>
                <w:noProof/>
                <w:webHidden/>
              </w:rPr>
              <w:fldChar w:fldCharType="begin"/>
            </w:r>
            <w:r w:rsidR="009358C0">
              <w:rPr>
                <w:noProof/>
                <w:webHidden/>
              </w:rPr>
              <w:instrText xml:space="preserve"> PAGEREF _Toc121313777 \h </w:instrText>
            </w:r>
            <w:r w:rsidR="009358C0">
              <w:rPr>
                <w:noProof/>
                <w:webHidden/>
              </w:rPr>
            </w:r>
            <w:r w:rsidR="009358C0">
              <w:rPr>
                <w:noProof/>
                <w:webHidden/>
              </w:rPr>
              <w:fldChar w:fldCharType="separate"/>
            </w:r>
            <w:r w:rsidR="009358C0">
              <w:rPr>
                <w:noProof/>
                <w:webHidden/>
              </w:rPr>
              <w:t>21</w:t>
            </w:r>
            <w:r w:rsidR="009358C0">
              <w:rPr>
                <w:noProof/>
                <w:webHidden/>
              </w:rPr>
              <w:fldChar w:fldCharType="end"/>
            </w:r>
          </w:hyperlink>
        </w:p>
        <w:p w14:paraId="317340FF" w14:textId="30E0CF0C" w:rsidR="009358C0" w:rsidRDefault="00000000">
          <w:pPr>
            <w:pStyle w:val="TOC2"/>
            <w:rPr>
              <w:rFonts w:cstheme="minorBidi"/>
              <w:smallCaps w:val="0"/>
              <w:noProof/>
              <w:sz w:val="22"/>
              <w:szCs w:val="22"/>
            </w:rPr>
          </w:pPr>
          <w:hyperlink w:anchor="_Toc121313778" w:history="1">
            <w:r w:rsidR="009358C0" w:rsidRPr="001E762C">
              <w:rPr>
                <w:rStyle w:val="Hyperlink"/>
                <w:rFonts w:ascii="Calibri" w:hAnsi="Calibri"/>
                <w:b/>
                <w:noProof/>
              </w:rPr>
              <w:t>4.7</w:t>
            </w:r>
            <w:r w:rsidR="009358C0">
              <w:rPr>
                <w:rFonts w:cstheme="minorBidi"/>
                <w:smallCaps w:val="0"/>
                <w:noProof/>
                <w:sz w:val="22"/>
                <w:szCs w:val="22"/>
              </w:rPr>
              <w:tab/>
            </w:r>
            <w:r w:rsidR="009358C0" w:rsidRPr="001E762C">
              <w:rPr>
                <w:rStyle w:val="Hyperlink"/>
                <w:b/>
                <w:noProof/>
              </w:rPr>
              <w:t>Risk sharing (Pari passu)</w:t>
            </w:r>
            <w:r w:rsidR="009358C0">
              <w:rPr>
                <w:noProof/>
                <w:webHidden/>
              </w:rPr>
              <w:tab/>
            </w:r>
            <w:r w:rsidR="009358C0">
              <w:rPr>
                <w:noProof/>
                <w:webHidden/>
              </w:rPr>
              <w:fldChar w:fldCharType="begin"/>
            </w:r>
            <w:r w:rsidR="009358C0">
              <w:rPr>
                <w:noProof/>
                <w:webHidden/>
              </w:rPr>
              <w:instrText xml:space="preserve"> PAGEREF _Toc121313778 \h </w:instrText>
            </w:r>
            <w:r w:rsidR="009358C0">
              <w:rPr>
                <w:noProof/>
                <w:webHidden/>
              </w:rPr>
            </w:r>
            <w:r w:rsidR="009358C0">
              <w:rPr>
                <w:noProof/>
                <w:webHidden/>
              </w:rPr>
              <w:fldChar w:fldCharType="separate"/>
            </w:r>
            <w:r w:rsidR="009358C0">
              <w:rPr>
                <w:noProof/>
                <w:webHidden/>
              </w:rPr>
              <w:t>21</w:t>
            </w:r>
            <w:r w:rsidR="009358C0">
              <w:rPr>
                <w:noProof/>
                <w:webHidden/>
              </w:rPr>
              <w:fldChar w:fldCharType="end"/>
            </w:r>
          </w:hyperlink>
        </w:p>
        <w:p w14:paraId="2D914683" w14:textId="079FBFA7" w:rsidR="009358C0" w:rsidRDefault="00000000">
          <w:pPr>
            <w:pStyle w:val="TOC2"/>
            <w:rPr>
              <w:rFonts w:cstheme="minorBidi"/>
              <w:smallCaps w:val="0"/>
              <w:noProof/>
              <w:sz w:val="22"/>
              <w:szCs w:val="22"/>
            </w:rPr>
          </w:pPr>
          <w:hyperlink w:anchor="_Toc121313779" w:history="1">
            <w:r w:rsidR="009358C0" w:rsidRPr="001E762C">
              <w:rPr>
                <w:rStyle w:val="Hyperlink"/>
                <w:rFonts w:ascii="Calibri" w:hAnsi="Calibri"/>
                <w:b/>
                <w:noProof/>
              </w:rPr>
              <w:t>4.8</w:t>
            </w:r>
            <w:r w:rsidR="009358C0">
              <w:rPr>
                <w:rFonts w:cstheme="minorBidi"/>
                <w:smallCaps w:val="0"/>
                <w:noProof/>
                <w:sz w:val="22"/>
                <w:szCs w:val="22"/>
              </w:rPr>
              <w:tab/>
            </w:r>
            <w:r w:rsidR="009358C0" w:rsidRPr="001E762C">
              <w:rPr>
                <w:rStyle w:val="Hyperlink"/>
                <w:b/>
                <w:noProof/>
              </w:rPr>
              <w:t>Ensuring full cost recovery</w:t>
            </w:r>
            <w:r w:rsidR="009358C0">
              <w:rPr>
                <w:noProof/>
                <w:webHidden/>
              </w:rPr>
              <w:tab/>
            </w:r>
            <w:r w:rsidR="009358C0">
              <w:rPr>
                <w:noProof/>
                <w:webHidden/>
              </w:rPr>
              <w:fldChar w:fldCharType="begin"/>
            </w:r>
            <w:r w:rsidR="009358C0">
              <w:rPr>
                <w:noProof/>
                <w:webHidden/>
              </w:rPr>
              <w:instrText xml:space="preserve"> PAGEREF _Toc121313779 \h </w:instrText>
            </w:r>
            <w:r w:rsidR="009358C0">
              <w:rPr>
                <w:noProof/>
                <w:webHidden/>
              </w:rPr>
            </w:r>
            <w:r w:rsidR="009358C0">
              <w:rPr>
                <w:noProof/>
                <w:webHidden/>
              </w:rPr>
              <w:fldChar w:fldCharType="separate"/>
            </w:r>
            <w:r w:rsidR="009358C0">
              <w:rPr>
                <w:noProof/>
                <w:webHidden/>
              </w:rPr>
              <w:t>22</w:t>
            </w:r>
            <w:r w:rsidR="009358C0">
              <w:rPr>
                <w:noProof/>
                <w:webHidden/>
              </w:rPr>
              <w:fldChar w:fldCharType="end"/>
            </w:r>
          </w:hyperlink>
        </w:p>
        <w:p w14:paraId="394ADB31" w14:textId="38D618DC" w:rsidR="009358C0" w:rsidRDefault="00000000">
          <w:pPr>
            <w:pStyle w:val="TOC2"/>
            <w:rPr>
              <w:rFonts w:cstheme="minorBidi"/>
              <w:smallCaps w:val="0"/>
              <w:noProof/>
              <w:sz w:val="22"/>
              <w:szCs w:val="22"/>
            </w:rPr>
          </w:pPr>
          <w:hyperlink w:anchor="_Toc121313780" w:history="1">
            <w:r w:rsidR="009358C0" w:rsidRPr="001E762C">
              <w:rPr>
                <w:rStyle w:val="Hyperlink"/>
                <w:rFonts w:ascii="Calibri" w:hAnsi="Calibri"/>
                <w:b/>
                <w:noProof/>
              </w:rPr>
              <w:t>4.9</w:t>
            </w:r>
            <w:r w:rsidR="009358C0">
              <w:rPr>
                <w:rFonts w:cstheme="minorBidi"/>
                <w:smallCaps w:val="0"/>
                <w:noProof/>
                <w:sz w:val="22"/>
                <w:szCs w:val="22"/>
              </w:rPr>
              <w:tab/>
            </w:r>
            <w:r w:rsidR="009358C0" w:rsidRPr="001E762C">
              <w:rPr>
                <w:rStyle w:val="Hyperlink"/>
                <w:b/>
                <w:noProof/>
              </w:rPr>
              <w:t>Partnering with and/or engaging financial institutions for the issuance and management of UNDP-supported guarantees</w:t>
            </w:r>
            <w:r w:rsidR="009358C0">
              <w:rPr>
                <w:noProof/>
                <w:webHidden/>
              </w:rPr>
              <w:tab/>
            </w:r>
            <w:r w:rsidR="009358C0">
              <w:rPr>
                <w:noProof/>
                <w:webHidden/>
              </w:rPr>
              <w:fldChar w:fldCharType="begin"/>
            </w:r>
            <w:r w:rsidR="009358C0">
              <w:rPr>
                <w:noProof/>
                <w:webHidden/>
              </w:rPr>
              <w:instrText xml:space="preserve"> PAGEREF _Toc121313780 \h </w:instrText>
            </w:r>
            <w:r w:rsidR="009358C0">
              <w:rPr>
                <w:noProof/>
                <w:webHidden/>
              </w:rPr>
            </w:r>
            <w:r w:rsidR="009358C0">
              <w:rPr>
                <w:noProof/>
                <w:webHidden/>
              </w:rPr>
              <w:fldChar w:fldCharType="separate"/>
            </w:r>
            <w:r w:rsidR="009358C0">
              <w:rPr>
                <w:noProof/>
                <w:webHidden/>
              </w:rPr>
              <w:t>23</w:t>
            </w:r>
            <w:r w:rsidR="009358C0">
              <w:rPr>
                <w:noProof/>
                <w:webHidden/>
              </w:rPr>
              <w:fldChar w:fldCharType="end"/>
            </w:r>
          </w:hyperlink>
        </w:p>
        <w:p w14:paraId="07C7CB35" w14:textId="3037249B" w:rsidR="009358C0" w:rsidRDefault="00000000">
          <w:pPr>
            <w:pStyle w:val="TOC2"/>
            <w:rPr>
              <w:rFonts w:cstheme="minorBidi"/>
              <w:smallCaps w:val="0"/>
              <w:noProof/>
              <w:sz w:val="22"/>
              <w:szCs w:val="22"/>
            </w:rPr>
          </w:pPr>
          <w:hyperlink w:anchor="_Toc121313781" w:history="1">
            <w:r w:rsidR="009358C0" w:rsidRPr="001E762C">
              <w:rPr>
                <w:rStyle w:val="Hyperlink"/>
                <w:rFonts w:ascii="Calibri" w:hAnsi="Calibri"/>
                <w:b/>
                <w:noProof/>
              </w:rPr>
              <w:t>4.10</w:t>
            </w:r>
            <w:r w:rsidR="009358C0">
              <w:rPr>
                <w:rFonts w:cstheme="minorBidi"/>
                <w:smallCaps w:val="0"/>
                <w:noProof/>
                <w:sz w:val="22"/>
                <w:szCs w:val="22"/>
              </w:rPr>
              <w:tab/>
            </w:r>
            <w:r w:rsidR="009358C0" w:rsidRPr="001E762C">
              <w:rPr>
                <w:rStyle w:val="Hyperlink"/>
                <w:b/>
                <w:noProof/>
              </w:rPr>
              <w:t>Partnering with UNCDF to issue and manage UNDP-supported guarantees</w:t>
            </w:r>
            <w:r w:rsidR="009358C0">
              <w:rPr>
                <w:noProof/>
                <w:webHidden/>
              </w:rPr>
              <w:tab/>
            </w:r>
            <w:r w:rsidR="009358C0">
              <w:rPr>
                <w:noProof/>
                <w:webHidden/>
              </w:rPr>
              <w:fldChar w:fldCharType="begin"/>
            </w:r>
            <w:r w:rsidR="009358C0">
              <w:rPr>
                <w:noProof/>
                <w:webHidden/>
              </w:rPr>
              <w:instrText xml:space="preserve"> PAGEREF _Toc121313781 \h </w:instrText>
            </w:r>
            <w:r w:rsidR="009358C0">
              <w:rPr>
                <w:noProof/>
                <w:webHidden/>
              </w:rPr>
            </w:r>
            <w:r w:rsidR="009358C0">
              <w:rPr>
                <w:noProof/>
                <w:webHidden/>
              </w:rPr>
              <w:fldChar w:fldCharType="separate"/>
            </w:r>
            <w:r w:rsidR="009358C0">
              <w:rPr>
                <w:noProof/>
                <w:webHidden/>
              </w:rPr>
              <w:t>25</w:t>
            </w:r>
            <w:r w:rsidR="009358C0">
              <w:rPr>
                <w:noProof/>
                <w:webHidden/>
              </w:rPr>
              <w:fldChar w:fldCharType="end"/>
            </w:r>
          </w:hyperlink>
        </w:p>
        <w:p w14:paraId="16CB7305" w14:textId="6159B4B9" w:rsidR="009358C0" w:rsidRDefault="00000000">
          <w:pPr>
            <w:pStyle w:val="TOC2"/>
            <w:rPr>
              <w:rFonts w:cstheme="minorBidi"/>
              <w:smallCaps w:val="0"/>
              <w:noProof/>
              <w:sz w:val="22"/>
              <w:szCs w:val="22"/>
            </w:rPr>
          </w:pPr>
          <w:hyperlink w:anchor="_Toc121313782" w:history="1">
            <w:r w:rsidR="009358C0" w:rsidRPr="001E762C">
              <w:rPr>
                <w:rStyle w:val="Hyperlink"/>
                <w:rFonts w:ascii="Calibri" w:hAnsi="Calibri"/>
                <w:b/>
                <w:noProof/>
              </w:rPr>
              <w:t>4.11</w:t>
            </w:r>
            <w:r w:rsidR="009358C0">
              <w:rPr>
                <w:rFonts w:cstheme="minorBidi"/>
                <w:smallCaps w:val="0"/>
                <w:noProof/>
                <w:sz w:val="22"/>
                <w:szCs w:val="22"/>
              </w:rPr>
              <w:tab/>
            </w:r>
            <w:r w:rsidR="009358C0" w:rsidRPr="001E762C">
              <w:rPr>
                <w:rStyle w:val="Hyperlink"/>
                <w:b/>
                <w:noProof/>
              </w:rPr>
              <w:t>Escrow account</w:t>
            </w:r>
            <w:r w:rsidR="009358C0">
              <w:rPr>
                <w:noProof/>
                <w:webHidden/>
              </w:rPr>
              <w:tab/>
            </w:r>
            <w:r w:rsidR="009358C0">
              <w:rPr>
                <w:noProof/>
                <w:webHidden/>
              </w:rPr>
              <w:fldChar w:fldCharType="begin"/>
            </w:r>
            <w:r w:rsidR="009358C0">
              <w:rPr>
                <w:noProof/>
                <w:webHidden/>
              </w:rPr>
              <w:instrText xml:space="preserve"> PAGEREF _Toc121313782 \h </w:instrText>
            </w:r>
            <w:r w:rsidR="009358C0">
              <w:rPr>
                <w:noProof/>
                <w:webHidden/>
              </w:rPr>
            </w:r>
            <w:r w:rsidR="009358C0">
              <w:rPr>
                <w:noProof/>
                <w:webHidden/>
              </w:rPr>
              <w:fldChar w:fldCharType="separate"/>
            </w:r>
            <w:r w:rsidR="009358C0">
              <w:rPr>
                <w:noProof/>
                <w:webHidden/>
              </w:rPr>
              <w:t>25</w:t>
            </w:r>
            <w:r w:rsidR="009358C0">
              <w:rPr>
                <w:noProof/>
                <w:webHidden/>
              </w:rPr>
              <w:fldChar w:fldCharType="end"/>
            </w:r>
          </w:hyperlink>
        </w:p>
        <w:p w14:paraId="1608343A" w14:textId="047F674D" w:rsidR="009358C0" w:rsidRDefault="00000000">
          <w:pPr>
            <w:pStyle w:val="TOC2"/>
            <w:rPr>
              <w:rFonts w:cstheme="minorBidi"/>
              <w:smallCaps w:val="0"/>
              <w:noProof/>
              <w:sz w:val="22"/>
              <w:szCs w:val="22"/>
            </w:rPr>
          </w:pPr>
          <w:hyperlink w:anchor="_Toc121313783" w:history="1">
            <w:r w:rsidR="009358C0" w:rsidRPr="001E762C">
              <w:rPr>
                <w:rStyle w:val="Hyperlink"/>
                <w:rFonts w:ascii="Calibri" w:hAnsi="Calibri"/>
                <w:b/>
                <w:noProof/>
              </w:rPr>
              <w:t>4.12</w:t>
            </w:r>
            <w:r w:rsidR="009358C0">
              <w:rPr>
                <w:rFonts w:cstheme="minorBidi"/>
                <w:smallCaps w:val="0"/>
                <w:noProof/>
                <w:sz w:val="22"/>
                <w:szCs w:val="22"/>
              </w:rPr>
              <w:tab/>
            </w:r>
            <w:r w:rsidR="009358C0" w:rsidRPr="001E762C">
              <w:rPr>
                <w:rStyle w:val="Hyperlink"/>
                <w:b/>
                <w:noProof/>
              </w:rPr>
              <w:t>Monitoring of guarantees and lending activities of the Lender</w:t>
            </w:r>
            <w:r w:rsidR="009358C0">
              <w:rPr>
                <w:noProof/>
                <w:webHidden/>
              </w:rPr>
              <w:tab/>
            </w:r>
            <w:r w:rsidR="009358C0">
              <w:rPr>
                <w:noProof/>
                <w:webHidden/>
              </w:rPr>
              <w:fldChar w:fldCharType="begin"/>
            </w:r>
            <w:r w:rsidR="009358C0">
              <w:rPr>
                <w:noProof/>
                <w:webHidden/>
              </w:rPr>
              <w:instrText xml:space="preserve"> PAGEREF _Toc121313783 \h </w:instrText>
            </w:r>
            <w:r w:rsidR="009358C0">
              <w:rPr>
                <w:noProof/>
                <w:webHidden/>
              </w:rPr>
            </w:r>
            <w:r w:rsidR="009358C0">
              <w:rPr>
                <w:noProof/>
                <w:webHidden/>
              </w:rPr>
              <w:fldChar w:fldCharType="separate"/>
            </w:r>
            <w:r w:rsidR="009358C0">
              <w:rPr>
                <w:noProof/>
                <w:webHidden/>
              </w:rPr>
              <w:t>26</w:t>
            </w:r>
            <w:r w:rsidR="009358C0">
              <w:rPr>
                <w:noProof/>
                <w:webHidden/>
              </w:rPr>
              <w:fldChar w:fldCharType="end"/>
            </w:r>
          </w:hyperlink>
        </w:p>
        <w:p w14:paraId="53C84B64" w14:textId="77B11163" w:rsidR="009358C0" w:rsidRDefault="00000000">
          <w:pPr>
            <w:pStyle w:val="TOC2"/>
            <w:rPr>
              <w:rFonts w:cstheme="minorBidi"/>
              <w:smallCaps w:val="0"/>
              <w:noProof/>
              <w:sz w:val="22"/>
              <w:szCs w:val="22"/>
            </w:rPr>
          </w:pPr>
          <w:hyperlink w:anchor="_Toc121313784" w:history="1">
            <w:r w:rsidR="009358C0" w:rsidRPr="001E762C">
              <w:rPr>
                <w:rStyle w:val="Hyperlink"/>
                <w:rFonts w:ascii="Calibri" w:hAnsi="Calibri"/>
                <w:b/>
                <w:noProof/>
              </w:rPr>
              <w:t>4.13</w:t>
            </w:r>
            <w:r w:rsidR="009358C0">
              <w:rPr>
                <w:rFonts w:cstheme="minorBidi"/>
                <w:smallCaps w:val="0"/>
                <w:noProof/>
                <w:sz w:val="22"/>
                <w:szCs w:val="22"/>
              </w:rPr>
              <w:tab/>
            </w:r>
            <w:r w:rsidR="009358C0" w:rsidRPr="001E762C">
              <w:rPr>
                <w:rStyle w:val="Hyperlink"/>
                <w:b/>
                <w:noProof/>
              </w:rPr>
              <w:t>Periodic financial and programmatic/impact reporting to funding partner(s)</w:t>
            </w:r>
            <w:r w:rsidR="009358C0">
              <w:rPr>
                <w:noProof/>
                <w:webHidden/>
              </w:rPr>
              <w:tab/>
            </w:r>
            <w:r w:rsidR="009358C0">
              <w:rPr>
                <w:noProof/>
                <w:webHidden/>
              </w:rPr>
              <w:fldChar w:fldCharType="begin"/>
            </w:r>
            <w:r w:rsidR="009358C0">
              <w:rPr>
                <w:noProof/>
                <w:webHidden/>
              </w:rPr>
              <w:instrText xml:space="preserve"> PAGEREF _Toc121313784 \h </w:instrText>
            </w:r>
            <w:r w:rsidR="009358C0">
              <w:rPr>
                <w:noProof/>
                <w:webHidden/>
              </w:rPr>
            </w:r>
            <w:r w:rsidR="009358C0">
              <w:rPr>
                <w:noProof/>
                <w:webHidden/>
              </w:rPr>
              <w:fldChar w:fldCharType="separate"/>
            </w:r>
            <w:r w:rsidR="009358C0">
              <w:rPr>
                <w:noProof/>
                <w:webHidden/>
              </w:rPr>
              <w:t>29</w:t>
            </w:r>
            <w:r w:rsidR="009358C0">
              <w:rPr>
                <w:noProof/>
                <w:webHidden/>
              </w:rPr>
              <w:fldChar w:fldCharType="end"/>
            </w:r>
          </w:hyperlink>
        </w:p>
        <w:p w14:paraId="46012F9E" w14:textId="533F2A3B" w:rsidR="009358C0" w:rsidRDefault="00000000">
          <w:pPr>
            <w:pStyle w:val="TOC2"/>
            <w:rPr>
              <w:rFonts w:cstheme="minorBidi"/>
              <w:smallCaps w:val="0"/>
              <w:noProof/>
              <w:sz w:val="22"/>
              <w:szCs w:val="22"/>
            </w:rPr>
          </w:pPr>
          <w:hyperlink w:anchor="_Toc121313785" w:history="1">
            <w:r w:rsidR="009358C0" w:rsidRPr="001E762C">
              <w:rPr>
                <w:rStyle w:val="Hyperlink"/>
                <w:rFonts w:ascii="Calibri" w:hAnsi="Calibri"/>
                <w:b/>
                <w:noProof/>
              </w:rPr>
              <w:t>4.14</w:t>
            </w:r>
            <w:r w:rsidR="009358C0">
              <w:rPr>
                <w:rFonts w:cstheme="minorBidi"/>
                <w:smallCaps w:val="0"/>
                <w:noProof/>
                <w:sz w:val="22"/>
                <w:szCs w:val="22"/>
              </w:rPr>
              <w:tab/>
            </w:r>
            <w:r w:rsidR="009358C0" w:rsidRPr="001E762C">
              <w:rPr>
                <w:rStyle w:val="Hyperlink"/>
                <w:b/>
                <w:noProof/>
              </w:rPr>
              <w:t>Treatment of recoveries post claim payouts</w:t>
            </w:r>
            <w:r w:rsidR="009358C0">
              <w:rPr>
                <w:noProof/>
                <w:webHidden/>
              </w:rPr>
              <w:tab/>
            </w:r>
            <w:r w:rsidR="009358C0">
              <w:rPr>
                <w:noProof/>
                <w:webHidden/>
              </w:rPr>
              <w:fldChar w:fldCharType="begin"/>
            </w:r>
            <w:r w:rsidR="009358C0">
              <w:rPr>
                <w:noProof/>
                <w:webHidden/>
              </w:rPr>
              <w:instrText xml:space="preserve"> PAGEREF _Toc121313785 \h </w:instrText>
            </w:r>
            <w:r w:rsidR="009358C0">
              <w:rPr>
                <w:noProof/>
                <w:webHidden/>
              </w:rPr>
            </w:r>
            <w:r w:rsidR="009358C0">
              <w:rPr>
                <w:noProof/>
                <w:webHidden/>
              </w:rPr>
              <w:fldChar w:fldCharType="separate"/>
            </w:r>
            <w:r w:rsidR="009358C0">
              <w:rPr>
                <w:noProof/>
                <w:webHidden/>
              </w:rPr>
              <w:t>29</w:t>
            </w:r>
            <w:r w:rsidR="009358C0">
              <w:rPr>
                <w:noProof/>
                <w:webHidden/>
              </w:rPr>
              <w:fldChar w:fldCharType="end"/>
            </w:r>
          </w:hyperlink>
        </w:p>
        <w:p w14:paraId="368C96A4" w14:textId="69D54A4A" w:rsidR="009358C0" w:rsidRDefault="00000000">
          <w:pPr>
            <w:pStyle w:val="TOC2"/>
            <w:rPr>
              <w:rFonts w:cstheme="minorBidi"/>
              <w:smallCaps w:val="0"/>
              <w:noProof/>
              <w:sz w:val="22"/>
              <w:szCs w:val="22"/>
            </w:rPr>
          </w:pPr>
          <w:hyperlink w:anchor="_Toc121313786" w:history="1">
            <w:r w:rsidR="009358C0" w:rsidRPr="001E762C">
              <w:rPr>
                <w:rStyle w:val="Hyperlink"/>
                <w:rFonts w:ascii="Calibri" w:hAnsi="Calibri"/>
                <w:b/>
                <w:noProof/>
              </w:rPr>
              <w:t>4.15</w:t>
            </w:r>
            <w:r w:rsidR="009358C0">
              <w:rPr>
                <w:rFonts w:cstheme="minorBidi"/>
                <w:smallCaps w:val="0"/>
                <w:noProof/>
                <w:sz w:val="22"/>
                <w:szCs w:val="22"/>
              </w:rPr>
              <w:tab/>
            </w:r>
            <w:r w:rsidR="009358C0" w:rsidRPr="001E762C">
              <w:rPr>
                <w:rStyle w:val="Hyperlink"/>
                <w:b/>
                <w:noProof/>
              </w:rPr>
              <w:t>Guarantee closeout and treatment of undisbursed balances</w:t>
            </w:r>
            <w:r w:rsidR="009358C0">
              <w:rPr>
                <w:noProof/>
                <w:webHidden/>
              </w:rPr>
              <w:tab/>
            </w:r>
            <w:r w:rsidR="009358C0">
              <w:rPr>
                <w:noProof/>
                <w:webHidden/>
              </w:rPr>
              <w:fldChar w:fldCharType="begin"/>
            </w:r>
            <w:r w:rsidR="009358C0">
              <w:rPr>
                <w:noProof/>
                <w:webHidden/>
              </w:rPr>
              <w:instrText xml:space="preserve"> PAGEREF _Toc121313786 \h </w:instrText>
            </w:r>
            <w:r w:rsidR="009358C0">
              <w:rPr>
                <w:noProof/>
                <w:webHidden/>
              </w:rPr>
            </w:r>
            <w:r w:rsidR="009358C0">
              <w:rPr>
                <w:noProof/>
                <w:webHidden/>
              </w:rPr>
              <w:fldChar w:fldCharType="separate"/>
            </w:r>
            <w:r w:rsidR="009358C0">
              <w:rPr>
                <w:noProof/>
                <w:webHidden/>
              </w:rPr>
              <w:t>30</w:t>
            </w:r>
            <w:r w:rsidR="009358C0">
              <w:rPr>
                <w:noProof/>
                <w:webHidden/>
              </w:rPr>
              <w:fldChar w:fldCharType="end"/>
            </w:r>
          </w:hyperlink>
        </w:p>
        <w:p w14:paraId="4A7BEE0A" w14:textId="20CA3CE3" w:rsidR="009358C0" w:rsidRDefault="00000000">
          <w:pPr>
            <w:pStyle w:val="TOC2"/>
            <w:rPr>
              <w:rFonts w:cstheme="minorBidi"/>
              <w:smallCaps w:val="0"/>
              <w:noProof/>
              <w:sz w:val="22"/>
              <w:szCs w:val="22"/>
            </w:rPr>
          </w:pPr>
          <w:hyperlink w:anchor="_Toc121313787" w:history="1">
            <w:r w:rsidR="009358C0" w:rsidRPr="001E762C">
              <w:rPr>
                <w:rStyle w:val="Hyperlink"/>
                <w:rFonts w:ascii="Calibri" w:hAnsi="Calibri"/>
                <w:b/>
                <w:noProof/>
              </w:rPr>
              <w:t>4.16</w:t>
            </w:r>
            <w:r w:rsidR="009358C0">
              <w:rPr>
                <w:rFonts w:cstheme="minorBidi"/>
                <w:smallCaps w:val="0"/>
                <w:noProof/>
                <w:sz w:val="22"/>
                <w:szCs w:val="22"/>
              </w:rPr>
              <w:tab/>
            </w:r>
            <w:r w:rsidR="009358C0" w:rsidRPr="001E762C">
              <w:rPr>
                <w:rStyle w:val="Hyperlink"/>
                <w:b/>
                <w:noProof/>
              </w:rPr>
              <w:t>Administration of guarantees</w:t>
            </w:r>
            <w:r w:rsidR="009358C0">
              <w:rPr>
                <w:noProof/>
                <w:webHidden/>
              </w:rPr>
              <w:tab/>
            </w:r>
            <w:r w:rsidR="009358C0">
              <w:rPr>
                <w:noProof/>
                <w:webHidden/>
              </w:rPr>
              <w:fldChar w:fldCharType="begin"/>
            </w:r>
            <w:r w:rsidR="009358C0">
              <w:rPr>
                <w:noProof/>
                <w:webHidden/>
              </w:rPr>
              <w:instrText xml:space="preserve"> PAGEREF _Toc121313787 \h </w:instrText>
            </w:r>
            <w:r w:rsidR="009358C0">
              <w:rPr>
                <w:noProof/>
                <w:webHidden/>
              </w:rPr>
            </w:r>
            <w:r w:rsidR="009358C0">
              <w:rPr>
                <w:noProof/>
                <w:webHidden/>
              </w:rPr>
              <w:fldChar w:fldCharType="separate"/>
            </w:r>
            <w:r w:rsidR="009358C0">
              <w:rPr>
                <w:noProof/>
                <w:webHidden/>
              </w:rPr>
              <w:t>31</w:t>
            </w:r>
            <w:r w:rsidR="009358C0">
              <w:rPr>
                <w:noProof/>
                <w:webHidden/>
              </w:rPr>
              <w:fldChar w:fldCharType="end"/>
            </w:r>
          </w:hyperlink>
        </w:p>
        <w:p w14:paraId="0F67D505" w14:textId="11FD2A92" w:rsidR="009358C0" w:rsidRDefault="00000000">
          <w:pPr>
            <w:pStyle w:val="TOC2"/>
            <w:rPr>
              <w:rFonts w:cstheme="minorBidi"/>
              <w:smallCaps w:val="0"/>
              <w:noProof/>
              <w:sz w:val="22"/>
              <w:szCs w:val="22"/>
            </w:rPr>
          </w:pPr>
          <w:hyperlink w:anchor="_Toc121313788" w:history="1">
            <w:r w:rsidR="009358C0" w:rsidRPr="001E762C">
              <w:rPr>
                <w:rStyle w:val="Hyperlink"/>
                <w:rFonts w:ascii="Calibri" w:hAnsi="Calibri"/>
                <w:b/>
                <w:noProof/>
              </w:rPr>
              <w:t>4.17</w:t>
            </w:r>
            <w:r w:rsidR="009358C0">
              <w:rPr>
                <w:rFonts w:cstheme="minorBidi"/>
                <w:smallCaps w:val="0"/>
                <w:noProof/>
                <w:sz w:val="22"/>
                <w:szCs w:val="22"/>
              </w:rPr>
              <w:tab/>
            </w:r>
            <w:r w:rsidR="009358C0" w:rsidRPr="001E762C">
              <w:rPr>
                <w:rStyle w:val="Hyperlink"/>
                <w:b/>
                <w:noProof/>
              </w:rPr>
              <w:t>Publishing of guarantee information – internal and external</w:t>
            </w:r>
            <w:r w:rsidR="009358C0">
              <w:rPr>
                <w:noProof/>
                <w:webHidden/>
              </w:rPr>
              <w:tab/>
            </w:r>
            <w:r w:rsidR="009358C0">
              <w:rPr>
                <w:noProof/>
                <w:webHidden/>
              </w:rPr>
              <w:fldChar w:fldCharType="begin"/>
            </w:r>
            <w:r w:rsidR="009358C0">
              <w:rPr>
                <w:noProof/>
                <w:webHidden/>
              </w:rPr>
              <w:instrText xml:space="preserve"> PAGEREF _Toc121313788 \h </w:instrText>
            </w:r>
            <w:r w:rsidR="009358C0">
              <w:rPr>
                <w:noProof/>
                <w:webHidden/>
              </w:rPr>
            </w:r>
            <w:r w:rsidR="009358C0">
              <w:rPr>
                <w:noProof/>
                <w:webHidden/>
              </w:rPr>
              <w:fldChar w:fldCharType="separate"/>
            </w:r>
            <w:r w:rsidR="009358C0">
              <w:rPr>
                <w:noProof/>
                <w:webHidden/>
              </w:rPr>
              <w:t>31</w:t>
            </w:r>
            <w:r w:rsidR="009358C0">
              <w:rPr>
                <w:noProof/>
                <w:webHidden/>
              </w:rPr>
              <w:fldChar w:fldCharType="end"/>
            </w:r>
          </w:hyperlink>
        </w:p>
        <w:p w14:paraId="1D63DD10" w14:textId="192F437D" w:rsidR="009358C0" w:rsidRDefault="00000000">
          <w:pPr>
            <w:pStyle w:val="TOC1"/>
            <w:rPr>
              <w:rFonts w:cstheme="minorBidi"/>
              <w:b w:val="0"/>
              <w:bCs w:val="0"/>
              <w:caps w:val="0"/>
              <w:noProof/>
              <w:sz w:val="22"/>
              <w:szCs w:val="22"/>
            </w:rPr>
          </w:pPr>
          <w:hyperlink w:anchor="_Toc121313789" w:history="1">
            <w:r w:rsidR="009358C0" w:rsidRPr="001E762C">
              <w:rPr>
                <w:rStyle w:val="Hyperlink"/>
                <w:rFonts w:eastAsia="Century Gothic"/>
                <w:noProof/>
                <w:lang w:val="en-GB"/>
              </w:rPr>
              <w:t>5.</w:t>
            </w:r>
            <w:r w:rsidR="009358C0">
              <w:rPr>
                <w:rFonts w:cstheme="minorBidi"/>
                <w:b w:val="0"/>
                <w:bCs w:val="0"/>
                <w:caps w:val="0"/>
                <w:noProof/>
                <w:sz w:val="22"/>
                <w:szCs w:val="22"/>
              </w:rPr>
              <w:tab/>
            </w:r>
            <w:r w:rsidR="009358C0" w:rsidRPr="001E762C">
              <w:rPr>
                <w:rStyle w:val="Hyperlink"/>
                <w:rFonts w:eastAsia="Century Gothic"/>
                <w:noProof/>
                <w:lang w:val="en-GB"/>
              </w:rPr>
              <w:t>Agreements</w:t>
            </w:r>
            <w:r w:rsidR="009358C0">
              <w:rPr>
                <w:noProof/>
                <w:webHidden/>
              </w:rPr>
              <w:tab/>
            </w:r>
            <w:r w:rsidR="009358C0">
              <w:rPr>
                <w:noProof/>
                <w:webHidden/>
              </w:rPr>
              <w:fldChar w:fldCharType="begin"/>
            </w:r>
            <w:r w:rsidR="009358C0">
              <w:rPr>
                <w:noProof/>
                <w:webHidden/>
              </w:rPr>
              <w:instrText xml:space="preserve"> PAGEREF _Toc121313789 \h </w:instrText>
            </w:r>
            <w:r w:rsidR="009358C0">
              <w:rPr>
                <w:noProof/>
                <w:webHidden/>
              </w:rPr>
            </w:r>
            <w:r w:rsidR="009358C0">
              <w:rPr>
                <w:noProof/>
                <w:webHidden/>
              </w:rPr>
              <w:fldChar w:fldCharType="separate"/>
            </w:r>
            <w:r w:rsidR="009358C0">
              <w:rPr>
                <w:noProof/>
                <w:webHidden/>
              </w:rPr>
              <w:t>32</w:t>
            </w:r>
            <w:r w:rsidR="009358C0">
              <w:rPr>
                <w:noProof/>
                <w:webHidden/>
              </w:rPr>
              <w:fldChar w:fldCharType="end"/>
            </w:r>
          </w:hyperlink>
        </w:p>
        <w:p w14:paraId="1B2463CA" w14:textId="0E1357CE" w:rsidR="009358C0" w:rsidRDefault="00000000">
          <w:pPr>
            <w:pStyle w:val="TOC1"/>
            <w:rPr>
              <w:rFonts w:cstheme="minorBidi"/>
              <w:b w:val="0"/>
              <w:bCs w:val="0"/>
              <w:caps w:val="0"/>
              <w:noProof/>
              <w:sz w:val="22"/>
              <w:szCs w:val="22"/>
            </w:rPr>
          </w:pPr>
          <w:hyperlink w:anchor="_Toc121313790" w:history="1">
            <w:r w:rsidR="009358C0" w:rsidRPr="001E762C">
              <w:rPr>
                <w:rStyle w:val="Hyperlink"/>
                <w:rFonts w:eastAsia="Century Gothic"/>
                <w:noProof/>
                <w:lang w:val="en-GB"/>
              </w:rPr>
              <w:t>6.</w:t>
            </w:r>
            <w:r w:rsidR="009358C0">
              <w:rPr>
                <w:rFonts w:cstheme="minorBidi"/>
                <w:b w:val="0"/>
                <w:bCs w:val="0"/>
                <w:caps w:val="0"/>
                <w:noProof/>
                <w:sz w:val="22"/>
                <w:szCs w:val="22"/>
              </w:rPr>
              <w:tab/>
            </w:r>
            <w:r w:rsidR="009358C0" w:rsidRPr="001E762C">
              <w:rPr>
                <w:rStyle w:val="Hyperlink"/>
                <w:rFonts w:eastAsia="Century Gothic"/>
                <w:noProof/>
                <w:lang w:val="en-GB"/>
              </w:rPr>
              <w:t>Guarantee Pricing and Budgeting</w:t>
            </w:r>
            <w:r w:rsidR="009358C0">
              <w:rPr>
                <w:noProof/>
                <w:webHidden/>
              </w:rPr>
              <w:tab/>
            </w:r>
            <w:r w:rsidR="009358C0">
              <w:rPr>
                <w:noProof/>
                <w:webHidden/>
              </w:rPr>
              <w:fldChar w:fldCharType="begin"/>
            </w:r>
            <w:r w:rsidR="009358C0">
              <w:rPr>
                <w:noProof/>
                <w:webHidden/>
              </w:rPr>
              <w:instrText xml:space="preserve"> PAGEREF _Toc121313790 \h </w:instrText>
            </w:r>
            <w:r w:rsidR="009358C0">
              <w:rPr>
                <w:noProof/>
                <w:webHidden/>
              </w:rPr>
            </w:r>
            <w:r w:rsidR="009358C0">
              <w:rPr>
                <w:noProof/>
                <w:webHidden/>
              </w:rPr>
              <w:fldChar w:fldCharType="separate"/>
            </w:r>
            <w:r w:rsidR="009358C0">
              <w:rPr>
                <w:noProof/>
                <w:webHidden/>
              </w:rPr>
              <w:t>33</w:t>
            </w:r>
            <w:r w:rsidR="009358C0">
              <w:rPr>
                <w:noProof/>
                <w:webHidden/>
              </w:rPr>
              <w:fldChar w:fldCharType="end"/>
            </w:r>
          </w:hyperlink>
        </w:p>
        <w:p w14:paraId="5E14FFF7" w14:textId="6AE8EAB0" w:rsidR="009358C0" w:rsidRDefault="00000000">
          <w:pPr>
            <w:pStyle w:val="TOC2"/>
            <w:rPr>
              <w:rFonts w:cstheme="minorBidi"/>
              <w:smallCaps w:val="0"/>
              <w:noProof/>
              <w:sz w:val="22"/>
              <w:szCs w:val="22"/>
            </w:rPr>
          </w:pPr>
          <w:hyperlink w:anchor="_Toc121313791" w:history="1">
            <w:r w:rsidR="009358C0" w:rsidRPr="001E762C">
              <w:rPr>
                <w:rStyle w:val="Hyperlink"/>
                <w:rFonts w:ascii="Calibri" w:hAnsi="Calibri"/>
                <w:b/>
                <w:noProof/>
              </w:rPr>
              <w:t>6.1</w:t>
            </w:r>
            <w:r w:rsidR="009358C0">
              <w:rPr>
                <w:rFonts w:cstheme="minorBidi"/>
                <w:smallCaps w:val="0"/>
                <w:noProof/>
                <w:sz w:val="22"/>
                <w:szCs w:val="22"/>
              </w:rPr>
              <w:tab/>
            </w:r>
            <w:r w:rsidR="009358C0" w:rsidRPr="001E762C">
              <w:rPr>
                <w:rStyle w:val="Hyperlink"/>
                <w:b/>
                <w:noProof/>
              </w:rPr>
              <w:t>Cost Recovery</w:t>
            </w:r>
            <w:r w:rsidR="009358C0">
              <w:rPr>
                <w:noProof/>
                <w:webHidden/>
              </w:rPr>
              <w:tab/>
            </w:r>
            <w:r w:rsidR="009358C0">
              <w:rPr>
                <w:noProof/>
                <w:webHidden/>
              </w:rPr>
              <w:fldChar w:fldCharType="begin"/>
            </w:r>
            <w:r w:rsidR="009358C0">
              <w:rPr>
                <w:noProof/>
                <w:webHidden/>
              </w:rPr>
              <w:instrText xml:space="preserve"> PAGEREF _Toc121313791 \h </w:instrText>
            </w:r>
            <w:r w:rsidR="009358C0">
              <w:rPr>
                <w:noProof/>
                <w:webHidden/>
              </w:rPr>
            </w:r>
            <w:r w:rsidR="009358C0">
              <w:rPr>
                <w:noProof/>
                <w:webHidden/>
              </w:rPr>
              <w:fldChar w:fldCharType="separate"/>
            </w:r>
            <w:r w:rsidR="009358C0">
              <w:rPr>
                <w:noProof/>
                <w:webHidden/>
              </w:rPr>
              <w:t>33</w:t>
            </w:r>
            <w:r w:rsidR="009358C0">
              <w:rPr>
                <w:noProof/>
                <w:webHidden/>
              </w:rPr>
              <w:fldChar w:fldCharType="end"/>
            </w:r>
          </w:hyperlink>
        </w:p>
        <w:p w14:paraId="66ACA0C9" w14:textId="30CA14AA" w:rsidR="009358C0" w:rsidRDefault="00000000">
          <w:pPr>
            <w:pStyle w:val="TOC2"/>
            <w:rPr>
              <w:rFonts w:cstheme="minorBidi"/>
              <w:smallCaps w:val="0"/>
              <w:noProof/>
              <w:sz w:val="22"/>
              <w:szCs w:val="22"/>
            </w:rPr>
          </w:pPr>
          <w:hyperlink w:anchor="_Toc121313792" w:history="1">
            <w:r w:rsidR="009358C0" w:rsidRPr="001E762C">
              <w:rPr>
                <w:rStyle w:val="Hyperlink"/>
                <w:rFonts w:ascii="Calibri" w:hAnsi="Calibri"/>
                <w:b/>
                <w:noProof/>
              </w:rPr>
              <w:t>6.2</w:t>
            </w:r>
            <w:r w:rsidR="009358C0">
              <w:rPr>
                <w:rFonts w:cstheme="minorBidi"/>
                <w:smallCaps w:val="0"/>
                <w:noProof/>
                <w:sz w:val="22"/>
                <w:szCs w:val="22"/>
              </w:rPr>
              <w:tab/>
            </w:r>
            <w:r w:rsidR="009358C0" w:rsidRPr="001E762C">
              <w:rPr>
                <w:rStyle w:val="Hyperlink"/>
                <w:b/>
                <w:noProof/>
              </w:rPr>
              <w:t>UNDP Guarantee Reserve</w:t>
            </w:r>
            <w:r w:rsidR="009358C0">
              <w:rPr>
                <w:noProof/>
                <w:webHidden/>
              </w:rPr>
              <w:tab/>
            </w:r>
            <w:r w:rsidR="009358C0">
              <w:rPr>
                <w:noProof/>
                <w:webHidden/>
              </w:rPr>
              <w:fldChar w:fldCharType="begin"/>
            </w:r>
            <w:r w:rsidR="009358C0">
              <w:rPr>
                <w:noProof/>
                <w:webHidden/>
              </w:rPr>
              <w:instrText xml:space="preserve"> PAGEREF _Toc121313792 \h </w:instrText>
            </w:r>
            <w:r w:rsidR="009358C0">
              <w:rPr>
                <w:noProof/>
                <w:webHidden/>
              </w:rPr>
            </w:r>
            <w:r w:rsidR="009358C0">
              <w:rPr>
                <w:noProof/>
                <w:webHidden/>
              </w:rPr>
              <w:fldChar w:fldCharType="separate"/>
            </w:r>
            <w:r w:rsidR="009358C0">
              <w:rPr>
                <w:noProof/>
                <w:webHidden/>
              </w:rPr>
              <w:t>33</w:t>
            </w:r>
            <w:r w:rsidR="009358C0">
              <w:rPr>
                <w:noProof/>
                <w:webHidden/>
              </w:rPr>
              <w:fldChar w:fldCharType="end"/>
            </w:r>
          </w:hyperlink>
        </w:p>
        <w:p w14:paraId="07A13B1B" w14:textId="382ADDD7" w:rsidR="009358C0" w:rsidRDefault="00000000">
          <w:pPr>
            <w:pStyle w:val="TOC1"/>
            <w:rPr>
              <w:rFonts w:cstheme="minorBidi"/>
              <w:b w:val="0"/>
              <w:bCs w:val="0"/>
              <w:caps w:val="0"/>
              <w:noProof/>
              <w:sz w:val="22"/>
              <w:szCs w:val="22"/>
            </w:rPr>
          </w:pPr>
          <w:hyperlink w:anchor="_Toc121313793" w:history="1">
            <w:r w:rsidR="009358C0" w:rsidRPr="001E762C">
              <w:rPr>
                <w:rStyle w:val="Hyperlink"/>
                <w:rFonts w:eastAsia="Century Gothic"/>
                <w:noProof/>
                <w:lang w:val="en-GB"/>
              </w:rPr>
              <w:t>7.</w:t>
            </w:r>
            <w:r w:rsidR="009358C0">
              <w:rPr>
                <w:rFonts w:cstheme="minorBidi"/>
                <w:b w:val="0"/>
                <w:bCs w:val="0"/>
                <w:caps w:val="0"/>
                <w:noProof/>
                <w:sz w:val="22"/>
                <w:szCs w:val="22"/>
              </w:rPr>
              <w:tab/>
            </w:r>
            <w:r w:rsidR="009358C0" w:rsidRPr="001E762C">
              <w:rPr>
                <w:rStyle w:val="Hyperlink"/>
                <w:rFonts w:eastAsia="Century Gothic"/>
                <w:noProof/>
                <w:lang w:val="en-GB"/>
              </w:rPr>
              <w:t>Roles and Responsibilities</w:t>
            </w:r>
            <w:r w:rsidR="009358C0">
              <w:rPr>
                <w:noProof/>
                <w:webHidden/>
              </w:rPr>
              <w:tab/>
            </w:r>
            <w:r w:rsidR="009358C0">
              <w:rPr>
                <w:noProof/>
                <w:webHidden/>
              </w:rPr>
              <w:fldChar w:fldCharType="begin"/>
            </w:r>
            <w:r w:rsidR="009358C0">
              <w:rPr>
                <w:noProof/>
                <w:webHidden/>
              </w:rPr>
              <w:instrText xml:space="preserve"> PAGEREF _Toc121313793 \h </w:instrText>
            </w:r>
            <w:r w:rsidR="009358C0">
              <w:rPr>
                <w:noProof/>
                <w:webHidden/>
              </w:rPr>
            </w:r>
            <w:r w:rsidR="009358C0">
              <w:rPr>
                <w:noProof/>
                <w:webHidden/>
              </w:rPr>
              <w:fldChar w:fldCharType="separate"/>
            </w:r>
            <w:r w:rsidR="009358C0">
              <w:rPr>
                <w:noProof/>
                <w:webHidden/>
              </w:rPr>
              <w:t>34</w:t>
            </w:r>
            <w:r w:rsidR="009358C0">
              <w:rPr>
                <w:noProof/>
                <w:webHidden/>
              </w:rPr>
              <w:fldChar w:fldCharType="end"/>
            </w:r>
          </w:hyperlink>
        </w:p>
        <w:p w14:paraId="4F65267E" w14:textId="38DA66A8" w:rsidR="009358C0" w:rsidRDefault="00000000">
          <w:pPr>
            <w:pStyle w:val="TOC1"/>
            <w:rPr>
              <w:rFonts w:cstheme="minorBidi"/>
              <w:b w:val="0"/>
              <w:bCs w:val="0"/>
              <w:caps w:val="0"/>
              <w:noProof/>
              <w:sz w:val="22"/>
              <w:szCs w:val="22"/>
            </w:rPr>
          </w:pPr>
          <w:hyperlink w:anchor="_Toc121313794" w:history="1">
            <w:r w:rsidR="009358C0" w:rsidRPr="001E762C">
              <w:rPr>
                <w:rStyle w:val="Hyperlink"/>
                <w:rFonts w:eastAsia="Century Gothic"/>
                <w:noProof/>
                <w:lang w:val="en-GB"/>
              </w:rPr>
              <w:t>8.</w:t>
            </w:r>
            <w:r w:rsidR="009358C0">
              <w:rPr>
                <w:rFonts w:cstheme="minorBidi"/>
                <w:b w:val="0"/>
                <w:bCs w:val="0"/>
                <w:caps w:val="0"/>
                <w:noProof/>
                <w:sz w:val="22"/>
                <w:szCs w:val="22"/>
              </w:rPr>
              <w:tab/>
            </w:r>
            <w:r w:rsidR="009358C0" w:rsidRPr="001E762C">
              <w:rPr>
                <w:rStyle w:val="Hyperlink"/>
                <w:rFonts w:eastAsia="Century Gothic"/>
                <w:noProof/>
                <w:lang w:val="en-GB"/>
              </w:rPr>
              <w:t>Management and Governance Structure of UNDP-Supported Guarantees</w:t>
            </w:r>
            <w:r w:rsidR="009358C0">
              <w:rPr>
                <w:noProof/>
                <w:webHidden/>
              </w:rPr>
              <w:tab/>
            </w:r>
            <w:r w:rsidR="009358C0">
              <w:rPr>
                <w:noProof/>
                <w:webHidden/>
              </w:rPr>
              <w:fldChar w:fldCharType="begin"/>
            </w:r>
            <w:r w:rsidR="009358C0">
              <w:rPr>
                <w:noProof/>
                <w:webHidden/>
              </w:rPr>
              <w:instrText xml:space="preserve"> PAGEREF _Toc121313794 \h </w:instrText>
            </w:r>
            <w:r w:rsidR="009358C0">
              <w:rPr>
                <w:noProof/>
                <w:webHidden/>
              </w:rPr>
            </w:r>
            <w:r w:rsidR="009358C0">
              <w:rPr>
                <w:noProof/>
                <w:webHidden/>
              </w:rPr>
              <w:fldChar w:fldCharType="separate"/>
            </w:r>
            <w:r w:rsidR="009358C0">
              <w:rPr>
                <w:noProof/>
                <w:webHidden/>
              </w:rPr>
              <w:t>36</w:t>
            </w:r>
            <w:r w:rsidR="009358C0">
              <w:rPr>
                <w:noProof/>
                <w:webHidden/>
              </w:rPr>
              <w:fldChar w:fldCharType="end"/>
            </w:r>
          </w:hyperlink>
        </w:p>
        <w:p w14:paraId="768285A3" w14:textId="7EA4AB50" w:rsidR="009358C0" w:rsidRDefault="00000000">
          <w:pPr>
            <w:pStyle w:val="TOC1"/>
            <w:rPr>
              <w:rFonts w:cstheme="minorBidi"/>
              <w:b w:val="0"/>
              <w:bCs w:val="0"/>
              <w:caps w:val="0"/>
              <w:noProof/>
              <w:sz w:val="22"/>
              <w:szCs w:val="22"/>
            </w:rPr>
          </w:pPr>
          <w:hyperlink w:anchor="_Toc121313795" w:history="1">
            <w:r w:rsidR="009358C0" w:rsidRPr="001E762C">
              <w:rPr>
                <w:rStyle w:val="Hyperlink"/>
                <w:noProof/>
              </w:rPr>
              <w:t>Annex 1: UNDP-UNCDF Collaboration Framework on Loans, Guarantees and Low-Value Grants (as approved by the EG in November 2018)</w:t>
            </w:r>
            <w:r w:rsidR="009358C0">
              <w:rPr>
                <w:noProof/>
                <w:webHidden/>
              </w:rPr>
              <w:tab/>
            </w:r>
            <w:r w:rsidR="009358C0">
              <w:rPr>
                <w:noProof/>
                <w:webHidden/>
              </w:rPr>
              <w:fldChar w:fldCharType="begin"/>
            </w:r>
            <w:r w:rsidR="009358C0">
              <w:rPr>
                <w:noProof/>
                <w:webHidden/>
              </w:rPr>
              <w:instrText xml:space="preserve"> PAGEREF _Toc121313795 \h </w:instrText>
            </w:r>
            <w:r w:rsidR="009358C0">
              <w:rPr>
                <w:noProof/>
                <w:webHidden/>
              </w:rPr>
            </w:r>
            <w:r w:rsidR="009358C0">
              <w:rPr>
                <w:noProof/>
                <w:webHidden/>
              </w:rPr>
              <w:fldChar w:fldCharType="separate"/>
            </w:r>
            <w:r w:rsidR="009358C0">
              <w:rPr>
                <w:noProof/>
                <w:webHidden/>
              </w:rPr>
              <w:t>40</w:t>
            </w:r>
            <w:r w:rsidR="009358C0">
              <w:rPr>
                <w:noProof/>
                <w:webHidden/>
              </w:rPr>
              <w:fldChar w:fldCharType="end"/>
            </w:r>
          </w:hyperlink>
        </w:p>
        <w:p w14:paraId="084DC491" w14:textId="4EBFF592" w:rsidR="009358C0" w:rsidRDefault="00000000">
          <w:pPr>
            <w:pStyle w:val="TOC1"/>
            <w:rPr>
              <w:rFonts w:cstheme="minorBidi"/>
              <w:b w:val="0"/>
              <w:bCs w:val="0"/>
              <w:caps w:val="0"/>
              <w:noProof/>
              <w:sz w:val="22"/>
              <w:szCs w:val="22"/>
            </w:rPr>
          </w:pPr>
          <w:hyperlink w:anchor="_Toc121313796" w:history="1">
            <w:r w:rsidR="009358C0" w:rsidRPr="001E762C">
              <w:rPr>
                <w:rStyle w:val="Hyperlink"/>
                <w:noProof/>
              </w:rPr>
              <w:t>Annex 2: Key Principles to be Included in Guarantee Issuer Agreements and Guarantee Agreements</w:t>
            </w:r>
            <w:r w:rsidR="009358C0">
              <w:rPr>
                <w:noProof/>
                <w:webHidden/>
              </w:rPr>
              <w:tab/>
            </w:r>
            <w:r w:rsidR="009358C0">
              <w:rPr>
                <w:noProof/>
                <w:webHidden/>
              </w:rPr>
              <w:fldChar w:fldCharType="begin"/>
            </w:r>
            <w:r w:rsidR="009358C0">
              <w:rPr>
                <w:noProof/>
                <w:webHidden/>
              </w:rPr>
              <w:instrText xml:space="preserve"> PAGEREF _Toc121313796 \h </w:instrText>
            </w:r>
            <w:r w:rsidR="009358C0">
              <w:rPr>
                <w:noProof/>
                <w:webHidden/>
              </w:rPr>
            </w:r>
            <w:r w:rsidR="009358C0">
              <w:rPr>
                <w:noProof/>
                <w:webHidden/>
              </w:rPr>
              <w:fldChar w:fldCharType="separate"/>
            </w:r>
            <w:r w:rsidR="009358C0">
              <w:rPr>
                <w:noProof/>
                <w:webHidden/>
              </w:rPr>
              <w:t>44</w:t>
            </w:r>
            <w:r w:rsidR="009358C0">
              <w:rPr>
                <w:noProof/>
                <w:webHidden/>
              </w:rPr>
              <w:fldChar w:fldCharType="end"/>
            </w:r>
          </w:hyperlink>
        </w:p>
        <w:p w14:paraId="2A7A9604" w14:textId="13642838" w:rsidR="009358C0" w:rsidRDefault="00000000">
          <w:pPr>
            <w:pStyle w:val="TOC1"/>
            <w:rPr>
              <w:rFonts w:cstheme="minorBidi"/>
              <w:b w:val="0"/>
              <w:bCs w:val="0"/>
              <w:caps w:val="0"/>
              <w:noProof/>
              <w:sz w:val="22"/>
              <w:szCs w:val="22"/>
            </w:rPr>
          </w:pPr>
          <w:hyperlink w:anchor="_Toc121313797" w:history="1">
            <w:r w:rsidR="009358C0" w:rsidRPr="001E762C">
              <w:rPr>
                <w:rStyle w:val="Hyperlink"/>
                <w:noProof/>
              </w:rPr>
              <w:t>Annex 3: Good Practices for Lending</w:t>
            </w:r>
            <w:r w:rsidR="009358C0">
              <w:rPr>
                <w:noProof/>
                <w:webHidden/>
              </w:rPr>
              <w:tab/>
            </w:r>
            <w:r w:rsidR="009358C0">
              <w:rPr>
                <w:noProof/>
                <w:webHidden/>
              </w:rPr>
              <w:fldChar w:fldCharType="begin"/>
            </w:r>
            <w:r w:rsidR="009358C0">
              <w:rPr>
                <w:noProof/>
                <w:webHidden/>
              </w:rPr>
              <w:instrText xml:space="preserve"> PAGEREF _Toc121313797 \h </w:instrText>
            </w:r>
            <w:r w:rsidR="009358C0">
              <w:rPr>
                <w:noProof/>
                <w:webHidden/>
              </w:rPr>
            </w:r>
            <w:r w:rsidR="009358C0">
              <w:rPr>
                <w:noProof/>
                <w:webHidden/>
              </w:rPr>
              <w:fldChar w:fldCharType="separate"/>
            </w:r>
            <w:r w:rsidR="009358C0">
              <w:rPr>
                <w:noProof/>
                <w:webHidden/>
              </w:rPr>
              <w:t>46</w:t>
            </w:r>
            <w:r w:rsidR="009358C0">
              <w:rPr>
                <w:noProof/>
                <w:webHidden/>
              </w:rPr>
              <w:fldChar w:fldCharType="end"/>
            </w:r>
          </w:hyperlink>
        </w:p>
        <w:p w14:paraId="3BD9D8CB" w14:textId="2692B590" w:rsidR="009358C0" w:rsidRDefault="00000000">
          <w:pPr>
            <w:pStyle w:val="TOC1"/>
            <w:rPr>
              <w:rFonts w:cstheme="minorBidi"/>
              <w:b w:val="0"/>
              <w:bCs w:val="0"/>
              <w:caps w:val="0"/>
              <w:noProof/>
              <w:sz w:val="22"/>
              <w:szCs w:val="22"/>
            </w:rPr>
          </w:pPr>
          <w:hyperlink w:anchor="_Toc121313798" w:history="1">
            <w:r w:rsidR="009358C0" w:rsidRPr="001E762C">
              <w:rPr>
                <w:rStyle w:val="Hyperlink"/>
                <w:noProof/>
              </w:rPr>
              <w:t>Annex 4: Procurement Guarantees</w:t>
            </w:r>
            <w:r w:rsidR="009358C0">
              <w:rPr>
                <w:noProof/>
                <w:webHidden/>
              </w:rPr>
              <w:tab/>
            </w:r>
            <w:r w:rsidR="009358C0">
              <w:rPr>
                <w:noProof/>
                <w:webHidden/>
              </w:rPr>
              <w:fldChar w:fldCharType="begin"/>
            </w:r>
            <w:r w:rsidR="009358C0">
              <w:rPr>
                <w:noProof/>
                <w:webHidden/>
              </w:rPr>
              <w:instrText xml:space="preserve"> PAGEREF _Toc121313798 \h </w:instrText>
            </w:r>
            <w:r w:rsidR="009358C0">
              <w:rPr>
                <w:noProof/>
                <w:webHidden/>
              </w:rPr>
            </w:r>
            <w:r w:rsidR="009358C0">
              <w:rPr>
                <w:noProof/>
                <w:webHidden/>
              </w:rPr>
              <w:fldChar w:fldCharType="separate"/>
            </w:r>
            <w:r w:rsidR="009358C0">
              <w:rPr>
                <w:noProof/>
                <w:webHidden/>
              </w:rPr>
              <w:t>49</w:t>
            </w:r>
            <w:r w:rsidR="009358C0">
              <w:rPr>
                <w:noProof/>
                <w:webHidden/>
              </w:rPr>
              <w:fldChar w:fldCharType="end"/>
            </w:r>
          </w:hyperlink>
        </w:p>
        <w:p w14:paraId="755FCC8B" w14:textId="2F5EA635" w:rsidR="002C5B20" w:rsidRDefault="002C5B20">
          <w:r>
            <w:rPr>
              <w:b/>
              <w:bCs/>
              <w:noProof/>
            </w:rPr>
            <w:fldChar w:fldCharType="end"/>
          </w:r>
        </w:p>
      </w:sdtContent>
    </w:sdt>
    <w:p w14:paraId="7736F7AA" w14:textId="38E420AE" w:rsidR="002C5B20" w:rsidRDefault="002C5B20">
      <w:pPr>
        <w:rPr>
          <w:rFonts w:eastAsia="Times New Roman" w:cs="Times New Roman"/>
          <w:b/>
          <w:bCs/>
          <w:color w:val="000000" w:themeColor="text1"/>
          <w:sz w:val="28"/>
          <w:szCs w:val="28"/>
          <w:lang w:val="en-GB"/>
        </w:rPr>
      </w:pPr>
      <w:r>
        <w:rPr>
          <w:color w:val="000000" w:themeColor="text1"/>
          <w:lang w:val="en-GB"/>
        </w:rPr>
        <w:br w:type="page"/>
      </w:r>
    </w:p>
    <w:p w14:paraId="12C828AD" w14:textId="77777777" w:rsidR="007969B4" w:rsidRPr="00EE65EB" w:rsidRDefault="007969B4" w:rsidP="00251237">
      <w:pPr>
        <w:pStyle w:val="Heading1"/>
        <w:numPr>
          <w:ilvl w:val="0"/>
          <w:numId w:val="2"/>
        </w:numPr>
        <w:spacing w:before="0"/>
        <w:ind w:left="360" w:right="6"/>
        <w:rPr>
          <w:rFonts w:asciiTheme="minorHAnsi" w:hAnsiTheme="minorHAnsi"/>
          <w:color w:val="000000" w:themeColor="text1"/>
          <w:lang w:val="en-GB"/>
        </w:rPr>
      </w:pPr>
      <w:bookmarkStart w:id="3" w:name="_Toc2339893"/>
      <w:bookmarkStart w:id="4" w:name="_Toc121313753"/>
      <w:r w:rsidRPr="00EE65EB">
        <w:rPr>
          <w:rFonts w:asciiTheme="minorHAnsi" w:hAnsiTheme="minorHAnsi"/>
          <w:color w:val="000000" w:themeColor="text1"/>
          <w:lang w:val="en-GB"/>
        </w:rPr>
        <w:lastRenderedPageBreak/>
        <w:t>Introduction</w:t>
      </w:r>
      <w:bookmarkEnd w:id="2"/>
      <w:bookmarkEnd w:id="1"/>
      <w:bookmarkEnd w:id="0"/>
      <w:bookmarkEnd w:id="3"/>
      <w:bookmarkEnd w:id="4"/>
    </w:p>
    <w:p w14:paraId="23CD2853" w14:textId="77777777" w:rsidR="007969B4" w:rsidRPr="00EE65EB" w:rsidRDefault="007969B4" w:rsidP="007969B4">
      <w:pPr>
        <w:spacing w:after="0" w:line="240" w:lineRule="auto"/>
        <w:jc w:val="both"/>
        <w:rPr>
          <w:color w:val="000000" w:themeColor="text1"/>
          <w:lang w:val="en-GB"/>
        </w:rPr>
      </w:pPr>
    </w:p>
    <w:p w14:paraId="1090C9D4" w14:textId="7441FDAF" w:rsidR="007969B4" w:rsidRDefault="007969B4" w:rsidP="00F152BC">
      <w:pPr>
        <w:spacing w:line="276" w:lineRule="auto"/>
        <w:jc w:val="both"/>
        <w:rPr>
          <w:color w:val="000000" w:themeColor="text1"/>
          <w:lang w:val="en-GB"/>
        </w:rPr>
      </w:pPr>
      <w:r w:rsidRPr="00EE65EB">
        <w:rPr>
          <w:color w:val="000000" w:themeColor="text1"/>
          <w:lang w:val="en-GB"/>
        </w:rPr>
        <w:t xml:space="preserve">The </w:t>
      </w:r>
      <w:r w:rsidRPr="004146D4">
        <w:rPr>
          <w:color w:val="000000" w:themeColor="text1"/>
          <w:lang w:val="en-GB"/>
        </w:rPr>
        <w:t xml:space="preserve">2030 Agenda for Sustainable Development sets out ambitious, transformative goals for the global community, matched by unprecedented financing needs. To meet this financing need, the Addis Ababa Action Agenda calls not only for far greater financial resources to advance the 2030 Agenda, but also for new and innovative instruments to deliver these resources. Through the initiation </w:t>
      </w:r>
      <w:r>
        <w:rPr>
          <w:color w:val="000000" w:themeColor="text1"/>
          <w:lang w:val="en-GB"/>
        </w:rPr>
        <w:t xml:space="preserve">of a </w:t>
      </w:r>
      <w:r w:rsidR="002653FD">
        <w:rPr>
          <w:color w:val="000000" w:themeColor="text1"/>
          <w:lang w:val="en-GB"/>
        </w:rPr>
        <w:t xml:space="preserve">UNDP-supported </w:t>
      </w:r>
      <w:r>
        <w:rPr>
          <w:color w:val="000000" w:themeColor="text1"/>
          <w:lang w:val="en-GB"/>
        </w:rPr>
        <w:t>Guarantees Program</w:t>
      </w:r>
      <w:r w:rsidRPr="004146D4">
        <w:rPr>
          <w:color w:val="000000" w:themeColor="text1"/>
          <w:lang w:val="en-GB"/>
        </w:rPr>
        <w:t xml:space="preserve">, UNDP aims to </w:t>
      </w:r>
      <w:r>
        <w:rPr>
          <w:color w:val="000000" w:themeColor="text1"/>
          <w:lang w:val="en-GB"/>
        </w:rPr>
        <w:t>strategically create new opportunities to mobilize additional funds and broaden the base of actors contributing to development finance.</w:t>
      </w:r>
      <w:r w:rsidRPr="004146D4">
        <w:rPr>
          <w:color w:val="000000" w:themeColor="text1"/>
          <w:lang w:val="en-GB"/>
        </w:rPr>
        <w:t xml:space="preserve"> </w:t>
      </w:r>
    </w:p>
    <w:p w14:paraId="1D9B7D0B" w14:textId="4D2BB020" w:rsidR="00335969" w:rsidRPr="00335969" w:rsidRDefault="007969B4" w:rsidP="00335969">
      <w:pPr>
        <w:spacing w:line="276" w:lineRule="auto"/>
        <w:jc w:val="both"/>
        <w:rPr>
          <w:color w:val="000000" w:themeColor="text1"/>
        </w:rPr>
      </w:pPr>
      <w:r>
        <w:rPr>
          <w:color w:val="000000" w:themeColor="text1"/>
          <w:lang w:val="en-GB"/>
        </w:rPr>
        <w:t xml:space="preserve">This offering of </w:t>
      </w:r>
      <w:r w:rsidR="002653FD">
        <w:rPr>
          <w:color w:val="000000" w:themeColor="text1"/>
          <w:lang w:val="en-GB"/>
        </w:rPr>
        <w:t xml:space="preserve">UNDP-supported </w:t>
      </w:r>
      <w:r>
        <w:rPr>
          <w:color w:val="000000" w:themeColor="text1"/>
          <w:lang w:val="en-GB"/>
        </w:rPr>
        <w:t xml:space="preserve">guarantees is also in line with </w:t>
      </w:r>
      <w:r w:rsidRPr="006D0233">
        <w:rPr>
          <w:color w:val="000000" w:themeColor="text1"/>
          <w:lang w:val="en-GB"/>
        </w:rPr>
        <w:t xml:space="preserve">UNDP’s vision of </w:t>
      </w:r>
      <w:r w:rsidR="008F2D4F">
        <w:rPr>
          <w:color w:val="000000" w:themeColor="text1"/>
          <w:lang w:val="en-GB"/>
        </w:rPr>
        <w:t>supplementing</w:t>
      </w:r>
      <w:r w:rsidRPr="006D0233">
        <w:rPr>
          <w:color w:val="000000" w:themeColor="text1"/>
          <w:lang w:val="en-GB"/>
        </w:rPr>
        <w:t xml:space="preserve"> "funding” </w:t>
      </w:r>
      <w:r w:rsidRPr="006D0233">
        <w:rPr>
          <w:i/>
          <w:color w:val="000000" w:themeColor="text1"/>
          <w:lang w:val="en-GB"/>
        </w:rPr>
        <w:t>(administering grant-funded development projects)</w:t>
      </w:r>
      <w:r w:rsidRPr="006D0233">
        <w:rPr>
          <w:color w:val="000000" w:themeColor="text1"/>
          <w:lang w:val="en-GB"/>
        </w:rPr>
        <w:t xml:space="preserve"> </w:t>
      </w:r>
      <w:r w:rsidR="00F77896">
        <w:rPr>
          <w:color w:val="000000" w:themeColor="text1"/>
          <w:lang w:val="en-GB"/>
        </w:rPr>
        <w:t>with</w:t>
      </w:r>
      <w:r w:rsidR="00F77896" w:rsidRPr="006D0233">
        <w:rPr>
          <w:color w:val="000000" w:themeColor="text1"/>
          <w:lang w:val="en-GB"/>
        </w:rPr>
        <w:t xml:space="preserve"> </w:t>
      </w:r>
      <w:r w:rsidRPr="006D0233">
        <w:rPr>
          <w:color w:val="000000" w:themeColor="text1"/>
          <w:lang w:val="en-GB"/>
        </w:rPr>
        <w:t xml:space="preserve">“financing” </w:t>
      </w:r>
      <w:r w:rsidRPr="006D0233">
        <w:rPr>
          <w:i/>
          <w:color w:val="000000" w:themeColor="text1"/>
          <w:lang w:val="en-GB"/>
        </w:rPr>
        <w:t>(</w:t>
      </w:r>
      <w:r w:rsidR="0062390B">
        <w:rPr>
          <w:i/>
          <w:color w:val="000000" w:themeColor="text1"/>
          <w:lang w:val="en-GB"/>
        </w:rPr>
        <w:t xml:space="preserve">in addition to providing funding, to </w:t>
      </w:r>
      <w:r w:rsidRPr="006D0233">
        <w:rPr>
          <w:i/>
          <w:color w:val="000000" w:themeColor="text1"/>
          <w:lang w:val="en-GB"/>
        </w:rPr>
        <w:t>assist countries to access, combine and sequence a diverse set of financial flows to achieve sustainable development results)</w:t>
      </w:r>
      <w:r>
        <w:rPr>
          <w:color w:val="000000" w:themeColor="text1"/>
          <w:lang w:val="en-GB"/>
        </w:rPr>
        <w:t>. In</w:t>
      </w:r>
      <w:r w:rsidR="00233B2F">
        <w:rPr>
          <w:color w:val="000000" w:themeColor="text1"/>
          <w:lang w:val="en-GB"/>
        </w:rPr>
        <w:t xml:space="preserve"> structuring and</w:t>
      </w:r>
      <w:r>
        <w:rPr>
          <w:color w:val="000000" w:themeColor="text1"/>
          <w:lang w:val="en-GB"/>
        </w:rPr>
        <w:t xml:space="preserve"> issuing </w:t>
      </w:r>
      <w:r w:rsidR="002653FD">
        <w:rPr>
          <w:color w:val="000000" w:themeColor="text1"/>
          <w:lang w:val="en-GB"/>
        </w:rPr>
        <w:t xml:space="preserve">UNDP-supported </w:t>
      </w:r>
      <w:r>
        <w:rPr>
          <w:color w:val="000000" w:themeColor="text1"/>
          <w:lang w:val="en-GB"/>
        </w:rPr>
        <w:t xml:space="preserve">guarantees, UNDP </w:t>
      </w:r>
      <w:r w:rsidR="006D16C5">
        <w:rPr>
          <w:color w:val="000000" w:themeColor="text1"/>
          <w:lang w:val="en-GB"/>
        </w:rPr>
        <w:t xml:space="preserve">means to complement </w:t>
      </w:r>
      <w:r w:rsidR="009C4994">
        <w:rPr>
          <w:color w:val="000000" w:themeColor="text1"/>
          <w:lang w:val="en-GB"/>
        </w:rPr>
        <w:t xml:space="preserve">UNDP’s use of grants </w:t>
      </w:r>
      <w:r w:rsidR="006D16C5">
        <w:rPr>
          <w:color w:val="000000" w:themeColor="text1"/>
          <w:lang w:val="en-GB"/>
        </w:rPr>
        <w:t xml:space="preserve">and expand the scope of financial instruments currently in use to </w:t>
      </w:r>
      <w:r>
        <w:rPr>
          <w:color w:val="000000" w:themeColor="text1"/>
          <w:lang w:val="en-GB"/>
        </w:rPr>
        <w:t>increase its relevance as a convener of development finance at the national</w:t>
      </w:r>
      <w:r w:rsidR="002216FD">
        <w:rPr>
          <w:color w:val="000000" w:themeColor="text1"/>
          <w:lang w:val="en-GB"/>
        </w:rPr>
        <w:t xml:space="preserve"> level</w:t>
      </w:r>
      <w:r>
        <w:rPr>
          <w:color w:val="000000" w:themeColor="text1"/>
          <w:lang w:val="en-GB"/>
        </w:rPr>
        <w:t xml:space="preserve">. </w:t>
      </w:r>
      <w:r w:rsidR="00335969">
        <w:rPr>
          <w:color w:val="000000" w:themeColor="text1"/>
          <w:lang w:val="en-GB"/>
        </w:rPr>
        <w:t>Notably, guarantees provide</w:t>
      </w:r>
      <w:r w:rsidR="00335969" w:rsidRPr="00335969">
        <w:rPr>
          <w:color w:val="000000" w:themeColor="text1"/>
        </w:rPr>
        <w:t xml:space="preserve"> more rational choices abou</w:t>
      </w:r>
      <w:r w:rsidR="00335969">
        <w:rPr>
          <w:color w:val="000000" w:themeColor="text1"/>
        </w:rPr>
        <w:t>t appropriate financing tools</w:t>
      </w:r>
      <w:r w:rsidR="00F77896">
        <w:rPr>
          <w:color w:val="000000" w:themeColor="text1"/>
        </w:rPr>
        <w:t xml:space="preserve"> </w:t>
      </w:r>
      <w:r w:rsidR="00335969">
        <w:rPr>
          <w:color w:val="000000" w:themeColor="text1"/>
        </w:rPr>
        <w:t>—</w:t>
      </w:r>
      <w:r w:rsidR="00F77896">
        <w:rPr>
          <w:color w:val="000000" w:themeColor="text1"/>
        </w:rPr>
        <w:t xml:space="preserve"> </w:t>
      </w:r>
      <w:r w:rsidR="00335969" w:rsidRPr="00335969">
        <w:rPr>
          <w:color w:val="000000" w:themeColor="text1"/>
        </w:rPr>
        <w:t>loans, guaran</w:t>
      </w:r>
      <w:r w:rsidR="00335969">
        <w:rPr>
          <w:color w:val="000000" w:themeColor="text1"/>
        </w:rPr>
        <w:t>tees, grants or a combination</w:t>
      </w:r>
      <w:r w:rsidR="00F77896">
        <w:rPr>
          <w:color w:val="000000" w:themeColor="text1"/>
        </w:rPr>
        <w:t xml:space="preserve"> </w:t>
      </w:r>
      <w:r w:rsidR="00335969">
        <w:rPr>
          <w:color w:val="000000" w:themeColor="text1"/>
        </w:rPr>
        <w:t>—</w:t>
      </w:r>
      <w:r w:rsidR="00F77896">
        <w:rPr>
          <w:color w:val="000000" w:themeColor="text1"/>
        </w:rPr>
        <w:t xml:space="preserve"> </w:t>
      </w:r>
      <w:r w:rsidR="00335969" w:rsidRPr="00335969">
        <w:rPr>
          <w:color w:val="000000" w:themeColor="text1"/>
        </w:rPr>
        <w:t xml:space="preserve">used in project development. </w:t>
      </w:r>
      <w:r w:rsidR="00444330">
        <w:rPr>
          <w:color w:val="000000" w:themeColor="text1"/>
        </w:rPr>
        <w:t>M</w:t>
      </w:r>
      <w:r w:rsidR="008F2D4F" w:rsidRPr="008F2D4F">
        <w:rPr>
          <w:color w:val="000000" w:themeColor="text1"/>
        </w:rPr>
        <w:t xml:space="preserve">arket </w:t>
      </w:r>
      <w:r w:rsidR="00EC39D4">
        <w:rPr>
          <w:color w:val="000000" w:themeColor="text1"/>
        </w:rPr>
        <w:t xml:space="preserve">surveys </w:t>
      </w:r>
      <w:r w:rsidR="008F2D4F" w:rsidRPr="008F2D4F">
        <w:rPr>
          <w:color w:val="000000" w:themeColor="text1"/>
        </w:rPr>
        <w:t xml:space="preserve">continue to reiterate the importance of guarantees in mobilizing private capital towards the Sustainable Development Goals (SDGs).  </w:t>
      </w:r>
      <w:r w:rsidR="00F77F7A">
        <w:t>According to a recent OECD surve</w:t>
      </w:r>
      <w:r w:rsidR="00270620">
        <w:t>y,</w:t>
      </w:r>
      <w:r w:rsidR="00270620">
        <w:rPr>
          <w:rStyle w:val="FootnoteReference"/>
        </w:rPr>
        <w:footnoteReference w:id="2"/>
      </w:r>
      <w:r w:rsidR="00F77F7A">
        <w:t xml:space="preserve"> cumulatively, since 2012 blended finance instruments have mobilized US$257.7bn in private sector resources. </w:t>
      </w:r>
      <w:r w:rsidR="00F77F7A" w:rsidRPr="002241A2">
        <w:rPr>
          <w:b/>
          <w:bCs/>
        </w:rPr>
        <w:t>Guarantees have been either the largest or second largest catalyst</w:t>
      </w:r>
      <w:r w:rsidR="00F77F7A">
        <w:t xml:space="preserve"> in achieving this resource mobilization result and have become recognized as </w:t>
      </w:r>
      <w:r w:rsidR="00F77F7A" w:rsidRPr="00012FCF">
        <w:rPr>
          <w:b/>
          <w:bCs/>
        </w:rPr>
        <w:t>one of the most prevalent and effective instruments</w:t>
      </w:r>
      <w:r w:rsidR="00F77F7A">
        <w:t>.</w:t>
      </w:r>
    </w:p>
    <w:p w14:paraId="7118DD38" w14:textId="1EA53591" w:rsidR="007969B4" w:rsidRPr="00ED7D61" w:rsidRDefault="00BC0488" w:rsidP="00F152BC">
      <w:pPr>
        <w:spacing w:line="276" w:lineRule="auto"/>
        <w:jc w:val="both"/>
        <w:rPr>
          <w:color w:val="000000" w:themeColor="text1"/>
        </w:rPr>
      </w:pPr>
      <w:r>
        <w:rPr>
          <w:color w:val="000000" w:themeColor="text1"/>
          <w:lang w:val="en-GB"/>
        </w:rPr>
        <w:t>In addition</w:t>
      </w:r>
      <w:r w:rsidR="005121C8">
        <w:rPr>
          <w:color w:val="000000" w:themeColor="text1"/>
          <w:lang w:val="en-GB"/>
        </w:rPr>
        <w:t xml:space="preserve"> to alignment with UNDP’s framework for programming</w:t>
      </w:r>
      <w:r w:rsidR="007969B4">
        <w:rPr>
          <w:color w:val="000000" w:themeColor="text1"/>
          <w:lang w:val="en-GB"/>
        </w:rPr>
        <w:t xml:space="preserve">, the financial </w:t>
      </w:r>
      <w:r w:rsidR="00CA702A">
        <w:rPr>
          <w:color w:val="000000" w:themeColor="text1"/>
          <w:lang w:val="en-GB"/>
        </w:rPr>
        <w:t xml:space="preserve">viability </w:t>
      </w:r>
      <w:r w:rsidR="007969B4">
        <w:rPr>
          <w:color w:val="000000" w:themeColor="text1"/>
          <w:lang w:val="en-GB"/>
        </w:rPr>
        <w:t xml:space="preserve">of the </w:t>
      </w:r>
      <w:r w:rsidR="00591E00">
        <w:rPr>
          <w:color w:val="000000" w:themeColor="text1"/>
          <w:lang w:val="en-GB"/>
        </w:rPr>
        <w:t xml:space="preserve">underlying project as well as </w:t>
      </w:r>
      <w:r w:rsidR="00E16FA5">
        <w:rPr>
          <w:color w:val="000000" w:themeColor="text1"/>
          <w:lang w:val="en-GB"/>
        </w:rPr>
        <w:t xml:space="preserve">the costs of </w:t>
      </w:r>
      <w:r w:rsidR="00591E00">
        <w:rPr>
          <w:color w:val="000000" w:themeColor="text1"/>
          <w:lang w:val="en-GB"/>
        </w:rPr>
        <w:t xml:space="preserve">UNDP </w:t>
      </w:r>
      <w:r w:rsidR="00E16FA5">
        <w:rPr>
          <w:color w:val="000000" w:themeColor="text1"/>
          <w:lang w:val="en-GB"/>
        </w:rPr>
        <w:t xml:space="preserve">in supporting </w:t>
      </w:r>
      <w:r w:rsidR="00591E00">
        <w:rPr>
          <w:color w:val="000000" w:themeColor="text1"/>
          <w:lang w:val="en-GB"/>
        </w:rPr>
        <w:t>guarantee</w:t>
      </w:r>
      <w:r w:rsidR="007969B4">
        <w:rPr>
          <w:color w:val="000000" w:themeColor="text1"/>
          <w:lang w:val="en-GB"/>
        </w:rPr>
        <w:t xml:space="preserve">s </w:t>
      </w:r>
      <w:r w:rsidR="00591E00">
        <w:rPr>
          <w:color w:val="000000" w:themeColor="text1"/>
          <w:lang w:val="en-GB"/>
        </w:rPr>
        <w:t xml:space="preserve">needs </w:t>
      </w:r>
      <w:r w:rsidR="007969B4">
        <w:rPr>
          <w:color w:val="000000" w:themeColor="text1"/>
          <w:lang w:val="en-GB"/>
        </w:rPr>
        <w:t xml:space="preserve">to </w:t>
      </w:r>
      <w:r w:rsidR="00591E00">
        <w:rPr>
          <w:color w:val="000000" w:themeColor="text1"/>
          <w:lang w:val="en-GB"/>
        </w:rPr>
        <w:t xml:space="preserve">be </w:t>
      </w:r>
      <w:r w:rsidR="007969B4">
        <w:rPr>
          <w:color w:val="000000" w:themeColor="text1"/>
          <w:lang w:val="en-GB"/>
        </w:rPr>
        <w:t xml:space="preserve">considered during the design of guarantee </w:t>
      </w:r>
      <w:r w:rsidR="00591E00">
        <w:rPr>
          <w:color w:val="000000" w:themeColor="text1"/>
          <w:lang w:val="en-GB"/>
        </w:rPr>
        <w:t>interventions</w:t>
      </w:r>
      <w:r w:rsidR="007969B4">
        <w:rPr>
          <w:color w:val="000000" w:themeColor="text1"/>
          <w:lang w:val="en-GB"/>
        </w:rPr>
        <w:t xml:space="preserve">. Guarantees should not be designed to make unbankable projects viable but should be </w:t>
      </w:r>
      <w:r w:rsidR="00835391">
        <w:rPr>
          <w:color w:val="000000" w:themeColor="text1"/>
          <w:lang w:val="en-GB"/>
        </w:rPr>
        <w:t xml:space="preserve">thought of as addressing market </w:t>
      </w:r>
      <w:r w:rsidR="00A4082E">
        <w:rPr>
          <w:color w:val="000000" w:themeColor="text1"/>
          <w:lang w:val="en-GB"/>
        </w:rPr>
        <w:t>imperfections and</w:t>
      </w:r>
      <w:r w:rsidR="00835391">
        <w:rPr>
          <w:color w:val="000000" w:themeColor="text1"/>
          <w:lang w:val="en-GB"/>
        </w:rPr>
        <w:t xml:space="preserve"> </w:t>
      </w:r>
      <w:r w:rsidR="007969B4">
        <w:rPr>
          <w:color w:val="000000" w:themeColor="text1"/>
          <w:lang w:val="en-GB"/>
        </w:rPr>
        <w:t>provided to projects that are commercially viable but face additional barriers to financing.</w:t>
      </w:r>
      <w:r w:rsidR="00835391">
        <w:rPr>
          <w:color w:val="000000" w:themeColor="text1"/>
          <w:lang w:val="en-GB"/>
        </w:rPr>
        <w:t xml:space="preserve"> </w:t>
      </w:r>
      <w:r w:rsidR="00835391" w:rsidRPr="00835391">
        <w:rPr>
          <w:color w:val="000000" w:themeColor="text1"/>
        </w:rPr>
        <w:t xml:space="preserve">Activities eligible for </w:t>
      </w:r>
      <w:r w:rsidR="002653FD">
        <w:rPr>
          <w:color w:val="000000" w:themeColor="text1"/>
        </w:rPr>
        <w:t xml:space="preserve">UNDP-supported </w:t>
      </w:r>
      <w:r w:rsidR="00835391">
        <w:rPr>
          <w:color w:val="000000" w:themeColor="text1"/>
        </w:rPr>
        <w:t xml:space="preserve">guarantee </w:t>
      </w:r>
      <w:r w:rsidR="00835391" w:rsidRPr="00835391">
        <w:rPr>
          <w:color w:val="000000" w:themeColor="text1"/>
        </w:rPr>
        <w:t>financing shall have positive financial rates of return.</w:t>
      </w:r>
      <w:r w:rsidR="00905647">
        <w:rPr>
          <w:color w:val="000000" w:themeColor="text1"/>
        </w:rPr>
        <w:t xml:space="preserve"> </w:t>
      </w:r>
      <w:r w:rsidR="00905647" w:rsidRPr="00C33AB6">
        <w:rPr>
          <w:color w:val="000000" w:themeColor="text1"/>
          <w:lang w:val="en-GB"/>
        </w:rPr>
        <w:t>Experience has shown that guarantee</w:t>
      </w:r>
      <w:r w:rsidR="00905647">
        <w:rPr>
          <w:color w:val="000000" w:themeColor="text1"/>
          <w:lang w:val="en-GB"/>
        </w:rPr>
        <w:t xml:space="preserve">s </w:t>
      </w:r>
      <w:r w:rsidR="00905647" w:rsidRPr="00C33AB6">
        <w:rPr>
          <w:color w:val="000000" w:themeColor="text1"/>
          <w:lang w:val="en-GB"/>
        </w:rPr>
        <w:t>are not tools to solve the problems</w:t>
      </w:r>
      <w:r w:rsidR="00905647">
        <w:rPr>
          <w:color w:val="000000" w:themeColor="text1"/>
          <w:lang w:val="en-GB"/>
        </w:rPr>
        <w:t xml:space="preserve"> </w:t>
      </w:r>
      <w:r w:rsidR="00905647" w:rsidRPr="00C33AB6">
        <w:rPr>
          <w:color w:val="000000" w:themeColor="text1"/>
          <w:lang w:val="en-GB"/>
        </w:rPr>
        <w:t xml:space="preserve">of weak </w:t>
      </w:r>
      <w:r w:rsidR="00905647">
        <w:rPr>
          <w:color w:val="000000" w:themeColor="text1"/>
          <w:lang w:val="en-GB"/>
        </w:rPr>
        <w:t xml:space="preserve">enterprises, lack of an enabling environment, </w:t>
      </w:r>
      <w:r w:rsidR="00905647" w:rsidRPr="00C33AB6">
        <w:rPr>
          <w:color w:val="000000" w:themeColor="text1"/>
          <w:lang w:val="en-GB"/>
        </w:rPr>
        <w:t>poorly performing banks</w:t>
      </w:r>
      <w:r w:rsidR="00905647">
        <w:rPr>
          <w:color w:val="000000" w:themeColor="text1"/>
          <w:lang w:val="en-GB"/>
        </w:rPr>
        <w:t xml:space="preserve"> or insolvent public entities. </w:t>
      </w:r>
      <w:r w:rsidR="007969B4">
        <w:rPr>
          <w:color w:val="000000" w:themeColor="text1"/>
          <w:lang w:val="en-GB"/>
        </w:rPr>
        <w:t xml:space="preserve">Striking the right balance between development impact of a guarantee and the financial sustainability will be critical in the design and implementation of </w:t>
      </w:r>
      <w:r w:rsidR="002653FD">
        <w:rPr>
          <w:color w:val="000000" w:themeColor="text1"/>
          <w:lang w:val="en-GB"/>
        </w:rPr>
        <w:t xml:space="preserve">UNDP-supported </w:t>
      </w:r>
      <w:r w:rsidR="007969B4">
        <w:rPr>
          <w:color w:val="000000" w:themeColor="text1"/>
          <w:lang w:val="en-GB"/>
        </w:rPr>
        <w:t>guarantee transactions.</w:t>
      </w:r>
      <w:r w:rsidR="00835391">
        <w:rPr>
          <w:color w:val="000000" w:themeColor="text1"/>
          <w:lang w:val="en-GB"/>
        </w:rPr>
        <w:t xml:space="preserve"> Along this vein, this</w:t>
      </w:r>
      <w:r w:rsidR="00D11BD7">
        <w:rPr>
          <w:color w:val="000000" w:themeColor="text1"/>
          <w:lang w:val="en-GB"/>
        </w:rPr>
        <w:t xml:space="preserve"> </w:t>
      </w:r>
      <w:r w:rsidR="002653FD">
        <w:rPr>
          <w:color w:val="000000" w:themeColor="text1"/>
          <w:lang w:val="en-GB"/>
        </w:rPr>
        <w:t xml:space="preserve">UNDP-supported </w:t>
      </w:r>
      <w:r w:rsidR="00D11BD7">
        <w:rPr>
          <w:color w:val="000000" w:themeColor="text1"/>
          <w:lang w:val="en-GB"/>
        </w:rPr>
        <w:t xml:space="preserve">guarantees facility </w:t>
      </w:r>
      <w:r w:rsidR="00835391" w:rsidRPr="00835391">
        <w:rPr>
          <w:color w:val="000000" w:themeColor="text1"/>
        </w:rPr>
        <w:t xml:space="preserve">is intended to produce greater development impact and increase </w:t>
      </w:r>
      <w:r w:rsidR="00835391">
        <w:rPr>
          <w:color w:val="000000" w:themeColor="text1"/>
        </w:rPr>
        <w:t>our on-the-ground</w:t>
      </w:r>
      <w:r w:rsidR="00835391" w:rsidRPr="00835391">
        <w:rPr>
          <w:color w:val="000000" w:themeColor="text1"/>
        </w:rPr>
        <w:t xml:space="preserve"> performance in </w:t>
      </w:r>
      <w:r w:rsidR="00835391">
        <w:rPr>
          <w:color w:val="000000" w:themeColor="text1"/>
        </w:rPr>
        <w:t>our member states</w:t>
      </w:r>
      <w:r w:rsidR="00835391" w:rsidRPr="00835391">
        <w:rPr>
          <w:color w:val="000000" w:themeColor="text1"/>
        </w:rPr>
        <w:t xml:space="preserve"> in support of </w:t>
      </w:r>
      <w:r w:rsidR="00835391">
        <w:rPr>
          <w:color w:val="000000" w:themeColor="text1"/>
        </w:rPr>
        <w:t xml:space="preserve">the 2030 Agenda and our own strategic plan. </w:t>
      </w:r>
      <w:r w:rsidR="00835391" w:rsidRPr="00835391">
        <w:rPr>
          <w:color w:val="000000" w:themeColor="text1"/>
        </w:rPr>
        <w:t xml:space="preserve"> </w:t>
      </w:r>
    </w:p>
    <w:p w14:paraId="61EB9F75" w14:textId="2010A401" w:rsidR="007969B4" w:rsidRDefault="007969B4" w:rsidP="00F152BC">
      <w:pPr>
        <w:spacing w:line="276" w:lineRule="auto"/>
        <w:jc w:val="both"/>
        <w:rPr>
          <w:color w:val="000000" w:themeColor="text1"/>
          <w:lang w:val="en-GB"/>
        </w:rPr>
      </w:pPr>
      <w:r>
        <w:rPr>
          <w:color w:val="000000" w:themeColor="text1"/>
          <w:lang w:val="en-GB"/>
        </w:rPr>
        <w:lastRenderedPageBreak/>
        <w:t xml:space="preserve">As this </w:t>
      </w:r>
      <w:r w:rsidR="002D2A72">
        <w:rPr>
          <w:color w:val="000000" w:themeColor="text1"/>
          <w:lang w:val="en-GB"/>
        </w:rPr>
        <w:t>UNDP</w:t>
      </w:r>
      <w:r w:rsidR="002653FD">
        <w:rPr>
          <w:color w:val="000000" w:themeColor="text1"/>
          <w:lang w:val="en-GB"/>
        </w:rPr>
        <w:t>-supported</w:t>
      </w:r>
      <w:r w:rsidR="002D2A72">
        <w:rPr>
          <w:color w:val="000000" w:themeColor="text1"/>
          <w:lang w:val="en-GB"/>
        </w:rPr>
        <w:t xml:space="preserve"> Guarantees </w:t>
      </w:r>
      <w:r>
        <w:rPr>
          <w:color w:val="000000" w:themeColor="text1"/>
          <w:lang w:val="en-GB"/>
        </w:rPr>
        <w:t>Operation</w:t>
      </w:r>
      <w:r w:rsidR="006D795A">
        <w:rPr>
          <w:color w:val="000000" w:themeColor="text1"/>
          <w:lang w:val="en-GB"/>
        </w:rPr>
        <w:t>al</w:t>
      </w:r>
      <w:r>
        <w:rPr>
          <w:color w:val="000000" w:themeColor="text1"/>
          <w:lang w:val="en-GB"/>
        </w:rPr>
        <w:t xml:space="preserve"> Manual will highlight in later chapters, many partnership opportunities exist in the </w:t>
      </w:r>
      <w:r w:rsidR="00A156E1">
        <w:rPr>
          <w:color w:val="000000" w:themeColor="text1"/>
          <w:lang w:val="en-GB"/>
        </w:rPr>
        <w:t xml:space="preserve">design, </w:t>
      </w:r>
      <w:r>
        <w:rPr>
          <w:color w:val="000000" w:themeColor="text1"/>
          <w:lang w:val="en-GB"/>
        </w:rPr>
        <w:t>issuance</w:t>
      </w:r>
      <w:r w:rsidR="00270620">
        <w:rPr>
          <w:color w:val="000000" w:themeColor="text1"/>
          <w:lang w:val="en-GB"/>
        </w:rPr>
        <w:t>,</w:t>
      </w:r>
      <w:r>
        <w:rPr>
          <w:color w:val="000000" w:themeColor="text1"/>
          <w:lang w:val="en-GB"/>
        </w:rPr>
        <w:t xml:space="preserve"> </w:t>
      </w:r>
      <w:r w:rsidR="00A156E1">
        <w:rPr>
          <w:color w:val="000000" w:themeColor="text1"/>
          <w:lang w:val="en-GB"/>
        </w:rPr>
        <w:t xml:space="preserve">and management </w:t>
      </w:r>
      <w:r>
        <w:rPr>
          <w:color w:val="000000" w:themeColor="text1"/>
          <w:lang w:val="en-GB"/>
        </w:rPr>
        <w:t>of UNDP</w:t>
      </w:r>
      <w:r w:rsidR="00C67E02">
        <w:rPr>
          <w:color w:val="000000" w:themeColor="text1"/>
          <w:lang w:val="en-GB"/>
        </w:rPr>
        <w:t>-supported</w:t>
      </w:r>
      <w:r>
        <w:rPr>
          <w:color w:val="000000" w:themeColor="text1"/>
          <w:lang w:val="en-GB"/>
        </w:rPr>
        <w:t xml:space="preserve"> guarantees</w:t>
      </w:r>
      <w:r w:rsidR="00A156E1">
        <w:rPr>
          <w:color w:val="000000" w:themeColor="text1"/>
          <w:lang w:val="en-GB"/>
        </w:rPr>
        <w:t>, wherein UNDP works with other partners</w:t>
      </w:r>
      <w:r w:rsidR="006B1AE8">
        <w:rPr>
          <w:color w:val="000000" w:themeColor="text1"/>
          <w:lang w:val="en-GB"/>
        </w:rPr>
        <w:t xml:space="preserve"> and entities</w:t>
      </w:r>
      <w:r w:rsidR="00A156E1">
        <w:rPr>
          <w:color w:val="000000" w:themeColor="text1"/>
          <w:lang w:val="en-GB"/>
        </w:rPr>
        <w:t xml:space="preserve"> (including financial institutions and UNCDF) </w:t>
      </w:r>
      <w:r w:rsidRPr="007E0394">
        <w:rPr>
          <w:color w:val="000000" w:themeColor="text1"/>
          <w:lang w:val="en-GB"/>
        </w:rPr>
        <w:t xml:space="preserve">to </w:t>
      </w:r>
      <w:r w:rsidR="00A156E1">
        <w:rPr>
          <w:color w:val="000000" w:themeColor="text1"/>
          <w:lang w:val="en-GB"/>
        </w:rPr>
        <w:t xml:space="preserve">structure, </w:t>
      </w:r>
      <w:r w:rsidRPr="007E0394">
        <w:rPr>
          <w:color w:val="000000" w:themeColor="text1"/>
          <w:lang w:val="en-GB"/>
        </w:rPr>
        <w:t xml:space="preserve">issue </w:t>
      </w:r>
      <w:r w:rsidR="00A156E1">
        <w:rPr>
          <w:color w:val="000000" w:themeColor="text1"/>
          <w:lang w:val="en-GB"/>
        </w:rPr>
        <w:t xml:space="preserve">and manage </w:t>
      </w:r>
      <w:r w:rsidRPr="007E0394">
        <w:rPr>
          <w:color w:val="000000" w:themeColor="text1"/>
          <w:lang w:val="en-GB"/>
        </w:rPr>
        <w:t xml:space="preserve">guarantees </w:t>
      </w:r>
      <w:r w:rsidR="00F81FF5">
        <w:rPr>
          <w:color w:val="000000" w:themeColor="text1"/>
          <w:lang w:val="en-GB"/>
        </w:rPr>
        <w:t>upon UNDP’s request</w:t>
      </w:r>
      <w:r w:rsidR="00A156E1">
        <w:rPr>
          <w:color w:val="000000" w:themeColor="text1"/>
          <w:lang w:val="en-GB"/>
        </w:rPr>
        <w:t>. All UNDP</w:t>
      </w:r>
      <w:r w:rsidR="003C1042">
        <w:rPr>
          <w:color w:val="000000" w:themeColor="text1"/>
          <w:lang w:val="en-GB"/>
        </w:rPr>
        <w:t>-supported</w:t>
      </w:r>
      <w:r w:rsidR="00A156E1">
        <w:rPr>
          <w:color w:val="000000" w:themeColor="text1"/>
          <w:lang w:val="en-GB"/>
        </w:rPr>
        <w:t xml:space="preserve"> guarantees must follow </w:t>
      </w:r>
      <w:r w:rsidRPr="007E0394">
        <w:rPr>
          <w:color w:val="000000" w:themeColor="text1"/>
          <w:lang w:val="en-GB"/>
        </w:rPr>
        <w:t xml:space="preserve">the terms stipulated in </w:t>
      </w:r>
      <w:r w:rsidR="002828D3">
        <w:rPr>
          <w:color w:val="000000" w:themeColor="text1"/>
          <w:lang w:val="en-GB"/>
        </w:rPr>
        <w:t xml:space="preserve">the </w:t>
      </w:r>
      <w:r w:rsidR="00BB1BBC">
        <w:rPr>
          <w:color w:val="000000" w:themeColor="text1"/>
          <w:lang w:val="en-GB"/>
        </w:rPr>
        <w:t>UNDP</w:t>
      </w:r>
      <w:r w:rsidR="002653FD">
        <w:rPr>
          <w:color w:val="000000" w:themeColor="text1"/>
          <w:lang w:val="en-GB"/>
        </w:rPr>
        <w:t>-supported</w:t>
      </w:r>
      <w:r w:rsidR="00BB1BBC">
        <w:rPr>
          <w:color w:val="000000" w:themeColor="text1"/>
          <w:lang w:val="en-GB"/>
        </w:rPr>
        <w:t xml:space="preserve"> Guarantees </w:t>
      </w:r>
      <w:r w:rsidR="00F40947">
        <w:rPr>
          <w:color w:val="000000" w:themeColor="text1"/>
          <w:lang w:val="en-GB"/>
        </w:rPr>
        <w:t xml:space="preserve">Policy </w:t>
      </w:r>
      <w:r w:rsidR="00BB1BBC">
        <w:rPr>
          <w:color w:val="000000" w:themeColor="text1"/>
          <w:lang w:val="en-GB"/>
        </w:rPr>
        <w:t xml:space="preserve">and </w:t>
      </w:r>
      <w:r w:rsidR="006338F6">
        <w:rPr>
          <w:color w:val="000000" w:themeColor="text1"/>
          <w:lang w:val="en-GB"/>
        </w:rPr>
        <w:t xml:space="preserve">procedures </w:t>
      </w:r>
      <w:r w:rsidR="003A296A">
        <w:rPr>
          <w:color w:val="000000" w:themeColor="text1"/>
          <w:lang w:val="en-GB"/>
        </w:rPr>
        <w:t xml:space="preserve">and guidance </w:t>
      </w:r>
      <w:r w:rsidR="006338F6">
        <w:rPr>
          <w:color w:val="000000" w:themeColor="text1"/>
          <w:lang w:val="en-GB"/>
        </w:rPr>
        <w:t xml:space="preserve">provided in </w:t>
      </w:r>
      <w:r w:rsidR="002828D3">
        <w:rPr>
          <w:color w:val="000000" w:themeColor="text1"/>
          <w:lang w:val="en-GB"/>
        </w:rPr>
        <w:t xml:space="preserve">this </w:t>
      </w:r>
      <w:r w:rsidR="00E61BE4">
        <w:rPr>
          <w:color w:val="000000" w:themeColor="text1"/>
          <w:lang w:val="en-GB"/>
        </w:rPr>
        <w:t xml:space="preserve">supporting </w:t>
      </w:r>
      <w:r w:rsidR="00BB1BBC">
        <w:rPr>
          <w:color w:val="000000" w:themeColor="text1"/>
          <w:lang w:val="en-GB"/>
        </w:rPr>
        <w:t>Operational Manual</w:t>
      </w:r>
      <w:r>
        <w:rPr>
          <w:color w:val="000000" w:themeColor="text1"/>
          <w:lang w:val="en-GB"/>
        </w:rPr>
        <w:t xml:space="preserve">. </w:t>
      </w:r>
      <w:r w:rsidR="001507F1">
        <w:rPr>
          <w:color w:val="000000" w:themeColor="text1"/>
          <w:lang w:val="en-GB"/>
        </w:rPr>
        <w:t xml:space="preserve">Consistent with other UNDP </w:t>
      </w:r>
      <w:r w:rsidR="002F2E97">
        <w:rPr>
          <w:color w:val="000000" w:themeColor="text1"/>
          <w:lang w:val="en-GB"/>
        </w:rPr>
        <w:t xml:space="preserve">non-core </w:t>
      </w:r>
      <w:r w:rsidR="001507F1">
        <w:rPr>
          <w:color w:val="000000" w:themeColor="text1"/>
          <w:lang w:val="en-GB"/>
        </w:rPr>
        <w:t xml:space="preserve">programming, </w:t>
      </w:r>
      <w:r w:rsidR="002653FD">
        <w:rPr>
          <w:color w:val="000000" w:themeColor="text1"/>
          <w:lang w:val="en-GB"/>
        </w:rPr>
        <w:t>the UNDP-supported</w:t>
      </w:r>
      <w:r w:rsidR="001507F1">
        <w:rPr>
          <w:color w:val="000000" w:themeColor="text1"/>
          <w:lang w:val="en-GB"/>
        </w:rPr>
        <w:t xml:space="preserve"> </w:t>
      </w:r>
      <w:r w:rsidR="00C116CA">
        <w:rPr>
          <w:color w:val="000000" w:themeColor="text1"/>
          <w:lang w:val="en-GB"/>
        </w:rPr>
        <w:t>guarantee</w:t>
      </w:r>
      <w:r w:rsidR="002653FD">
        <w:rPr>
          <w:color w:val="000000" w:themeColor="text1"/>
          <w:lang w:val="en-GB"/>
        </w:rPr>
        <w:t>s</w:t>
      </w:r>
      <w:r w:rsidR="00C116CA">
        <w:rPr>
          <w:color w:val="000000" w:themeColor="text1"/>
          <w:lang w:val="en-GB"/>
        </w:rPr>
        <w:t xml:space="preserve"> program will be </w:t>
      </w:r>
      <w:r w:rsidR="002653FD">
        <w:rPr>
          <w:color w:val="000000" w:themeColor="text1"/>
          <w:lang w:val="en-GB"/>
        </w:rPr>
        <w:t xml:space="preserve">fully </w:t>
      </w:r>
      <w:r w:rsidR="00C116CA">
        <w:rPr>
          <w:color w:val="000000" w:themeColor="text1"/>
          <w:lang w:val="en-GB"/>
        </w:rPr>
        <w:t>funded</w:t>
      </w:r>
      <w:r w:rsidR="002653FD">
        <w:rPr>
          <w:color w:val="000000" w:themeColor="text1"/>
          <w:lang w:val="en-GB"/>
        </w:rPr>
        <w:t xml:space="preserve"> in advance</w:t>
      </w:r>
      <w:r w:rsidR="002F2E97">
        <w:rPr>
          <w:color w:val="000000" w:themeColor="text1"/>
          <w:lang w:val="en-GB"/>
        </w:rPr>
        <w:t xml:space="preserve"> </w:t>
      </w:r>
      <w:r w:rsidR="00C116CA">
        <w:rPr>
          <w:color w:val="000000" w:themeColor="text1"/>
          <w:lang w:val="en-GB"/>
        </w:rPr>
        <w:t xml:space="preserve">by </w:t>
      </w:r>
      <w:r w:rsidR="002F2E97">
        <w:rPr>
          <w:color w:val="000000" w:themeColor="text1"/>
          <w:lang w:val="en-GB"/>
        </w:rPr>
        <w:t xml:space="preserve">funding </w:t>
      </w:r>
      <w:r w:rsidR="00276C7C">
        <w:rPr>
          <w:color w:val="000000" w:themeColor="text1"/>
          <w:lang w:val="en-GB"/>
        </w:rPr>
        <w:t>partners</w:t>
      </w:r>
      <w:r>
        <w:rPr>
          <w:color w:val="000000" w:themeColor="text1"/>
          <w:lang w:val="en-GB"/>
        </w:rPr>
        <w:t>. As UNDP seeks to collaborate with other development partners that have significant comparative advantage</w:t>
      </w:r>
      <w:r w:rsidR="00A43972">
        <w:rPr>
          <w:color w:val="000000" w:themeColor="text1"/>
          <w:lang w:val="en-GB"/>
        </w:rPr>
        <w:t xml:space="preserve"> in the management of guarantees</w:t>
      </w:r>
      <w:r>
        <w:rPr>
          <w:color w:val="000000" w:themeColor="text1"/>
          <w:lang w:val="en-GB"/>
        </w:rPr>
        <w:t xml:space="preserve">, it is important to </w:t>
      </w:r>
      <w:r w:rsidR="00A43972">
        <w:rPr>
          <w:color w:val="000000" w:themeColor="text1"/>
          <w:lang w:val="en-GB"/>
        </w:rPr>
        <w:t xml:space="preserve">leverage </w:t>
      </w:r>
      <w:r>
        <w:rPr>
          <w:color w:val="000000" w:themeColor="text1"/>
          <w:lang w:val="en-GB"/>
        </w:rPr>
        <w:t>each other’s strengths and capacities</w:t>
      </w:r>
      <w:r w:rsidR="00A43972">
        <w:rPr>
          <w:color w:val="000000" w:themeColor="text1"/>
          <w:lang w:val="en-GB"/>
        </w:rPr>
        <w:t>,</w:t>
      </w:r>
      <w:r>
        <w:rPr>
          <w:color w:val="000000" w:themeColor="text1"/>
          <w:lang w:val="en-GB"/>
        </w:rPr>
        <w:t xml:space="preserve"> </w:t>
      </w:r>
      <w:r w:rsidR="00A43972">
        <w:rPr>
          <w:color w:val="000000" w:themeColor="text1"/>
          <w:lang w:val="en-GB"/>
        </w:rPr>
        <w:t xml:space="preserve">and </w:t>
      </w:r>
      <w:r>
        <w:rPr>
          <w:color w:val="000000" w:themeColor="text1"/>
          <w:lang w:val="en-GB"/>
        </w:rPr>
        <w:t xml:space="preserve">not duplicate capacities within organizations. </w:t>
      </w:r>
    </w:p>
    <w:p w14:paraId="27513DEC" w14:textId="77777777" w:rsidR="007969B4" w:rsidRPr="004146D4" w:rsidRDefault="007969B4" w:rsidP="00F152BC">
      <w:pPr>
        <w:spacing w:after="0" w:line="276" w:lineRule="auto"/>
        <w:jc w:val="both"/>
        <w:rPr>
          <w:color w:val="000000" w:themeColor="text1"/>
          <w:lang w:val="en-GB"/>
        </w:rPr>
      </w:pPr>
    </w:p>
    <w:p w14:paraId="72C14838" w14:textId="77777777" w:rsidR="007969B4" w:rsidRPr="007A198D" w:rsidRDefault="007969B4" w:rsidP="00251237">
      <w:pPr>
        <w:pStyle w:val="Heading2"/>
        <w:numPr>
          <w:ilvl w:val="0"/>
          <w:numId w:val="13"/>
        </w:numPr>
        <w:spacing w:before="0" w:after="160" w:line="276" w:lineRule="auto"/>
        <w:ind w:left="547" w:hanging="547"/>
        <w:rPr>
          <w:b/>
          <w:color w:val="000000" w:themeColor="text1"/>
          <w:sz w:val="24"/>
          <w:lang w:val="en-GB"/>
        </w:rPr>
      </w:pPr>
      <w:bookmarkStart w:id="5" w:name="_Toc2339894"/>
      <w:bookmarkStart w:id="6" w:name="_Toc121313754"/>
      <w:r w:rsidRPr="007A198D">
        <w:rPr>
          <w:b/>
          <w:color w:val="000000" w:themeColor="text1"/>
          <w:sz w:val="24"/>
          <w:lang w:val="en-GB"/>
        </w:rPr>
        <w:t>Definition of guarantees</w:t>
      </w:r>
      <w:bookmarkEnd w:id="5"/>
      <w:bookmarkEnd w:id="6"/>
    </w:p>
    <w:p w14:paraId="7BFC831A" w14:textId="35795550" w:rsidR="007969B4" w:rsidRDefault="007969B4" w:rsidP="0090455B">
      <w:pPr>
        <w:spacing w:line="276" w:lineRule="auto"/>
        <w:jc w:val="both"/>
        <w:rPr>
          <w:color w:val="000000" w:themeColor="text1"/>
          <w:lang w:val="en-GB"/>
        </w:rPr>
      </w:pPr>
      <w:r w:rsidRPr="004146D4">
        <w:rPr>
          <w:i/>
          <w:color w:val="000000" w:themeColor="text1"/>
          <w:lang w:val="en-GB"/>
        </w:rPr>
        <w:t>A guarantee is an obligation undertaken by a guarantor to satisfy the payment of a debt or the fulfilment of a contractual obligation on behalf of a debtor toward a beneficiary when the debtor fails to pay or comply with the terms of the contract</w:t>
      </w:r>
      <w:r>
        <w:rPr>
          <w:rStyle w:val="FootnoteReference"/>
          <w:rFonts w:ascii="Arial" w:hAnsi="Arial" w:cs="Arial"/>
          <w:i/>
          <w:iCs/>
          <w:sz w:val="20"/>
          <w:szCs w:val="20"/>
        </w:rPr>
        <w:footnoteReference w:id="3"/>
      </w:r>
      <w:r w:rsidRPr="004146D4">
        <w:rPr>
          <w:color w:val="000000" w:themeColor="text1"/>
          <w:lang w:val="en-GB"/>
        </w:rPr>
        <w:t xml:space="preserve">. </w:t>
      </w:r>
      <w:r w:rsidRPr="00612853">
        <w:rPr>
          <w:color w:val="000000" w:themeColor="text1"/>
          <w:lang w:val="en-GB"/>
        </w:rPr>
        <w:t xml:space="preserve">In other words, a guarantee could be considered as “insurance” that protects the investor or lender in the event a debtor fails to settle a debt or meet a contractual liability whereby the guarantee will cover the financial obligation (partially or in full), lowering the financial risk of the investment. </w:t>
      </w:r>
      <w:r>
        <w:rPr>
          <w:color w:val="000000" w:themeColor="text1"/>
          <w:lang w:val="en-GB"/>
        </w:rPr>
        <w:t xml:space="preserve">Guarantees </w:t>
      </w:r>
      <w:r w:rsidRPr="001F38DC">
        <w:rPr>
          <w:color w:val="000000" w:themeColor="text1"/>
          <w:lang w:val="en-GB"/>
        </w:rPr>
        <w:t>are important</w:t>
      </w:r>
      <w:r w:rsidR="00276C7C">
        <w:rPr>
          <w:color w:val="000000" w:themeColor="text1"/>
          <w:lang w:val="en-GB"/>
        </w:rPr>
        <w:t xml:space="preserve"> credit enhancement and</w:t>
      </w:r>
      <w:r w:rsidRPr="001F38DC">
        <w:rPr>
          <w:color w:val="000000" w:themeColor="text1"/>
          <w:lang w:val="en-GB"/>
        </w:rPr>
        <w:t xml:space="preserve"> risk mitigation instruments that may benefit lenders concerned about a borrower’s credit risk by transferring some or all of the risks</w:t>
      </w:r>
      <w:r w:rsidR="00276C7C">
        <w:rPr>
          <w:color w:val="000000" w:themeColor="text1"/>
          <w:lang w:val="en-GB"/>
        </w:rPr>
        <w:t xml:space="preserve"> (whether real or perceived)</w:t>
      </w:r>
      <w:r w:rsidRPr="001F38DC">
        <w:rPr>
          <w:color w:val="000000" w:themeColor="text1"/>
          <w:lang w:val="en-GB"/>
        </w:rPr>
        <w:t xml:space="preserve"> to </w:t>
      </w:r>
      <w:r w:rsidR="00276C7C" w:rsidRPr="00E22B13">
        <w:rPr>
          <w:color w:val="000000" w:themeColor="text1"/>
          <w:lang w:val="en-GB"/>
        </w:rPr>
        <w:t>creditworthy third</w:t>
      </w:r>
      <w:r w:rsidR="00276C7C">
        <w:rPr>
          <w:color w:val="000000" w:themeColor="text1"/>
          <w:lang w:val="en-GB"/>
        </w:rPr>
        <w:t xml:space="preserve"> </w:t>
      </w:r>
      <w:r w:rsidR="00276C7C" w:rsidRPr="00E22B13">
        <w:rPr>
          <w:color w:val="000000" w:themeColor="text1"/>
          <w:lang w:val="en-GB"/>
        </w:rPr>
        <w:t>parties (guarantors and insurers) that have a better</w:t>
      </w:r>
      <w:r w:rsidR="00276C7C">
        <w:rPr>
          <w:color w:val="000000" w:themeColor="text1"/>
          <w:lang w:val="en-GB"/>
        </w:rPr>
        <w:t xml:space="preserve"> </w:t>
      </w:r>
      <w:r w:rsidR="00276C7C" w:rsidRPr="00E22B13">
        <w:rPr>
          <w:color w:val="000000" w:themeColor="text1"/>
          <w:lang w:val="en-GB"/>
        </w:rPr>
        <w:t xml:space="preserve">capacity to </w:t>
      </w:r>
      <w:r w:rsidR="00AE7E4D">
        <w:rPr>
          <w:color w:val="000000" w:themeColor="text1"/>
          <w:lang w:val="en-GB"/>
        </w:rPr>
        <w:t xml:space="preserve">assess and/or </w:t>
      </w:r>
      <w:r w:rsidR="00276C7C" w:rsidRPr="00E22B13">
        <w:rPr>
          <w:color w:val="000000" w:themeColor="text1"/>
          <w:lang w:val="en-GB"/>
        </w:rPr>
        <w:t>accept such risks</w:t>
      </w:r>
      <w:r w:rsidRPr="001F38DC">
        <w:rPr>
          <w:color w:val="000000" w:themeColor="text1"/>
          <w:lang w:val="en-GB"/>
        </w:rPr>
        <w:t>, thereby enabling the underlying transaction to move forward. Additionally, guarantees can help borrowers obtain financing at better terms</w:t>
      </w:r>
      <w:r w:rsidR="003168F3">
        <w:rPr>
          <w:color w:val="000000" w:themeColor="text1"/>
          <w:lang w:val="en-GB"/>
        </w:rPr>
        <w:t>,</w:t>
      </w:r>
      <w:r w:rsidRPr="001F38DC">
        <w:rPr>
          <w:color w:val="000000" w:themeColor="text1"/>
          <w:lang w:val="en-GB"/>
        </w:rPr>
        <w:t xml:space="preserve"> </w:t>
      </w:r>
      <w:r w:rsidR="00C81900">
        <w:rPr>
          <w:color w:val="000000" w:themeColor="text1"/>
          <w:lang w:val="en-GB"/>
        </w:rPr>
        <w:t>although not necessarily cheaper</w:t>
      </w:r>
      <w:r w:rsidR="003168F3">
        <w:rPr>
          <w:color w:val="000000" w:themeColor="text1"/>
          <w:lang w:val="en-GB"/>
        </w:rPr>
        <w:t xml:space="preserve"> </w:t>
      </w:r>
      <w:r w:rsidR="003168F3" w:rsidRPr="003168F3">
        <w:rPr>
          <w:color w:val="000000" w:themeColor="text1"/>
          <w:lang w:val="en-GB"/>
        </w:rPr>
        <w:t>(e.g. longer tenors, reduced collateral requirements, etc.</w:t>
      </w:r>
      <w:r w:rsidR="00C81900">
        <w:rPr>
          <w:color w:val="000000" w:themeColor="text1"/>
          <w:lang w:val="en-GB"/>
        </w:rPr>
        <w:t>)</w:t>
      </w:r>
      <w:r w:rsidR="003168F3">
        <w:rPr>
          <w:color w:val="000000" w:themeColor="text1"/>
          <w:lang w:val="en-GB"/>
        </w:rPr>
        <w:t>,</w:t>
      </w:r>
      <w:r w:rsidR="00C81900">
        <w:rPr>
          <w:color w:val="000000" w:themeColor="text1"/>
          <w:lang w:val="en-GB"/>
        </w:rPr>
        <w:t xml:space="preserve"> </w:t>
      </w:r>
      <w:r w:rsidRPr="001F38DC">
        <w:rPr>
          <w:color w:val="000000" w:themeColor="text1"/>
          <w:lang w:val="en-GB"/>
        </w:rPr>
        <w:t xml:space="preserve">than would be possible without the guarantee. </w:t>
      </w:r>
    </w:p>
    <w:p w14:paraId="213E78E7" w14:textId="77777777" w:rsidR="007969B4" w:rsidRDefault="00276C7C" w:rsidP="0090455B">
      <w:pPr>
        <w:spacing w:line="276" w:lineRule="auto"/>
        <w:jc w:val="both"/>
        <w:rPr>
          <w:color w:val="000000" w:themeColor="text1"/>
          <w:lang w:val="en-GB"/>
        </w:rPr>
      </w:pPr>
      <w:r>
        <w:rPr>
          <w:color w:val="000000" w:themeColor="text1"/>
          <w:lang w:val="en-GB"/>
        </w:rPr>
        <w:t>Finally, g</w:t>
      </w:r>
      <w:r w:rsidR="007969B4">
        <w:rPr>
          <w:color w:val="000000" w:themeColor="text1"/>
          <w:lang w:val="en-GB"/>
        </w:rPr>
        <w:t xml:space="preserve">uarantees </w:t>
      </w:r>
      <w:r w:rsidR="007969B4" w:rsidRPr="00317A84">
        <w:rPr>
          <w:color w:val="000000" w:themeColor="text1"/>
          <w:lang w:val="en-GB"/>
        </w:rPr>
        <w:t xml:space="preserve">can have an important catalytic effect in </w:t>
      </w:r>
      <w:r w:rsidR="00C920BE">
        <w:rPr>
          <w:color w:val="000000" w:themeColor="text1"/>
          <w:lang w:val="en-GB"/>
        </w:rPr>
        <w:t xml:space="preserve">reducing barriers to lending within new markets, or lending to different sectors within a market, </w:t>
      </w:r>
      <w:r w:rsidR="007969B4" w:rsidRPr="00317A84">
        <w:rPr>
          <w:color w:val="000000" w:themeColor="text1"/>
          <w:lang w:val="en-GB"/>
        </w:rPr>
        <w:t xml:space="preserve">spurring greater investment for the SDGs. </w:t>
      </w:r>
      <w:r>
        <w:rPr>
          <w:color w:val="000000" w:themeColor="text1"/>
          <w:lang w:val="en-GB"/>
        </w:rPr>
        <w:t>Among risk mitigation instruments, guarantees have been found to have some of the highest leverage ratios</w:t>
      </w:r>
      <w:r w:rsidR="00955BCB">
        <w:rPr>
          <w:color w:val="000000" w:themeColor="text1"/>
          <w:lang w:val="en-GB"/>
        </w:rPr>
        <w:t xml:space="preserve"> (w</w:t>
      </w:r>
      <w:r w:rsidRPr="00A66143">
        <w:rPr>
          <w:color w:val="000000" w:themeColor="text1"/>
          <w:lang w:val="en-GB"/>
        </w:rPr>
        <w:t xml:space="preserve">ell-functioning guarantee funds attain leverage rates of </w:t>
      </w:r>
      <w:r w:rsidR="00955BCB">
        <w:rPr>
          <w:color w:val="000000" w:themeColor="text1"/>
          <w:lang w:val="en-GB"/>
        </w:rPr>
        <w:t xml:space="preserve">up </w:t>
      </w:r>
      <w:r w:rsidRPr="00A66143">
        <w:rPr>
          <w:color w:val="000000" w:themeColor="text1"/>
          <w:lang w:val="en-GB"/>
        </w:rPr>
        <w:t>to 10:</w:t>
      </w:r>
      <w:r w:rsidR="007E1B4A">
        <w:rPr>
          <w:color w:val="000000" w:themeColor="text1"/>
          <w:lang w:val="en-GB"/>
        </w:rPr>
        <w:t>1</w:t>
      </w:r>
      <w:r w:rsidR="00955BCB">
        <w:rPr>
          <w:color w:val="000000" w:themeColor="text1"/>
          <w:lang w:val="en-GB"/>
        </w:rPr>
        <w:t xml:space="preserve"> or more)</w:t>
      </w:r>
      <w:r w:rsidRPr="00A66143">
        <w:rPr>
          <w:color w:val="000000" w:themeColor="text1"/>
          <w:lang w:val="en-GB"/>
        </w:rPr>
        <w:t>.</w:t>
      </w:r>
      <w:r>
        <w:rPr>
          <w:color w:val="000000" w:themeColor="text1"/>
          <w:lang w:val="en-GB"/>
        </w:rPr>
        <w:t xml:space="preserve"> </w:t>
      </w:r>
      <w:r w:rsidR="007969B4" w:rsidRPr="00317A84">
        <w:rPr>
          <w:color w:val="000000" w:themeColor="text1"/>
          <w:lang w:val="en-GB"/>
        </w:rPr>
        <w:t>The relevance of guarantees is increasing as more emerging economies are focusing on accessing capital from private sources of finance in addition to traditional development finance sources.</w:t>
      </w:r>
    </w:p>
    <w:p w14:paraId="6E6014F4" w14:textId="3C3A80E8" w:rsidR="00900E55" w:rsidRDefault="007969B4" w:rsidP="00900E55">
      <w:pPr>
        <w:spacing w:line="276" w:lineRule="auto"/>
        <w:jc w:val="both"/>
        <w:rPr>
          <w:rFonts w:cstheme="minorHAnsi"/>
        </w:rPr>
      </w:pPr>
      <w:r>
        <w:rPr>
          <w:color w:val="000000" w:themeColor="text1"/>
          <w:lang w:val="en-GB"/>
        </w:rPr>
        <w:lastRenderedPageBreak/>
        <w:t xml:space="preserve">Whilst this </w:t>
      </w:r>
      <w:r w:rsidR="002D2A72">
        <w:rPr>
          <w:color w:val="000000" w:themeColor="text1"/>
          <w:lang w:val="en-GB"/>
        </w:rPr>
        <w:t>UNDP</w:t>
      </w:r>
      <w:r w:rsidR="002653FD">
        <w:rPr>
          <w:color w:val="000000" w:themeColor="text1"/>
          <w:lang w:val="en-GB"/>
        </w:rPr>
        <w:t>-supported</w:t>
      </w:r>
      <w:r w:rsidR="002D2A72">
        <w:rPr>
          <w:color w:val="000000" w:themeColor="text1"/>
          <w:lang w:val="en-GB"/>
        </w:rPr>
        <w:t xml:space="preserve"> Guarantees </w:t>
      </w:r>
      <w:r>
        <w:rPr>
          <w:color w:val="000000" w:themeColor="text1"/>
          <w:lang w:val="en-GB"/>
        </w:rPr>
        <w:t xml:space="preserve">Operational Manual uses the term “guarantees” throughout, “Development Guarantees” defined as </w:t>
      </w:r>
      <w:r>
        <w:rPr>
          <w:rFonts w:cstheme="minorHAnsi"/>
        </w:rPr>
        <w:t>“</w:t>
      </w:r>
      <w:r w:rsidRPr="000664BD">
        <w:rPr>
          <w:rFonts w:cstheme="minorHAnsi"/>
          <w:i/>
        </w:rPr>
        <w:t>official guarantees backing projects that promote the development and welfare of developing countries</w:t>
      </w:r>
      <w:r>
        <w:rPr>
          <w:rFonts w:cstheme="minorHAnsi"/>
          <w:i/>
        </w:rPr>
        <w:t>”</w:t>
      </w:r>
      <w:r w:rsidRPr="00C828B9">
        <w:rPr>
          <w:rStyle w:val="FootnoteReference"/>
          <w:rFonts w:cstheme="minorHAnsi"/>
        </w:rPr>
        <w:footnoteReference w:id="4"/>
      </w:r>
      <w:r w:rsidRPr="00C828B9">
        <w:rPr>
          <w:rFonts w:cstheme="minorHAnsi"/>
        </w:rPr>
        <w:t>, are the main focus.</w:t>
      </w:r>
    </w:p>
    <w:p w14:paraId="46072A8C" w14:textId="77777777" w:rsidR="007969B4" w:rsidRDefault="007969B4" w:rsidP="00F152BC">
      <w:pPr>
        <w:spacing w:after="0" w:line="276" w:lineRule="auto"/>
        <w:jc w:val="both"/>
        <w:rPr>
          <w:rFonts w:cstheme="minorHAnsi"/>
        </w:rPr>
      </w:pPr>
    </w:p>
    <w:p w14:paraId="1BF81A99" w14:textId="52C13D20" w:rsidR="007969B4" w:rsidRPr="007A198D" w:rsidRDefault="007969B4" w:rsidP="00251237">
      <w:pPr>
        <w:pStyle w:val="Heading2"/>
        <w:numPr>
          <w:ilvl w:val="0"/>
          <w:numId w:val="13"/>
        </w:numPr>
        <w:spacing w:before="0" w:after="160" w:line="276" w:lineRule="auto"/>
        <w:ind w:left="547" w:hanging="547"/>
        <w:rPr>
          <w:b/>
          <w:color w:val="000000" w:themeColor="text1"/>
          <w:sz w:val="24"/>
          <w:lang w:val="en-GB"/>
        </w:rPr>
      </w:pPr>
      <w:bookmarkStart w:id="7" w:name="_Objectives_of_UNDP’s"/>
      <w:bookmarkStart w:id="8" w:name="_Toc2339895"/>
      <w:bookmarkStart w:id="9" w:name="_Toc121313755"/>
      <w:bookmarkEnd w:id="7"/>
      <w:r w:rsidRPr="007A198D">
        <w:rPr>
          <w:b/>
          <w:color w:val="000000" w:themeColor="text1"/>
          <w:sz w:val="24"/>
          <w:lang w:val="en-GB"/>
        </w:rPr>
        <w:t>Objectives of UNDP</w:t>
      </w:r>
      <w:r w:rsidR="002653FD">
        <w:rPr>
          <w:b/>
          <w:color w:val="000000" w:themeColor="text1"/>
          <w:sz w:val="24"/>
          <w:lang w:val="en-GB"/>
        </w:rPr>
        <w:t>-supported</w:t>
      </w:r>
      <w:r w:rsidRPr="007A198D">
        <w:rPr>
          <w:b/>
          <w:color w:val="000000" w:themeColor="text1"/>
          <w:sz w:val="24"/>
          <w:lang w:val="en-GB"/>
        </w:rPr>
        <w:t xml:space="preserve"> guarantees</w:t>
      </w:r>
      <w:bookmarkEnd w:id="8"/>
      <w:bookmarkEnd w:id="9"/>
    </w:p>
    <w:p w14:paraId="18211BFA" w14:textId="48C73A4D" w:rsidR="007969B4" w:rsidRDefault="007969B4" w:rsidP="0090455B">
      <w:pPr>
        <w:spacing w:line="276" w:lineRule="auto"/>
        <w:jc w:val="both"/>
        <w:rPr>
          <w:color w:val="000000" w:themeColor="text1"/>
          <w:lang w:val="en-GB"/>
        </w:rPr>
      </w:pPr>
      <w:r w:rsidRPr="004146D4">
        <w:rPr>
          <w:color w:val="000000" w:themeColor="text1"/>
          <w:lang w:val="en-GB"/>
        </w:rPr>
        <w:t>UNDP</w:t>
      </w:r>
      <w:r w:rsidR="002653FD">
        <w:rPr>
          <w:color w:val="000000" w:themeColor="text1"/>
          <w:lang w:val="en-GB"/>
        </w:rPr>
        <w:t>-supported</w:t>
      </w:r>
      <w:r w:rsidRPr="004146D4">
        <w:rPr>
          <w:color w:val="000000" w:themeColor="text1"/>
          <w:lang w:val="en-GB"/>
        </w:rPr>
        <w:t xml:space="preserve"> guarantees will support sustainable development by </w:t>
      </w:r>
      <w:r w:rsidR="00D10405" w:rsidRPr="00551C32">
        <w:rPr>
          <w:color w:val="000000" w:themeColor="text1"/>
          <w:lang w:val="en-GB"/>
        </w:rPr>
        <w:t xml:space="preserve">being one component within an overall project of activities that </w:t>
      </w:r>
      <w:r w:rsidRPr="004146D4">
        <w:rPr>
          <w:color w:val="000000" w:themeColor="text1"/>
          <w:lang w:val="en-GB"/>
        </w:rPr>
        <w:t>provid</w:t>
      </w:r>
      <w:r w:rsidR="00225035">
        <w:rPr>
          <w:color w:val="000000" w:themeColor="text1"/>
          <w:lang w:val="en-GB"/>
        </w:rPr>
        <w:t>e</w:t>
      </w:r>
      <w:r w:rsidRPr="004146D4">
        <w:rPr>
          <w:color w:val="000000" w:themeColor="text1"/>
          <w:lang w:val="en-GB"/>
        </w:rPr>
        <w:t xml:space="preserve"> financi</w:t>
      </w:r>
      <w:r w:rsidR="00225035">
        <w:rPr>
          <w:color w:val="000000" w:themeColor="text1"/>
          <w:lang w:val="en-GB"/>
        </w:rPr>
        <w:t>ng</w:t>
      </w:r>
      <w:r w:rsidR="004B5161">
        <w:rPr>
          <w:color w:val="000000" w:themeColor="text1"/>
          <w:lang w:val="en-GB"/>
        </w:rPr>
        <w:t>,</w:t>
      </w:r>
      <w:r w:rsidRPr="004146D4">
        <w:rPr>
          <w:color w:val="000000" w:themeColor="text1"/>
          <w:lang w:val="en-GB"/>
        </w:rPr>
        <w:t xml:space="preserve"> related </w:t>
      </w:r>
      <w:r w:rsidR="00225035">
        <w:rPr>
          <w:color w:val="000000" w:themeColor="text1"/>
          <w:lang w:val="en-GB"/>
        </w:rPr>
        <w:t xml:space="preserve">technical assistance and </w:t>
      </w:r>
      <w:r w:rsidRPr="004146D4">
        <w:rPr>
          <w:color w:val="000000" w:themeColor="text1"/>
          <w:lang w:val="en-GB"/>
        </w:rPr>
        <w:t>operational support to promote broad-based economic growth, contribute to social and environmental sustainability, enhance the effectiveness of the public or private sectors, or otherwise contribute to the overall development of member states.</w:t>
      </w:r>
      <w:r>
        <w:rPr>
          <w:color w:val="000000" w:themeColor="text1"/>
          <w:lang w:val="en-GB"/>
        </w:rPr>
        <w:t xml:space="preserve"> </w:t>
      </w:r>
      <w:r w:rsidRPr="002B046F">
        <w:rPr>
          <w:color w:val="000000" w:themeColor="text1"/>
          <w:lang w:val="en-GB"/>
        </w:rPr>
        <w:t>As guarantees can be used repetitively, call on less financial commitment than grants and loans, and do not rely on replenishing donor contributions if managed appropriately, they will offer greater flexibility to UNDP for the achievement of the SDGs.</w:t>
      </w:r>
      <w:r>
        <w:rPr>
          <w:color w:val="000000" w:themeColor="text1"/>
          <w:lang w:val="en-GB"/>
        </w:rPr>
        <w:t xml:space="preserve"> </w:t>
      </w:r>
    </w:p>
    <w:p w14:paraId="493B08BB" w14:textId="77777777" w:rsidR="00A92B91" w:rsidRPr="00A92B91" w:rsidRDefault="00A92B91" w:rsidP="00A92B91">
      <w:pPr>
        <w:spacing w:line="276" w:lineRule="auto"/>
        <w:jc w:val="both"/>
        <w:rPr>
          <w:color w:val="000000" w:themeColor="text1"/>
        </w:rPr>
      </w:pPr>
      <w:r>
        <w:rPr>
          <w:color w:val="000000" w:themeColor="text1"/>
        </w:rPr>
        <w:t>T</w:t>
      </w:r>
      <w:r w:rsidRPr="00A92B91">
        <w:rPr>
          <w:color w:val="000000" w:themeColor="text1"/>
        </w:rPr>
        <w:t xml:space="preserve">here is a large reserve of untapped capital in the private sector, which presently is not available to certain sectors and markets. The use of guarantees can </w:t>
      </w:r>
      <w:r>
        <w:rPr>
          <w:color w:val="000000" w:themeColor="text1"/>
        </w:rPr>
        <w:t xml:space="preserve">improve access to local private </w:t>
      </w:r>
      <w:r w:rsidR="00EE0127">
        <w:rPr>
          <w:color w:val="000000" w:themeColor="text1"/>
        </w:rPr>
        <w:t>capital and</w:t>
      </w:r>
      <w:r>
        <w:rPr>
          <w:color w:val="000000" w:themeColor="text1"/>
        </w:rPr>
        <w:t xml:space="preserve"> </w:t>
      </w:r>
      <w:r w:rsidRPr="00A92B91">
        <w:rPr>
          <w:color w:val="000000" w:themeColor="text1"/>
        </w:rPr>
        <w:t>provide the security to make that capital available for projects to develop key sectors and financial markets</w:t>
      </w:r>
      <w:r w:rsidR="00407486">
        <w:rPr>
          <w:color w:val="000000" w:themeColor="text1"/>
        </w:rPr>
        <w:t>.</w:t>
      </w:r>
      <w:r w:rsidR="00EE0127">
        <w:rPr>
          <w:color w:val="000000" w:themeColor="text1"/>
        </w:rPr>
        <w:t xml:space="preserve"> P</w:t>
      </w:r>
      <w:r>
        <w:rPr>
          <w:color w:val="000000" w:themeColor="text1"/>
        </w:rPr>
        <w:t xml:space="preserve">roviding guarantees </w:t>
      </w:r>
      <w:r w:rsidRPr="00A92B91">
        <w:rPr>
          <w:color w:val="000000" w:themeColor="text1"/>
        </w:rPr>
        <w:t>coupled with training and technical assistance designed to strength</w:t>
      </w:r>
      <w:r>
        <w:rPr>
          <w:color w:val="000000" w:themeColor="text1"/>
        </w:rPr>
        <w:t>en local financial institutions can improve the</w:t>
      </w:r>
      <w:r w:rsidRPr="00A92B91">
        <w:rPr>
          <w:color w:val="000000" w:themeColor="text1"/>
        </w:rPr>
        <w:t xml:space="preserve"> </w:t>
      </w:r>
      <w:r w:rsidR="00ED6257" w:rsidRPr="00A92B91">
        <w:rPr>
          <w:color w:val="000000" w:themeColor="text1"/>
        </w:rPr>
        <w:t>long-term</w:t>
      </w:r>
      <w:r w:rsidRPr="00A92B91">
        <w:rPr>
          <w:color w:val="000000" w:themeColor="text1"/>
        </w:rPr>
        <w:t xml:space="preserve"> </w:t>
      </w:r>
      <w:r>
        <w:rPr>
          <w:color w:val="000000" w:themeColor="text1"/>
        </w:rPr>
        <w:t xml:space="preserve">supply of available </w:t>
      </w:r>
      <w:r w:rsidRPr="00A92B91">
        <w:rPr>
          <w:color w:val="000000" w:themeColor="text1"/>
        </w:rPr>
        <w:t xml:space="preserve">credit </w:t>
      </w:r>
      <w:r>
        <w:rPr>
          <w:color w:val="000000" w:themeColor="text1"/>
        </w:rPr>
        <w:t xml:space="preserve">in local </w:t>
      </w:r>
      <w:r w:rsidRPr="00A92B91">
        <w:rPr>
          <w:color w:val="000000" w:themeColor="text1"/>
        </w:rPr>
        <w:t>markets</w:t>
      </w:r>
      <w:r w:rsidR="00955BCB">
        <w:rPr>
          <w:color w:val="000000" w:themeColor="text1"/>
        </w:rPr>
        <w:t>.</w:t>
      </w:r>
    </w:p>
    <w:p w14:paraId="78CACFA3" w14:textId="6E67C8FA" w:rsidR="00933DC0" w:rsidRDefault="00F30D12" w:rsidP="0090455B">
      <w:pPr>
        <w:spacing w:after="60" w:line="276" w:lineRule="auto"/>
        <w:jc w:val="both"/>
        <w:rPr>
          <w:color w:val="000000" w:themeColor="text1"/>
          <w:lang w:val="en-GB"/>
        </w:rPr>
      </w:pPr>
      <w:r>
        <w:rPr>
          <w:color w:val="000000" w:themeColor="text1"/>
          <w:lang w:val="en-GB"/>
        </w:rPr>
        <w:t xml:space="preserve">A common </w:t>
      </w:r>
      <w:r w:rsidRPr="00F30D12">
        <w:rPr>
          <w:color w:val="000000" w:themeColor="text1"/>
          <w:lang w:val="en-GB"/>
        </w:rPr>
        <w:t>main objective of m</w:t>
      </w:r>
      <w:r>
        <w:rPr>
          <w:color w:val="000000" w:themeColor="text1"/>
          <w:lang w:val="en-GB"/>
        </w:rPr>
        <w:t xml:space="preserve">any development interventions </w:t>
      </w:r>
      <w:r w:rsidR="00933DC0">
        <w:rPr>
          <w:color w:val="000000" w:themeColor="text1"/>
          <w:lang w:val="en-GB"/>
        </w:rPr>
        <w:t xml:space="preserve">using guarantees </w:t>
      </w:r>
      <w:r w:rsidRPr="00F30D12">
        <w:rPr>
          <w:color w:val="000000" w:themeColor="text1"/>
          <w:lang w:val="en-GB"/>
        </w:rPr>
        <w:t xml:space="preserve">is to get financial institutions to start lending to those sectors that </w:t>
      </w:r>
      <w:r w:rsidR="00933DC0">
        <w:rPr>
          <w:color w:val="000000" w:themeColor="text1"/>
          <w:lang w:val="en-GB"/>
        </w:rPr>
        <w:t xml:space="preserve">they </w:t>
      </w:r>
      <w:r w:rsidRPr="00F30D12">
        <w:rPr>
          <w:color w:val="000000" w:themeColor="text1"/>
          <w:lang w:val="en-GB"/>
        </w:rPr>
        <w:t xml:space="preserve">ordinarily consider too risky. At some point the term of the </w:t>
      </w:r>
      <w:r w:rsidR="00955BAD">
        <w:rPr>
          <w:color w:val="000000" w:themeColor="text1"/>
          <w:lang w:val="en-GB"/>
        </w:rPr>
        <w:t xml:space="preserve">guarantee </w:t>
      </w:r>
      <w:r w:rsidRPr="00F30D12">
        <w:rPr>
          <w:color w:val="000000" w:themeColor="text1"/>
          <w:lang w:val="en-GB"/>
        </w:rPr>
        <w:t xml:space="preserve">scheme </w:t>
      </w:r>
      <w:r w:rsidR="00955BAD">
        <w:rPr>
          <w:color w:val="000000" w:themeColor="text1"/>
          <w:lang w:val="en-GB"/>
        </w:rPr>
        <w:t xml:space="preserve">will come to an end, </w:t>
      </w:r>
      <w:r w:rsidR="00E44F52">
        <w:rPr>
          <w:color w:val="000000" w:themeColor="text1"/>
          <w:lang w:val="en-GB"/>
        </w:rPr>
        <w:t>and i</w:t>
      </w:r>
      <w:r w:rsidRPr="00F30D12">
        <w:rPr>
          <w:color w:val="000000" w:themeColor="text1"/>
          <w:lang w:val="en-GB"/>
        </w:rPr>
        <w:t xml:space="preserve">f the experience of </w:t>
      </w:r>
      <w:r w:rsidR="00E44F52">
        <w:rPr>
          <w:color w:val="000000" w:themeColor="text1"/>
          <w:lang w:val="en-GB"/>
        </w:rPr>
        <w:t xml:space="preserve">the </w:t>
      </w:r>
      <w:r w:rsidRPr="00F30D12">
        <w:rPr>
          <w:color w:val="000000" w:themeColor="text1"/>
          <w:lang w:val="en-GB"/>
        </w:rPr>
        <w:t xml:space="preserve">participating </w:t>
      </w:r>
      <w:r w:rsidR="00E44F52">
        <w:rPr>
          <w:color w:val="000000" w:themeColor="text1"/>
          <w:lang w:val="en-GB"/>
        </w:rPr>
        <w:t xml:space="preserve">financial institutions </w:t>
      </w:r>
      <w:r w:rsidRPr="00F30D12">
        <w:rPr>
          <w:color w:val="000000" w:themeColor="text1"/>
          <w:lang w:val="en-GB"/>
        </w:rPr>
        <w:t xml:space="preserve">gained during tenure of the </w:t>
      </w:r>
      <w:r w:rsidR="00126A00">
        <w:rPr>
          <w:color w:val="000000" w:themeColor="text1"/>
          <w:lang w:val="en-GB"/>
        </w:rPr>
        <w:t xml:space="preserve">scheme </w:t>
      </w:r>
      <w:r w:rsidRPr="00F30D12">
        <w:rPr>
          <w:color w:val="000000" w:themeColor="text1"/>
          <w:lang w:val="en-GB"/>
        </w:rPr>
        <w:t>has been positive and they continue to serve those sectors</w:t>
      </w:r>
      <w:r w:rsidR="00AF5AC8">
        <w:rPr>
          <w:color w:val="000000" w:themeColor="text1"/>
          <w:lang w:val="en-GB"/>
        </w:rPr>
        <w:t>,</w:t>
      </w:r>
      <w:r w:rsidRPr="00F30D12">
        <w:rPr>
          <w:color w:val="000000" w:themeColor="text1"/>
          <w:lang w:val="en-GB"/>
        </w:rPr>
        <w:t xml:space="preserve"> the </w:t>
      </w:r>
      <w:r w:rsidR="00126A00" w:rsidRPr="00126A00">
        <w:rPr>
          <w:color w:val="000000" w:themeColor="text1"/>
          <w:lang w:val="en-GB"/>
        </w:rPr>
        <w:t xml:space="preserve">development interventions </w:t>
      </w:r>
      <w:r w:rsidRPr="00F30D12">
        <w:rPr>
          <w:color w:val="000000" w:themeColor="text1"/>
          <w:lang w:val="en-GB"/>
        </w:rPr>
        <w:t>will be deemed successful.</w:t>
      </w:r>
      <w:r>
        <w:rPr>
          <w:color w:val="000000" w:themeColor="text1"/>
          <w:lang w:val="en-GB"/>
        </w:rPr>
        <w:t xml:space="preserve"> </w:t>
      </w:r>
    </w:p>
    <w:p w14:paraId="178C9B06" w14:textId="77777777" w:rsidR="007C6192" w:rsidRDefault="007C6192" w:rsidP="0090455B">
      <w:pPr>
        <w:spacing w:after="60" w:line="276" w:lineRule="auto"/>
        <w:jc w:val="both"/>
        <w:rPr>
          <w:color w:val="000000" w:themeColor="text1"/>
          <w:lang w:val="en-GB"/>
        </w:rPr>
      </w:pPr>
    </w:p>
    <w:p w14:paraId="082403EF" w14:textId="265B454C" w:rsidR="007969B4" w:rsidRPr="001F38DC" w:rsidRDefault="007969B4" w:rsidP="0090455B">
      <w:pPr>
        <w:spacing w:after="60" w:line="276" w:lineRule="auto"/>
        <w:jc w:val="both"/>
        <w:rPr>
          <w:color w:val="000000" w:themeColor="text1"/>
          <w:lang w:val="en-GB"/>
        </w:rPr>
      </w:pPr>
      <w:r>
        <w:rPr>
          <w:color w:val="000000" w:themeColor="text1"/>
          <w:lang w:val="en-GB"/>
        </w:rPr>
        <w:t xml:space="preserve">In providing </w:t>
      </w:r>
      <w:r w:rsidR="00AF5AC8">
        <w:rPr>
          <w:color w:val="000000" w:themeColor="text1"/>
          <w:lang w:val="en-GB"/>
        </w:rPr>
        <w:t xml:space="preserve">UNDP-supported </w:t>
      </w:r>
      <w:r>
        <w:rPr>
          <w:color w:val="000000" w:themeColor="text1"/>
          <w:lang w:val="en-GB"/>
        </w:rPr>
        <w:t>guarantees, UNDP’s key objectives</w:t>
      </w:r>
      <w:r w:rsidRPr="001F38DC">
        <w:rPr>
          <w:color w:val="000000" w:themeColor="text1"/>
          <w:lang w:val="en-GB"/>
        </w:rPr>
        <w:t xml:space="preserve"> are to:</w:t>
      </w:r>
    </w:p>
    <w:p w14:paraId="68B797A0" w14:textId="06292AF2" w:rsidR="001B4827" w:rsidRDefault="004901F1" w:rsidP="00251237">
      <w:pPr>
        <w:pStyle w:val="ListParagraph"/>
        <w:numPr>
          <w:ilvl w:val="0"/>
          <w:numId w:val="4"/>
        </w:numPr>
        <w:spacing w:line="276" w:lineRule="auto"/>
        <w:jc w:val="both"/>
        <w:rPr>
          <w:color w:val="000000" w:themeColor="text1"/>
          <w:lang w:val="en-GB"/>
        </w:rPr>
      </w:pPr>
      <w:r>
        <w:rPr>
          <w:color w:val="000000" w:themeColor="text1"/>
          <w:lang w:val="en-GB"/>
        </w:rPr>
        <w:t xml:space="preserve">Attract lenders through </w:t>
      </w:r>
      <w:r w:rsidR="00467560">
        <w:rPr>
          <w:color w:val="000000" w:themeColor="text1"/>
          <w:lang w:val="en-GB"/>
        </w:rPr>
        <w:t>m</w:t>
      </w:r>
      <w:r w:rsidR="007969B4">
        <w:rPr>
          <w:color w:val="000000" w:themeColor="text1"/>
          <w:lang w:val="en-GB"/>
        </w:rPr>
        <w:t>inimiz</w:t>
      </w:r>
      <w:r w:rsidR="00467560">
        <w:rPr>
          <w:color w:val="000000" w:themeColor="text1"/>
          <w:lang w:val="en-GB"/>
        </w:rPr>
        <w:t>ing</w:t>
      </w:r>
      <w:r w:rsidR="007969B4">
        <w:rPr>
          <w:color w:val="000000" w:themeColor="text1"/>
          <w:lang w:val="en-GB"/>
        </w:rPr>
        <w:t xml:space="preserve"> </w:t>
      </w:r>
      <w:r w:rsidR="007969B4" w:rsidRPr="00386653">
        <w:rPr>
          <w:color w:val="000000" w:themeColor="text1"/>
          <w:lang w:val="en-GB"/>
        </w:rPr>
        <w:t>the risk o</w:t>
      </w:r>
      <w:r w:rsidR="007969B4">
        <w:rPr>
          <w:color w:val="000000" w:themeColor="text1"/>
          <w:lang w:val="en-GB"/>
        </w:rPr>
        <w:t xml:space="preserve">f </w:t>
      </w:r>
      <w:r w:rsidR="00B2718D">
        <w:rPr>
          <w:color w:val="000000" w:themeColor="text1"/>
          <w:lang w:val="en-GB"/>
        </w:rPr>
        <w:t xml:space="preserve">extraordinary or excessive </w:t>
      </w:r>
      <w:r w:rsidR="007969B4">
        <w:rPr>
          <w:color w:val="000000" w:themeColor="text1"/>
          <w:lang w:val="en-GB"/>
        </w:rPr>
        <w:t>loss</w:t>
      </w:r>
      <w:r w:rsidR="00467560">
        <w:rPr>
          <w:color w:val="000000" w:themeColor="text1"/>
          <w:lang w:val="en-GB"/>
        </w:rPr>
        <w:t>es</w:t>
      </w:r>
      <w:r w:rsidR="001B4827">
        <w:rPr>
          <w:color w:val="000000" w:themeColor="text1"/>
          <w:lang w:val="en-GB"/>
        </w:rPr>
        <w:t xml:space="preserve">, </w:t>
      </w:r>
      <w:r w:rsidR="00BA5403">
        <w:rPr>
          <w:color w:val="000000" w:themeColor="text1"/>
          <w:lang w:val="en-GB"/>
        </w:rPr>
        <w:t xml:space="preserve">and </w:t>
      </w:r>
      <w:r w:rsidR="001B4827">
        <w:rPr>
          <w:color w:val="000000" w:themeColor="text1"/>
          <w:lang w:val="en-GB"/>
        </w:rPr>
        <w:t>mitigati</w:t>
      </w:r>
      <w:r w:rsidR="00BA5403">
        <w:rPr>
          <w:color w:val="000000" w:themeColor="text1"/>
          <w:lang w:val="en-GB"/>
        </w:rPr>
        <w:t>ng</w:t>
      </w:r>
      <w:r w:rsidR="001B4827">
        <w:rPr>
          <w:color w:val="000000" w:themeColor="text1"/>
          <w:lang w:val="en-GB"/>
        </w:rPr>
        <w:t xml:space="preserve"> informational asymmetries in lenders that adversely impact </w:t>
      </w:r>
      <w:r w:rsidR="005C477E">
        <w:rPr>
          <w:color w:val="000000" w:themeColor="text1"/>
          <w:lang w:val="en-GB"/>
        </w:rPr>
        <w:t xml:space="preserve">new sectors or </w:t>
      </w:r>
      <w:r w:rsidR="001B4827">
        <w:rPr>
          <w:color w:val="000000" w:themeColor="text1"/>
          <w:lang w:val="en-GB"/>
        </w:rPr>
        <w:t>small and medium-sized enterprises</w:t>
      </w:r>
      <w:r w:rsidR="001B4827">
        <w:rPr>
          <w:rStyle w:val="FootnoteReference"/>
          <w:color w:val="000000" w:themeColor="text1"/>
          <w:lang w:val="en-GB"/>
        </w:rPr>
        <w:footnoteReference w:id="5"/>
      </w:r>
    </w:p>
    <w:p w14:paraId="6640D0FB" w14:textId="744399DC" w:rsidR="007969B4" w:rsidRPr="00AB69F2" w:rsidRDefault="001B4827" w:rsidP="00251237">
      <w:pPr>
        <w:pStyle w:val="ListParagraph"/>
        <w:numPr>
          <w:ilvl w:val="0"/>
          <w:numId w:val="4"/>
        </w:numPr>
        <w:spacing w:line="276" w:lineRule="auto"/>
        <w:jc w:val="both"/>
        <w:rPr>
          <w:color w:val="000000" w:themeColor="text1"/>
          <w:lang w:val="en-GB"/>
        </w:rPr>
      </w:pPr>
      <w:r w:rsidRPr="00AB69F2">
        <w:rPr>
          <w:color w:val="000000" w:themeColor="text1"/>
          <w:lang w:val="en-GB"/>
        </w:rPr>
        <w:lastRenderedPageBreak/>
        <w:t xml:space="preserve">Stimulate growth in economies where resources are not fully employed. For example, banks </w:t>
      </w:r>
      <w:r w:rsidR="004A1D81">
        <w:rPr>
          <w:color w:val="000000" w:themeColor="text1"/>
          <w:lang w:val="en-GB"/>
        </w:rPr>
        <w:t xml:space="preserve">may be </w:t>
      </w:r>
      <w:r w:rsidRPr="004A1D81">
        <w:rPr>
          <w:color w:val="000000" w:themeColor="text1"/>
          <w:lang w:val="en-GB"/>
        </w:rPr>
        <w:t>over-liquid</w:t>
      </w:r>
      <w:r w:rsidR="00AC5D51">
        <w:rPr>
          <w:color w:val="000000" w:themeColor="text1"/>
          <w:lang w:val="en-GB"/>
        </w:rPr>
        <w:t>,</w:t>
      </w:r>
      <w:r w:rsidRPr="004A1D81">
        <w:rPr>
          <w:color w:val="000000" w:themeColor="text1"/>
          <w:lang w:val="en-GB"/>
        </w:rPr>
        <w:t xml:space="preserve"> </w:t>
      </w:r>
      <w:r w:rsidR="004A1D81">
        <w:rPr>
          <w:color w:val="000000" w:themeColor="text1"/>
          <w:lang w:val="en-GB"/>
        </w:rPr>
        <w:t>yet</w:t>
      </w:r>
      <w:r w:rsidRPr="004A1D81">
        <w:rPr>
          <w:color w:val="000000" w:themeColor="text1"/>
          <w:lang w:val="en-GB"/>
        </w:rPr>
        <w:t xml:space="preserve"> do not put their funds to full use because of the perceived high risk of potential borrowers</w:t>
      </w:r>
    </w:p>
    <w:p w14:paraId="5F9E10B0" w14:textId="746136C4" w:rsidR="00A92B91" w:rsidRPr="00386653" w:rsidRDefault="00A92B91" w:rsidP="00251237">
      <w:pPr>
        <w:pStyle w:val="ListParagraph"/>
        <w:numPr>
          <w:ilvl w:val="0"/>
          <w:numId w:val="4"/>
        </w:numPr>
        <w:spacing w:line="276" w:lineRule="auto"/>
        <w:jc w:val="both"/>
        <w:rPr>
          <w:color w:val="000000" w:themeColor="text1"/>
          <w:lang w:val="en-GB"/>
        </w:rPr>
      </w:pPr>
      <w:r>
        <w:rPr>
          <w:color w:val="000000" w:themeColor="text1"/>
          <w:lang w:val="en-GB"/>
        </w:rPr>
        <w:t xml:space="preserve">Share risk </w:t>
      </w:r>
      <w:r w:rsidR="00093E6A">
        <w:rPr>
          <w:color w:val="000000" w:themeColor="text1"/>
          <w:lang w:val="en-GB"/>
        </w:rPr>
        <w:t xml:space="preserve">in commercially viable lending </w:t>
      </w:r>
      <w:r w:rsidR="00D11BD7">
        <w:rPr>
          <w:color w:val="000000" w:themeColor="text1"/>
          <w:lang w:val="en-GB"/>
        </w:rPr>
        <w:t>schemes</w:t>
      </w:r>
      <w:r w:rsidR="00093E6A">
        <w:rPr>
          <w:color w:val="000000" w:themeColor="text1"/>
          <w:lang w:val="en-GB"/>
        </w:rPr>
        <w:t xml:space="preserve"> </w:t>
      </w:r>
      <w:r>
        <w:rPr>
          <w:color w:val="000000" w:themeColor="text1"/>
          <w:lang w:val="en-GB"/>
        </w:rPr>
        <w:t xml:space="preserve">to encourage </w:t>
      </w:r>
      <w:r w:rsidR="00AE47D7">
        <w:rPr>
          <w:color w:val="000000" w:themeColor="text1"/>
          <w:lang w:val="en-GB"/>
        </w:rPr>
        <w:t xml:space="preserve">sound </w:t>
      </w:r>
      <w:r>
        <w:rPr>
          <w:color w:val="000000" w:themeColor="text1"/>
          <w:lang w:val="en-GB"/>
        </w:rPr>
        <w:t>lending</w:t>
      </w:r>
      <w:r w:rsidR="00AE47D7">
        <w:rPr>
          <w:color w:val="000000" w:themeColor="text1"/>
          <w:lang w:val="en-GB"/>
        </w:rPr>
        <w:t xml:space="preserve"> decisions to new sectors </w:t>
      </w:r>
      <w:r w:rsidR="00C84C82">
        <w:rPr>
          <w:color w:val="000000" w:themeColor="text1"/>
          <w:lang w:val="en-GB"/>
        </w:rPr>
        <w:t>and/</w:t>
      </w:r>
      <w:r w:rsidR="00AE47D7">
        <w:rPr>
          <w:color w:val="000000" w:themeColor="text1"/>
          <w:lang w:val="en-GB"/>
        </w:rPr>
        <w:t>or markets</w:t>
      </w:r>
      <w:r w:rsidR="0024553C" w:rsidRPr="0024553C">
        <w:rPr>
          <w:color w:val="000000" w:themeColor="text1"/>
          <w:lang w:val="en-GB"/>
        </w:rPr>
        <w:t>, including countries where development assistance funding is scarce.</w:t>
      </w:r>
      <w:r w:rsidR="0038294E">
        <w:rPr>
          <w:color w:val="000000" w:themeColor="text1"/>
          <w:lang w:val="en-GB"/>
        </w:rPr>
        <w:t xml:space="preserve"> </w:t>
      </w:r>
      <w:r w:rsidR="0038294E" w:rsidRPr="0038294E">
        <w:rPr>
          <w:color w:val="000000" w:themeColor="text1"/>
          <w:lang w:val="en-GB"/>
        </w:rPr>
        <w:t xml:space="preserve">In the case of UNDP, as seen below, UNDP’s financial risk </w:t>
      </w:r>
      <w:r w:rsidR="001D10B4" w:rsidRPr="008C2AC5">
        <w:rPr>
          <w:color w:val="000000" w:themeColor="text1"/>
          <w:lang w:val="en-GB"/>
        </w:rPr>
        <w:t xml:space="preserve">when issuing guarantees </w:t>
      </w:r>
      <w:r w:rsidR="0038294E" w:rsidRPr="0038294E">
        <w:rPr>
          <w:color w:val="000000" w:themeColor="text1"/>
          <w:lang w:val="en-GB"/>
        </w:rPr>
        <w:t xml:space="preserve">will be fully covered by funds provided </w:t>
      </w:r>
      <w:r w:rsidR="005A33AE">
        <w:rPr>
          <w:color w:val="000000" w:themeColor="text1"/>
          <w:lang w:val="en-GB"/>
        </w:rPr>
        <w:t xml:space="preserve">expressly </w:t>
      </w:r>
      <w:r w:rsidR="0038294E" w:rsidRPr="0038294E">
        <w:rPr>
          <w:color w:val="000000" w:themeColor="text1"/>
          <w:lang w:val="en-GB"/>
        </w:rPr>
        <w:t>by funding partners</w:t>
      </w:r>
      <w:r w:rsidR="005A33AE">
        <w:rPr>
          <w:color w:val="000000" w:themeColor="text1"/>
          <w:lang w:val="en-GB"/>
        </w:rPr>
        <w:t xml:space="preserve"> (non-core programme</w:t>
      </w:r>
      <w:r w:rsidR="0038294E" w:rsidRPr="0038294E">
        <w:rPr>
          <w:color w:val="000000" w:themeColor="text1"/>
          <w:lang w:val="en-GB"/>
        </w:rPr>
        <w:t>)</w:t>
      </w:r>
      <w:r w:rsidR="005A33AE">
        <w:rPr>
          <w:color w:val="000000" w:themeColor="text1"/>
          <w:lang w:val="en-GB"/>
        </w:rPr>
        <w:t xml:space="preserve"> to cover this risk</w:t>
      </w:r>
    </w:p>
    <w:p w14:paraId="4DF3122B" w14:textId="507EE787" w:rsidR="007969B4" w:rsidRPr="00386653" w:rsidRDefault="007969B4" w:rsidP="00251237">
      <w:pPr>
        <w:pStyle w:val="ListParagraph"/>
        <w:numPr>
          <w:ilvl w:val="0"/>
          <w:numId w:val="4"/>
        </w:numPr>
        <w:spacing w:line="276" w:lineRule="auto"/>
        <w:jc w:val="both"/>
        <w:rPr>
          <w:color w:val="000000" w:themeColor="text1"/>
          <w:lang w:val="en-GB"/>
        </w:rPr>
      </w:pPr>
      <w:r w:rsidRPr="00386653">
        <w:rPr>
          <w:color w:val="000000" w:themeColor="text1"/>
          <w:lang w:val="en-GB"/>
        </w:rPr>
        <w:t>Lower</w:t>
      </w:r>
      <w:r w:rsidR="00AE47D7">
        <w:rPr>
          <w:color w:val="000000" w:themeColor="text1"/>
          <w:lang w:val="en-GB"/>
        </w:rPr>
        <w:t xml:space="preserve"> barriers to accessing finance</w:t>
      </w:r>
      <w:r>
        <w:rPr>
          <w:color w:val="000000" w:themeColor="text1"/>
          <w:lang w:val="en-GB"/>
        </w:rPr>
        <w:t xml:space="preserve"> for borrowers</w:t>
      </w:r>
      <w:r w:rsidR="00FD1AAE">
        <w:rPr>
          <w:color w:val="000000" w:themeColor="text1"/>
          <w:lang w:val="en-GB"/>
        </w:rPr>
        <w:t xml:space="preserve">, particularly vis-à-vis </w:t>
      </w:r>
      <w:r w:rsidR="00FD1AAE" w:rsidRPr="006B05B6">
        <w:rPr>
          <w:color w:val="000000" w:themeColor="text1"/>
          <w:lang w:val="en-GB"/>
        </w:rPr>
        <w:t>credit guarantee</w:t>
      </w:r>
      <w:r w:rsidR="00FD1AAE">
        <w:rPr>
          <w:color w:val="000000" w:themeColor="text1"/>
          <w:lang w:val="en-GB"/>
        </w:rPr>
        <w:t>s</w:t>
      </w:r>
      <w:r w:rsidR="00FD1AAE" w:rsidRPr="006B05B6">
        <w:rPr>
          <w:color w:val="000000" w:themeColor="text1"/>
          <w:lang w:val="en-GB"/>
        </w:rPr>
        <w:t xml:space="preserve"> </w:t>
      </w:r>
      <w:r w:rsidR="00FD1AAE">
        <w:rPr>
          <w:color w:val="000000" w:themeColor="text1"/>
          <w:lang w:val="en-GB"/>
        </w:rPr>
        <w:t xml:space="preserve">that can assist certain borrowers as a </w:t>
      </w:r>
      <w:r w:rsidR="00FD1AAE" w:rsidRPr="0083512F">
        <w:rPr>
          <w:color w:val="000000" w:themeColor="text1"/>
          <w:lang w:val="en-GB"/>
        </w:rPr>
        <w:t>partial substitute for collateral</w:t>
      </w:r>
    </w:p>
    <w:p w14:paraId="010CDA7C" w14:textId="1AA5D852" w:rsidR="007969B4" w:rsidRDefault="001E2906" w:rsidP="00251237">
      <w:pPr>
        <w:pStyle w:val="ListParagraph"/>
        <w:numPr>
          <w:ilvl w:val="0"/>
          <w:numId w:val="4"/>
        </w:numPr>
        <w:spacing w:line="276" w:lineRule="auto"/>
        <w:jc w:val="both"/>
        <w:rPr>
          <w:color w:val="000000" w:themeColor="text1"/>
          <w:lang w:val="en-GB"/>
        </w:rPr>
      </w:pPr>
      <w:r w:rsidDel="002B10F7">
        <w:rPr>
          <w:color w:val="000000" w:themeColor="text1"/>
          <w:lang w:val="en-GB"/>
        </w:rPr>
        <w:t xml:space="preserve"> </w:t>
      </w:r>
      <w:r w:rsidR="002B10F7" w:rsidRPr="002B10F7">
        <w:rPr>
          <w:color w:val="000000" w:themeColor="text1"/>
          <w:lang w:val="en-GB"/>
        </w:rPr>
        <w:t>In the case of a UNDP</w:t>
      </w:r>
      <w:r w:rsidR="00AF5AC8">
        <w:rPr>
          <w:color w:val="000000" w:themeColor="text1"/>
          <w:lang w:val="en-GB"/>
        </w:rPr>
        <w:t>-</w:t>
      </w:r>
      <w:r w:rsidR="002B10F7" w:rsidRPr="002B10F7">
        <w:rPr>
          <w:color w:val="000000" w:themeColor="text1"/>
          <w:lang w:val="en-GB"/>
        </w:rPr>
        <w:t xml:space="preserve">supported guarantee, the presence of such a guarantee would help to </w:t>
      </w:r>
      <w:r w:rsidR="007969B4">
        <w:rPr>
          <w:color w:val="000000" w:themeColor="text1"/>
          <w:lang w:val="en-GB"/>
        </w:rPr>
        <w:t>m</w:t>
      </w:r>
      <w:r w:rsidR="007969B4" w:rsidRPr="00386653">
        <w:rPr>
          <w:color w:val="000000" w:themeColor="text1"/>
          <w:lang w:val="en-GB"/>
        </w:rPr>
        <w:t>obilize financing that wou</w:t>
      </w:r>
      <w:r w:rsidR="007969B4">
        <w:rPr>
          <w:color w:val="000000" w:themeColor="text1"/>
          <w:lang w:val="en-GB"/>
        </w:rPr>
        <w:t>ld not otherwise be forthcoming, particularly private sector financing</w:t>
      </w:r>
      <w:r w:rsidR="00335969">
        <w:rPr>
          <w:color w:val="000000" w:themeColor="text1"/>
          <w:lang w:val="en-GB"/>
        </w:rPr>
        <w:t xml:space="preserve"> and especially local market capital</w:t>
      </w:r>
      <w:r w:rsidR="00FA630F" w:rsidRPr="00FA630F">
        <w:rPr>
          <w:color w:val="000000" w:themeColor="text1"/>
          <w:lang w:val="en-GB"/>
        </w:rPr>
        <w:t>, as local lenders would gain additional assurance as a result of a UNDP</w:t>
      </w:r>
      <w:r w:rsidR="00AF5AC8">
        <w:rPr>
          <w:color w:val="000000" w:themeColor="text1"/>
          <w:lang w:val="en-GB"/>
        </w:rPr>
        <w:t>-supported</w:t>
      </w:r>
      <w:r w:rsidR="00FA630F" w:rsidRPr="00FA630F">
        <w:rPr>
          <w:color w:val="000000" w:themeColor="text1"/>
          <w:lang w:val="en-GB"/>
        </w:rPr>
        <w:t xml:space="preserve"> guarantee</w:t>
      </w:r>
    </w:p>
    <w:p w14:paraId="652678DF" w14:textId="77777777" w:rsidR="00335969" w:rsidRDefault="00335969" w:rsidP="00251237">
      <w:pPr>
        <w:pStyle w:val="ListParagraph"/>
        <w:numPr>
          <w:ilvl w:val="0"/>
          <w:numId w:val="4"/>
        </w:numPr>
        <w:spacing w:line="276" w:lineRule="auto"/>
        <w:jc w:val="both"/>
        <w:rPr>
          <w:color w:val="000000" w:themeColor="text1"/>
          <w:lang w:val="en-GB"/>
        </w:rPr>
      </w:pPr>
      <w:r>
        <w:rPr>
          <w:color w:val="000000" w:themeColor="text1"/>
          <w:lang w:val="en-GB"/>
        </w:rPr>
        <w:t>Create a demonstration effect, particularly to local financial institutions</w:t>
      </w:r>
      <w:r w:rsidR="005A22AF">
        <w:rPr>
          <w:color w:val="000000" w:themeColor="text1"/>
          <w:lang w:val="en-GB"/>
        </w:rPr>
        <w:t>, of a sustainable market/sector for lending</w:t>
      </w:r>
      <w:r>
        <w:rPr>
          <w:color w:val="000000" w:themeColor="text1"/>
          <w:lang w:val="en-GB"/>
        </w:rPr>
        <w:t xml:space="preserve"> </w:t>
      </w:r>
    </w:p>
    <w:p w14:paraId="0FF7FB33" w14:textId="77777777" w:rsidR="00335969" w:rsidRPr="00386653" w:rsidRDefault="00335969" w:rsidP="00251237">
      <w:pPr>
        <w:pStyle w:val="ListParagraph"/>
        <w:numPr>
          <w:ilvl w:val="0"/>
          <w:numId w:val="4"/>
        </w:numPr>
        <w:spacing w:line="276" w:lineRule="auto"/>
        <w:jc w:val="both"/>
        <w:rPr>
          <w:color w:val="000000" w:themeColor="text1"/>
          <w:lang w:val="en-GB"/>
        </w:rPr>
      </w:pPr>
      <w:r>
        <w:rPr>
          <w:color w:val="000000" w:themeColor="text1"/>
          <w:lang w:val="en-GB"/>
        </w:rPr>
        <w:t>Maximise impact per dollar invested as new capital is leveraged</w:t>
      </w:r>
    </w:p>
    <w:p w14:paraId="376C9FF4" w14:textId="036C65F7" w:rsidR="007969B4" w:rsidRDefault="007969B4" w:rsidP="00251237">
      <w:pPr>
        <w:pStyle w:val="ListParagraph"/>
        <w:numPr>
          <w:ilvl w:val="0"/>
          <w:numId w:val="4"/>
        </w:numPr>
        <w:spacing w:line="276" w:lineRule="auto"/>
        <w:jc w:val="both"/>
        <w:rPr>
          <w:color w:val="000000" w:themeColor="text1"/>
          <w:lang w:val="en-GB"/>
        </w:rPr>
      </w:pPr>
      <w:r w:rsidRPr="00386653">
        <w:rPr>
          <w:color w:val="000000" w:themeColor="text1"/>
          <w:lang w:val="en-GB"/>
        </w:rPr>
        <w:t xml:space="preserve">Facilitate public/private partnerships </w:t>
      </w:r>
      <w:r w:rsidR="00755A97">
        <w:rPr>
          <w:color w:val="000000" w:themeColor="text1"/>
          <w:lang w:val="en-GB"/>
        </w:rPr>
        <w:t>and blended finance</w:t>
      </w:r>
    </w:p>
    <w:p w14:paraId="5D4137F8" w14:textId="77777777" w:rsidR="007969B4" w:rsidRDefault="007969B4" w:rsidP="00251237">
      <w:pPr>
        <w:pStyle w:val="ListParagraph"/>
        <w:numPr>
          <w:ilvl w:val="0"/>
          <w:numId w:val="4"/>
        </w:numPr>
        <w:spacing w:line="276" w:lineRule="auto"/>
        <w:jc w:val="both"/>
        <w:rPr>
          <w:color w:val="000000" w:themeColor="text1"/>
          <w:lang w:val="en-GB"/>
        </w:rPr>
      </w:pPr>
      <w:r w:rsidRPr="00386653">
        <w:rPr>
          <w:color w:val="000000" w:themeColor="text1"/>
          <w:lang w:val="en-GB"/>
        </w:rPr>
        <w:t xml:space="preserve">Diversify financing sources by attracting participation beyond existing development financing </w:t>
      </w:r>
    </w:p>
    <w:p w14:paraId="4F4702EB" w14:textId="7247A215" w:rsidR="00C718E3" w:rsidRDefault="004B6B53" w:rsidP="00251237">
      <w:pPr>
        <w:pStyle w:val="ListParagraph"/>
        <w:numPr>
          <w:ilvl w:val="0"/>
          <w:numId w:val="4"/>
        </w:numPr>
        <w:spacing w:line="276" w:lineRule="auto"/>
        <w:jc w:val="both"/>
        <w:rPr>
          <w:color w:val="000000" w:themeColor="text1"/>
          <w:lang w:val="en-GB"/>
        </w:rPr>
      </w:pPr>
      <w:r w:rsidRPr="004B6B53">
        <w:rPr>
          <w:color w:val="000000" w:themeColor="text1"/>
          <w:lang w:val="en-GB"/>
        </w:rPr>
        <w:t>Promote visibility, accountability, and transparency for</w:t>
      </w:r>
      <w:r w:rsidR="009E5947" w:rsidRPr="009E5947">
        <w:rPr>
          <w:color w:val="000000" w:themeColor="text1"/>
          <w:lang w:val="en-GB"/>
        </w:rPr>
        <w:t xml:space="preserve"> investments for the SDGs </w:t>
      </w:r>
      <w:r w:rsidRPr="004B6B53">
        <w:rPr>
          <w:color w:val="000000" w:themeColor="text1"/>
          <w:lang w:val="en-GB"/>
        </w:rPr>
        <w:t>through de-risking instruments that maximize results and impact</w:t>
      </w:r>
    </w:p>
    <w:p w14:paraId="22181364" w14:textId="77777777" w:rsidR="007969B4" w:rsidRDefault="007969B4" w:rsidP="007969B4">
      <w:pPr>
        <w:pStyle w:val="ListParagraph"/>
        <w:jc w:val="both"/>
        <w:rPr>
          <w:color w:val="000000" w:themeColor="text1"/>
          <w:lang w:val="en-GB"/>
        </w:rPr>
      </w:pPr>
    </w:p>
    <w:p w14:paraId="10ACB4C7" w14:textId="676871D1" w:rsidR="007969B4" w:rsidRPr="007A198D" w:rsidRDefault="007969B4" w:rsidP="00251237">
      <w:pPr>
        <w:pStyle w:val="Heading2"/>
        <w:numPr>
          <w:ilvl w:val="0"/>
          <w:numId w:val="13"/>
        </w:numPr>
        <w:spacing w:before="0" w:after="160"/>
        <w:ind w:left="547" w:hanging="547"/>
        <w:rPr>
          <w:b/>
          <w:color w:val="000000" w:themeColor="text1"/>
          <w:sz w:val="24"/>
          <w:lang w:val="en-GB"/>
        </w:rPr>
      </w:pPr>
      <w:bookmarkStart w:id="10" w:name="_Toc2339896"/>
      <w:bookmarkStart w:id="11" w:name="_Toc121313756"/>
      <w:r w:rsidRPr="007A198D">
        <w:rPr>
          <w:b/>
          <w:color w:val="000000" w:themeColor="text1"/>
          <w:sz w:val="24"/>
          <w:lang w:val="en-GB"/>
        </w:rPr>
        <w:t>Objectives of UNDP</w:t>
      </w:r>
      <w:r w:rsidR="002653FD">
        <w:rPr>
          <w:b/>
          <w:color w:val="000000" w:themeColor="text1"/>
          <w:sz w:val="24"/>
          <w:lang w:val="en-GB"/>
        </w:rPr>
        <w:t>-supported</w:t>
      </w:r>
      <w:r w:rsidRPr="007A198D">
        <w:rPr>
          <w:b/>
          <w:color w:val="000000" w:themeColor="text1"/>
          <w:sz w:val="24"/>
          <w:lang w:val="en-GB"/>
        </w:rPr>
        <w:t xml:space="preserve"> Guarantees Operational Manual</w:t>
      </w:r>
      <w:bookmarkEnd w:id="10"/>
      <w:bookmarkEnd w:id="11"/>
    </w:p>
    <w:p w14:paraId="4C9FFAC7" w14:textId="13419C39" w:rsidR="007969B4" w:rsidRDefault="007969B4" w:rsidP="003E069D">
      <w:pPr>
        <w:spacing w:after="60" w:line="276" w:lineRule="auto"/>
        <w:jc w:val="both"/>
        <w:rPr>
          <w:color w:val="000000" w:themeColor="text1"/>
          <w:lang w:val="en-GB"/>
        </w:rPr>
      </w:pPr>
      <w:r>
        <w:rPr>
          <w:color w:val="000000" w:themeColor="text1"/>
          <w:lang w:val="en-GB"/>
        </w:rPr>
        <w:t xml:space="preserve">This </w:t>
      </w:r>
      <w:r w:rsidR="002D2A72">
        <w:rPr>
          <w:color w:val="000000" w:themeColor="text1"/>
          <w:lang w:val="en-GB"/>
        </w:rPr>
        <w:t>UNDP</w:t>
      </w:r>
      <w:r w:rsidR="002653FD">
        <w:rPr>
          <w:color w:val="000000" w:themeColor="text1"/>
          <w:lang w:val="en-GB"/>
        </w:rPr>
        <w:t>-supported</w:t>
      </w:r>
      <w:r w:rsidR="002D2A72">
        <w:rPr>
          <w:color w:val="000000" w:themeColor="text1"/>
          <w:lang w:val="en-GB"/>
        </w:rPr>
        <w:t xml:space="preserve"> Guarantees </w:t>
      </w:r>
      <w:r>
        <w:rPr>
          <w:color w:val="000000" w:themeColor="text1"/>
          <w:lang w:val="en-GB"/>
        </w:rPr>
        <w:t>Operational Manual</w:t>
      </w:r>
      <w:r w:rsidRPr="007D793F">
        <w:rPr>
          <w:color w:val="000000" w:themeColor="text1"/>
          <w:lang w:val="en-GB"/>
        </w:rPr>
        <w:t xml:space="preserve"> </w:t>
      </w:r>
      <w:r w:rsidR="00F726AF">
        <w:rPr>
          <w:color w:val="000000" w:themeColor="text1"/>
          <w:lang w:val="en-GB"/>
        </w:rPr>
        <w:t xml:space="preserve">supports the prescriptive content </w:t>
      </w:r>
      <w:r w:rsidR="00C908B4">
        <w:rPr>
          <w:color w:val="000000" w:themeColor="text1"/>
          <w:lang w:val="en-GB"/>
        </w:rPr>
        <w:t xml:space="preserve">contained </w:t>
      </w:r>
      <w:r w:rsidR="00F40947">
        <w:rPr>
          <w:color w:val="000000" w:themeColor="text1"/>
          <w:lang w:val="en-GB"/>
        </w:rPr>
        <w:t xml:space="preserve">in the </w:t>
      </w:r>
      <w:r w:rsidR="00F726AF">
        <w:rPr>
          <w:color w:val="000000" w:themeColor="text1"/>
          <w:lang w:val="en-GB"/>
        </w:rPr>
        <w:t>UNDP</w:t>
      </w:r>
      <w:r w:rsidR="002653FD">
        <w:rPr>
          <w:color w:val="000000" w:themeColor="text1"/>
          <w:lang w:val="en-GB"/>
        </w:rPr>
        <w:t>-supported</w:t>
      </w:r>
      <w:r w:rsidR="00F726AF">
        <w:rPr>
          <w:color w:val="000000" w:themeColor="text1"/>
          <w:lang w:val="en-GB"/>
        </w:rPr>
        <w:t xml:space="preserve"> Guarantees </w:t>
      </w:r>
      <w:r w:rsidR="00F40947">
        <w:rPr>
          <w:color w:val="000000" w:themeColor="text1"/>
          <w:lang w:val="en-GB"/>
        </w:rPr>
        <w:t xml:space="preserve">Policy by </w:t>
      </w:r>
      <w:r w:rsidR="00C908B4">
        <w:rPr>
          <w:color w:val="000000" w:themeColor="text1"/>
          <w:lang w:val="en-GB"/>
        </w:rPr>
        <w:t xml:space="preserve">providing </w:t>
      </w:r>
      <w:r w:rsidR="00834094">
        <w:rPr>
          <w:color w:val="000000" w:themeColor="text1"/>
          <w:lang w:val="en-GB"/>
        </w:rPr>
        <w:t xml:space="preserve">operational </w:t>
      </w:r>
      <w:r>
        <w:rPr>
          <w:color w:val="000000" w:themeColor="text1"/>
          <w:lang w:val="en-GB"/>
        </w:rPr>
        <w:t>guidance</w:t>
      </w:r>
      <w:r w:rsidRPr="007D793F">
        <w:rPr>
          <w:color w:val="000000" w:themeColor="text1"/>
          <w:lang w:val="en-GB"/>
        </w:rPr>
        <w:t xml:space="preserve"> </w:t>
      </w:r>
      <w:r>
        <w:rPr>
          <w:color w:val="000000" w:themeColor="text1"/>
          <w:lang w:val="en-GB"/>
        </w:rPr>
        <w:t xml:space="preserve">on </w:t>
      </w:r>
      <w:r w:rsidRPr="007D793F">
        <w:rPr>
          <w:color w:val="000000" w:themeColor="text1"/>
          <w:lang w:val="en-GB"/>
        </w:rPr>
        <w:t xml:space="preserve">UNDP’s management of </w:t>
      </w:r>
      <w:r w:rsidR="00AF5AC8">
        <w:rPr>
          <w:color w:val="000000" w:themeColor="text1"/>
          <w:lang w:val="en-GB"/>
        </w:rPr>
        <w:t xml:space="preserve">UNDP-supported </w:t>
      </w:r>
      <w:r w:rsidRPr="007D793F">
        <w:rPr>
          <w:color w:val="000000" w:themeColor="text1"/>
          <w:lang w:val="en-GB"/>
        </w:rPr>
        <w:t>guarantees</w:t>
      </w:r>
      <w:r w:rsidR="00646F9E">
        <w:rPr>
          <w:color w:val="000000" w:themeColor="text1"/>
          <w:lang w:val="en-GB"/>
        </w:rPr>
        <w:t>.</w:t>
      </w:r>
      <w:r>
        <w:rPr>
          <w:color w:val="000000" w:themeColor="text1"/>
          <w:lang w:val="en-GB"/>
        </w:rPr>
        <w:t xml:space="preserve"> </w:t>
      </w:r>
      <w:r w:rsidR="00646F9E">
        <w:rPr>
          <w:color w:val="000000" w:themeColor="text1"/>
          <w:lang w:val="en-GB"/>
        </w:rPr>
        <w:t xml:space="preserve">It </w:t>
      </w:r>
      <w:r w:rsidRPr="007D793F">
        <w:rPr>
          <w:color w:val="000000" w:themeColor="text1"/>
          <w:lang w:val="en-GB"/>
        </w:rPr>
        <w:t xml:space="preserve">is an informative guide </w:t>
      </w:r>
      <w:r w:rsidR="00646F9E">
        <w:rPr>
          <w:color w:val="000000" w:themeColor="text1"/>
          <w:lang w:val="en-GB"/>
        </w:rPr>
        <w:t xml:space="preserve">for </w:t>
      </w:r>
      <w:r w:rsidRPr="007D793F">
        <w:rPr>
          <w:color w:val="000000" w:themeColor="text1"/>
          <w:lang w:val="en-GB"/>
        </w:rPr>
        <w:t xml:space="preserve">both internal and external audiences. For UNDP </w:t>
      </w:r>
      <w:r w:rsidR="00BB1BBC">
        <w:rPr>
          <w:color w:val="000000" w:themeColor="text1"/>
          <w:lang w:val="en-GB"/>
        </w:rPr>
        <w:t>personnel</w:t>
      </w:r>
      <w:r w:rsidRPr="007D793F">
        <w:rPr>
          <w:color w:val="000000" w:themeColor="text1"/>
          <w:lang w:val="en-GB"/>
        </w:rPr>
        <w:t xml:space="preserve">, </w:t>
      </w:r>
      <w:r w:rsidR="001F4F4A">
        <w:rPr>
          <w:color w:val="000000" w:themeColor="text1"/>
          <w:lang w:val="en-GB"/>
        </w:rPr>
        <w:t xml:space="preserve">the </w:t>
      </w:r>
      <w:r w:rsidR="00AF5AC8">
        <w:rPr>
          <w:color w:val="000000" w:themeColor="text1"/>
          <w:lang w:val="en-GB"/>
        </w:rPr>
        <w:t xml:space="preserve">UNDP-supported </w:t>
      </w:r>
      <w:r w:rsidR="00D17A29">
        <w:rPr>
          <w:color w:val="000000" w:themeColor="text1"/>
          <w:lang w:val="en-GB"/>
        </w:rPr>
        <w:t>g</w:t>
      </w:r>
      <w:r w:rsidR="001F4F4A">
        <w:rPr>
          <w:color w:val="000000" w:themeColor="text1"/>
          <w:lang w:val="en-GB"/>
        </w:rPr>
        <w:t xml:space="preserve">uarantees </w:t>
      </w:r>
      <w:r w:rsidR="00D17A29">
        <w:rPr>
          <w:color w:val="000000" w:themeColor="text1"/>
          <w:lang w:val="en-GB"/>
        </w:rPr>
        <w:t>p</w:t>
      </w:r>
      <w:r w:rsidR="001F4F4A">
        <w:rPr>
          <w:color w:val="000000" w:themeColor="text1"/>
          <w:lang w:val="en-GB"/>
        </w:rPr>
        <w:t xml:space="preserve">olicy and </w:t>
      </w:r>
      <w:r w:rsidRPr="007D793F">
        <w:rPr>
          <w:color w:val="000000" w:themeColor="text1"/>
          <w:lang w:val="en-GB"/>
        </w:rPr>
        <w:t xml:space="preserve">this </w:t>
      </w:r>
      <w:r w:rsidR="00D17A29">
        <w:rPr>
          <w:color w:val="000000" w:themeColor="text1"/>
          <w:lang w:val="en-GB"/>
        </w:rPr>
        <w:t>o</w:t>
      </w:r>
      <w:r w:rsidR="001F4F4A">
        <w:rPr>
          <w:color w:val="000000" w:themeColor="text1"/>
          <w:lang w:val="en-GB"/>
        </w:rPr>
        <w:t xml:space="preserve">perational </w:t>
      </w:r>
      <w:r w:rsidR="00D17A29">
        <w:rPr>
          <w:color w:val="000000" w:themeColor="text1"/>
          <w:lang w:val="en-GB"/>
        </w:rPr>
        <w:t>m</w:t>
      </w:r>
      <w:r w:rsidR="00646F9E">
        <w:rPr>
          <w:color w:val="000000" w:themeColor="text1"/>
          <w:lang w:val="en-GB"/>
        </w:rPr>
        <w:t xml:space="preserve">anual </w:t>
      </w:r>
      <w:r w:rsidRPr="007D793F">
        <w:rPr>
          <w:color w:val="000000" w:themeColor="text1"/>
          <w:lang w:val="en-GB"/>
        </w:rPr>
        <w:t xml:space="preserve">complements the Programme and Operations Policy and Procedures (POPP) and the UNDP Financial </w:t>
      </w:r>
      <w:r w:rsidR="001C710C">
        <w:rPr>
          <w:color w:val="000000" w:themeColor="text1"/>
          <w:lang w:val="en-GB"/>
        </w:rPr>
        <w:t xml:space="preserve">Regulations and </w:t>
      </w:r>
      <w:r w:rsidRPr="007D793F">
        <w:rPr>
          <w:color w:val="000000" w:themeColor="text1"/>
          <w:lang w:val="en-GB"/>
        </w:rPr>
        <w:t>Rules (FRRs).</w:t>
      </w:r>
      <w:r>
        <w:rPr>
          <w:color w:val="000000" w:themeColor="text1"/>
          <w:lang w:val="en-GB"/>
        </w:rPr>
        <w:t xml:space="preserve"> The purpose of this </w:t>
      </w:r>
      <w:r w:rsidR="002D2A72">
        <w:rPr>
          <w:color w:val="000000" w:themeColor="text1"/>
          <w:lang w:val="en-GB"/>
        </w:rPr>
        <w:t>UNDP</w:t>
      </w:r>
      <w:r w:rsidR="00AF5AC8">
        <w:rPr>
          <w:color w:val="000000" w:themeColor="text1"/>
          <w:lang w:val="en-GB"/>
        </w:rPr>
        <w:t>-supported</w:t>
      </w:r>
      <w:r w:rsidR="002D2A72">
        <w:rPr>
          <w:color w:val="000000" w:themeColor="text1"/>
          <w:lang w:val="en-GB"/>
        </w:rPr>
        <w:t xml:space="preserve"> Guarantees </w:t>
      </w:r>
      <w:r>
        <w:rPr>
          <w:color w:val="000000" w:themeColor="text1"/>
          <w:lang w:val="en-GB"/>
        </w:rPr>
        <w:t>Operational Manual is to accomplish the following:</w:t>
      </w:r>
    </w:p>
    <w:p w14:paraId="30647EE2" w14:textId="7DE6DDAA" w:rsidR="007969B4" w:rsidRPr="008706FE" w:rsidRDefault="007969B4" w:rsidP="00251237">
      <w:pPr>
        <w:pStyle w:val="ListParagraph"/>
        <w:numPr>
          <w:ilvl w:val="0"/>
          <w:numId w:val="5"/>
        </w:numPr>
        <w:spacing w:line="276" w:lineRule="auto"/>
        <w:jc w:val="both"/>
        <w:rPr>
          <w:color w:val="000000" w:themeColor="text1"/>
          <w:lang w:val="en-GB"/>
        </w:rPr>
      </w:pPr>
      <w:r>
        <w:rPr>
          <w:color w:val="000000" w:themeColor="text1"/>
          <w:lang w:val="en-GB"/>
        </w:rPr>
        <w:t xml:space="preserve">Set forth the vision, operating principles and </w:t>
      </w:r>
      <w:r w:rsidR="009670F0">
        <w:rPr>
          <w:color w:val="000000" w:themeColor="text1"/>
          <w:lang w:val="en-GB"/>
        </w:rPr>
        <w:t xml:space="preserve">procedures </w:t>
      </w:r>
      <w:r>
        <w:rPr>
          <w:color w:val="000000" w:themeColor="text1"/>
          <w:lang w:val="en-GB"/>
        </w:rPr>
        <w:t xml:space="preserve">that will guide and advance UNDP’s engagement in </w:t>
      </w:r>
      <w:r w:rsidR="00AF5AC8">
        <w:rPr>
          <w:color w:val="000000" w:themeColor="text1"/>
          <w:lang w:val="en-GB"/>
        </w:rPr>
        <w:t xml:space="preserve">UNDP-supported </w:t>
      </w:r>
      <w:r>
        <w:rPr>
          <w:color w:val="000000" w:themeColor="text1"/>
          <w:lang w:val="en-GB"/>
        </w:rPr>
        <w:t>guarantees</w:t>
      </w:r>
    </w:p>
    <w:p w14:paraId="1A646EBC" w14:textId="407CE3C7" w:rsidR="007969B4" w:rsidRDefault="007969B4" w:rsidP="00251237">
      <w:pPr>
        <w:pStyle w:val="ListParagraph"/>
        <w:numPr>
          <w:ilvl w:val="0"/>
          <w:numId w:val="5"/>
        </w:numPr>
        <w:spacing w:line="276" w:lineRule="auto"/>
        <w:jc w:val="both"/>
        <w:rPr>
          <w:color w:val="000000" w:themeColor="text1"/>
          <w:lang w:val="en-GB"/>
        </w:rPr>
      </w:pPr>
      <w:r w:rsidRPr="001D7DDF">
        <w:rPr>
          <w:color w:val="000000" w:themeColor="text1"/>
          <w:lang w:val="en-GB"/>
        </w:rPr>
        <w:t>Ensure a coherent approach to the strategic management of UNDP</w:t>
      </w:r>
      <w:r w:rsidR="00CF2C68">
        <w:rPr>
          <w:color w:val="000000" w:themeColor="text1"/>
          <w:lang w:val="en-GB"/>
        </w:rPr>
        <w:t>-supported</w:t>
      </w:r>
      <w:r w:rsidRPr="001D7DDF">
        <w:rPr>
          <w:color w:val="000000" w:themeColor="text1"/>
          <w:lang w:val="en-GB"/>
        </w:rPr>
        <w:t xml:space="preserve"> guarantees</w:t>
      </w:r>
    </w:p>
    <w:p w14:paraId="19F8D27A" w14:textId="77777777" w:rsidR="007969B4" w:rsidRDefault="007969B4" w:rsidP="00251237">
      <w:pPr>
        <w:pStyle w:val="ListParagraph"/>
        <w:numPr>
          <w:ilvl w:val="0"/>
          <w:numId w:val="5"/>
        </w:numPr>
        <w:spacing w:line="276" w:lineRule="auto"/>
        <w:jc w:val="both"/>
        <w:rPr>
          <w:color w:val="000000" w:themeColor="text1"/>
          <w:lang w:val="en-GB"/>
        </w:rPr>
      </w:pPr>
      <w:r>
        <w:rPr>
          <w:color w:val="000000" w:themeColor="text1"/>
          <w:lang w:val="en-GB"/>
        </w:rPr>
        <w:t>Clarify and harmonize concepts, terminology/definitions, roles and responsibilities</w:t>
      </w:r>
    </w:p>
    <w:p w14:paraId="79AF644A" w14:textId="6E717DCD" w:rsidR="007969B4" w:rsidRPr="001D7DDF" w:rsidRDefault="007969B4" w:rsidP="003E069D">
      <w:pPr>
        <w:spacing w:line="276" w:lineRule="auto"/>
        <w:jc w:val="both"/>
        <w:rPr>
          <w:color w:val="000000" w:themeColor="text1"/>
          <w:lang w:val="en-GB"/>
        </w:rPr>
      </w:pPr>
      <w:r>
        <w:rPr>
          <w:color w:val="000000" w:themeColor="text1"/>
          <w:lang w:val="en-GB"/>
        </w:rPr>
        <w:t xml:space="preserve">This </w:t>
      </w:r>
      <w:r w:rsidR="002D2A72">
        <w:rPr>
          <w:color w:val="000000" w:themeColor="text1"/>
          <w:lang w:val="en-GB"/>
        </w:rPr>
        <w:t>UNDP</w:t>
      </w:r>
      <w:r w:rsidR="00AF5AC8">
        <w:rPr>
          <w:color w:val="000000" w:themeColor="text1"/>
          <w:lang w:val="en-GB"/>
        </w:rPr>
        <w:t>-supported</w:t>
      </w:r>
      <w:r w:rsidR="002D2A72">
        <w:rPr>
          <w:color w:val="000000" w:themeColor="text1"/>
          <w:lang w:val="en-GB"/>
        </w:rPr>
        <w:t xml:space="preserve"> Guarantees </w:t>
      </w:r>
      <w:r>
        <w:rPr>
          <w:color w:val="000000" w:themeColor="text1"/>
          <w:lang w:val="en-GB"/>
        </w:rPr>
        <w:t xml:space="preserve">Operational Manual is subject to periodic reviews and can be modified frequently should it be deemed necessary. </w:t>
      </w:r>
    </w:p>
    <w:p w14:paraId="58A76025" w14:textId="32F08967" w:rsidR="007969B4" w:rsidRPr="00EE65EB" w:rsidRDefault="00683013" w:rsidP="00251237">
      <w:pPr>
        <w:pStyle w:val="Heading1"/>
        <w:numPr>
          <w:ilvl w:val="0"/>
          <w:numId w:val="2"/>
        </w:numPr>
        <w:spacing w:before="480" w:after="240"/>
        <w:ind w:left="360"/>
        <w:rPr>
          <w:rFonts w:asciiTheme="minorHAnsi" w:hAnsiTheme="minorHAnsi"/>
          <w:color w:val="000000" w:themeColor="text1"/>
          <w:lang w:val="en-GB"/>
        </w:rPr>
      </w:pPr>
      <w:bookmarkStart w:id="12" w:name="_Toc493088778"/>
      <w:bookmarkStart w:id="13" w:name="_Toc2339897"/>
      <w:bookmarkStart w:id="14" w:name="_Toc121313757"/>
      <w:r>
        <w:rPr>
          <w:rFonts w:asciiTheme="minorHAnsi" w:eastAsia="Century Gothic" w:hAnsiTheme="minorHAnsi" w:cstheme="minorHAnsi"/>
          <w:color w:val="000000" w:themeColor="text1"/>
          <w:lang w:val="en-GB"/>
        </w:rPr>
        <w:lastRenderedPageBreak/>
        <w:t xml:space="preserve">Key </w:t>
      </w:r>
      <w:bookmarkEnd w:id="12"/>
      <w:r w:rsidR="005A6FB0">
        <w:rPr>
          <w:rFonts w:asciiTheme="minorHAnsi" w:eastAsia="Century Gothic" w:hAnsiTheme="minorHAnsi" w:cstheme="minorHAnsi"/>
          <w:color w:val="000000" w:themeColor="text1"/>
          <w:lang w:val="en-GB"/>
        </w:rPr>
        <w:t xml:space="preserve">Principles </w:t>
      </w:r>
      <w:r w:rsidR="00E34132" w:rsidRPr="00E34132">
        <w:rPr>
          <w:rFonts w:asciiTheme="minorHAnsi" w:eastAsia="Century Gothic" w:hAnsiTheme="minorHAnsi" w:cstheme="minorHAnsi"/>
          <w:color w:val="000000" w:themeColor="text1"/>
          <w:lang w:val="en-GB"/>
        </w:rPr>
        <w:t xml:space="preserve">in Designing </w:t>
      </w:r>
      <w:r w:rsidR="00AF5AC8">
        <w:rPr>
          <w:rFonts w:asciiTheme="minorHAnsi" w:eastAsia="Century Gothic" w:hAnsiTheme="minorHAnsi" w:cstheme="minorHAnsi"/>
          <w:color w:val="000000" w:themeColor="text1"/>
          <w:lang w:val="en-GB"/>
        </w:rPr>
        <w:t xml:space="preserve">UNDP-supported </w:t>
      </w:r>
      <w:r w:rsidR="00E34132" w:rsidRPr="00E34132">
        <w:rPr>
          <w:rFonts w:asciiTheme="minorHAnsi" w:eastAsia="Century Gothic" w:hAnsiTheme="minorHAnsi" w:cstheme="minorHAnsi"/>
          <w:color w:val="000000" w:themeColor="text1"/>
          <w:lang w:val="en-GB"/>
        </w:rPr>
        <w:t xml:space="preserve">Guarantees as Part of </w:t>
      </w:r>
      <w:r>
        <w:rPr>
          <w:rFonts w:asciiTheme="minorHAnsi" w:eastAsia="Century Gothic" w:hAnsiTheme="minorHAnsi" w:cstheme="minorHAnsi"/>
          <w:color w:val="000000" w:themeColor="text1"/>
          <w:lang w:val="en-GB"/>
        </w:rPr>
        <w:t xml:space="preserve">UNDP </w:t>
      </w:r>
      <w:bookmarkEnd w:id="13"/>
      <w:r w:rsidR="00E34132">
        <w:rPr>
          <w:rFonts w:asciiTheme="minorHAnsi" w:eastAsia="Century Gothic" w:hAnsiTheme="minorHAnsi" w:cstheme="minorHAnsi"/>
          <w:color w:val="000000" w:themeColor="text1"/>
          <w:lang w:val="en-GB"/>
        </w:rPr>
        <w:t>Projects</w:t>
      </w:r>
      <w:bookmarkEnd w:id="14"/>
      <w:r w:rsidR="00E34132">
        <w:rPr>
          <w:rFonts w:asciiTheme="minorHAnsi" w:eastAsia="Century Gothic" w:hAnsiTheme="minorHAnsi" w:cstheme="minorHAnsi"/>
          <w:color w:val="000000" w:themeColor="text1"/>
          <w:lang w:val="en-GB"/>
        </w:rPr>
        <w:t xml:space="preserve"> </w:t>
      </w:r>
    </w:p>
    <w:p w14:paraId="28204F9F" w14:textId="06C08273" w:rsidR="007969B4" w:rsidRPr="00E00363" w:rsidRDefault="007969B4" w:rsidP="003E069D">
      <w:pPr>
        <w:spacing w:after="0" w:line="276" w:lineRule="auto"/>
        <w:jc w:val="both"/>
        <w:rPr>
          <w:color w:val="000000" w:themeColor="text1"/>
          <w:lang w:val="en-GB"/>
        </w:rPr>
      </w:pPr>
      <w:bookmarkStart w:id="15" w:name="_Toc536795529"/>
      <w:bookmarkEnd w:id="15"/>
      <w:r w:rsidRPr="00737029">
        <w:rPr>
          <w:color w:val="000000" w:themeColor="text1"/>
          <w:lang w:val="en-GB"/>
        </w:rPr>
        <w:t xml:space="preserve">To </w:t>
      </w:r>
      <w:r w:rsidR="001C710C">
        <w:rPr>
          <w:color w:val="000000" w:themeColor="text1"/>
          <w:lang w:val="en-GB"/>
        </w:rPr>
        <w:t>ensure alignment with UNDP’s development mandate and Financial Regulations and Rules</w:t>
      </w:r>
      <w:r w:rsidRPr="00737029">
        <w:rPr>
          <w:color w:val="000000" w:themeColor="text1"/>
          <w:lang w:val="en-GB"/>
        </w:rPr>
        <w:t xml:space="preserve">, a set of principles </w:t>
      </w:r>
      <w:r w:rsidR="003148D3">
        <w:rPr>
          <w:color w:val="000000" w:themeColor="text1"/>
          <w:lang w:val="en-GB"/>
        </w:rPr>
        <w:t xml:space="preserve">must </w:t>
      </w:r>
      <w:r w:rsidR="00215FE8" w:rsidRPr="00737029">
        <w:rPr>
          <w:color w:val="000000" w:themeColor="text1"/>
          <w:lang w:val="en-GB"/>
        </w:rPr>
        <w:t xml:space="preserve">be followed </w:t>
      </w:r>
      <w:r w:rsidRPr="00737029">
        <w:rPr>
          <w:color w:val="000000" w:themeColor="text1"/>
          <w:lang w:val="en-GB"/>
        </w:rPr>
        <w:t>which</w:t>
      </w:r>
      <w:r w:rsidRPr="000842DA">
        <w:rPr>
          <w:color w:val="000000" w:themeColor="text1"/>
          <w:lang w:val="en-GB"/>
        </w:rPr>
        <w:t xml:space="preserve"> specif</w:t>
      </w:r>
      <w:r w:rsidR="003148D3">
        <w:rPr>
          <w:color w:val="000000" w:themeColor="text1"/>
          <w:lang w:val="en-GB"/>
        </w:rPr>
        <w:t>y the</w:t>
      </w:r>
      <w:r w:rsidRPr="000842DA">
        <w:rPr>
          <w:color w:val="000000" w:themeColor="text1"/>
          <w:lang w:val="en-GB"/>
        </w:rPr>
        <w:t xml:space="preserve"> circumstances </w:t>
      </w:r>
      <w:r w:rsidR="003148D3">
        <w:rPr>
          <w:color w:val="000000" w:themeColor="text1"/>
          <w:lang w:val="en-GB"/>
        </w:rPr>
        <w:t xml:space="preserve">under which </w:t>
      </w:r>
      <w:r w:rsidRPr="000842DA">
        <w:rPr>
          <w:color w:val="000000" w:themeColor="text1"/>
          <w:lang w:val="en-GB"/>
        </w:rPr>
        <w:t xml:space="preserve">UNDP will </w:t>
      </w:r>
      <w:r w:rsidR="00EE1AB2">
        <w:rPr>
          <w:color w:val="000000" w:themeColor="text1"/>
          <w:lang w:val="en-GB"/>
        </w:rPr>
        <w:t xml:space="preserve">support </w:t>
      </w:r>
      <w:r w:rsidRPr="000842DA">
        <w:rPr>
          <w:color w:val="000000" w:themeColor="text1"/>
          <w:lang w:val="en-GB"/>
        </w:rPr>
        <w:t>guarantees</w:t>
      </w:r>
      <w:r w:rsidR="003148D3">
        <w:rPr>
          <w:color w:val="000000" w:themeColor="text1"/>
          <w:lang w:val="en-GB"/>
        </w:rPr>
        <w:t>, namely</w:t>
      </w:r>
      <w:bookmarkStart w:id="16" w:name="_Toc493088779"/>
      <w:r w:rsidRPr="00E00363">
        <w:rPr>
          <w:color w:val="000000" w:themeColor="text1"/>
          <w:lang w:val="en-GB"/>
        </w:rPr>
        <w:t>:</w:t>
      </w:r>
    </w:p>
    <w:p w14:paraId="7A9B5AFA" w14:textId="77777777" w:rsidR="007969B4" w:rsidRPr="00880195" w:rsidRDefault="007969B4" w:rsidP="007969B4">
      <w:pPr>
        <w:spacing w:after="0" w:line="240" w:lineRule="auto"/>
        <w:jc w:val="both"/>
        <w:rPr>
          <w:color w:val="000000" w:themeColor="text1"/>
          <w:lang w:val="en-GB"/>
        </w:rPr>
      </w:pPr>
    </w:p>
    <w:p w14:paraId="34FE2F51" w14:textId="71ACE47A" w:rsidR="007969B4" w:rsidRPr="00F9794C" w:rsidRDefault="006B1AE8" w:rsidP="00524F54">
      <w:pPr>
        <w:pStyle w:val="Heading2"/>
        <w:numPr>
          <w:ilvl w:val="0"/>
          <w:numId w:val="19"/>
        </w:numPr>
        <w:spacing w:before="0" w:after="160"/>
        <w:ind w:left="540" w:hanging="720"/>
        <w:rPr>
          <w:rFonts w:cstheme="minorHAnsi"/>
          <w:b/>
          <w:color w:val="000000" w:themeColor="text1"/>
          <w:sz w:val="24"/>
          <w:szCs w:val="24"/>
        </w:rPr>
      </w:pPr>
      <w:bookmarkStart w:id="17" w:name="_Issue_Offer_guarantees"/>
      <w:bookmarkStart w:id="18" w:name="_Toc2339898"/>
      <w:bookmarkStart w:id="19" w:name="_Toc121313758"/>
      <w:bookmarkEnd w:id="16"/>
      <w:bookmarkEnd w:id="17"/>
      <w:r>
        <w:rPr>
          <w:rFonts w:cstheme="minorHAnsi"/>
          <w:b/>
          <w:color w:val="000000" w:themeColor="text1"/>
          <w:sz w:val="24"/>
          <w:szCs w:val="24"/>
        </w:rPr>
        <w:t>Offer</w:t>
      </w:r>
      <w:r w:rsidRPr="00F9794C">
        <w:rPr>
          <w:rFonts w:cstheme="minorHAnsi"/>
          <w:b/>
          <w:color w:val="000000" w:themeColor="text1"/>
          <w:sz w:val="24"/>
          <w:szCs w:val="24"/>
        </w:rPr>
        <w:t xml:space="preserve"> </w:t>
      </w:r>
      <w:r w:rsidR="00AF5AC8">
        <w:rPr>
          <w:rFonts w:cstheme="minorHAnsi"/>
          <w:b/>
          <w:color w:val="000000" w:themeColor="text1"/>
          <w:sz w:val="24"/>
          <w:szCs w:val="24"/>
        </w:rPr>
        <w:t xml:space="preserve">UNDP-supported </w:t>
      </w:r>
      <w:r w:rsidR="007969B4" w:rsidRPr="00F9794C">
        <w:rPr>
          <w:rFonts w:cstheme="minorHAnsi"/>
          <w:b/>
          <w:color w:val="000000" w:themeColor="text1"/>
          <w:sz w:val="24"/>
          <w:szCs w:val="24"/>
        </w:rPr>
        <w:t>guarantees as part of broader development pro</w:t>
      </w:r>
      <w:r w:rsidR="00B96CC0">
        <w:rPr>
          <w:rFonts w:cstheme="minorHAnsi"/>
          <w:b/>
          <w:color w:val="000000" w:themeColor="text1"/>
          <w:sz w:val="24"/>
          <w:szCs w:val="24"/>
        </w:rPr>
        <w:t>ject</w:t>
      </w:r>
      <w:r w:rsidR="005467F5">
        <w:rPr>
          <w:rFonts w:cstheme="minorHAnsi"/>
          <w:b/>
          <w:color w:val="000000" w:themeColor="text1"/>
          <w:sz w:val="24"/>
          <w:szCs w:val="24"/>
        </w:rPr>
        <w:t>s</w:t>
      </w:r>
      <w:r w:rsidR="007969B4" w:rsidRPr="00F9794C">
        <w:rPr>
          <w:rFonts w:cstheme="minorHAnsi"/>
          <w:b/>
          <w:color w:val="000000" w:themeColor="text1"/>
          <w:sz w:val="24"/>
          <w:szCs w:val="24"/>
        </w:rPr>
        <w:t xml:space="preserve"> and not as stand-alone interventions.</w:t>
      </w:r>
      <w:bookmarkEnd w:id="18"/>
      <w:bookmarkEnd w:id="19"/>
      <w:r w:rsidR="007969B4" w:rsidRPr="00F9794C">
        <w:rPr>
          <w:rFonts w:cstheme="minorHAnsi"/>
          <w:b/>
          <w:color w:val="000000" w:themeColor="text1"/>
          <w:sz w:val="24"/>
          <w:szCs w:val="24"/>
        </w:rPr>
        <w:t xml:space="preserve"> </w:t>
      </w:r>
    </w:p>
    <w:p w14:paraId="166A1211" w14:textId="30C867B7" w:rsidR="007969B4" w:rsidRDefault="007969B4" w:rsidP="00F9794C">
      <w:pPr>
        <w:pStyle w:val="ListParagraph"/>
        <w:spacing w:after="0" w:line="276" w:lineRule="auto"/>
        <w:ind w:left="540"/>
        <w:contextualSpacing w:val="0"/>
        <w:jc w:val="both"/>
        <w:rPr>
          <w:rFonts w:cstheme="minorHAnsi"/>
        </w:rPr>
      </w:pPr>
      <w:r>
        <w:rPr>
          <w:rFonts w:cstheme="minorHAnsi"/>
        </w:rPr>
        <w:t xml:space="preserve">UNDP </w:t>
      </w:r>
      <w:r w:rsidR="00755F9B">
        <w:rPr>
          <w:rFonts w:cstheme="minorHAnsi"/>
        </w:rPr>
        <w:t>may</w:t>
      </w:r>
      <w:r w:rsidR="00143661">
        <w:rPr>
          <w:rFonts w:cstheme="minorHAnsi"/>
        </w:rPr>
        <w:t xml:space="preserve"> engage reputable financial institutions (</w:t>
      </w:r>
      <w:r w:rsidR="00895A8D">
        <w:rPr>
          <w:rFonts w:cstheme="minorHAnsi"/>
        </w:rPr>
        <w:t>“</w:t>
      </w:r>
      <w:r w:rsidR="00143661">
        <w:rPr>
          <w:rFonts w:cstheme="minorHAnsi"/>
        </w:rPr>
        <w:t>Guarantee Issuer</w:t>
      </w:r>
      <w:r w:rsidR="00895A8D">
        <w:rPr>
          <w:rFonts w:cstheme="minorHAnsi"/>
        </w:rPr>
        <w:t>s”</w:t>
      </w:r>
      <w:r w:rsidR="00143661">
        <w:rPr>
          <w:rFonts w:cstheme="minorHAnsi"/>
        </w:rPr>
        <w:t>) to</w:t>
      </w:r>
      <w:r w:rsidR="00755F9B">
        <w:rPr>
          <w:rFonts w:cstheme="minorHAnsi"/>
        </w:rPr>
        <w:t xml:space="preserve"> issue</w:t>
      </w:r>
      <w:r w:rsidR="00AF5AC8">
        <w:rPr>
          <w:rFonts w:cstheme="minorHAnsi"/>
        </w:rPr>
        <w:t xml:space="preserve"> UNDP-supported</w:t>
      </w:r>
      <w:r w:rsidR="00755F9B">
        <w:rPr>
          <w:rFonts w:cstheme="minorHAnsi"/>
        </w:rPr>
        <w:t xml:space="preserve"> </w:t>
      </w:r>
      <w:r>
        <w:rPr>
          <w:rFonts w:cstheme="minorHAnsi"/>
        </w:rPr>
        <w:t xml:space="preserve">guarantees only in </w:t>
      </w:r>
      <w:r w:rsidRPr="00B54922">
        <w:rPr>
          <w:rFonts w:cstheme="minorHAnsi"/>
        </w:rPr>
        <w:t>situations where guarantees are required as part of th</w:t>
      </w:r>
      <w:r>
        <w:rPr>
          <w:rFonts w:cstheme="minorHAnsi"/>
        </w:rPr>
        <w:t>e overall design of a pro</w:t>
      </w:r>
      <w:r w:rsidR="00B96CC0">
        <w:rPr>
          <w:rFonts w:cstheme="minorHAnsi"/>
        </w:rPr>
        <w:t>ject</w:t>
      </w:r>
      <w:r>
        <w:rPr>
          <w:rFonts w:cstheme="minorHAnsi"/>
        </w:rPr>
        <w:t xml:space="preserve"> or</w:t>
      </w:r>
      <w:r w:rsidRPr="00B54922">
        <w:rPr>
          <w:rFonts w:cstheme="minorHAnsi"/>
        </w:rPr>
        <w:t xml:space="preserve"> as one of several development interventions/modalities (</w:t>
      </w:r>
      <w:r w:rsidRPr="007776D8">
        <w:rPr>
          <w:rFonts w:cstheme="minorHAnsi"/>
        </w:rPr>
        <w:t>which may include other de-risking instruments, technical as</w:t>
      </w:r>
      <w:r w:rsidRPr="00070A83">
        <w:rPr>
          <w:rFonts w:cstheme="minorHAnsi"/>
        </w:rPr>
        <w:t xml:space="preserve">sistance, performance-based payments, grants, etc.) to achieve the desired development outcomes. UNDP </w:t>
      </w:r>
      <w:r w:rsidR="007A3DA5">
        <w:rPr>
          <w:rFonts w:cstheme="minorHAnsi"/>
        </w:rPr>
        <w:t>shall</w:t>
      </w:r>
      <w:r w:rsidR="007A3DA5" w:rsidRPr="00EA1578">
        <w:rPr>
          <w:rFonts w:cstheme="minorHAnsi"/>
        </w:rPr>
        <w:t xml:space="preserve"> </w:t>
      </w:r>
      <w:r w:rsidRPr="00EA1578">
        <w:rPr>
          <w:rFonts w:cstheme="minorHAnsi"/>
        </w:rPr>
        <w:t>not participate when a guarantee is the sole development intervention/instrument being deployed</w:t>
      </w:r>
      <w:r>
        <w:rPr>
          <w:rFonts w:cstheme="minorHAnsi"/>
        </w:rPr>
        <w:t>. Such s</w:t>
      </w:r>
      <w:r w:rsidRPr="00E14651">
        <w:rPr>
          <w:rFonts w:cstheme="minorHAnsi"/>
        </w:rPr>
        <w:t>ituations can continue to be addressed by other development financing actors, including UNCDF</w:t>
      </w:r>
      <w:r>
        <w:rPr>
          <w:rFonts w:cstheme="minorHAnsi"/>
        </w:rPr>
        <w:t xml:space="preserve">. </w:t>
      </w:r>
      <w:r w:rsidR="00E93FE9">
        <w:rPr>
          <w:rFonts w:cstheme="minorHAnsi"/>
        </w:rPr>
        <w:t xml:space="preserve">UNDP </w:t>
      </w:r>
      <w:r w:rsidRPr="00524F54">
        <w:rPr>
          <w:rFonts w:cstheme="minorHAnsi"/>
          <w:iCs/>
        </w:rPr>
        <w:t>project team</w:t>
      </w:r>
      <w:r w:rsidR="00E93FE9" w:rsidRPr="00524F54">
        <w:rPr>
          <w:rFonts w:cstheme="minorHAnsi"/>
          <w:iCs/>
        </w:rPr>
        <w:t>s</w:t>
      </w:r>
      <w:r>
        <w:rPr>
          <w:rFonts w:cstheme="minorHAnsi"/>
        </w:rPr>
        <w:t xml:space="preserve"> should leverage </w:t>
      </w:r>
      <w:r w:rsidR="00E93FE9">
        <w:rPr>
          <w:rFonts w:cstheme="minorHAnsi"/>
        </w:rPr>
        <w:t xml:space="preserve">global, </w:t>
      </w:r>
      <w:r>
        <w:rPr>
          <w:rFonts w:cstheme="minorHAnsi"/>
        </w:rPr>
        <w:t xml:space="preserve">regional and sectoral expertise </w:t>
      </w:r>
      <w:r w:rsidR="00E93FE9">
        <w:rPr>
          <w:rFonts w:cstheme="minorHAnsi"/>
        </w:rPr>
        <w:t xml:space="preserve">while </w:t>
      </w:r>
      <w:r>
        <w:rPr>
          <w:rFonts w:cstheme="minorHAnsi"/>
        </w:rPr>
        <w:t>design</w:t>
      </w:r>
      <w:r w:rsidR="00E93FE9">
        <w:rPr>
          <w:rFonts w:cstheme="minorHAnsi"/>
        </w:rPr>
        <w:t>ing</w:t>
      </w:r>
      <w:r>
        <w:rPr>
          <w:rFonts w:cstheme="minorHAnsi"/>
        </w:rPr>
        <w:t xml:space="preserve"> and incorporat</w:t>
      </w:r>
      <w:r w:rsidR="00E93FE9">
        <w:rPr>
          <w:rFonts w:cstheme="minorHAnsi"/>
        </w:rPr>
        <w:t>ing</w:t>
      </w:r>
      <w:r>
        <w:rPr>
          <w:rFonts w:cstheme="minorHAnsi"/>
        </w:rPr>
        <w:t xml:space="preserve"> guarantees within </w:t>
      </w:r>
      <w:r w:rsidR="00E93FE9">
        <w:rPr>
          <w:rFonts w:cstheme="minorHAnsi"/>
        </w:rPr>
        <w:t xml:space="preserve">their </w:t>
      </w:r>
      <w:r>
        <w:rPr>
          <w:rFonts w:cstheme="minorHAnsi"/>
        </w:rPr>
        <w:t xml:space="preserve">broader development programmes to deliver holistic development interventions that are tailored for different country contexts and sectoral risks. When a </w:t>
      </w:r>
      <w:r w:rsidR="00AF5AC8">
        <w:rPr>
          <w:rFonts w:cstheme="minorHAnsi"/>
        </w:rPr>
        <w:t xml:space="preserve">UNDP-supported </w:t>
      </w:r>
      <w:r w:rsidR="005C0E6D">
        <w:rPr>
          <w:rFonts w:cstheme="minorHAnsi"/>
        </w:rPr>
        <w:t xml:space="preserve">guarantee facility </w:t>
      </w:r>
      <w:r w:rsidR="00AF5AC8">
        <w:rPr>
          <w:rFonts w:cstheme="minorHAnsi"/>
        </w:rPr>
        <w:t xml:space="preserve">complemented </w:t>
      </w:r>
      <w:r>
        <w:rPr>
          <w:rFonts w:cstheme="minorHAnsi"/>
        </w:rPr>
        <w:t>by other development interventions</w:t>
      </w:r>
      <w:r w:rsidR="00B87AE3">
        <w:rPr>
          <w:rFonts w:cstheme="minorHAnsi"/>
        </w:rPr>
        <w:t xml:space="preserve"> is being designed</w:t>
      </w:r>
      <w:r>
        <w:rPr>
          <w:rFonts w:cstheme="minorHAnsi"/>
        </w:rPr>
        <w:t>, the</w:t>
      </w:r>
      <w:r w:rsidR="00BB1BBC">
        <w:rPr>
          <w:rFonts w:cstheme="minorHAnsi"/>
        </w:rPr>
        <w:t xml:space="preserve"> relevant</w:t>
      </w:r>
      <w:r>
        <w:rPr>
          <w:rFonts w:cstheme="minorHAnsi"/>
        </w:rPr>
        <w:t xml:space="preserve"> </w:t>
      </w:r>
      <w:r w:rsidR="0057061F">
        <w:rPr>
          <w:rFonts w:cstheme="minorHAnsi"/>
        </w:rPr>
        <w:t xml:space="preserve">UNDP </w:t>
      </w:r>
      <w:r w:rsidR="00BB1BBC" w:rsidRPr="00B44AFF">
        <w:rPr>
          <w:rFonts w:cstheme="minorHAnsi"/>
        </w:rPr>
        <w:t>project team</w:t>
      </w:r>
      <w:r w:rsidR="00BB1BBC">
        <w:rPr>
          <w:rFonts w:cstheme="minorHAnsi"/>
        </w:rPr>
        <w:t xml:space="preserve"> </w:t>
      </w:r>
      <w:r w:rsidR="00685F17">
        <w:rPr>
          <w:rFonts w:cstheme="minorHAnsi"/>
        </w:rPr>
        <w:t>must</w:t>
      </w:r>
      <w:r>
        <w:rPr>
          <w:rFonts w:cstheme="minorHAnsi"/>
        </w:rPr>
        <w:t xml:space="preserve"> establish appropriate linkages, including cross-effectiveness to ensure the intended results are achieved.</w:t>
      </w:r>
    </w:p>
    <w:p w14:paraId="7E43CF45" w14:textId="77777777" w:rsidR="007969B4" w:rsidRPr="00181537" w:rsidRDefault="007969B4" w:rsidP="007969B4">
      <w:pPr>
        <w:pStyle w:val="ListParagraph"/>
        <w:spacing w:after="60" w:line="276" w:lineRule="auto"/>
        <w:ind w:left="907"/>
        <w:contextualSpacing w:val="0"/>
        <w:jc w:val="both"/>
        <w:rPr>
          <w:rFonts w:cstheme="minorHAnsi"/>
        </w:rPr>
      </w:pPr>
    </w:p>
    <w:p w14:paraId="0A7373A5" w14:textId="77777777" w:rsidR="007969B4" w:rsidRPr="00F9794C" w:rsidRDefault="007969B4" w:rsidP="00E94A94">
      <w:pPr>
        <w:pStyle w:val="Heading2"/>
        <w:numPr>
          <w:ilvl w:val="0"/>
          <w:numId w:val="19"/>
        </w:numPr>
        <w:spacing w:before="0" w:after="160"/>
        <w:ind w:left="540" w:hanging="720"/>
        <w:rPr>
          <w:rFonts w:cstheme="minorHAnsi"/>
          <w:b/>
          <w:color w:val="000000" w:themeColor="text1"/>
          <w:sz w:val="24"/>
          <w:szCs w:val="24"/>
        </w:rPr>
      </w:pPr>
      <w:bookmarkStart w:id="20" w:name="_Toc2339899"/>
      <w:bookmarkStart w:id="21" w:name="_Toc121313759"/>
      <w:r w:rsidRPr="00F9794C">
        <w:rPr>
          <w:rFonts w:cstheme="minorHAnsi"/>
          <w:b/>
          <w:color w:val="000000" w:themeColor="text1"/>
          <w:sz w:val="24"/>
          <w:szCs w:val="24"/>
        </w:rPr>
        <w:t>Offer fully funded development guarantees.</w:t>
      </w:r>
      <w:bookmarkEnd w:id="20"/>
      <w:bookmarkEnd w:id="21"/>
      <w:r w:rsidRPr="00F9794C">
        <w:rPr>
          <w:rFonts w:cstheme="minorHAnsi"/>
          <w:b/>
          <w:color w:val="000000" w:themeColor="text1"/>
          <w:sz w:val="24"/>
          <w:szCs w:val="24"/>
        </w:rPr>
        <w:t xml:space="preserve"> </w:t>
      </w:r>
    </w:p>
    <w:p w14:paraId="0A2831E0" w14:textId="2DA95779" w:rsidR="004276FF" w:rsidRDefault="00491B14" w:rsidP="00130993">
      <w:pPr>
        <w:pStyle w:val="ListParagraph"/>
        <w:spacing w:after="0" w:line="276" w:lineRule="auto"/>
        <w:ind w:left="540"/>
        <w:contextualSpacing w:val="0"/>
        <w:jc w:val="both"/>
        <w:rPr>
          <w:rFonts w:cstheme="minorHAnsi"/>
        </w:rPr>
      </w:pPr>
      <w:bookmarkStart w:id="22" w:name="_Hlk12378205"/>
      <w:r>
        <w:rPr>
          <w:rFonts w:cstheme="minorHAnsi"/>
        </w:rPr>
        <w:t>UNDP</w:t>
      </w:r>
      <w:r w:rsidR="00AF5AC8">
        <w:rPr>
          <w:rFonts w:cstheme="minorHAnsi"/>
        </w:rPr>
        <w:t>-supported</w:t>
      </w:r>
      <w:r>
        <w:rPr>
          <w:rFonts w:cstheme="minorHAnsi"/>
        </w:rPr>
        <w:t xml:space="preserve"> g</w:t>
      </w:r>
      <w:r w:rsidRPr="00943F87">
        <w:rPr>
          <w:rFonts w:cstheme="minorHAnsi"/>
        </w:rPr>
        <w:t>uarantees</w:t>
      </w:r>
      <w:r>
        <w:rPr>
          <w:rFonts w:cstheme="minorHAnsi"/>
        </w:rPr>
        <w:t xml:space="preserve"> </w:t>
      </w:r>
      <w:r w:rsidR="007A3DA5">
        <w:rPr>
          <w:rFonts w:cstheme="minorHAnsi"/>
        </w:rPr>
        <w:t xml:space="preserve">shall </w:t>
      </w:r>
      <w:r w:rsidR="007969B4">
        <w:rPr>
          <w:rFonts w:cstheme="minorHAnsi"/>
        </w:rPr>
        <w:t>be offered</w:t>
      </w:r>
      <w:r w:rsidR="007969B4" w:rsidRPr="00943F87">
        <w:rPr>
          <w:rFonts w:cstheme="minorHAnsi"/>
        </w:rPr>
        <w:t xml:space="preserve"> </w:t>
      </w:r>
      <w:r w:rsidR="00716372">
        <w:rPr>
          <w:rFonts w:cstheme="minorHAnsi"/>
        </w:rPr>
        <w:t xml:space="preserve">only </w:t>
      </w:r>
      <w:r w:rsidR="007969B4" w:rsidRPr="00943F87">
        <w:rPr>
          <w:rFonts w:cstheme="minorHAnsi"/>
        </w:rPr>
        <w:t xml:space="preserve">where funding partner(s) have provided funds to cover the full liability </w:t>
      </w:r>
      <w:r w:rsidR="00716372">
        <w:rPr>
          <w:rFonts w:cstheme="minorHAnsi"/>
        </w:rPr>
        <w:t xml:space="preserve">of </w:t>
      </w:r>
      <w:r w:rsidR="007969B4" w:rsidRPr="00943F87">
        <w:rPr>
          <w:rFonts w:cstheme="minorHAnsi"/>
        </w:rPr>
        <w:t>the guarantee</w:t>
      </w:r>
      <w:bookmarkEnd w:id="22"/>
      <w:r w:rsidR="007969B4" w:rsidRPr="00943F87">
        <w:rPr>
          <w:rFonts w:cstheme="minorHAnsi"/>
        </w:rPr>
        <w:t xml:space="preserve">. </w:t>
      </w:r>
      <w:r w:rsidR="00234987">
        <w:rPr>
          <w:rFonts w:cstheme="minorHAnsi"/>
        </w:rPr>
        <w:t>Funding for UNDP</w:t>
      </w:r>
      <w:r w:rsidR="00AF5AC8">
        <w:rPr>
          <w:rFonts w:cstheme="minorHAnsi"/>
        </w:rPr>
        <w:t>-supported</w:t>
      </w:r>
      <w:r w:rsidR="00234987">
        <w:rPr>
          <w:rFonts w:cstheme="minorHAnsi"/>
        </w:rPr>
        <w:t xml:space="preserve"> guarantees </w:t>
      </w:r>
      <w:r w:rsidR="004B3BC9">
        <w:rPr>
          <w:rFonts w:cstheme="minorHAnsi"/>
        </w:rPr>
        <w:t xml:space="preserve">is </w:t>
      </w:r>
      <w:r w:rsidR="00234987" w:rsidRPr="00234987">
        <w:rPr>
          <w:rFonts w:cstheme="minorHAnsi"/>
        </w:rPr>
        <w:t xml:space="preserve">constrained to </w:t>
      </w:r>
      <w:r w:rsidR="003A537D">
        <w:rPr>
          <w:rFonts w:cstheme="minorHAnsi"/>
        </w:rPr>
        <w:t xml:space="preserve">its </w:t>
      </w:r>
      <w:r w:rsidR="00BB1BBC" w:rsidRPr="00234987">
        <w:rPr>
          <w:rFonts w:cstheme="minorHAnsi"/>
        </w:rPr>
        <w:t>Other (non-core) Resources</w:t>
      </w:r>
      <w:r w:rsidR="00BB1BBC">
        <w:rPr>
          <w:rFonts w:cstheme="minorHAnsi"/>
        </w:rPr>
        <w:t>.</w:t>
      </w:r>
      <w:r w:rsidR="00BB1BBC" w:rsidRPr="00234987">
        <w:rPr>
          <w:rFonts w:cstheme="minorHAnsi"/>
        </w:rPr>
        <w:t xml:space="preserve"> </w:t>
      </w:r>
      <w:r w:rsidR="007969B4" w:rsidRPr="00943F87">
        <w:rPr>
          <w:rFonts w:cstheme="minorHAnsi"/>
        </w:rPr>
        <w:t xml:space="preserve">These funds must be received in advance of </w:t>
      </w:r>
      <w:r w:rsidR="00FA7B03" w:rsidRPr="00D57614">
        <w:rPr>
          <w:rFonts w:cstheme="minorHAnsi"/>
        </w:rPr>
        <w:t xml:space="preserve">UNDP engaging the banking partner (or UNCDF) [see </w:t>
      </w:r>
      <w:hyperlink w:anchor="_Partner_withEngagement_of" w:history="1">
        <w:r w:rsidR="00B13929" w:rsidRPr="00B13929">
          <w:rPr>
            <w:rStyle w:val="Hyperlink"/>
            <w:rFonts w:cstheme="minorHAnsi"/>
          </w:rPr>
          <w:t>Section</w:t>
        </w:r>
        <w:r w:rsidR="00FA7B03" w:rsidRPr="00B13929">
          <w:rPr>
            <w:rStyle w:val="Hyperlink"/>
            <w:rFonts w:cstheme="minorHAnsi"/>
          </w:rPr>
          <w:t xml:space="preserve"> </w:t>
        </w:r>
        <w:r w:rsidR="00ED1186" w:rsidRPr="00B13929">
          <w:rPr>
            <w:rStyle w:val="Hyperlink"/>
            <w:rFonts w:cstheme="minorHAnsi"/>
          </w:rPr>
          <w:t>2.6</w:t>
        </w:r>
      </w:hyperlink>
      <w:r w:rsidR="00FA7B03" w:rsidRPr="00D57614">
        <w:rPr>
          <w:rFonts w:cstheme="minorHAnsi"/>
        </w:rPr>
        <w:t xml:space="preserve">] to </w:t>
      </w:r>
      <w:r w:rsidR="004B6F1B">
        <w:rPr>
          <w:rFonts w:cstheme="minorHAnsi"/>
        </w:rPr>
        <w:t xml:space="preserve">issue </w:t>
      </w:r>
      <w:r w:rsidR="007969B4" w:rsidRPr="00943F87">
        <w:rPr>
          <w:rFonts w:cstheme="minorHAnsi"/>
        </w:rPr>
        <w:t xml:space="preserve">the guarantee instrument. In </w:t>
      </w:r>
      <w:r w:rsidR="001451E3">
        <w:rPr>
          <w:rFonts w:cstheme="minorHAnsi"/>
        </w:rPr>
        <w:t xml:space="preserve">such </w:t>
      </w:r>
      <w:r w:rsidR="007969B4" w:rsidRPr="00943F87">
        <w:rPr>
          <w:rFonts w:cstheme="minorHAnsi"/>
        </w:rPr>
        <w:t xml:space="preserve">a funded guarantee </w:t>
      </w:r>
      <w:r w:rsidR="00D11BD7">
        <w:rPr>
          <w:rFonts w:cstheme="minorHAnsi"/>
        </w:rPr>
        <w:t>scheme</w:t>
      </w:r>
      <w:r w:rsidR="007969B4" w:rsidRPr="00943F87">
        <w:rPr>
          <w:rFonts w:cstheme="minorHAnsi"/>
        </w:rPr>
        <w:t xml:space="preserve">, the full cost of the liability is set aside by </w:t>
      </w:r>
      <w:r w:rsidR="001451E3">
        <w:rPr>
          <w:rFonts w:cstheme="minorHAnsi"/>
        </w:rPr>
        <w:t xml:space="preserve">UNDP </w:t>
      </w:r>
      <w:r w:rsidR="007969B4" w:rsidRPr="00943F87">
        <w:rPr>
          <w:rFonts w:cstheme="minorHAnsi"/>
        </w:rPr>
        <w:t xml:space="preserve">in a bank account </w:t>
      </w:r>
      <w:r w:rsidR="00B336EE">
        <w:rPr>
          <w:rFonts w:cstheme="minorHAnsi"/>
        </w:rPr>
        <w:t xml:space="preserve">(escrow account) </w:t>
      </w:r>
      <w:r w:rsidR="007969B4" w:rsidRPr="00943F87">
        <w:rPr>
          <w:rFonts w:cstheme="minorHAnsi"/>
        </w:rPr>
        <w:t>for the sole purpose of funding any gua</w:t>
      </w:r>
      <w:r w:rsidR="005D4376">
        <w:rPr>
          <w:rFonts w:cstheme="minorHAnsi"/>
        </w:rPr>
        <w:t>rantees that may be called upon</w:t>
      </w:r>
      <w:r w:rsidR="007969B4" w:rsidRPr="00943F87">
        <w:rPr>
          <w:rFonts w:cstheme="minorHAnsi"/>
        </w:rPr>
        <w:t xml:space="preserve">. </w:t>
      </w:r>
      <w:r w:rsidR="00B27E09" w:rsidRPr="00D57614">
        <w:rPr>
          <w:rFonts w:cstheme="minorHAnsi"/>
        </w:rPr>
        <w:t>The funding partner must be fully informed that the funds will be made available for meeting the guarantee requirements, and the funds may thus be drawn upon to settle risks incurred within the lending activities.</w:t>
      </w:r>
      <w:r w:rsidR="00B27E09">
        <w:rPr>
          <w:rFonts w:cstheme="minorHAnsi"/>
        </w:rPr>
        <w:t xml:space="preserve"> </w:t>
      </w:r>
      <w:r w:rsidR="007969B4" w:rsidRPr="00943F87">
        <w:rPr>
          <w:rFonts w:cstheme="minorHAnsi"/>
        </w:rPr>
        <w:t xml:space="preserve">Furthermore, offering fully funded guarantees </w:t>
      </w:r>
      <w:r w:rsidR="002C0598" w:rsidRPr="002C0598">
        <w:rPr>
          <w:rFonts w:cstheme="minorHAnsi"/>
        </w:rPr>
        <w:t xml:space="preserve">is consistent with the funding of other UNDP non-core programming </w:t>
      </w:r>
      <w:r w:rsidR="004539B9">
        <w:rPr>
          <w:rFonts w:cstheme="minorHAnsi"/>
        </w:rPr>
        <w:t xml:space="preserve">and </w:t>
      </w:r>
      <w:r w:rsidR="007969B4" w:rsidRPr="00943F87">
        <w:rPr>
          <w:rFonts w:cstheme="minorHAnsi"/>
        </w:rPr>
        <w:t>will ensure compliance with UNDP Financial Regulations and Rules.</w:t>
      </w:r>
    </w:p>
    <w:p w14:paraId="430E02F1" w14:textId="77777777" w:rsidR="00FD1AAE" w:rsidRDefault="00FD1AAE" w:rsidP="00130993">
      <w:pPr>
        <w:pStyle w:val="ListParagraph"/>
        <w:spacing w:after="0" w:line="276" w:lineRule="auto"/>
        <w:ind w:left="540"/>
        <w:contextualSpacing w:val="0"/>
        <w:jc w:val="both"/>
      </w:pPr>
    </w:p>
    <w:p w14:paraId="0B93A39B" w14:textId="425A3C42" w:rsidR="00FD1AAE" w:rsidRDefault="00FD1AAE" w:rsidP="00FD1AAE">
      <w:pPr>
        <w:pStyle w:val="ListParagraph"/>
        <w:spacing w:after="0" w:line="276" w:lineRule="auto"/>
        <w:ind w:left="540"/>
        <w:jc w:val="both"/>
        <w:rPr>
          <w:rFonts w:cstheme="minorHAnsi"/>
        </w:rPr>
      </w:pPr>
      <w:r>
        <w:rPr>
          <w:rFonts w:cstheme="minorHAnsi"/>
        </w:rPr>
        <w:lastRenderedPageBreak/>
        <w:t>The fact that UNDP</w:t>
      </w:r>
      <w:r w:rsidR="00521596">
        <w:rPr>
          <w:rFonts w:cstheme="minorHAnsi"/>
        </w:rPr>
        <w:t>-supported</w:t>
      </w:r>
      <w:r>
        <w:rPr>
          <w:rFonts w:cstheme="minorHAnsi"/>
        </w:rPr>
        <w:t xml:space="preserve"> guarantees </w:t>
      </w:r>
      <w:r w:rsidR="00FD66EE">
        <w:rPr>
          <w:rFonts w:cstheme="minorHAnsi"/>
        </w:rPr>
        <w:t xml:space="preserve">are fully funded </w:t>
      </w:r>
      <w:r>
        <w:rPr>
          <w:rFonts w:cstheme="minorHAnsi"/>
        </w:rPr>
        <w:t>should not in any way create the impression that UNDP – in our role as a guarantor –</w:t>
      </w:r>
      <w:r w:rsidRPr="00381588">
        <w:rPr>
          <w:rFonts w:cstheme="minorHAnsi"/>
        </w:rPr>
        <w:t xml:space="preserve"> takes on the full risk of the</w:t>
      </w:r>
      <w:r>
        <w:rPr>
          <w:rFonts w:cstheme="minorHAnsi"/>
        </w:rPr>
        <w:t xml:space="preserve"> project or initiative to which the </w:t>
      </w:r>
      <w:r w:rsidR="00AF5AC8">
        <w:rPr>
          <w:rFonts w:cstheme="minorHAnsi"/>
        </w:rPr>
        <w:t xml:space="preserve">UNDP-supported </w:t>
      </w:r>
      <w:r>
        <w:rPr>
          <w:rFonts w:cstheme="minorHAnsi"/>
        </w:rPr>
        <w:t>guarantee is applied</w:t>
      </w:r>
      <w:r w:rsidRPr="00381588">
        <w:rPr>
          <w:rFonts w:cstheme="minorHAnsi"/>
        </w:rPr>
        <w:t>.  In any guarantee scenario it is best for all parties involved to have something at stake</w:t>
      </w:r>
      <w:r w:rsidR="00D329C1">
        <w:rPr>
          <w:rFonts w:cstheme="minorHAnsi"/>
        </w:rPr>
        <w:t xml:space="preserve"> through sharing the risks</w:t>
      </w:r>
      <w:r w:rsidRPr="00381588">
        <w:rPr>
          <w:rFonts w:cstheme="minorHAnsi"/>
        </w:rPr>
        <w:t xml:space="preserve">. In this way there will be incentives for the lender, the borrower and the guarantor to ensure that the risk of loss is minimized and to avoid moral </w:t>
      </w:r>
      <w:r>
        <w:rPr>
          <w:rFonts w:cstheme="minorHAnsi"/>
        </w:rPr>
        <w:t>hazard.</w:t>
      </w:r>
      <w:r w:rsidR="00D57614" w:rsidRPr="00D57614">
        <w:rPr>
          <w:rFonts w:cstheme="minorHAnsi"/>
        </w:rPr>
        <w:t xml:space="preserve"> </w:t>
      </w:r>
    </w:p>
    <w:p w14:paraId="55AB70CF" w14:textId="77777777" w:rsidR="00414B36" w:rsidRPr="00381588" w:rsidRDefault="00414B36" w:rsidP="00FD1AAE">
      <w:pPr>
        <w:pStyle w:val="ListParagraph"/>
        <w:spacing w:after="0" w:line="276" w:lineRule="auto"/>
        <w:ind w:left="540"/>
        <w:jc w:val="both"/>
        <w:rPr>
          <w:rFonts w:cstheme="minorHAnsi"/>
        </w:rPr>
      </w:pPr>
    </w:p>
    <w:p w14:paraId="39F832CC" w14:textId="15B8BC8A" w:rsidR="00FD1AAE" w:rsidRPr="004276FF" w:rsidRDefault="00414B36" w:rsidP="00130993">
      <w:pPr>
        <w:pStyle w:val="ListParagraph"/>
        <w:spacing w:after="0" w:line="276" w:lineRule="auto"/>
        <w:ind w:left="540"/>
        <w:contextualSpacing w:val="0"/>
        <w:jc w:val="both"/>
      </w:pPr>
      <w:r w:rsidRPr="00414B36">
        <w:t xml:space="preserve">In the event of default by the borrower and subject to pre-agreed conditions (see </w:t>
      </w:r>
      <w:hyperlink w:anchor="_Escrow_account" w:history="1">
        <w:r w:rsidR="00F93B95" w:rsidRPr="00F93B95">
          <w:rPr>
            <w:rStyle w:val="Hyperlink"/>
          </w:rPr>
          <w:t>Section 4.1</w:t>
        </w:r>
        <w:r w:rsidR="00F93B95">
          <w:rPr>
            <w:rStyle w:val="Hyperlink"/>
          </w:rPr>
          <w:t>1</w:t>
        </w:r>
      </w:hyperlink>
      <w:r w:rsidRPr="00F93B95">
        <w:t>),</w:t>
      </w:r>
      <w:r w:rsidRPr="00414B36">
        <w:t xml:space="preserve"> funds held in the escrow account will be called upon by UNDP’s banking partner (or UNCDF) that issued the guarantee, on the demand of the lender (or the vendor in case of procurement guarantee) to pay out approved claims. While UNDP does not incur a financial loss in such an event (see </w:t>
      </w:r>
      <w:hyperlink w:anchor="_Objectives_of_UNDP’s" w:history="1">
        <w:r w:rsidR="00571F32" w:rsidRPr="00E74710">
          <w:rPr>
            <w:rStyle w:val="Hyperlink"/>
          </w:rPr>
          <w:t xml:space="preserve">Section </w:t>
        </w:r>
        <w:r w:rsidR="00024D37" w:rsidRPr="00E74710">
          <w:rPr>
            <w:rStyle w:val="Hyperlink"/>
          </w:rPr>
          <w:t>1.2</w:t>
        </w:r>
      </w:hyperlink>
      <w:r w:rsidRPr="00414B36">
        <w:t xml:space="preserve">) as the </w:t>
      </w:r>
      <w:r w:rsidR="00AF5AC8">
        <w:t xml:space="preserve">UNDP-supported </w:t>
      </w:r>
      <w:r w:rsidRPr="00414B36">
        <w:t xml:space="preserve">guarantee security is fully funded by the funding partner(s), reputational risks remain, which must be mitigated through robust project design, upfront communication and expectation setting with funding partner(s), monitoring, and governance and oversight mechanisms as provided for in </w:t>
      </w:r>
      <w:r w:rsidR="00673461">
        <w:t>the UNDP</w:t>
      </w:r>
      <w:r w:rsidR="0087662D">
        <w:t>-supported</w:t>
      </w:r>
      <w:r w:rsidR="00673461">
        <w:t xml:space="preserve"> Guarantees P</w:t>
      </w:r>
      <w:r w:rsidRPr="00414B36">
        <w:t xml:space="preserve">olicy and </w:t>
      </w:r>
      <w:r w:rsidR="00673461">
        <w:t xml:space="preserve">this </w:t>
      </w:r>
      <w:r w:rsidR="0087662D">
        <w:t>O</w:t>
      </w:r>
      <w:r w:rsidRPr="00414B36">
        <w:t xml:space="preserve">perational </w:t>
      </w:r>
      <w:r w:rsidR="0087662D">
        <w:t>M</w:t>
      </w:r>
      <w:r w:rsidRPr="00414B36">
        <w:t>anual.</w:t>
      </w:r>
    </w:p>
    <w:p w14:paraId="01C18C83" w14:textId="77777777" w:rsidR="004276FF" w:rsidRDefault="004276FF" w:rsidP="004276FF">
      <w:pPr>
        <w:pStyle w:val="ListParagraph"/>
        <w:spacing w:after="0" w:line="276" w:lineRule="auto"/>
        <w:ind w:left="907"/>
        <w:contextualSpacing w:val="0"/>
        <w:jc w:val="both"/>
        <w:rPr>
          <w:rFonts w:cstheme="minorHAnsi"/>
          <w:b/>
        </w:rPr>
      </w:pPr>
    </w:p>
    <w:p w14:paraId="79382D3E" w14:textId="7D980CF0" w:rsidR="007969B4" w:rsidRPr="00026620" w:rsidRDefault="0087662D" w:rsidP="00F93B95">
      <w:pPr>
        <w:pStyle w:val="Heading2"/>
        <w:numPr>
          <w:ilvl w:val="0"/>
          <w:numId w:val="19"/>
        </w:numPr>
        <w:spacing w:before="0" w:after="160"/>
        <w:ind w:left="540" w:hanging="720"/>
        <w:rPr>
          <w:rFonts w:cstheme="minorHAnsi"/>
          <w:b/>
          <w:color w:val="000000" w:themeColor="text1"/>
          <w:sz w:val="24"/>
          <w:szCs w:val="24"/>
        </w:rPr>
      </w:pPr>
      <w:bookmarkStart w:id="23" w:name="_Guarantees_shall_generate"/>
      <w:bookmarkStart w:id="24" w:name="_Toc2339900"/>
      <w:bookmarkStart w:id="25" w:name="_Toc121313760"/>
      <w:bookmarkEnd w:id="23"/>
      <w:r>
        <w:rPr>
          <w:rFonts w:cstheme="minorHAnsi"/>
          <w:b/>
          <w:color w:val="000000" w:themeColor="text1"/>
          <w:sz w:val="24"/>
          <w:szCs w:val="24"/>
        </w:rPr>
        <w:t xml:space="preserve">UNDP-supported </w:t>
      </w:r>
      <w:r w:rsidR="007969B4" w:rsidRPr="00026620">
        <w:rPr>
          <w:rFonts w:cstheme="minorHAnsi"/>
          <w:b/>
          <w:color w:val="000000" w:themeColor="text1"/>
          <w:sz w:val="24"/>
          <w:szCs w:val="24"/>
        </w:rPr>
        <w:t xml:space="preserve">Guarantees </w:t>
      </w:r>
      <w:r w:rsidR="00134F4E" w:rsidRPr="00026620">
        <w:rPr>
          <w:rFonts w:cstheme="minorHAnsi"/>
          <w:b/>
          <w:color w:val="000000" w:themeColor="text1"/>
          <w:sz w:val="24"/>
          <w:szCs w:val="24"/>
        </w:rPr>
        <w:t>sh</w:t>
      </w:r>
      <w:r w:rsidR="00134F4E">
        <w:rPr>
          <w:rFonts w:cstheme="minorHAnsi"/>
          <w:b/>
          <w:color w:val="000000" w:themeColor="text1"/>
          <w:sz w:val="24"/>
          <w:szCs w:val="24"/>
        </w:rPr>
        <w:t>all</w:t>
      </w:r>
      <w:r w:rsidR="00134F4E" w:rsidRPr="00026620">
        <w:rPr>
          <w:rFonts w:cstheme="minorHAnsi"/>
          <w:b/>
          <w:color w:val="000000" w:themeColor="text1"/>
          <w:sz w:val="24"/>
          <w:szCs w:val="24"/>
        </w:rPr>
        <w:t xml:space="preserve"> </w:t>
      </w:r>
      <w:r w:rsidR="007969B4" w:rsidRPr="00026620">
        <w:rPr>
          <w:rFonts w:cstheme="minorHAnsi"/>
          <w:b/>
          <w:color w:val="000000" w:themeColor="text1"/>
          <w:sz w:val="24"/>
          <w:szCs w:val="24"/>
        </w:rPr>
        <w:t>generate “additionality” to deliver impact efficiently.</w:t>
      </w:r>
      <w:bookmarkEnd w:id="24"/>
      <w:bookmarkEnd w:id="25"/>
    </w:p>
    <w:p w14:paraId="7B2C9171" w14:textId="1DB3146E" w:rsidR="00383E73" w:rsidRPr="003712D1" w:rsidRDefault="0087662D">
      <w:pPr>
        <w:pStyle w:val="ListParagraph"/>
        <w:spacing w:after="0" w:line="276" w:lineRule="auto"/>
        <w:ind w:left="540"/>
        <w:contextualSpacing w:val="0"/>
        <w:jc w:val="both"/>
        <w:rPr>
          <w:rFonts w:cstheme="minorHAnsi"/>
        </w:rPr>
      </w:pPr>
      <w:r>
        <w:rPr>
          <w:rFonts w:cstheme="minorHAnsi"/>
        </w:rPr>
        <w:t>UNDP-supported g</w:t>
      </w:r>
      <w:r w:rsidR="007969B4" w:rsidRPr="00F730D3">
        <w:rPr>
          <w:rFonts w:cstheme="minorHAnsi"/>
        </w:rPr>
        <w:t>uarantees</w:t>
      </w:r>
      <w:r w:rsidR="007969B4">
        <w:rPr>
          <w:rFonts w:cstheme="minorHAnsi"/>
        </w:rPr>
        <w:t xml:space="preserve"> </w:t>
      </w:r>
      <w:r w:rsidR="00B63CFB">
        <w:rPr>
          <w:rFonts w:cstheme="minorHAnsi"/>
        </w:rPr>
        <w:t xml:space="preserve">may </w:t>
      </w:r>
      <w:r w:rsidR="007969B4">
        <w:rPr>
          <w:rFonts w:cstheme="minorHAnsi"/>
        </w:rPr>
        <w:t>only be offered</w:t>
      </w:r>
      <w:r w:rsidR="007969B4" w:rsidRPr="00F730D3">
        <w:rPr>
          <w:rFonts w:cstheme="minorHAnsi"/>
        </w:rPr>
        <w:t xml:space="preserve"> in situations where they generate ‘</w:t>
      </w:r>
      <w:r w:rsidR="007969B4" w:rsidRPr="009962D7">
        <w:rPr>
          <w:rFonts w:cstheme="minorHAnsi"/>
          <w:i/>
        </w:rPr>
        <w:t>financial additionality’</w:t>
      </w:r>
      <w:r w:rsidR="007969B4" w:rsidRPr="00F730D3">
        <w:rPr>
          <w:rFonts w:cstheme="minorHAnsi"/>
        </w:rPr>
        <w:t xml:space="preserve"> and/or ‘</w:t>
      </w:r>
      <w:r w:rsidR="007969B4" w:rsidRPr="009962D7">
        <w:rPr>
          <w:rFonts w:cstheme="minorHAnsi"/>
          <w:i/>
        </w:rPr>
        <w:t>economic additionality’</w:t>
      </w:r>
      <w:r w:rsidR="00681371">
        <w:rPr>
          <w:rFonts w:cstheme="minorHAnsi"/>
          <w:i/>
        </w:rPr>
        <w:t xml:space="preserve"> </w:t>
      </w:r>
      <w:r w:rsidR="00681371" w:rsidRPr="00681371">
        <w:rPr>
          <w:rFonts w:cstheme="minorHAnsi"/>
          <w:iCs/>
        </w:rPr>
        <w:t>and/or</w:t>
      </w:r>
      <w:r w:rsidR="00681371">
        <w:rPr>
          <w:rFonts w:cstheme="minorHAnsi"/>
          <w:i/>
        </w:rPr>
        <w:t xml:space="preserve"> ‘development additionality’ </w:t>
      </w:r>
      <w:r w:rsidR="00681371" w:rsidRPr="00681371">
        <w:rPr>
          <w:rFonts w:cstheme="minorHAnsi"/>
          <w:iCs/>
        </w:rPr>
        <w:t>and/or</w:t>
      </w:r>
      <w:r w:rsidR="00681371">
        <w:rPr>
          <w:rFonts w:cstheme="minorHAnsi"/>
          <w:i/>
        </w:rPr>
        <w:t xml:space="preserve"> ‘value additionality</w:t>
      </w:r>
      <w:r w:rsidR="007969B4">
        <w:rPr>
          <w:rFonts w:cstheme="minorHAnsi"/>
        </w:rPr>
        <w:t>.</w:t>
      </w:r>
      <w:r w:rsidR="00681371">
        <w:rPr>
          <w:rFonts w:cstheme="minorHAnsi"/>
        </w:rPr>
        <w:t>’</w:t>
      </w:r>
      <w:r w:rsidR="007969B4" w:rsidRPr="00C828B9">
        <w:rPr>
          <w:rFonts w:cstheme="minorHAnsi"/>
        </w:rPr>
        <w:t xml:space="preserve"> Financial additionality refers to whether the guarantees increase credit availability and enhance lending conditions to targeted entities</w:t>
      </w:r>
      <w:r w:rsidR="00377903">
        <w:rPr>
          <w:rFonts w:cstheme="minorHAnsi"/>
        </w:rPr>
        <w:t>, i.e.</w:t>
      </w:r>
      <w:r w:rsidR="00201603">
        <w:rPr>
          <w:rFonts w:cstheme="minorHAnsi"/>
        </w:rPr>
        <w:t>,</w:t>
      </w:r>
      <w:r w:rsidR="00377903">
        <w:rPr>
          <w:rFonts w:cstheme="minorHAnsi"/>
        </w:rPr>
        <w:t xml:space="preserve"> whether the activities would have commenced without the guarantees</w:t>
      </w:r>
      <w:r w:rsidR="007969B4" w:rsidRPr="00C828B9">
        <w:rPr>
          <w:rFonts w:cstheme="minorHAnsi"/>
        </w:rPr>
        <w:t>. Economic additionality refers to whether entities that receive guaranteed loans improve their performance (in terms of growth, investment, employment, among other indicators</w:t>
      </w:r>
      <w:r w:rsidR="007969B4">
        <w:rPr>
          <w:rFonts w:cstheme="minorHAnsi"/>
        </w:rPr>
        <w:t>)</w:t>
      </w:r>
      <w:r w:rsidR="00CF7BAE" w:rsidRPr="00CF7BAE">
        <w:rPr>
          <w:rFonts w:cstheme="minorHAnsi"/>
        </w:rPr>
        <w:t xml:space="preserve"> </w:t>
      </w:r>
      <w:r w:rsidR="00CF7BAE" w:rsidRPr="007423AF">
        <w:rPr>
          <w:rFonts w:cstheme="minorHAnsi"/>
        </w:rPr>
        <w:t>upon receipt of the guarantee</w:t>
      </w:r>
      <w:r w:rsidR="007969B4">
        <w:rPr>
          <w:rFonts w:cstheme="minorHAnsi"/>
        </w:rPr>
        <w:t xml:space="preserve">. </w:t>
      </w:r>
      <w:r w:rsidR="00681371" w:rsidRPr="00681371">
        <w:rPr>
          <w:color w:val="000000" w:themeColor="text1"/>
          <w:lang w:val="en-GB"/>
        </w:rPr>
        <w:t xml:space="preserve">Development additionality occurs if </w:t>
      </w:r>
      <w:r w:rsidR="00681371" w:rsidRPr="00681371">
        <w:t>use of the instrument achieves a development impact that would not have occurred without the use of the instrument. Value additionality occurs if use of the instrument results in the provision of market information that was previously unavailable for an underserved market segment.</w:t>
      </w:r>
      <w:r w:rsidR="00681371">
        <w:rPr>
          <w:rFonts w:cstheme="minorHAnsi"/>
        </w:rPr>
        <w:t xml:space="preserve"> </w:t>
      </w:r>
      <w:r w:rsidR="00CF7BAE">
        <w:rPr>
          <w:rFonts w:cstheme="minorHAnsi"/>
        </w:rPr>
        <w:t>‘</w:t>
      </w:r>
      <w:r w:rsidR="00FD1AAE">
        <w:rPr>
          <w:rFonts w:cstheme="minorHAnsi"/>
        </w:rPr>
        <w:t>Additionality</w:t>
      </w:r>
      <w:r w:rsidR="00CF7BAE">
        <w:rPr>
          <w:rFonts w:cstheme="minorHAnsi"/>
        </w:rPr>
        <w:t>’</w:t>
      </w:r>
      <w:r w:rsidR="007969B4">
        <w:rPr>
          <w:rFonts w:cstheme="minorHAnsi"/>
        </w:rPr>
        <w:t xml:space="preserve"> </w:t>
      </w:r>
      <w:r w:rsidR="00472703">
        <w:rPr>
          <w:rFonts w:cstheme="minorHAnsi"/>
        </w:rPr>
        <w:t>is a key de</w:t>
      </w:r>
      <w:r w:rsidR="00E6531E">
        <w:rPr>
          <w:rFonts w:cstheme="minorHAnsi"/>
        </w:rPr>
        <w:t>s</w:t>
      </w:r>
      <w:r w:rsidR="00472703">
        <w:rPr>
          <w:rFonts w:cstheme="minorHAnsi"/>
        </w:rPr>
        <w:t>ign requirement</w:t>
      </w:r>
      <w:r w:rsidR="007969B4">
        <w:rPr>
          <w:rFonts w:cstheme="minorHAnsi"/>
        </w:rPr>
        <w:t xml:space="preserve">. </w:t>
      </w:r>
      <w:r w:rsidR="006F524D">
        <w:rPr>
          <w:rFonts w:cstheme="minorHAnsi"/>
        </w:rPr>
        <w:t>In addition</w:t>
      </w:r>
      <w:r w:rsidR="007969B4">
        <w:rPr>
          <w:rFonts w:cstheme="minorHAnsi"/>
        </w:rPr>
        <w:t xml:space="preserve">, impact analysis of the causal impact of the guarantee </w:t>
      </w:r>
      <w:r w:rsidR="0032741F">
        <w:rPr>
          <w:rFonts w:cstheme="minorHAnsi"/>
        </w:rPr>
        <w:t xml:space="preserve">should </w:t>
      </w:r>
      <w:r w:rsidR="007969B4">
        <w:rPr>
          <w:rFonts w:cstheme="minorHAnsi"/>
        </w:rPr>
        <w:t>be conducted by UNDP</w:t>
      </w:r>
      <w:r w:rsidR="006F524D">
        <w:rPr>
          <w:rFonts w:cstheme="minorHAnsi"/>
        </w:rPr>
        <w:t xml:space="preserve">, beginning </w:t>
      </w:r>
      <w:r w:rsidR="007969B4">
        <w:rPr>
          <w:rFonts w:cstheme="minorHAnsi"/>
        </w:rPr>
        <w:t>with establishing the counterfactual baseline</w:t>
      </w:r>
      <w:r w:rsidR="00FD1AAE">
        <w:rPr>
          <w:rFonts w:cstheme="minorHAnsi"/>
        </w:rPr>
        <w:t xml:space="preserve"> and considering a broad range of available intervention</w:t>
      </w:r>
      <w:r w:rsidR="00ED6257">
        <w:rPr>
          <w:rFonts w:cstheme="minorHAnsi"/>
        </w:rPr>
        <w:t>s</w:t>
      </w:r>
      <w:r w:rsidR="00FD1AAE">
        <w:rPr>
          <w:rFonts w:cstheme="minorHAnsi"/>
        </w:rPr>
        <w:t xml:space="preserve"> as part of the ‘theory of change’ of the project</w:t>
      </w:r>
      <w:r w:rsidR="007969B4">
        <w:rPr>
          <w:rFonts w:cstheme="minorHAnsi"/>
        </w:rPr>
        <w:t xml:space="preserve">. </w:t>
      </w:r>
      <w:r w:rsidR="00853F39">
        <w:rPr>
          <w:rFonts w:cstheme="minorHAnsi"/>
        </w:rPr>
        <w:t xml:space="preserve">As part of the initial diagnostic and design of the </w:t>
      </w:r>
      <w:r>
        <w:rPr>
          <w:rFonts w:cstheme="minorHAnsi"/>
        </w:rPr>
        <w:t xml:space="preserve">UNDP-supported </w:t>
      </w:r>
      <w:r w:rsidR="00853F39">
        <w:rPr>
          <w:rFonts w:cstheme="minorHAnsi"/>
        </w:rPr>
        <w:t xml:space="preserve">guarantee, the targeted additionality to be generated from the guarantee instrument </w:t>
      </w:r>
      <w:r w:rsidR="002D0E7B">
        <w:rPr>
          <w:rFonts w:cstheme="minorHAnsi"/>
        </w:rPr>
        <w:t xml:space="preserve">should </w:t>
      </w:r>
      <w:r w:rsidR="00853F39">
        <w:rPr>
          <w:rFonts w:cstheme="minorHAnsi"/>
        </w:rPr>
        <w:t>be estimated</w:t>
      </w:r>
      <w:r w:rsidR="003F3A89">
        <w:rPr>
          <w:rFonts w:cstheme="minorHAnsi"/>
        </w:rPr>
        <w:t xml:space="preserve"> and assessed compared to other available interventions</w:t>
      </w:r>
      <w:r w:rsidR="00853F39">
        <w:rPr>
          <w:rFonts w:cstheme="minorHAnsi"/>
        </w:rPr>
        <w:t xml:space="preserve">. </w:t>
      </w:r>
      <w:r w:rsidR="001866CF">
        <w:rPr>
          <w:rFonts w:cstheme="minorHAnsi"/>
        </w:rPr>
        <w:t xml:space="preserve">Additionality provided by </w:t>
      </w:r>
      <w:r>
        <w:rPr>
          <w:rFonts w:cstheme="minorHAnsi"/>
        </w:rPr>
        <w:t xml:space="preserve">UNDP-supported </w:t>
      </w:r>
      <w:r w:rsidR="001866CF">
        <w:rPr>
          <w:rFonts w:cstheme="minorHAnsi"/>
        </w:rPr>
        <w:t xml:space="preserve">guarantees should lead to the underlying change in conditions such that guarantees </w:t>
      </w:r>
      <w:r w:rsidR="00B83953">
        <w:rPr>
          <w:rFonts w:cstheme="minorHAnsi"/>
        </w:rPr>
        <w:t>will</w:t>
      </w:r>
      <w:r w:rsidR="001866CF">
        <w:rPr>
          <w:rFonts w:cstheme="minorHAnsi"/>
        </w:rPr>
        <w:t xml:space="preserve"> no longer </w:t>
      </w:r>
      <w:r w:rsidR="00B83953">
        <w:rPr>
          <w:rFonts w:cstheme="minorHAnsi"/>
        </w:rPr>
        <w:t xml:space="preserve">be </w:t>
      </w:r>
      <w:r w:rsidR="001866CF">
        <w:rPr>
          <w:rFonts w:cstheme="minorHAnsi"/>
        </w:rPr>
        <w:t>required</w:t>
      </w:r>
      <w:r w:rsidR="00B83953">
        <w:rPr>
          <w:rFonts w:cstheme="minorHAnsi"/>
        </w:rPr>
        <w:t xml:space="preserve"> as part of the exit strategy (please see “</w:t>
      </w:r>
      <w:hyperlink w:anchor="_Toc454962" w:history="1">
        <w:r w:rsidR="00B83953" w:rsidRPr="00E74710">
          <w:rPr>
            <w:rStyle w:val="Hyperlink"/>
            <w:rFonts w:cstheme="minorHAnsi"/>
          </w:rPr>
          <w:t>Section 4.2</w:t>
        </w:r>
        <w:r w:rsidR="0094651C" w:rsidRPr="00E74710">
          <w:rPr>
            <w:rStyle w:val="Hyperlink"/>
            <w:rFonts w:cstheme="minorHAnsi"/>
          </w:rPr>
          <w:t>g</w:t>
        </w:r>
      </w:hyperlink>
      <w:r w:rsidR="00B83953">
        <w:rPr>
          <w:rFonts w:cstheme="minorHAnsi"/>
        </w:rPr>
        <w:t xml:space="preserve"> – What is the exit strategy”).</w:t>
      </w:r>
      <w:r w:rsidR="001866CF">
        <w:rPr>
          <w:rFonts w:cstheme="minorHAnsi"/>
        </w:rPr>
        <w:t xml:space="preserve"> </w:t>
      </w:r>
      <w:r w:rsidR="007969B4">
        <w:rPr>
          <w:rFonts w:cstheme="minorHAnsi"/>
        </w:rPr>
        <w:t xml:space="preserve">Ongoing financial and economic additionality studies </w:t>
      </w:r>
      <w:r w:rsidR="00425173">
        <w:rPr>
          <w:rFonts w:cstheme="minorHAnsi"/>
        </w:rPr>
        <w:t xml:space="preserve">should </w:t>
      </w:r>
      <w:r w:rsidR="007969B4" w:rsidRPr="00FF6905">
        <w:rPr>
          <w:rFonts w:cstheme="minorHAnsi"/>
        </w:rPr>
        <w:t xml:space="preserve">be conducted on a regular basis to ensure performance targets are met </w:t>
      </w:r>
      <w:r w:rsidR="007969B4" w:rsidRPr="00FF6905">
        <w:rPr>
          <w:rFonts w:cstheme="minorHAnsi"/>
        </w:rPr>
        <w:lastRenderedPageBreak/>
        <w:t>and to certify additionality of</w:t>
      </w:r>
      <w:r>
        <w:rPr>
          <w:rFonts w:cstheme="minorHAnsi"/>
        </w:rPr>
        <w:t xml:space="preserve"> the UNDP-supported </w:t>
      </w:r>
      <w:r w:rsidR="007969B4" w:rsidRPr="00FF6905">
        <w:rPr>
          <w:rFonts w:cstheme="minorHAnsi"/>
        </w:rPr>
        <w:t>guarantee</w:t>
      </w:r>
      <w:r w:rsidR="009E4DE7" w:rsidRPr="003712D1">
        <w:rPr>
          <w:rFonts w:cstheme="minorHAnsi"/>
        </w:rPr>
        <w:t xml:space="preserve"> throughout the lifecycle of the project</w:t>
      </w:r>
      <w:r w:rsidR="007969B4" w:rsidRPr="003712D1">
        <w:rPr>
          <w:rFonts w:cstheme="minorHAnsi"/>
        </w:rPr>
        <w:t xml:space="preserve">. </w:t>
      </w:r>
    </w:p>
    <w:p w14:paraId="77D49ECC" w14:textId="77777777" w:rsidR="007969B4" w:rsidRPr="00ED2D81" w:rsidRDefault="007969B4" w:rsidP="00ED2D81">
      <w:pPr>
        <w:spacing w:after="0" w:line="276" w:lineRule="auto"/>
        <w:jc w:val="both"/>
        <w:rPr>
          <w:rFonts w:cstheme="minorHAnsi"/>
        </w:rPr>
      </w:pPr>
    </w:p>
    <w:p w14:paraId="32DCF6F7" w14:textId="7D9CF276" w:rsidR="007969B4" w:rsidRPr="0091667C" w:rsidRDefault="00127C5C" w:rsidP="0085266F">
      <w:pPr>
        <w:pStyle w:val="Heading2"/>
        <w:numPr>
          <w:ilvl w:val="0"/>
          <w:numId w:val="19"/>
        </w:numPr>
        <w:spacing w:before="0" w:after="160"/>
        <w:ind w:left="540" w:hanging="720"/>
        <w:rPr>
          <w:rFonts w:cstheme="minorHAnsi"/>
          <w:b/>
          <w:color w:val="000000" w:themeColor="text1"/>
          <w:sz w:val="24"/>
          <w:szCs w:val="24"/>
        </w:rPr>
      </w:pPr>
      <w:bookmarkStart w:id="26" w:name="_Target_specific_risks"/>
      <w:bookmarkStart w:id="27" w:name="_Toc2339901"/>
      <w:bookmarkStart w:id="28" w:name="_Toc121313761"/>
      <w:bookmarkEnd w:id="26"/>
      <w:r w:rsidRPr="0091667C">
        <w:rPr>
          <w:rFonts w:cstheme="minorHAnsi"/>
          <w:b/>
          <w:color w:val="000000" w:themeColor="text1"/>
          <w:sz w:val="24"/>
          <w:szCs w:val="24"/>
        </w:rPr>
        <w:t>T</w:t>
      </w:r>
      <w:r w:rsidR="007969B4" w:rsidRPr="0091667C">
        <w:rPr>
          <w:rFonts w:cstheme="minorHAnsi"/>
          <w:b/>
          <w:color w:val="000000" w:themeColor="text1"/>
          <w:sz w:val="24"/>
          <w:szCs w:val="24"/>
        </w:rPr>
        <w:t>arget specific risks or barriers inherent in projects that the lenders are unable to assess or reluctant to bear.</w:t>
      </w:r>
      <w:bookmarkEnd w:id="27"/>
      <w:bookmarkEnd w:id="28"/>
    </w:p>
    <w:p w14:paraId="61FB2923" w14:textId="641DBA37" w:rsidR="003F4939" w:rsidRDefault="0087662D" w:rsidP="0091667C">
      <w:pPr>
        <w:pStyle w:val="ListParagraph"/>
        <w:spacing w:after="0" w:line="276" w:lineRule="auto"/>
        <w:ind w:left="540"/>
        <w:contextualSpacing w:val="0"/>
        <w:jc w:val="both"/>
        <w:rPr>
          <w:rFonts w:cstheme="minorHAnsi"/>
        </w:rPr>
      </w:pPr>
      <w:r>
        <w:rPr>
          <w:rFonts w:cstheme="minorHAnsi"/>
        </w:rPr>
        <w:t>UNDP-supported g</w:t>
      </w:r>
      <w:r w:rsidR="007969B4" w:rsidRPr="00F730D3">
        <w:rPr>
          <w:rFonts w:cstheme="minorHAnsi"/>
        </w:rPr>
        <w:t>uarantees</w:t>
      </w:r>
      <w:r w:rsidR="007969B4">
        <w:rPr>
          <w:rFonts w:cstheme="minorHAnsi"/>
        </w:rPr>
        <w:t xml:space="preserve"> </w:t>
      </w:r>
      <w:r w:rsidR="00E42AD9">
        <w:rPr>
          <w:rFonts w:cstheme="minorHAnsi"/>
        </w:rPr>
        <w:t xml:space="preserve">may </w:t>
      </w:r>
      <w:r w:rsidR="007969B4">
        <w:rPr>
          <w:rFonts w:cstheme="minorHAnsi"/>
        </w:rPr>
        <w:t>only be offered</w:t>
      </w:r>
      <w:r w:rsidR="007969B4" w:rsidRPr="00F730D3">
        <w:rPr>
          <w:rFonts w:cstheme="minorHAnsi"/>
        </w:rPr>
        <w:t xml:space="preserve"> when </w:t>
      </w:r>
      <w:r w:rsidR="007969B4">
        <w:rPr>
          <w:rFonts w:cstheme="minorHAnsi"/>
        </w:rPr>
        <w:t xml:space="preserve">UNDP </w:t>
      </w:r>
      <w:r w:rsidR="007969B4" w:rsidRPr="00F730D3">
        <w:rPr>
          <w:rFonts w:cstheme="minorHAnsi"/>
        </w:rPr>
        <w:t xml:space="preserve">is </w:t>
      </w:r>
      <w:r w:rsidR="007969B4" w:rsidRPr="00D11998">
        <w:rPr>
          <w:rFonts w:cstheme="minorHAnsi"/>
          <w:b/>
        </w:rPr>
        <w:t xml:space="preserve">in a position to </w:t>
      </w:r>
      <w:r w:rsidR="0024156D">
        <w:rPr>
          <w:rFonts w:cstheme="minorHAnsi"/>
          <w:b/>
        </w:rPr>
        <w:t xml:space="preserve">better </w:t>
      </w:r>
      <w:r w:rsidR="007969B4" w:rsidRPr="00D11998">
        <w:rPr>
          <w:rFonts w:cstheme="minorHAnsi"/>
          <w:b/>
        </w:rPr>
        <w:t>assess the risks</w:t>
      </w:r>
      <w:r w:rsidR="007969B4" w:rsidRPr="00F730D3">
        <w:rPr>
          <w:rFonts w:cstheme="minorHAnsi"/>
        </w:rPr>
        <w:t xml:space="preserve"> </w:t>
      </w:r>
      <w:r w:rsidR="007969B4">
        <w:rPr>
          <w:rFonts w:cstheme="minorHAnsi"/>
        </w:rPr>
        <w:t xml:space="preserve">(e.g. due to its sectoral expertise or local knowledge) </w:t>
      </w:r>
      <w:r w:rsidR="004B5C17">
        <w:rPr>
          <w:rFonts w:cstheme="minorHAnsi"/>
        </w:rPr>
        <w:t>and suggest mitigation strategies</w:t>
      </w:r>
      <w:r w:rsidR="00DB0194">
        <w:rPr>
          <w:rFonts w:cstheme="minorHAnsi"/>
        </w:rPr>
        <w:t>,</w:t>
      </w:r>
      <w:r w:rsidR="004B5C17">
        <w:rPr>
          <w:rFonts w:cstheme="minorHAnsi"/>
        </w:rPr>
        <w:t xml:space="preserve"> </w:t>
      </w:r>
      <w:r w:rsidR="007969B4" w:rsidRPr="00F730D3">
        <w:rPr>
          <w:rFonts w:cstheme="minorHAnsi"/>
        </w:rPr>
        <w:t xml:space="preserve">than the </w:t>
      </w:r>
      <w:r w:rsidR="00472C24">
        <w:rPr>
          <w:rFonts w:cstheme="minorHAnsi"/>
        </w:rPr>
        <w:t>lender</w:t>
      </w:r>
      <w:r w:rsidR="00472C24" w:rsidRPr="00F730D3">
        <w:rPr>
          <w:rFonts w:cstheme="minorHAnsi"/>
        </w:rPr>
        <w:t xml:space="preserve">s </w:t>
      </w:r>
      <w:r w:rsidR="007969B4" w:rsidRPr="00F730D3">
        <w:rPr>
          <w:rFonts w:cstheme="minorHAnsi"/>
        </w:rPr>
        <w:t xml:space="preserve">in the market, or in situations </w:t>
      </w:r>
      <w:r w:rsidR="007969B4" w:rsidRPr="00D11998">
        <w:rPr>
          <w:rFonts w:cstheme="minorHAnsi"/>
          <w:b/>
        </w:rPr>
        <w:t xml:space="preserve">where </w:t>
      </w:r>
      <w:r w:rsidR="00472C24">
        <w:rPr>
          <w:rFonts w:cstheme="minorHAnsi"/>
          <w:b/>
        </w:rPr>
        <w:t xml:space="preserve">lenders </w:t>
      </w:r>
      <w:r w:rsidR="007969B4" w:rsidRPr="00D11998">
        <w:rPr>
          <w:rFonts w:cstheme="minorHAnsi"/>
          <w:b/>
        </w:rPr>
        <w:t>have correctly assessed risk but still won’t enter the market because of conditions</w:t>
      </w:r>
      <w:r w:rsidR="007969B4" w:rsidRPr="00F730D3">
        <w:rPr>
          <w:rFonts w:cstheme="minorHAnsi"/>
        </w:rPr>
        <w:t xml:space="preserve"> </w:t>
      </w:r>
      <w:r w:rsidR="00576BB9">
        <w:rPr>
          <w:rFonts w:cstheme="minorHAnsi"/>
        </w:rPr>
        <w:t>that UNDP may be</w:t>
      </w:r>
      <w:r w:rsidR="000E670A">
        <w:rPr>
          <w:rFonts w:cstheme="minorHAnsi"/>
        </w:rPr>
        <w:t xml:space="preserve"> able to help mitigate</w:t>
      </w:r>
      <w:r w:rsidR="007969B4" w:rsidRPr="00F730D3">
        <w:rPr>
          <w:rFonts w:cstheme="minorHAnsi"/>
        </w:rPr>
        <w:t>. In the latter situation, a UNDP</w:t>
      </w:r>
      <w:r w:rsidR="000B0EFF">
        <w:rPr>
          <w:rFonts w:cstheme="minorHAnsi"/>
        </w:rPr>
        <w:t>-supported</w:t>
      </w:r>
      <w:r w:rsidR="007969B4" w:rsidRPr="00F730D3">
        <w:rPr>
          <w:rFonts w:cstheme="minorHAnsi"/>
        </w:rPr>
        <w:t xml:space="preserve"> guarantee would act as a </w:t>
      </w:r>
      <w:r w:rsidR="00064F5A">
        <w:rPr>
          <w:rFonts w:cstheme="minorHAnsi"/>
        </w:rPr>
        <w:t xml:space="preserve">risk mitigation tool </w:t>
      </w:r>
      <w:r w:rsidR="007969B4" w:rsidRPr="00F730D3">
        <w:rPr>
          <w:rFonts w:cstheme="minorHAnsi"/>
        </w:rPr>
        <w:t xml:space="preserve">to incentivize the </w:t>
      </w:r>
      <w:r w:rsidR="00A4076C">
        <w:rPr>
          <w:rFonts w:cstheme="minorHAnsi"/>
        </w:rPr>
        <w:t>lender</w:t>
      </w:r>
      <w:r w:rsidR="00A4076C" w:rsidRPr="00F730D3">
        <w:rPr>
          <w:rFonts w:cstheme="minorHAnsi"/>
        </w:rPr>
        <w:t xml:space="preserve"> </w:t>
      </w:r>
      <w:r w:rsidR="007969B4" w:rsidRPr="00F730D3">
        <w:rPr>
          <w:rFonts w:cstheme="minorHAnsi"/>
        </w:rPr>
        <w:t xml:space="preserve">to enter high risk markets, particularly where there are greater social returns to be expected from the project. While guarantees can incentivize </w:t>
      </w:r>
      <w:r w:rsidR="008525AC">
        <w:rPr>
          <w:rFonts w:cstheme="minorHAnsi"/>
        </w:rPr>
        <w:t>lenders</w:t>
      </w:r>
      <w:r w:rsidR="008525AC" w:rsidRPr="00F730D3">
        <w:rPr>
          <w:rFonts w:cstheme="minorHAnsi"/>
        </w:rPr>
        <w:t xml:space="preserve"> </w:t>
      </w:r>
      <w:r w:rsidR="007969B4" w:rsidRPr="00F730D3">
        <w:rPr>
          <w:rFonts w:cstheme="minorHAnsi"/>
        </w:rPr>
        <w:t xml:space="preserve">to take on high risk projects, sufficient care </w:t>
      </w:r>
      <w:r w:rsidR="00F04C15">
        <w:rPr>
          <w:rFonts w:cstheme="minorHAnsi"/>
        </w:rPr>
        <w:t xml:space="preserve">must </w:t>
      </w:r>
      <w:r w:rsidR="007969B4" w:rsidRPr="00F730D3">
        <w:rPr>
          <w:rFonts w:cstheme="minorHAnsi"/>
        </w:rPr>
        <w:t xml:space="preserve">go into designing </w:t>
      </w:r>
      <w:r>
        <w:rPr>
          <w:rFonts w:cstheme="minorHAnsi"/>
        </w:rPr>
        <w:t xml:space="preserve">UNDP-supported </w:t>
      </w:r>
      <w:r w:rsidR="007969B4" w:rsidRPr="00F730D3">
        <w:rPr>
          <w:rFonts w:cstheme="minorHAnsi"/>
        </w:rPr>
        <w:t xml:space="preserve">guarantees that appropriately balance risk taking and </w:t>
      </w:r>
      <w:r w:rsidR="007969B4" w:rsidRPr="00445DA7">
        <w:rPr>
          <w:rFonts w:cstheme="minorHAnsi"/>
        </w:rPr>
        <w:t xml:space="preserve">prevent </w:t>
      </w:r>
      <w:r w:rsidR="007969B4" w:rsidRPr="00D11998">
        <w:rPr>
          <w:rFonts w:cstheme="minorHAnsi"/>
        </w:rPr>
        <w:t>moral hazard</w:t>
      </w:r>
      <w:r w:rsidR="00D42AB3">
        <w:rPr>
          <w:rStyle w:val="FootnoteReference"/>
          <w:rFonts w:cstheme="minorHAnsi"/>
        </w:rPr>
        <w:footnoteReference w:id="6"/>
      </w:r>
      <w:r w:rsidR="00016A05">
        <w:rPr>
          <w:rFonts w:cstheme="minorHAnsi"/>
        </w:rPr>
        <w:t xml:space="preserve"> </w:t>
      </w:r>
      <w:r w:rsidR="00113026">
        <w:rPr>
          <w:rFonts w:cstheme="minorHAnsi"/>
        </w:rPr>
        <w:t>(which can apply equally to the lender and borrower)</w:t>
      </w:r>
      <w:r w:rsidR="00567C60">
        <w:rPr>
          <w:rFonts w:cstheme="minorHAnsi"/>
        </w:rPr>
        <w:t xml:space="preserve">. Risk must always </w:t>
      </w:r>
      <w:r w:rsidR="00157D26">
        <w:rPr>
          <w:rFonts w:cstheme="minorHAnsi"/>
        </w:rPr>
        <w:t xml:space="preserve">be </w:t>
      </w:r>
      <w:r w:rsidR="00567C60">
        <w:rPr>
          <w:rFonts w:cstheme="minorHAnsi"/>
        </w:rPr>
        <w:t xml:space="preserve">shared with </w:t>
      </w:r>
      <w:r w:rsidR="00DF56CB">
        <w:rPr>
          <w:rFonts w:cstheme="minorHAnsi"/>
        </w:rPr>
        <w:t>the lende</w:t>
      </w:r>
      <w:r w:rsidR="00157D26">
        <w:rPr>
          <w:rFonts w:cstheme="minorHAnsi"/>
        </w:rPr>
        <w:t>r</w:t>
      </w:r>
      <w:r w:rsidR="007969B4" w:rsidRPr="00F730D3">
        <w:rPr>
          <w:rFonts w:cstheme="minorHAnsi"/>
        </w:rPr>
        <w:t>.</w:t>
      </w:r>
      <w:r w:rsidR="007969B4">
        <w:rPr>
          <w:rFonts w:cstheme="minorHAnsi"/>
        </w:rPr>
        <w:t xml:space="preserve"> </w:t>
      </w:r>
      <w:r w:rsidR="00C37DAA">
        <w:rPr>
          <w:rFonts w:cstheme="minorHAnsi"/>
        </w:rPr>
        <w:t xml:space="preserve">In all cases </w:t>
      </w:r>
      <w:r w:rsidR="00D421E7">
        <w:rPr>
          <w:rFonts w:cstheme="minorHAnsi"/>
        </w:rPr>
        <w:t>the underlying lending decision</w:t>
      </w:r>
      <w:r w:rsidR="00C410D3">
        <w:rPr>
          <w:rFonts w:cstheme="minorHAnsi"/>
        </w:rPr>
        <w:t>s</w:t>
      </w:r>
      <w:r w:rsidR="00D421E7">
        <w:rPr>
          <w:rFonts w:cstheme="minorHAnsi"/>
        </w:rPr>
        <w:t xml:space="preserve"> need to be comm</w:t>
      </w:r>
      <w:r w:rsidR="00F664D0">
        <w:rPr>
          <w:rFonts w:cstheme="minorHAnsi"/>
        </w:rPr>
        <w:t>ercially viable, i.e. the borrower</w:t>
      </w:r>
      <w:r w:rsidR="00C410D3">
        <w:rPr>
          <w:rFonts w:cstheme="minorHAnsi"/>
        </w:rPr>
        <w:t>s</w:t>
      </w:r>
      <w:r w:rsidR="00F664D0">
        <w:rPr>
          <w:rFonts w:cstheme="minorHAnsi"/>
        </w:rPr>
        <w:t xml:space="preserve"> must be able to repay the loan</w:t>
      </w:r>
      <w:r w:rsidR="00C410D3">
        <w:rPr>
          <w:rFonts w:cstheme="minorHAnsi"/>
        </w:rPr>
        <w:t>s</w:t>
      </w:r>
      <w:r w:rsidR="00F664D0">
        <w:rPr>
          <w:rFonts w:cstheme="minorHAnsi"/>
        </w:rPr>
        <w:t xml:space="preserve"> at commercial rates which would enable the lender to earn profit.</w:t>
      </w:r>
    </w:p>
    <w:p w14:paraId="7B660186" w14:textId="77777777" w:rsidR="003F4939" w:rsidRDefault="003F4939" w:rsidP="0091667C">
      <w:pPr>
        <w:pStyle w:val="ListParagraph"/>
        <w:spacing w:after="0" w:line="276" w:lineRule="auto"/>
        <w:ind w:left="540"/>
        <w:contextualSpacing w:val="0"/>
        <w:jc w:val="both"/>
        <w:rPr>
          <w:rFonts w:cstheme="minorHAnsi"/>
        </w:rPr>
      </w:pPr>
    </w:p>
    <w:p w14:paraId="13555B68" w14:textId="6EBEC4F9" w:rsidR="0002029C" w:rsidRDefault="00D95EB0" w:rsidP="00D05BD5">
      <w:pPr>
        <w:spacing w:after="0" w:line="276" w:lineRule="auto"/>
        <w:ind w:left="540"/>
        <w:jc w:val="both"/>
        <w:rPr>
          <w:rFonts w:cstheme="minorHAnsi"/>
        </w:rPr>
      </w:pPr>
      <w:r>
        <w:rPr>
          <w:rFonts w:cstheme="minorHAnsi"/>
        </w:rPr>
        <w:t>Also, it is important to note that w</w:t>
      </w:r>
      <w:r w:rsidR="00BF1817">
        <w:rPr>
          <w:rFonts w:cstheme="minorHAnsi"/>
        </w:rPr>
        <w:t>hile guarantee</w:t>
      </w:r>
      <w:r w:rsidR="001A1A70">
        <w:rPr>
          <w:rFonts w:cstheme="minorHAnsi"/>
        </w:rPr>
        <w:t>s</w:t>
      </w:r>
      <w:r w:rsidR="00BF1817">
        <w:rPr>
          <w:rFonts w:cstheme="minorHAnsi"/>
        </w:rPr>
        <w:t xml:space="preserve"> </w:t>
      </w:r>
      <w:r w:rsidR="001A1A70">
        <w:rPr>
          <w:rFonts w:cstheme="minorHAnsi"/>
        </w:rPr>
        <w:t>are good risk mitigation tools, they may not mitigate all types of risks. L</w:t>
      </w:r>
      <w:r w:rsidR="00BF1817">
        <w:rPr>
          <w:rFonts w:cstheme="minorHAnsi"/>
        </w:rPr>
        <w:t>enders may</w:t>
      </w:r>
      <w:r w:rsidR="001A1A70">
        <w:rPr>
          <w:rFonts w:cstheme="minorHAnsi"/>
        </w:rPr>
        <w:t xml:space="preserve"> in fact still</w:t>
      </w:r>
      <w:r w:rsidR="00BF1817">
        <w:rPr>
          <w:rFonts w:cstheme="minorHAnsi"/>
        </w:rPr>
        <w:t xml:space="preserve"> be exposed to reputational risks</w:t>
      </w:r>
      <w:r w:rsidR="001A1A70">
        <w:rPr>
          <w:rFonts w:cstheme="minorHAnsi"/>
        </w:rPr>
        <w:t xml:space="preserve"> associated with poor performing loan portfolios regardless of whether the loans are backed by guarantees or not</w:t>
      </w:r>
      <w:r w:rsidR="00BF1817">
        <w:rPr>
          <w:rFonts w:cstheme="minorHAnsi"/>
        </w:rPr>
        <w:t xml:space="preserve">.  </w:t>
      </w:r>
      <w:r w:rsidR="001A1A70" w:rsidRPr="00670E56">
        <w:rPr>
          <w:rFonts w:cstheme="minorHAnsi"/>
        </w:rPr>
        <w:t>To minimize this</w:t>
      </w:r>
      <w:r w:rsidR="00732466">
        <w:rPr>
          <w:rFonts w:cstheme="minorHAnsi"/>
        </w:rPr>
        <w:t xml:space="preserve"> reputational</w:t>
      </w:r>
      <w:r w:rsidR="001A1A70" w:rsidRPr="00670E56">
        <w:rPr>
          <w:rFonts w:cstheme="minorHAnsi"/>
        </w:rPr>
        <w:t xml:space="preserve"> risk for lenders and reduce their reluctance to use guarantees, </w:t>
      </w:r>
      <w:r w:rsidR="00383E73" w:rsidRPr="00670E56">
        <w:rPr>
          <w:rFonts w:cstheme="minorHAnsi"/>
        </w:rPr>
        <w:t>lenders</w:t>
      </w:r>
      <w:r w:rsidR="00471DA0" w:rsidRPr="00670E56">
        <w:rPr>
          <w:rFonts w:cstheme="minorHAnsi"/>
        </w:rPr>
        <w:t xml:space="preserve"> may </w:t>
      </w:r>
      <w:r w:rsidRPr="00670E56">
        <w:rPr>
          <w:rFonts w:cstheme="minorHAnsi"/>
        </w:rPr>
        <w:t>welcome</w:t>
      </w:r>
      <w:r w:rsidR="00383E73" w:rsidRPr="00670E56">
        <w:rPr>
          <w:rFonts w:cstheme="minorHAnsi"/>
        </w:rPr>
        <w:t xml:space="preserve"> other</w:t>
      </w:r>
      <w:r w:rsidR="00471DA0" w:rsidRPr="00670E56">
        <w:rPr>
          <w:rFonts w:cstheme="minorHAnsi"/>
        </w:rPr>
        <w:t xml:space="preserve"> </w:t>
      </w:r>
      <w:r w:rsidR="00075FAF" w:rsidRPr="00670E56">
        <w:rPr>
          <w:rFonts w:cstheme="minorHAnsi"/>
        </w:rPr>
        <w:t>stakeholder commitments</w:t>
      </w:r>
      <w:r w:rsidR="00383E73" w:rsidRPr="00670E56">
        <w:rPr>
          <w:rFonts w:cstheme="minorHAnsi"/>
        </w:rPr>
        <w:t xml:space="preserve"> and interventions that</w:t>
      </w:r>
      <w:r w:rsidR="00761294" w:rsidRPr="00670E56">
        <w:rPr>
          <w:rFonts w:cstheme="minorHAnsi"/>
        </w:rPr>
        <w:t xml:space="preserve"> ensure the success of </w:t>
      </w:r>
      <w:r w:rsidR="00732466">
        <w:rPr>
          <w:rFonts w:cstheme="minorHAnsi"/>
        </w:rPr>
        <w:t xml:space="preserve">borrowers’ </w:t>
      </w:r>
      <w:r w:rsidR="00761294" w:rsidRPr="00670E56">
        <w:rPr>
          <w:rFonts w:cstheme="minorHAnsi"/>
        </w:rPr>
        <w:t>projects</w:t>
      </w:r>
      <w:r w:rsidR="00AB2B2B" w:rsidRPr="00670E56">
        <w:rPr>
          <w:rFonts w:cstheme="minorHAnsi"/>
        </w:rPr>
        <w:t>.</w:t>
      </w:r>
      <w:r w:rsidR="00065EB4" w:rsidRPr="00670E56">
        <w:rPr>
          <w:rFonts w:cstheme="minorHAnsi"/>
        </w:rPr>
        <w:t xml:space="preserve"> These commitments</w:t>
      </w:r>
      <w:r w:rsidR="00383E73" w:rsidRPr="00670E56">
        <w:rPr>
          <w:rFonts w:cstheme="minorHAnsi"/>
        </w:rPr>
        <w:t xml:space="preserve"> and interventions</w:t>
      </w:r>
      <w:r w:rsidR="00065EB4" w:rsidRPr="00670E56">
        <w:rPr>
          <w:rFonts w:cstheme="minorHAnsi"/>
        </w:rPr>
        <w:t xml:space="preserve"> could include business management training to borrowers, </w:t>
      </w:r>
      <w:r w:rsidR="001C6F44">
        <w:rPr>
          <w:rFonts w:cstheme="minorHAnsi"/>
        </w:rPr>
        <w:t xml:space="preserve">and </w:t>
      </w:r>
      <w:r w:rsidR="00065EB4" w:rsidRPr="00670E56">
        <w:rPr>
          <w:rFonts w:cstheme="minorHAnsi"/>
        </w:rPr>
        <w:t xml:space="preserve">provision of </w:t>
      </w:r>
      <w:r w:rsidR="00346750" w:rsidRPr="00670E56">
        <w:rPr>
          <w:rFonts w:cstheme="minorHAnsi"/>
        </w:rPr>
        <w:t xml:space="preserve">mentors/business coaches </w:t>
      </w:r>
      <w:r w:rsidRPr="00670E56">
        <w:rPr>
          <w:rFonts w:cstheme="minorHAnsi"/>
        </w:rPr>
        <w:t xml:space="preserve">to borrowers </w:t>
      </w:r>
      <w:r w:rsidR="003F4939" w:rsidRPr="00670E56">
        <w:rPr>
          <w:rFonts w:cstheme="minorHAnsi"/>
        </w:rPr>
        <w:t>to support the development and implementation of business ideas</w:t>
      </w:r>
      <w:r w:rsidR="00675C66" w:rsidRPr="00670E56">
        <w:rPr>
          <w:rFonts w:cstheme="minorHAnsi"/>
        </w:rPr>
        <w:t>.</w:t>
      </w:r>
      <w:r w:rsidR="003F4939" w:rsidRPr="00670E56">
        <w:rPr>
          <w:rFonts w:cstheme="minorHAnsi"/>
        </w:rPr>
        <w:t xml:space="preserve"> </w:t>
      </w:r>
    </w:p>
    <w:p w14:paraId="4CA063A5" w14:textId="77777777" w:rsidR="002344C7" w:rsidRDefault="002344C7" w:rsidP="00543AEF">
      <w:pPr>
        <w:spacing w:after="0" w:line="276" w:lineRule="auto"/>
        <w:ind w:left="540"/>
        <w:jc w:val="both"/>
        <w:rPr>
          <w:rFonts w:cstheme="minorHAnsi"/>
        </w:rPr>
      </w:pPr>
    </w:p>
    <w:p w14:paraId="7DEF7212" w14:textId="637DB282" w:rsidR="0014107B" w:rsidRDefault="00991F6A" w:rsidP="005F504A">
      <w:pPr>
        <w:spacing w:after="0" w:line="276" w:lineRule="auto"/>
        <w:ind w:left="540"/>
        <w:jc w:val="both"/>
        <w:rPr>
          <w:rFonts w:cstheme="minorHAnsi"/>
        </w:rPr>
      </w:pPr>
      <w:r>
        <w:rPr>
          <w:rFonts w:cstheme="minorHAnsi"/>
        </w:rPr>
        <w:t>Proactively</w:t>
      </w:r>
      <w:r w:rsidR="00BA6B3C">
        <w:rPr>
          <w:rFonts w:cstheme="minorHAnsi"/>
        </w:rPr>
        <w:t xml:space="preserve"> identifying and</w:t>
      </w:r>
      <w:r>
        <w:rPr>
          <w:rFonts w:cstheme="minorHAnsi"/>
        </w:rPr>
        <w:t xml:space="preserve"> a</w:t>
      </w:r>
      <w:r w:rsidR="0085305E">
        <w:rPr>
          <w:rFonts w:cstheme="minorHAnsi"/>
        </w:rPr>
        <w:t>ddressing lenders</w:t>
      </w:r>
      <w:r>
        <w:rPr>
          <w:rFonts w:cstheme="minorHAnsi"/>
        </w:rPr>
        <w:t>’</w:t>
      </w:r>
      <w:r w:rsidR="0085305E">
        <w:rPr>
          <w:rFonts w:cstheme="minorHAnsi"/>
        </w:rPr>
        <w:t xml:space="preserve"> reputational risk</w:t>
      </w:r>
      <w:r>
        <w:rPr>
          <w:rFonts w:cstheme="minorHAnsi"/>
        </w:rPr>
        <w:t>s also helps</w:t>
      </w:r>
      <w:r w:rsidR="001B7CA2">
        <w:rPr>
          <w:rFonts w:cstheme="minorHAnsi"/>
        </w:rPr>
        <w:t xml:space="preserve"> in</w:t>
      </w:r>
      <w:r>
        <w:rPr>
          <w:rFonts w:cstheme="minorHAnsi"/>
        </w:rPr>
        <w:t xml:space="preserve"> minimiz</w:t>
      </w:r>
      <w:r w:rsidR="001B7CA2">
        <w:rPr>
          <w:rFonts w:cstheme="minorHAnsi"/>
        </w:rPr>
        <w:t>ing</w:t>
      </w:r>
      <w:r>
        <w:rPr>
          <w:rFonts w:cstheme="minorHAnsi"/>
        </w:rPr>
        <w:t xml:space="preserve"> UNDP’s own reputational risks </w:t>
      </w:r>
      <w:r w:rsidR="00D82BC3">
        <w:rPr>
          <w:rFonts w:cstheme="minorHAnsi"/>
        </w:rPr>
        <w:t xml:space="preserve">which may arise </w:t>
      </w:r>
      <w:r w:rsidR="0085305E">
        <w:rPr>
          <w:rFonts w:cstheme="minorHAnsi"/>
        </w:rPr>
        <w:t>from its association with lender</w:t>
      </w:r>
      <w:r>
        <w:rPr>
          <w:rFonts w:cstheme="minorHAnsi"/>
        </w:rPr>
        <w:t xml:space="preserve">s. </w:t>
      </w:r>
      <w:r w:rsidR="001B7CA2">
        <w:rPr>
          <w:rFonts w:cstheme="minorHAnsi"/>
        </w:rPr>
        <w:t xml:space="preserve">Since </w:t>
      </w:r>
      <w:r>
        <w:rPr>
          <w:rFonts w:cstheme="minorHAnsi"/>
        </w:rPr>
        <w:t>UNDP</w:t>
      </w:r>
      <w:r w:rsidR="001B7CA2">
        <w:rPr>
          <w:rFonts w:cstheme="minorHAnsi"/>
        </w:rPr>
        <w:t>’s</w:t>
      </w:r>
      <w:r>
        <w:rPr>
          <w:rFonts w:cstheme="minorHAnsi"/>
        </w:rPr>
        <w:t xml:space="preserve"> </w:t>
      </w:r>
      <w:r w:rsidR="001B7CA2">
        <w:rPr>
          <w:rFonts w:cstheme="minorHAnsi"/>
        </w:rPr>
        <w:t>exposure</w:t>
      </w:r>
      <w:r>
        <w:rPr>
          <w:rFonts w:cstheme="minorHAnsi"/>
        </w:rPr>
        <w:t xml:space="preserve"> </w:t>
      </w:r>
      <w:r w:rsidR="001B7CA2">
        <w:rPr>
          <w:rFonts w:cstheme="minorHAnsi"/>
        </w:rPr>
        <w:t>to lender</w:t>
      </w:r>
      <w:r>
        <w:rPr>
          <w:rFonts w:cstheme="minorHAnsi"/>
        </w:rPr>
        <w:t xml:space="preserve"> reputational risks </w:t>
      </w:r>
      <w:r w:rsidR="001B7CA2">
        <w:rPr>
          <w:rFonts w:cstheme="minorHAnsi"/>
        </w:rPr>
        <w:t xml:space="preserve">may be high, </w:t>
      </w:r>
      <w:r w:rsidR="005C3148">
        <w:rPr>
          <w:rFonts w:cstheme="minorHAnsi"/>
        </w:rPr>
        <w:t>strong</w:t>
      </w:r>
      <w:r w:rsidR="0085305E">
        <w:rPr>
          <w:rFonts w:cstheme="minorHAnsi"/>
        </w:rPr>
        <w:t xml:space="preserve"> risk management measures</w:t>
      </w:r>
      <w:r w:rsidR="001B7CA2">
        <w:rPr>
          <w:rFonts w:cstheme="minorHAnsi"/>
        </w:rPr>
        <w:t xml:space="preserve"> </w:t>
      </w:r>
      <w:r w:rsidR="00C57A3D">
        <w:rPr>
          <w:rFonts w:cstheme="minorHAnsi"/>
        </w:rPr>
        <w:t>must</w:t>
      </w:r>
      <w:r w:rsidR="001B7CA2">
        <w:rPr>
          <w:rFonts w:cstheme="minorHAnsi"/>
        </w:rPr>
        <w:t xml:space="preserve"> always be in place</w:t>
      </w:r>
      <w:r w:rsidR="0085305E">
        <w:rPr>
          <w:rFonts w:cstheme="minorHAnsi"/>
        </w:rPr>
        <w:t>.</w:t>
      </w:r>
      <w:r w:rsidR="00BA6B3C">
        <w:rPr>
          <w:rFonts w:cstheme="minorHAnsi"/>
        </w:rPr>
        <w:t xml:space="preserve"> </w:t>
      </w:r>
      <w:r w:rsidR="0002029C">
        <w:rPr>
          <w:rFonts w:cstheme="minorHAnsi"/>
        </w:rPr>
        <w:t>These measures begin with UNDP and the Guarantee Issuer</w:t>
      </w:r>
      <w:r w:rsidR="005C3148">
        <w:rPr>
          <w:rFonts w:cstheme="minorHAnsi"/>
        </w:rPr>
        <w:t xml:space="preserve"> performing due diligence assessments on</w:t>
      </w:r>
      <w:r w:rsidR="00D12CDE">
        <w:rPr>
          <w:rFonts w:cstheme="minorHAnsi"/>
        </w:rPr>
        <w:t xml:space="preserve"> </w:t>
      </w:r>
      <w:r w:rsidR="0002029C">
        <w:rPr>
          <w:rFonts w:cstheme="minorHAnsi"/>
        </w:rPr>
        <w:t>potential</w:t>
      </w:r>
      <w:r w:rsidR="00C467A8">
        <w:rPr>
          <w:rFonts w:cstheme="minorHAnsi"/>
        </w:rPr>
        <w:t xml:space="preserve"> lending</w:t>
      </w:r>
      <w:r w:rsidR="0002029C">
        <w:rPr>
          <w:rFonts w:cstheme="minorHAnsi"/>
        </w:rPr>
        <w:t xml:space="preserve"> partner</w:t>
      </w:r>
      <w:r w:rsidR="00C467A8">
        <w:rPr>
          <w:rFonts w:cstheme="minorHAnsi"/>
        </w:rPr>
        <w:t>s</w:t>
      </w:r>
      <w:r w:rsidR="005C3148">
        <w:rPr>
          <w:rFonts w:cstheme="minorHAnsi"/>
        </w:rPr>
        <w:t xml:space="preserve"> and </w:t>
      </w:r>
      <w:r w:rsidR="00584C27">
        <w:rPr>
          <w:rFonts w:cstheme="minorHAnsi"/>
        </w:rPr>
        <w:t>only selecting those lenders w</w:t>
      </w:r>
      <w:r w:rsidR="00D12CDE">
        <w:rPr>
          <w:rFonts w:cstheme="minorHAnsi"/>
        </w:rPr>
        <w:t>hose</w:t>
      </w:r>
      <w:r w:rsidR="00D12CDE">
        <w:rPr>
          <w:rFonts w:cstheme="minorHAnsi"/>
          <w:color w:val="000000" w:themeColor="text1"/>
          <w:lang w:val="en-GB"/>
        </w:rPr>
        <w:t xml:space="preserve"> operations are</w:t>
      </w:r>
      <w:r w:rsidR="00D12CDE">
        <w:rPr>
          <w:lang w:val="en-GB"/>
        </w:rPr>
        <w:t xml:space="preserve"> </w:t>
      </w:r>
      <w:r w:rsidR="00D12CDE" w:rsidRPr="0058334E">
        <w:rPr>
          <w:lang w:val="en-GB"/>
        </w:rPr>
        <w:t xml:space="preserve">consistent with </w:t>
      </w:r>
      <w:r w:rsidR="00D12CDE" w:rsidRPr="0058334E">
        <w:rPr>
          <w:lang w:val="en-GB"/>
        </w:rPr>
        <w:lastRenderedPageBreak/>
        <w:t>Good Practices for Lending</w:t>
      </w:r>
      <w:r w:rsidR="00D12CDE">
        <w:rPr>
          <w:lang w:val="en-GB"/>
        </w:rPr>
        <w:t xml:space="preserve"> </w:t>
      </w:r>
      <w:r w:rsidR="00D12CDE">
        <w:rPr>
          <w:rFonts w:cstheme="minorHAnsi"/>
        </w:rPr>
        <w:t xml:space="preserve">(as described in detail in </w:t>
      </w:r>
      <w:hyperlink w:anchor="_Eligible_lenders_and" w:history="1">
        <w:r w:rsidR="00D12CDE" w:rsidRPr="00E74710">
          <w:rPr>
            <w:rStyle w:val="Hyperlink"/>
            <w:rFonts w:cstheme="minorHAnsi"/>
          </w:rPr>
          <w:t>Section 2.7</w:t>
        </w:r>
      </w:hyperlink>
      <w:r w:rsidR="00D12CDE">
        <w:rPr>
          <w:rFonts w:cstheme="minorHAnsi"/>
        </w:rPr>
        <w:t xml:space="preserve"> below)</w:t>
      </w:r>
      <w:r w:rsidR="00584C27">
        <w:rPr>
          <w:rFonts w:cstheme="minorHAnsi"/>
        </w:rPr>
        <w:t xml:space="preserve"> and </w:t>
      </w:r>
      <w:r w:rsidR="001310CE">
        <w:rPr>
          <w:rFonts w:cstheme="minorHAnsi"/>
        </w:rPr>
        <w:t>whose</w:t>
      </w:r>
      <w:r w:rsidR="0002029C">
        <w:rPr>
          <w:rFonts w:cstheme="minorHAnsi"/>
        </w:rPr>
        <w:t xml:space="preserve"> lending </w:t>
      </w:r>
      <w:r w:rsidR="00D11BD7">
        <w:rPr>
          <w:rFonts w:cstheme="minorHAnsi"/>
        </w:rPr>
        <w:t>scheme</w:t>
      </w:r>
      <w:r w:rsidR="001310CE">
        <w:rPr>
          <w:rFonts w:cstheme="minorHAnsi"/>
        </w:rPr>
        <w:t xml:space="preserve"> designs</w:t>
      </w:r>
      <w:r w:rsidR="00B37DF7">
        <w:rPr>
          <w:rFonts w:cstheme="minorHAnsi"/>
        </w:rPr>
        <w:t xml:space="preserve"> </w:t>
      </w:r>
      <w:r w:rsidR="00A55973">
        <w:rPr>
          <w:rFonts w:cstheme="minorHAnsi"/>
        </w:rPr>
        <w:t>specifically</w:t>
      </w:r>
      <w:r w:rsidR="0002029C">
        <w:rPr>
          <w:rFonts w:cstheme="minorHAnsi"/>
        </w:rPr>
        <w:t xml:space="preserve"> target </w:t>
      </w:r>
      <w:r w:rsidR="000E3B8B">
        <w:rPr>
          <w:rFonts w:cstheme="minorHAnsi"/>
        </w:rPr>
        <w:t>eligible</w:t>
      </w:r>
      <w:r w:rsidR="0002029C">
        <w:rPr>
          <w:rFonts w:cstheme="minorHAnsi"/>
        </w:rPr>
        <w:t xml:space="preserve"> borrowers. Once the</w:t>
      </w:r>
      <w:r w:rsidR="0087662D">
        <w:rPr>
          <w:rFonts w:cstheme="minorHAnsi"/>
        </w:rPr>
        <w:t xml:space="preserve"> UNDP-supported</w:t>
      </w:r>
      <w:r w:rsidR="0002029C">
        <w:rPr>
          <w:rFonts w:cstheme="minorHAnsi"/>
        </w:rPr>
        <w:t xml:space="preserve"> guarantee is issued,</w:t>
      </w:r>
      <w:r w:rsidR="000E3B8B">
        <w:rPr>
          <w:rFonts w:cstheme="minorHAnsi"/>
        </w:rPr>
        <w:t xml:space="preserve"> reputational risk exposure may also be </w:t>
      </w:r>
      <w:r w:rsidR="008A642A">
        <w:rPr>
          <w:rFonts w:cstheme="minorHAnsi"/>
        </w:rPr>
        <w:t>mitigated</w:t>
      </w:r>
      <w:r w:rsidR="000E3B8B">
        <w:rPr>
          <w:rFonts w:cstheme="minorHAnsi"/>
        </w:rPr>
        <w:t xml:space="preserve"> by</w:t>
      </w:r>
      <w:r w:rsidR="0002029C">
        <w:rPr>
          <w:rFonts w:cstheme="minorHAnsi"/>
        </w:rPr>
        <w:t xml:space="preserve"> </w:t>
      </w:r>
      <w:r w:rsidR="00B72E8F">
        <w:rPr>
          <w:rFonts w:cstheme="minorHAnsi"/>
        </w:rPr>
        <w:t>UNDP</w:t>
      </w:r>
      <w:r w:rsidR="003C75C9">
        <w:rPr>
          <w:rFonts w:cstheme="minorHAnsi"/>
        </w:rPr>
        <w:t xml:space="preserve"> </w:t>
      </w:r>
      <w:r w:rsidR="00B72E8F">
        <w:rPr>
          <w:rFonts w:cstheme="minorHAnsi"/>
        </w:rPr>
        <w:t>and the Guarantee Issuer</w:t>
      </w:r>
      <w:r w:rsidR="003C75C9">
        <w:rPr>
          <w:rFonts w:cstheme="minorHAnsi"/>
        </w:rPr>
        <w:t>’s</w:t>
      </w:r>
      <w:r w:rsidR="00B72E8F">
        <w:rPr>
          <w:rFonts w:cstheme="minorHAnsi"/>
        </w:rPr>
        <w:t xml:space="preserve"> </w:t>
      </w:r>
      <w:r w:rsidR="003C75C9">
        <w:rPr>
          <w:rFonts w:cstheme="minorHAnsi"/>
        </w:rPr>
        <w:t xml:space="preserve">regular </w:t>
      </w:r>
      <w:r w:rsidR="003F6078">
        <w:rPr>
          <w:rFonts w:cstheme="minorHAnsi"/>
        </w:rPr>
        <w:t xml:space="preserve">monitoring of </w:t>
      </w:r>
      <w:r w:rsidR="00B72E8F">
        <w:rPr>
          <w:rFonts w:cstheme="minorHAnsi"/>
        </w:rPr>
        <w:t>the lender</w:t>
      </w:r>
      <w:r w:rsidR="003C75C9">
        <w:rPr>
          <w:rFonts w:cstheme="minorHAnsi"/>
        </w:rPr>
        <w:t>’s activities. Monitoring activities</w:t>
      </w:r>
      <w:r w:rsidR="00B37DF7">
        <w:rPr>
          <w:rFonts w:cstheme="minorHAnsi"/>
        </w:rPr>
        <w:t xml:space="preserve"> </w:t>
      </w:r>
      <w:r w:rsidR="001310CE">
        <w:rPr>
          <w:rFonts w:cstheme="minorHAnsi"/>
        </w:rPr>
        <w:t>must</w:t>
      </w:r>
      <w:r w:rsidR="00584C27">
        <w:rPr>
          <w:rFonts w:cstheme="minorHAnsi"/>
        </w:rPr>
        <w:t xml:space="preserve"> quickly detect</w:t>
      </w:r>
      <w:r w:rsidR="00B37DF7">
        <w:rPr>
          <w:rFonts w:cstheme="minorHAnsi"/>
        </w:rPr>
        <w:t xml:space="preserve"> adverse</w:t>
      </w:r>
      <w:r w:rsidR="00584C27">
        <w:rPr>
          <w:rFonts w:cstheme="minorHAnsi"/>
        </w:rPr>
        <w:t xml:space="preserve"> </w:t>
      </w:r>
      <w:r w:rsidR="003F6078">
        <w:rPr>
          <w:rFonts w:cstheme="minorHAnsi"/>
        </w:rPr>
        <w:t>situations</w:t>
      </w:r>
      <w:r w:rsidR="00584C27">
        <w:rPr>
          <w:rFonts w:cstheme="minorHAnsi"/>
        </w:rPr>
        <w:t xml:space="preserve"> in the lending</w:t>
      </w:r>
      <w:r w:rsidR="003F6078">
        <w:rPr>
          <w:rFonts w:cstheme="minorHAnsi"/>
        </w:rPr>
        <w:t xml:space="preserve"> </w:t>
      </w:r>
      <w:r w:rsidR="00D11BD7">
        <w:rPr>
          <w:rFonts w:cstheme="minorHAnsi"/>
        </w:rPr>
        <w:t>scheme</w:t>
      </w:r>
      <w:r w:rsidR="000E3B8B">
        <w:rPr>
          <w:rFonts w:cstheme="minorHAnsi"/>
        </w:rPr>
        <w:t xml:space="preserve"> </w:t>
      </w:r>
      <w:r w:rsidR="003F6078">
        <w:rPr>
          <w:rFonts w:cstheme="minorHAnsi"/>
        </w:rPr>
        <w:t>that</w:t>
      </w:r>
      <w:r w:rsidR="00584C27">
        <w:rPr>
          <w:rFonts w:cstheme="minorHAnsi"/>
        </w:rPr>
        <w:t xml:space="preserve"> could</w:t>
      </w:r>
      <w:r w:rsidR="003F6078">
        <w:rPr>
          <w:rFonts w:cstheme="minorHAnsi"/>
        </w:rPr>
        <w:t xml:space="preserve"> compromise UNDP’s reputation</w:t>
      </w:r>
      <w:r w:rsidR="003C75C9">
        <w:rPr>
          <w:rFonts w:cstheme="minorHAnsi"/>
        </w:rPr>
        <w:t xml:space="preserve"> and i</w:t>
      </w:r>
      <w:r w:rsidR="00B37DF7" w:rsidRPr="00B37DF7">
        <w:rPr>
          <w:rFonts w:cstheme="minorHAnsi"/>
        </w:rPr>
        <w:t xml:space="preserve">f the worst happens, </w:t>
      </w:r>
      <w:r w:rsidR="00B37DF7">
        <w:rPr>
          <w:rFonts w:cstheme="minorHAnsi"/>
        </w:rPr>
        <w:t xml:space="preserve">the </w:t>
      </w:r>
      <w:r w:rsidR="00FB7EC2">
        <w:rPr>
          <w:rFonts w:cstheme="minorHAnsi"/>
        </w:rPr>
        <w:t xml:space="preserve">UNDP </w:t>
      </w:r>
      <w:r w:rsidR="00B37DF7">
        <w:rPr>
          <w:rFonts w:cstheme="minorHAnsi"/>
        </w:rPr>
        <w:t xml:space="preserve">project team </w:t>
      </w:r>
      <w:r w:rsidR="00C57A3D">
        <w:rPr>
          <w:rFonts w:cstheme="minorHAnsi"/>
        </w:rPr>
        <w:t>must</w:t>
      </w:r>
      <w:r w:rsidR="00D0204B">
        <w:rPr>
          <w:rFonts w:cstheme="minorHAnsi"/>
        </w:rPr>
        <w:t xml:space="preserve"> have contingency plans</w:t>
      </w:r>
      <w:r w:rsidR="00B37DF7">
        <w:rPr>
          <w:rFonts w:cstheme="minorHAnsi"/>
        </w:rPr>
        <w:t xml:space="preserve"> </w:t>
      </w:r>
      <w:r w:rsidR="00D0204B">
        <w:rPr>
          <w:rFonts w:cstheme="minorHAnsi"/>
        </w:rPr>
        <w:t>than enable the prompt activation of response and communication systems to mitigate the risk</w:t>
      </w:r>
      <w:r w:rsidR="00B64D59">
        <w:rPr>
          <w:rFonts w:cstheme="minorHAnsi"/>
        </w:rPr>
        <w:t>.</w:t>
      </w:r>
      <w:r w:rsidR="00BA6B3C">
        <w:rPr>
          <w:rFonts w:cstheme="minorHAnsi"/>
        </w:rPr>
        <w:t xml:space="preserve"> </w:t>
      </w:r>
      <w:bookmarkStart w:id="29" w:name="_Toc2339902"/>
    </w:p>
    <w:p w14:paraId="3C125305" w14:textId="77777777" w:rsidR="00AB1E0E" w:rsidRDefault="00AB1E0E" w:rsidP="005F504A">
      <w:pPr>
        <w:spacing w:after="0" w:line="276" w:lineRule="auto"/>
        <w:ind w:left="540"/>
        <w:jc w:val="both"/>
      </w:pPr>
    </w:p>
    <w:p w14:paraId="65F823B5" w14:textId="0B441E64" w:rsidR="007969B4" w:rsidRPr="0091667C" w:rsidRDefault="007969B4" w:rsidP="00AB1E0E">
      <w:pPr>
        <w:pStyle w:val="Heading2"/>
        <w:numPr>
          <w:ilvl w:val="0"/>
          <w:numId w:val="19"/>
        </w:numPr>
        <w:spacing w:before="0" w:after="160"/>
        <w:ind w:left="540" w:hanging="720"/>
        <w:rPr>
          <w:rFonts w:cstheme="minorHAnsi"/>
          <w:b/>
          <w:color w:val="000000" w:themeColor="text1"/>
          <w:sz w:val="24"/>
          <w:szCs w:val="24"/>
        </w:rPr>
      </w:pPr>
      <w:bookmarkStart w:id="30" w:name="_Toc121313762"/>
      <w:r w:rsidRPr="0091667C">
        <w:rPr>
          <w:rFonts w:cstheme="minorHAnsi"/>
          <w:b/>
          <w:color w:val="000000" w:themeColor="text1"/>
          <w:sz w:val="24"/>
          <w:szCs w:val="24"/>
        </w:rPr>
        <w:t xml:space="preserve">Guarantees </w:t>
      </w:r>
      <w:r w:rsidR="00A57F40">
        <w:rPr>
          <w:rFonts w:cstheme="minorHAnsi"/>
          <w:b/>
          <w:color w:val="000000" w:themeColor="text1"/>
          <w:sz w:val="24"/>
          <w:szCs w:val="24"/>
        </w:rPr>
        <w:t>will</w:t>
      </w:r>
      <w:r w:rsidR="00A57F40" w:rsidRPr="0091667C">
        <w:rPr>
          <w:rFonts w:cstheme="minorHAnsi"/>
          <w:b/>
          <w:color w:val="000000" w:themeColor="text1"/>
          <w:sz w:val="24"/>
          <w:szCs w:val="24"/>
        </w:rPr>
        <w:t xml:space="preserve"> </w:t>
      </w:r>
      <w:r w:rsidR="004D2CAC">
        <w:rPr>
          <w:rFonts w:cstheme="minorHAnsi"/>
          <w:b/>
          <w:color w:val="000000" w:themeColor="text1"/>
          <w:sz w:val="24"/>
          <w:szCs w:val="24"/>
        </w:rPr>
        <w:t xml:space="preserve">seek to </w:t>
      </w:r>
      <w:r w:rsidRPr="0091667C">
        <w:rPr>
          <w:rFonts w:cstheme="minorHAnsi"/>
          <w:b/>
          <w:color w:val="000000" w:themeColor="text1"/>
          <w:sz w:val="24"/>
          <w:szCs w:val="24"/>
        </w:rPr>
        <w:t>target underserved sectors</w:t>
      </w:r>
      <w:bookmarkEnd w:id="29"/>
      <w:bookmarkEnd w:id="30"/>
    </w:p>
    <w:p w14:paraId="7B7ECAAA" w14:textId="68361FF5" w:rsidR="00133DB3" w:rsidRDefault="007969B4" w:rsidP="00670E56">
      <w:pPr>
        <w:ind w:left="540"/>
        <w:jc w:val="both"/>
        <w:rPr>
          <w:rFonts w:cstheme="minorHAnsi"/>
        </w:rPr>
      </w:pPr>
      <w:r w:rsidRPr="00F730D3">
        <w:rPr>
          <w:rFonts w:cstheme="minorHAnsi"/>
        </w:rPr>
        <w:t>In line with its development mandate, the purpose of</w:t>
      </w:r>
      <w:r w:rsidR="0087662D">
        <w:rPr>
          <w:rFonts w:cstheme="minorHAnsi"/>
        </w:rPr>
        <w:t xml:space="preserve"> the</w:t>
      </w:r>
      <w:r w:rsidRPr="00F730D3">
        <w:rPr>
          <w:rFonts w:cstheme="minorHAnsi"/>
        </w:rPr>
        <w:t xml:space="preserve"> UNDP</w:t>
      </w:r>
      <w:r w:rsidR="0087662D">
        <w:rPr>
          <w:rFonts w:cstheme="minorHAnsi"/>
        </w:rPr>
        <w:t>-supported</w:t>
      </w:r>
      <w:r w:rsidRPr="00F730D3">
        <w:rPr>
          <w:rFonts w:cstheme="minorHAnsi"/>
        </w:rPr>
        <w:t xml:space="preserve"> guarantee portfolio </w:t>
      </w:r>
      <w:r w:rsidR="00A66770">
        <w:rPr>
          <w:rFonts w:cstheme="minorHAnsi"/>
        </w:rPr>
        <w:t xml:space="preserve">is </w:t>
      </w:r>
      <w:r w:rsidRPr="00F730D3">
        <w:rPr>
          <w:rFonts w:cstheme="minorHAnsi"/>
        </w:rPr>
        <w:t xml:space="preserve">to catalyze funding only where inefficiencies exist in the market or where funding specific activities is new to the market. This </w:t>
      </w:r>
      <w:r w:rsidR="007354E2">
        <w:rPr>
          <w:rFonts w:cstheme="minorHAnsi"/>
        </w:rPr>
        <w:t xml:space="preserve">can </w:t>
      </w:r>
      <w:r w:rsidRPr="00F730D3">
        <w:rPr>
          <w:rFonts w:cstheme="minorHAnsi"/>
        </w:rPr>
        <w:t xml:space="preserve">particularly be the case for designated sectors deemed government priorities such as </w:t>
      </w:r>
      <w:r w:rsidRPr="00607012">
        <w:rPr>
          <w:rFonts w:cstheme="minorHAnsi"/>
          <w:b/>
        </w:rPr>
        <w:t>Agriculture, Climate, Environmental Finance, Energy, Housing, Water, Education, Youth Empowerment</w:t>
      </w:r>
      <w:r w:rsidR="00C306DD">
        <w:rPr>
          <w:rFonts w:cstheme="minorHAnsi"/>
          <w:b/>
        </w:rPr>
        <w:t>,</w:t>
      </w:r>
      <w:r w:rsidRPr="00607012">
        <w:rPr>
          <w:rFonts w:cstheme="minorHAnsi"/>
          <w:b/>
        </w:rPr>
        <w:t xml:space="preserve"> </w:t>
      </w:r>
      <w:r w:rsidR="00EE78B4">
        <w:rPr>
          <w:rFonts w:cstheme="minorHAnsi"/>
          <w:b/>
        </w:rPr>
        <w:t xml:space="preserve">Micro, </w:t>
      </w:r>
      <w:r w:rsidR="00123368">
        <w:rPr>
          <w:rFonts w:cstheme="minorHAnsi"/>
          <w:b/>
        </w:rPr>
        <w:t xml:space="preserve">Small and </w:t>
      </w:r>
      <w:r w:rsidR="00C306DD">
        <w:rPr>
          <w:rFonts w:cstheme="minorHAnsi"/>
          <w:b/>
        </w:rPr>
        <w:t>Medium Ent</w:t>
      </w:r>
      <w:r w:rsidR="00123368">
        <w:rPr>
          <w:rFonts w:cstheme="minorHAnsi"/>
          <w:b/>
        </w:rPr>
        <w:t xml:space="preserve">erprises </w:t>
      </w:r>
      <w:r w:rsidR="00EE78B4">
        <w:rPr>
          <w:rFonts w:cstheme="minorHAnsi"/>
          <w:b/>
        </w:rPr>
        <w:t xml:space="preserve">(MSMEs) </w:t>
      </w:r>
      <w:r w:rsidRPr="00607012">
        <w:rPr>
          <w:rFonts w:cstheme="minorHAnsi"/>
          <w:b/>
        </w:rPr>
        <w:t>and Infrastructure</w:t>
      </w:r>
      <w:r w:rsidRPr="00F730D3">
        <w:rPr>
          <w:rFonts w:cstheme="minorHAnsi"/>
        </w:rPr>
        <w:t xml:space="preserve">. </w:t>
      </w:r>
      <w:r w:rsidR="00915879">
        <w:rPr>
          <w:rFonts w:cstheme="minorHAnsi"/>
        </w:rPr>
        <w:t>S</w:t>
      </w:r>
      <w:r w:rsidRPr="00F730D3">
        <w:rPr>
          <w:rFonts w:cstheme="minorHAnsi"/>
        </w:rPr>
        <w:t xml:space="preserve">ectoral diversification </w:t>
      </w:r>
      <w:r w:rsidR="000B139D">
        <w:rPr>
          <w:rFonts w:cstheme="minorHAnsi"/>
        </w:rPr>
        <w:t>may</w:t>
      </w:r>
      <w:r w:rsidRPr="00F730D3">
        <w:rPr>
          <w:rFonts w:cstheme="minorHAnsi"/>
        </w:rPr>
        <w:t xml:space="preserve"> reduce portfolio risk through diversification and have </w:t>
      </w:r>
      <w:r w:rsidR="000B139D">
        <w:rPr>
          <w:rFonts w:cstheme="minorHAnsi"/>
        </w:rPr>
        <w:t xml:space="preserve">an </w:t>
      </w:r>
      <w:r w:rsidRPr="00F730D3">
        <w:rPr>
          <w:rFonts w:cstheme="minorHAnsi"/>
        </w:rPr>
        <w:t>impact on most sectors of the economy. UNDP</w:t>
      </w:r>
      <w:r w:rsidR="004E0CEF">
        <w:rPr>
          <w:rFonts w:cstheme="minorHAnsi"/>
        </w:rPr>
        <w:t>-supported</w:t>
      </w:r>
      <w:r w:rsidRPr="00F730D3">
        <w:rPr>
          <w:rFonts w:cstheme="minorHAnsi"/>
        </w:rPr>
        <w:t xml:space="preserve"> guarantees </w:t>
      </w:r>
      <w:r w:rsidR="001C76D3">
        <w:rPr>
          <w:rFonts w:cstheme="minorHAnsi"/>
        </w:rPr>
        <w:t xml:space="preserve">may </w:t>
      </w:r>
      <w:r w:rsidRPr="00F730D3">
        <w:rPr>
          <w:rFonts w:cstheme="minorHAnsi"/>
        </w:rPr>
        <w:t>also help create markets by providing liquidity for lending activities in sectors or populations not presently well supported by the financial sector.</w:t>
      </w:r>
      <w:r w:rsidR="000210DF">
        <w:rPr>
          <w:rFonts w:cstheme="minorHAnsi"/>
        </w:rPr>
        <w:t xml:space="preserve"> </w:t>
      </w:r>
      <w:r w:rsidR="00732466">
        <w:rPr>
          <w:rFonts w:cstheme="minorHAnsi"/>
        </w:rPr>
        <w:t xml:space="preserve">The </w:t>
      </w:r>
      <w:r w:rsidR="0087662D">
        <w:rPr>
          <w:rFonts w:cstheme="minorHAnsi"/>
        </w:rPr>
        <w:t xml:space="preserve">UNDP-supported </w:t>
      </w:r>
      <w:r w:rsidR="00732466">
        <w:rPr>
          <w:rFonts w:cstheme="minorHAnsi"/>
        </w:rPr>
        <w:t>g</w:t>
      </w:r>
      <w:r w:rsidR="004D55E3" w:rsidRPr="00732466">
        <w:t xml:space="preserve">uarantee </w:t>
      </w:r>
      <w:r w:rsidR="00600C1A" w:rsidRPr="00732466">
        <w:t xml:space="preserve">scheme </w:t>
      </w:r>
      <w:r w:rsidR="00732466">
        <w:t xml:space="preserve">should be correctly designed </w:t>
      </w:r>
      <w:r w:rsidR="00600C1A" w:rsidRPr="00732466">
        <w:t>so that</w:t>
      </w:r>
      <w:r w:rsidR="00C23072" w:rsidRPr="00732466">
        <w:t xml:space="preserve"> </w:t>
      </w:r>
      <w:r w:rsidR="0077313D" w:rsidRPr="00732466">
        <w:t>the underserved sectors can</w:t>
      </w:r>
      <w:r w:rsidR="00543AEF">
        <w:t xml:space="preserve"> continue to</w:t>
      </w:r>
      <w:r w:rsidR="0077313D" w:rsidRPr="00732466">
        <w:t xml:space="preserve"> have access to credit even after the completion of </w:t>
      </w:r>
      <w:r w:rsidR="00543AEF">
        <w:t xml:space="preserve">the guarantee </w:t>
      </w:r>
      <w:r w:rsidR="0077313D" w:rsidRPr="00732466">
        <w:t>intervention</w:t>
      </w:r>
      <w:r w:rsidR="00543AEF">
        <w:t>.</w:t>
      </w:r>
      <w:r w:rsidR="00080E00">
        <w:t xml:space="preserve"> Lenders may</w:t>
      </w:r>
      <w:r w:rsidR="00B87567">
        <w:t xml:space="preserve"> </w:t>
      </w:r>
      <w:r w:rsidR="00732466">
        <w:t xml:space="preserve">be </w:t>
      </w:r>
      <w:r w:rsidR="00670E56">
        <w:t xml:space="preserve">more </w:t>
      </w:r>
      <w:r w:rsidR="00732466">
        <w:t xml:space="preserve">willing to </w:t>
      </w:r>
      <w:r w:rsidR="00B87567">
        <w:t>utilize</w:t>
      </w:r>
      <w:r w:rsidR="00732466">
        <w:t xml:space="preserve"> guarantees if th</w:t>
      </w:r>
      <w:r w:rsidR="00FF4CF0">
        <w:t>e</w:t>
      </w:r>
      <w:r w:rsidR="00732466">
        <w:t xml:space="preserve"> intervention </w:t>
      </w:r>
      <w:r w:rsidR="00FF4CF0">
        <w:t>is</w:t>
      </w:r>
      <w:r w:rsidR="00732466">
        <w:t xml:space="preserve"> likely to open up new markets or if they were targeted at markets </w:t>
      </w:r>
      <w:r w:rsidR="00B87567">
        <w:t xml:space="preserve">that </w:t>
      </w:r>
      <w:r w:rsidR="00FF4CF0">
        <w:t>could be</w:t>
      </w:r>
      <w:r w:rsidR="00732466">
        <w:t xml:space="preserve"> made</w:t>
      </w:r>
      <w:r w:rsidR="00FF4CF0">
        <w:t xml:space="preserve"> more</w:t>
      </w:r>
      <w:r w:rsidR="00732466">
        <w:t xml:space="preserve"> viable by</w:t>
      </w:r>
      <w:r w:rsidR="00B87567">
        <w:t xml:space="preserve"> use of</w:t>
      </w:r>
      <w:r w:rsidR="00732466">
        <w:t xml:space="preserve"> other stakeholder interventions.</w:t>
      </w:r>
    </w:p>
    <w:p w14:paraId="4A31DBE3" w14:textId="77777777" w:rsidR="00FC6D59" w:rsidRDefault="00FC6D59" w:rsidP="00FC6D59">
      <w:pPr>
        <w:pStyle w:val="ListParagraph"/>
        <w:spacing w:after="0" w:line="276" w:lineRule="auto"/>
        <w:ind w:left="907"/>
        <w:contextualSpacing w:val="0"/>
        <w:jc w:val="both"/>
        <w:rPr>
          <w:rFonts w:cstheme="minorHAnsi"/>
          <w:b/>
        </w:rPr>
      </w:pPr>
    </w:p>
    <w:p w14:paraId="75CD5E51" w14:textId="7285B348" w:rsidR="00472842" w:rsidRPr="00011F9B" w:rsidRDefault="00451DD6" w:rsidP="002C05BB">
      <w:pPr>
        <w:pStyle w:val="Heading2"/>
        <w:numPr>
          <w:ilvl w:val="0"/>
          <w:numId w:val="19"/>
        </w:numPr>
        <w:spacing w:before="0" w:after="160"/>
        <w:ind w:left="540" w:hanging="720"/>
        <w:jc w:val="both"/>
        <w:rPr>
          <w:rFonts w:cstheme="minorHAnsi"/>
          <w:b/>
          <w:color w:val="000000" w:themeColor="text1"/>
          <w:sz w:val="24"/>
          <w:szCs w:val="24"/>
        </w:rPr>
      </w:pPr>
      <w:bookmarkStart w:id="31" w:name="_Partner_withEngagement_of"/>
      <w:bookmarkStart w:id="32" w:name="_Toc2339903"/>
      <w:bookmarkStart w:id="33" w:name="_Toc121313763"/>
      <w:bookmarkEnd w:id="31"/>
      <w:r>
        <w:rPr>
          <w:rFonts w:cstheme="minorHAnsi"/>
          <w:b/>
          <w:color w:val="000000" w:themeColor="text1"/>
          <w:sz w:val="24"/>
          <w:szCs w:val="24"/>
        </w:rPr>
        <w:t>Engagement of</w:t>
      </w:r>
      <w:r w:rsidR="00FC3D07" w:rsidRPr="00011F9B">
        <w:rPr>
          <w:rFonts w:cstheme="minorHAnsi"/>
          <w:b/>
          <w:color w:val="000000" w:themeColor="text1"/>
          <w:sz w:val="24"/>
          <w:szCs w:val="24"/>
        </w:rPr>
        <w:t xml:space="preserve"> reputable financial institutions (“Guarantee </w:t>
      </w:r>
      <w:r w:rsidR="00FC3D07">
        <w:rPr>
          <w:rFonts w:cstheme="minorHAnsi"/>
          <w:b/>
          <w:color w:val="000000" w:themeColor="text1"/>
          <w:sz w:val="24"/>
          <w:szCs w:val="24"/>
        </w:rPr>
        <w:t>Issuers</w:t>
      </w:r>
      <w:r w:rsidR="00FC3D07" w:rsidRPr="00011F9B">
        <w:rPr>
          <w:rFonts w:cstheme="minorHAnsi"/>
          <w:b/>
          <w:color w:val="000000" w:themeColor="text1"/>
          <w:sz w:val="24"/>
          <w:szCs w:val="24"/>
        </w:rPr>
        <w:t xml:space="preserve">”) </w:t>
      </w:r>
      <w:r w:rsidR="006B1AE8">
        <w:rPr>
          <w:rFonts w:cstheme="minorHAnsi"/>
          <w:b/>
          <w:color w:val="000000" w:themeColor="text1"/>
          <w:sz w:val="24"/>
          <w:szCs w:val="24"/>
        </w:rPr>
        <w:t>to</w:t>
      </w:r>
      <w:r w:rsidR="00FC3D07" w:rsidRPr="00011F9B">
        <w:rPr>
          <w:rFonts w:cstheme="minorHAnsi"/>
          <w:b/>
          <w:color w:val="000000" w:themeColor="text1"/>
          <w:sz w:val="24"/>
          <w:szCs w:val="24"/>
        </w:rPr>
        <w:t xml:space="preserve"> issu</w:t>
      </w:r>
      <w:r w:rsidR="006B1AE8">
        <w:rPr>
          <w:rFonts w:cstheme="minorHAnsi"/>
          <w:b/>
          <w:color w:val="000000" w:themeColor="text1"/>
          <w:sz w:val="24"/>
          <w:szCs w:val="24"/>
        </w:rPr>
        <w:t>e</w:t>
      </w:r>
      <w:r w:rsidR="00FC3D07" w:rsidRPr="00011F9B">
        <w:rPr>
          <w:rFonts w:cstheme="minorHAnsi"/>
          <w:b/>
          <w:color w:val="000000" w:themeColor="text1"/>
          <w:sz w:val="24"/>
          <w:szCs w:val="24"/>
        </w:rPr>
        <w:t xml:space="preserve"> guarantees.</w:t>
      </w:r>
      <w:bookmarkEnd w:id="32"/>
      <w:bookmarkEnd w:id="33"/>
      <w:r w:rsidR="00472842" w:rsidRPr="0091667C">
        <w:rPr>
          <w:rFonts w:cstheme="minorHAnsi"/>
          <w:b/>
          <w:color w:val="000000" w:themeColor="text1"/>
          <w:sz w:val="24"/>
          <w:szCs w:val="24"/>
        </w:rPr>
        <w:t xml:space="preserve"> </w:t>
      </w:r>
    </w:p>
    <w:p w14:paraId="62A834DF" w14:textId="3D6107F2" w:rsidR="00472842" w:rsidRDefault="00F9474B" w:rsidP="00ED7D61">
      <w:pPr>
        <w:pStyle w:val="ListParagraph"/>
        <w:spacing w:line="276" w:lineRule="auto"/>
        <w:ind w:left="547"/>
        <w:jc w:val="both"/>
        <w:rPr>
          <w:rFonts w:cstheme="minorHAnsi"/>
          <w:color w:val="000000" w:themeColor="text1"/>
          <w:lang w:val="en-GB"/>
        </w:rPr>
      </w:pPr>
      <w:r w:rsidRPr="00F9474B">
        <w:rPr>
          <w:rFonts w:cstheme="minorHAnsi"/>
          <w:color w:val="000000" w:themeColor="text1"/>
          <w:lang w:val="en-GB"/>
        </w:rPr>
        <w:t xml:space="preserve">UNDP </w:t>
      </w:r>
      <w:r w:rsidR="00E71C1C" w:rsidRPr="00E71C1C">
        <w:rPr>
          <w:rFonts w:cstheme="minorHAnsi"/>
          <w:color w:val="000000" w:themeColor="text1"/>
          <w:lang w:val="en-GB"/>
        </w:rPr>
        <w:t>does not have a credit rating</w:t>
      </w:r>
      <w:r w:rsidR="00E71C1C">
        <w:rPr>
          <w:rFonts w:cstheme="minorHAnsi"/>
          <w:color w:val="000000" w:themeColor="text1"/>
          <w:lang w:val="en-GB"/>
        </w:rPr>
        <w:t xml:space="preserve"> and </w:t>
      </w:r>
      <w:r w:rsidR="00506A78" w:rsidRPr="002A0725">
        <w:rPr>
          <w:rFonts w:cstheme="minorHAnsi"/>
          <w:color w:val="000000" w:themeColor="text1"/>
          <w:lang w:val="en-GB"/>
        </w:rPr>
        <w:t xml:space="preserve">will not issue guarantees to the lender itself. Rather, it will engage </w:t>
      </w:r>
      <w:r w:rsidRPr="00F9474B">
        <w:rPr>
          <w:rFonts w:cstheme="minorHAnsi"/>
          <w:color w:val="000000" w:themeColor="text1"/>
          <w:lang w:val="en-GB"/>
        </w:rPr>
        <w:t xml:space="preserve">reputable financial institutions (such as </w:t>
      </w:r>
      <w:r w:rsidR="0003547D">
        <w:rPr>
          <w:rFonts w:cstheme="minorHAnsi"/>
          <w:color w:val="000000" w:themeColor="text1"/>
          <w:lang w:val="en-GB"/>
        </w:rPr>
        <w:t xml:space="preserve">commercial or development </w:t>
      </w:r>
      <w:r w:rsidRPr="00F9474B">
        <w:rPr>
          <w:rFonts w:cstheme="minorHAnsi"/>
          <w:color w:val="000000" w:themeColor="text1"/>
          <w:lang w:val="en-GB"/>
        </w:rPr>
        <w:t>banks</w:t>
      </w:r>
      <w:r w:rsidR="0087662D">
        <w:rPr>
          <w:rFonts w:cstheme="minorHAnsi"/>
          <w:color w:val="000000" w:themeColor="text1"/>
          <w:lang w:val="en-GB"/>
        </w:rPr>
        <w:t>, EIF</w:t>
      </w:r>
      <w:r w:rsidRPr="00F9474B">
        <w:rPr>
          <w:rFonts w:cstheme="minorHAnsi"/>
          <w:color w:val="000000" w:themeColor="text1"/>
          <w:lang w:val="en-GB"/>
        </w:rPr>
        <w:t xml:space="preserve"> etc.)</w:t>
      </w:r>
      <w:r w:rsidR="00727494">
        <w:rPr>
          <w:rFonts w:cstheme="minorHAnsi"/>
          <w:color w:val="000000" w:themeColor="text1"/>
          <w:lang w:val="en-GB"/>
        </w:rPr>
        <w:t xml:space="preserve"> </w:t>
      </w:r>
      <w:r w:rsidR="0087662D">
        <w:rPr>
          <w:rFonts w:cstheme="minorHAnsi"/>
          <w:color w:val="000000" w:themeColor="text1"/>
          <w:lang w:val="en-GB"/>
        </w:rPr>
        <w:t xml:space="preserve">or UNCDF, to be </w:t>
      </w:r>
      <w:r w:rsidR="00727494">
        <w:rPr>
          <w:rFonts w:cstheme="minorHAnsi"/>
          <w:color w:val="000000" w:themeColor="text1"/>
          <w:lang w:val="en-GB"/>
        </w:rPr>
        <w:t xml:space="preserve">determined by </w:t>
      </w:r>
      <w:r w:rsidR="005F7877">
        <w:rPr>
          <w:rFonts w:cstheme="minorHAnsi"/>
          <w:color w:val="000000" w:themeColor="text1"/>
          <w:lang w:val="en-GB"/>
        </w:rPr>
        <w:t xml:space="preserve">selection criteria (detailed later in </w:t>
      </w:r>
      <w:hyperlink w:anchor="_Partnering_with_and/or" w:history="1">
        <w:r w:rsidR="005F7877" w:rsidRPr="00595169">
          <w:rPr>
            <w:rStyle w:val="Hyperlink"/>
            <w:rFonts w:cstheme="minorHAnsi"/>
            <w:lang w:val="en-GB"/>
          </w:rPr>
          <w:t>Section 4.</w:t>
        </w:r>
        <w:r w:rsidR="00AF5E37">
          <w:rPr>
            <w:rStyle w:val="Hyperlink"/>
            <w:rFonts w:cstheme="minorHAnsi"/>
            <w:lang w:val="en-GB"/>
          </w:rPr>
          <w:t>9</w:t>
        </w:r>
        <w:r w:rsidR="00595169" w:rsidRPr="00595169">
          <w:rPr>
            <w:rStyle w:val="Hyperlink"/>
            <w:rFonts w:cstheme="minorHAnsi"/>
            <w:lang w:val="en-GB"/>
          </w:rPr>
          <w:t>c</w:t>
        </w:r>
      </w:hyperlink>
      <w:r w:rsidR="005F7877">
        <w:rPr>
          <w:rFonts w:cstheme="minorHAnsi"/>
          <w:color w:val="000000" w:themeColor="text1"/>
          <w:lang w:val="en-GB"/>
        </w:rPr>
        <w:t xml:space="preserve">) </w:t>
      </w:r>
      <w:r w:rsidR="003C0B27" w:rsidRPr="002A0725">
        <w:rPr>
          <w:rFonts w:cstheme="minorHAnsi"/>
          <w:color w:val="000000" w:themeColor="text1"/>
          <w:lang w:val="en-GB"/>
        </w:rPr>
        <w:t xml:space="preserve">to </w:t>
      </w:r>
      <w:r w:rsidR="00F972B1" w:rsidRPr="002A0725">
        <w:rPr>
          <w:rFonts w:cstheme="minorHAnsi"/>
          <w:color w:val="000000" w:themeColor="text1"/>
          <w:lang w:val="en-GB"/>
        </w:rPr>
        <w:t>provide a guarantee to the lender, which will be supported by UNDP’s funding received from funding partner(s)</w:t>
      </w:r>
      <w:r w:rsidRPr="00F9474B">
        <w:rPr>
          <w:rFonts w:cstheme="minorHAnsi"/>
          <w:color w:val="000000" w:themeColor="text1"/>
          <w:lang w:val="en-GB"/>
        </w:rPr>
        <w:t>.</w:t>
      </w:r>
      <w:r w:rsidR="004B33BB" w:rsidRPr="004B33BB">
        <w:rPr>
          <w:rFonts w:cstheme="minorHAnsi"/>
          <w:color w:val="000000" w:themeColor="text1"/>
          <w:lang w:val="en-GB"/>
        </w:rPr>
        <w:t xml:space="preserve"> </w:t>
      </w:r>
      <w:r w:rsidR="005346E3" w:rsidRPr="00ED7D61">
        <w:rPr>
          <w:rFonts w:cstheme="minorHAnsi"/>
          <w:color w:val="000000" w:themeColor="text1"/>
          <w:lang w:val="en-GB"/>
        </w:rPr>
        <w:t>For ease of reference, financial institutions that issue and manage UNDP</w:t>
      </w:r>
      <w:r w:rsidR="008C0A79">
        <w:rPr>
          <w:rFonts w:cstheme="minorHAnsi"/>
          <w:color w:val="000000" w:themeColor="text1"/>
          <w:lang w:val="en-GB"/>
        </w:rPr>
        <w:t>-supported</w:t>
      </w:r>
      <w:r w:rsidR="005346E3" w:rsidRPr="00ED7D61">
        <w:rPr>
          <w:rFonts w:cstheme="minorHAnsi"/>
          <w:color w:val="000000" w:themeColor="text1"/>
          <w:lang w:val="en-GB"/>
        </w:rPr>
        <w:t xml:space="preserve"> guarantees </w:t>
      </w:r>
      <w:r w:rsidR="001F64B0">
        <w:rPr>
          <w:rFonts w:cstheme="minorHAnsi"/>
          <w:color w:val="000000" w:themeColor="text1"/>
          <w:lang w:val="en-GB"/>
        </w:rPr>
        <w:t xml:space="preserve">are </w:t>
      </w:r>
      <w:r w:rsidR="005346E3" w:rsidRPr="00ED7D61">
        <w:rPr>
          <w:rFonts w:cstheme="minorHAnsi"/>
          <w:color w:val="000000" w:themeColor="text1"/>
          <w:lang w:val="en-GB"/>
        </w:rPr>
        <w:t xml:space="preserve">referred to as “Guarantee Issuers” in </w:t>
      </w:r>
      <w:r w:rsidR="001F64B0" w:rsidRPr="00ED7D61">
        <w:rPr>
          <w:rFonts w:cstheme="minorHAnsi"/>
          <w:color w:val="000000" w:themeColor="text1"/>
          <w:lang w:val="en-GB"/>
        </w:rPr>
        <w:t>th</w:t>
      </w:r>
      <w:r w:rsidR="001F64B0">
        <w:rPr>
          <w:rFonts w:cstheme="minorHAnsi"/>
          <w:color w:val="000000" w:themeColor="text1"/>
          <w:lang w:val="en-GB"/>
        </w:rPr>
        <w:t>e</w:t>
      </w:r>
      <w:r w:rsidR="001F64B0" w:rsidRPr="00ED7D61">
        <w:rPr>
          <w:rFonts w:cstheme="minorHAnsi"/>
          <w:color w:val="000000" w:themeColor="text1"/>
          <w:lang w:val="en-GB"/>
        </w:rPr>
        <w:t xml:space="preserve"> </w:t>
      </w:r>
      <w:r w:rsidR="002D2A72">
        <w:rPr>
          <w:color w:val="000000" w:themeColor="text1"/>
          <w:lang w:val="en-GB"/>
        </w:rPr>
        <w:t>UNDP</w:t>
      </w:r>
      <w:r w:rsidR="0087662D">
        <w:rPr>
          <w:color w:val="000000" w:themeColor="text1"/>
          <w:lang w:val="en-GB"/>
        </w:rPr>
        <w:t xml:space="preserve">-supported </w:t>
      </w:r>
      <w:r w:rsidR="002D2A72">
        <w:rPr>
          <w:color w:val="000000" w:themeColor="text1"/>
          <w:lang w:val="en-GB"/>
        </w:rPr>
        <w:t xml:space="preserve">Guarantees </w:t>
      </w:r>
      <w:r w:rsidR="001F64B0">
        <w:rPr>
          <w:color w:val="000000" w:themeColor="text1"/>
          <w:lang w:val="en-GB"/>
        </w:rPr>
        <w:t xml:space="preserve">Policy </w:t>
      </w:r>
      <w:r w:rsidR="005346E3" w:rsidRPr="00ED7D61">
        <w:rPr>
          <w:rFonts w:cstheme="minorHAnsi"/>
          <w:color w:val="000000" w:themeColor="text1"/>
          <w:lang w:val="en-GB"/>
        </w:rPr>
        <w:t xml:space="preserve">and </w:t>
      </w:r>
      <w:r w:rsidR="001F64B0">
        <w:rPr>
          <w:rFonts w:cstheme="minorHAnsi"/>
          <w:color w:val="000000" w:themeColor="text1"/>
          <w:lang w:val="en-GB"/>
        </w:rPr>
        <w:t xml:space="preserve">this </w:t>
      </w:r>
      <w:r w:rsidR="005346E3" w:rsidRPr="00ED7D61">
        <w:rPr>
          <w:rFonts w:cstheme="minorHAnsi"/>
          <w:color w:val="000000" w:themeColor="text1"/>
          <w:lang w:val="en-GB"/>
        </w:rPr>
        <w:t xml:space="preserve">Operational Manual. </w:t>
      </w:r>
      <w:r w:rsidR="00406FBF" w:rsidRPr="00ED7D61">
        <w:rPr>
          <w:rFonts w:cstheme="minorHAnsi"/>
          <w:color w:val="000000" w:themeColor="text1"/>
          <w:lang w:val="en-GB"/>
        </w:rPr>
        <w:t xml:space="preserve">Under </w:t>
      </w:r>
      <w:r w:rsidR="005346E3" w:rsidRPr="00ED7D61">
        <w:rPr>
          <w:rFonts w:cstheme="minorHAnsi"/>
          <w:color w:val="000000" w:themeColor="text1"/>
          <w:lang w:val="en-GB"/>
        </w:rPr>
        <w:t>this arrangement</w:t>
      </w:r>
      <w:r w:rsidR="00406FBF" w:rsidRPr="00ED7D61">
        <w:rPr>
          <w:rFonts w:cstheme="minorHAnsi"/>
          <w:color w:val="000000" w:themeColor="text1"/>
          <w:lang w:val="en-GB"/>
        </w:rPr>
        <w:t xml:space="preserve"> (see Figure 1)</w:t>
      </w:r>
      <w:r w:rsidR="005346E3" w:rsidRPr="00ED7D61">
        <w:rPr>
          <w:rFonts w:cstheme="minorHAnsi"/>
          <w:color w:val="000000" w:themeColor="text1"/>
          <w:lang w:val="en-GB"/>
        </w:rPr>
        <w:t xml:space="preserve">, </w:t>
      </w:r>
      <w:r w:rsidR="00406FBF" w:rsidRPr="00ED7D61">
        <w:rPr>
          <w:rFonts w:cstheme="minorHAnsi"/>
          <w:color w:val="000000" w:themeColor="text1"/>
          <w:lang w:val="en-GB"/>
        </w:rPr>
        <w:t>the Guarantee Issuer will issue guarantees</w:t>
      </w:r>
      <w:r w:rsidR="00B52831">
        <w:rPr>
          <w:rFonts w:cstheme="minorHAnsi"/>
          <w:color w:val="000000" w:themeColor="text1"/>
          <w:lang w:val="en-GB"/>
        </w:rPr>
        <w:t>,</w:t>
      </w:r>
      <w:r w:rsidR="00406FBF" w:rsidRPr="00ED7D61">
        <w:rPr>
          <w:rFonts w:cstheme="minorHAnsi"/>
          <w:color w:val="000000" w:themeColor="text1"/>
          <w:lang w:val="en-GB"/>
        </w:rPr>
        <w:t xml:space="preserve"> </w:t>
      </w:r>
      <w:r w:rsidR="00B52831">
        <w:rPr>
          <w:rFonts w:cstheme="minorHAnsi"/>
          <w:color w:val="000000" w:themeColor="text1"/>
          <w:lang w:val="en-GB"/>
        </w:rPr>
        <w:t>upon</w:t>
      </w:r>
      <w:r w:rsidR="00406FBF" w:rsidRPr="00ED7D61">
        <w:rPr>
          <w:rFonts w:cstheme="minorHAnsi"/>
          <w:color w:val="000000" w:themeColor="text1"/>
          <w:lang w:val="en-GB"/>
        </w:rPr>
        <w:t xml:space="preserve"> UNDP</w:t>
      </w:r>
      <w:r w:rsidR="00B52831">
        <w:rPr>
          <w:rFonts w:cstheme="minorHAnsi"/>
          <w:color w:val="000000" w:themeColor="text1"/>
          <w:lang w:val="en-GB"/>
        </w:rPr>
        <w:t>’s request,</w:t>
      </w:r>
      <w:r w:rsidR="00406FBF" w:rsidRPr="00ED7D61">
        <w:rPr>
          <w:rFonts w:cstheme="minorHAnsi"/>
          <w:color w:val="000000" w:themeColor="text1"/>
          <w:lang w:val="en-GB"/>
        </w:rPr>
        <w:t xml:space="preserve"> to lenders who are operating a lending </w:t>
      </w:r>
      <w:r w:rsidR="00D11BD7">
        <w:rPr>
          <w:rFonts w:cstheme="minorHAnsi"/>
          <w:color w:val="000000" w:themeColor="text1"/>
          <w:lang w:val="en-GB"/>
        </w:rPr>
        <w:t>scheme</w:t>
      </w:r>
      <w:r w:rsidR="00406FBF" w:rsidRPr="00ED7D61">
        <w:rPr>
          <w:rFonts w:cstheme="minorHAnsi"/>
          <w:color w:val="000000" w:themeColor="text1"/>
          <w:lang w:val="en-GB"/>
        </w:rPr>
        <w:t>. F</w:t>
      </w:r>
      <w:r w:rsidR="004B33BB" w:rsidRPr="00ED7D61">
        <w:rPr>
          <w:rFonts w:cstheme="minorHAnsi"/>
          <w:color w:val="000000" w:themeColor="text1"/>
          <w:lang w:val="en-GB"/>
        </w:rPr>
        <w:t xml:space="preserve">unds for the </w:t>
      </w:r>
      <w:r w:rsidR="0087662D">
        <w:rPr>
          <w:rFonts w:cstheme="minorHAnsi"/>
          <w:color w:val="000000" w:themeColor="text1"/>
          <w:lang w:val="en-GB"/>
        </w:rPr>
        <w:t xml:space="preserve">UNDP-supported </w:t>
      </w:r>
      <w:r w:rsidR="004B33BB" w:rsidRPr="00ED7D61">
        <w:rPr>
          <w:rFonts w:cstheme="minorHAnsi"/>
          <w:color w:val="000000" w:themeColor="text1"/>
          <w:lang w:val="en-GB"/>
        </w:rPr>
        <w:t xml:space="preserve">guarantee </w:t>
      </w:r>
      <w:r w:rsidR="00406FBF" w:rsidRPr="00ED7D61">
        <w:rPr>
          <w:rFonts w:cstheme="minorHAnsi"/>
          <w:color w:val="000000" w:themeColor="text1"/>
          <w:lang w:val="en-GB"/>
        </w:rPr>
        <w:t xml:space="preserve">are held in </w:t>
      </w:r>
      <w:r w:rsidR="004B33BB" w:rsidRPr="00ED7D61">
        <w:rPr>
          <w:rFonts w:cstheme="minorHAnsi"/>
          <w:color w:val="000000" w:themeColor="text1"/>
          <w:lang w:val="en-GB"/>
        </w:rPr>
        <w:t>a</w:t>
      </w:r>
      <w:r w:rsidR="00451818">
        <w:rPr>
          <w:rFonts w:cstheme="minorHAnsi"/>
          <w:color w:val="000000" w:themeColor="text1"/>
          <w:lang w:val="en-GB"/>
        </w:rPr>
        <w:t>n</w:t>
      </w:r>
      <w:r w:rsidR="00406FBF" w:rsidRPr="00ED7D61">
        <w:rPr>
          <w:rFonts w:cstheme="minorHAnsi"/>
          <w:color w:val="000000" w:themeColor="text1"/>
          <w:lang w:val="en-GB"/>
        </w:rPr>
        <w:t xml:space="preserve"> </w:t>
      </w:r>
      <w:r w:rsidR="004B33BB" w:rsidRPr="00ED7D61">
        <w:rPr>
          <w:rFonts w:cstheme="minorHAnsi"/>
          <w:color w:val="000000" w:themeColor="text1"/>
          <w:lang w:val="en-GB"/>
        </w:rPr>
        <w:t>escrow account with the Guarantee Issuer</w:t>
      </w:r>
      <w:r w:rsidR="00406FBF" w:rsidRPr="00ED7D61">
        <w:rPr>
          <w:rFonts w:cstheme="minorHAnsi"/>
          <w:color w:val="000000" w:themeColor="text1"/>
          <w:lang w:val="en-GB"/>
        </w:rPr>
        <w:t xml:space="preserve">, who only </w:t>
      </w:r>
      <w:r w:rsidR="004B33BB" w:rsidRPr="00ED7D61">
        <w:rPr>
          <w:rFonts w:cstheme="minorHAnsi"/>
          <w:color w:val="000000" w:themeColor="text1"/>
          <w:lang w:val="en-GB"/>
        </w:rPr>
        <w:t xml:space="preserve">disburses funds </w:t>
      </w:r>
      <w:r w:rsidR="00406FBF" w:rsidRPr="00ED7D61">
        <w:rPr>
          <w:rFonts w:cstheme="minorHAnsi"/>
          <w:color w:val="000000" w:themeColor="text1"/>
          <w:lang w:val="en-GB"/>
        </w:rPr>
        <w:t xml:space="preserve">to lenders </w:t>
      </w:r>
      <w:r w:rsidR="004B33BB" w:rsidRPr="00ED7D61">
        <w:rPr>
          <w:rFonts w:cstheme="minorHAnsi"/>
          <w:color w:val="000000" w:themeColor="text1"/>
          <w:lang w:val="en-GB"/>
        </w:rPr>
        <w:t xml:space="preserve">once the guarantee claims </w:t>
      </w:r>
      <w:r w:rsidR="00406FBF" w:rsidRPr="00ED7D61">
        <w:rPr>
          <w:rFonts w:cstheme="minorHAnsi"/>
          <w:color w:val="000000" w:themeColor="text1"/>
          <w:lang w:val="en-GB"/>
        </w:rPr>
        <w:t xml:space="preserve">(if any) </w:t>
      </w:r>
      <w:r w:rsidR="004B33BB" w:rsidRPr="00ED7D61">
        <w:rPr>
          <w:rFonts w:cstheme="minorHAnsi"/>
          <w:color w:val="000000" w:themeColor="text1"/>
          <w:lang w:val="en-GB"/>
        </w:rPr>
        <w:t xml:space="preserve">are approved. </w:t>
      </w:r>
      <w:r w:rsidR="009746CA" w:rsidRPr="00ED7D61">
        <w:rPr>
          <w:rFonts w:cstheme="minorHAnsi"/>
          <w:color w:val="000000" w:themeColor="text1"/>
          <w:lang w:val="en-GB"/>
        </w:rPr>
        <w:t xml:space="preserve">Please see </w:t>
      </w:r>
      <w:hyperlink w:anchor="_Partnering_with_financial" w:history="1">
        <w:r w:rsidR="002719FB" w:rsidRPr="00727494">
          <w:rPr>
            <w:rStyle w:val="Hyperlink"/>
            <w:rFonts w:cstheme="minorHAnsi"/>
            <w:lang w:val="en-GB"/>
          </w:rPr>
          <w:t>Section 4.9</w:t>
        </w:r>
      </w:hyperlink>
      <w:r w:rsidR="009746CA" w:rsidRPr="00ED7D61">
        <w:rPr>
          <w:rFonts w:cstheme="minorHAnsi"/>
          <w:color w:val="000000" w:themeColor="text1"/>
          <w:lang w:val="en-GB"/>
        </w:rPr>
        <w:t xml:space="preserve"> and </w:t>
      </w:r>
      <w:hyperlink w:anchor="_Partnering_with_UNCDF" w:history="1">
        <w:r w:rsidR="009746CA" w:rsidRPr="00727494">
          <w:rPr>
            <w:rStyle w:val="Hyperlink"/>
            <w:rFonts w:cstheme="minorHAnsi"/>
            <w:lang w:val="en-GB"/>
          </w:rPr>
          <w:t>Section 4.</w:t>
        </w:r>
        <w:r w:rsidR="002719FB" w:rsidRPr="00727494">
          <w:rPr>
            <w:rStyle w:val="Hyperlink"/>
            <w:rFonts w:cstheme="minorHAnsi"/>
            <w:lang w:val="en-GB"/>
          </w:rPr>
          <w:t>10</w:t>
        </w:r>
      </w:hyperlink>
      <w:r w:rsidR="009746CA" w:rsidRPr="00ED7D61">
        <w:rPr>
          <w:rFonts w:cstheme="minorHAnsi"/>
          <w:color w:val="000000" w:themeColor="text1"/>
          <w:lang w:val="en-GB"/>
        </w:rPr>
        <w:t xml:space="preserve"> for more information</w:t>
      </w:r>
      <w:r w:rsidR="004B33BB" w:rsidRPr="00ED7D61">
        <w:rPr>
          <w:rFonts w:cstheme="minorHAnsi"/>
          <w:color w:val="000000" w:themeColor="text1"/>
          <w:lang w:val="en-GB"/>
        </w:rPr>
        <w:t>.</w:t>
      </w:r>
      <w:r w:rsidR="00696278">
        <w:rPr>
          <w:rFonts w:cstheme="minorHAnsi"/>
          <w:color w:val="000000" w:themeColor="text1"/>
          <w:lang w:val="en-GB"/>
        </w:rPr>
        <w:t xml:space="preserve"> </w:t>
      </w:r>
    </w:p>
    <w:p w14:paraId="6A013B22" w14:textId="77777777" w:rsidR="00300645" w:rsidRPr="00ED7D61" w:rsidRDefault="00300645" w:rsidP="00ED7D61">
      <w:pPr>
        <w:pStyle w:val="ListParagraph"/>
        <w:spacing w:line="276" w:lineRule="auto"/>
        <w:ind w:left="547"/>
        <w:jc w:val="both"/>
        <w:rPr>
          <w:rFonts w:cstheme="minorHAnsi"/>
          <w:color w:val="000000" w:themeColor="text1"/>
        </w:rPr>
      </w:pPr>
    </w:p>
    <w:p w14:paraId="4C466550" w14:textId="6EDA9DF3" w:rsidR="005346E3" w:rsidRPr="005346E3" w:rsidRDefault="005346E3" w:rsidP="009746CA">
      <w:pPr>
        <w:pStyle w:val="ListParagraph"/>
        <w:keepNext/>
        <w:spacing w:line="276" w:lineRule="auto"/>
        <w:ind w:left="547"/>
        <w:contextualSpacing w:val="0"/>
        <w:jc w:val="both"/>
        <w:rPr>
          <w:rFonts w:cstheme="minorHAnsi"/>
          <w:b/>
          <w:color w:val="000000" w:themeColor="text1"/>
          <w:u w:val="single"/>
          <w:lang w:val="en-GB"/>
        </w:rPr>
      </w:pPr>
      <w:r w:rsidRPr="005346E3">
        <w:rPr>
          <w:rFonts w:cstheme="minorHAnsi"/>
          <w:b/>
          <w:color w:val="000000" w:themeColor="text1"/>
          <w:u w:val="single"/>
          <w:lang w:val="en-GB"/>
        </w:rPr>
        <w:lastRenderedPageBreak/>
        <w:t>Figure 1</w:t>
      </w:r>
      <w:r>
        <w:rPr>
          <w:rFonts w:cstheme="minorHAnsi"/>
          <w:b/>
          <w:color w:val="000000" w:themeColor="text1"/>
          <w:u w:val="single"/>
          <w:lang w:val="en-GB"/>
        </w:rPr>
        <w:t>: Issuance of UNDP</w:t>
      </w:r>
      <w:r w:rsidR="008C0A79">
        <w:rPr>
          <w:rFonts w:cstheme="minorHAnsi"/>
          <w:b/>
          <w:color w:val="000000" w:themeColor="text1"/>
          <w:u w:val="single"/>
          <w:lang w:val="en-GB"/>
        </w:rPr>
        <w:t>-Supported</w:t>
      </w:r>
      <w:r>
        <w:rPr>
          <w:rFonts w:cstheme="minorHAnsi"/>
          <w:b/>
          <w:color w:val="000000" w:themeColor="text1"/>
          <w:u w:val="single"/>
          <w:lang w:val="en-GB"/>
        </w:rPr>
        <w:t xml:space="preserve"> Guarantees</w:t>
      </w:r>
    </w:p>
    <w:p w14:paraId="43A97F5C" w14:textId="3891A032" w:rsidR="005346E3" w:rsidRPr="00472842" w:rsidRDefault="000573D5" w:rsidP="004B33BB">
      <w:pPr>
        <w:pStyle w:val="ListParagraph"/>
        <w:spacing w:line="276" w:lineRule="auto"/>
        <w:ind w:left="547"/>
        <w:contextualSpacing w:val="0"/>
        <w:jc w:val="both"/>
        <w:rPr>
          <w:rFonts w:cstheme="minorHAnsi"/>
          <w:color w:val="000000" w:themeColor="text1"/>
          <w:lang w:val="en-GB"/>
        </w:rPr>
      </w:pPr>
      <w:r w:rsidRPr="000573D5">
        <w:rPr>
          <w:noProof/>
        </w:rPr>
        <w:drawing>
          <wp:inline distT="0" distB="0" distL="0" distR="0" wp14:anchorId="5C6BE66B" wp14:editId="38E044E9">
            <wp:extent cx="5943600" cy="4286885"/>
            <wp:effectExtent l="19050" t="19050" r="19050" b="184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86885"/>
                    </a:xfrm>
                    <a:prstGeom prst="rect">
                      <a:avLst/>
                    </a:prstGeom>
                    <a:noFill/>
                    <a:ln>
                      <a:solidFill>
                        <a:schemeClr val="accent1"/>
                      </a:solidFill>
                    </a:ln>
                  </pic:spPr>
                </pic:pic>
              </a:graphicData>
            </a:graphic>
          </wp:inline>
        </w:drawing>
      </w:r>
    </w:p>
    <w:p w14:paraId="5887C955" w14:textId="0FC04D88" w:rsidR="007969B4" w:rsidRPr="00CD0345" w:rsidRDefault="007969B4" w:rsidP="00500666">
      <w:pPr>
        <w:pStyle w:val="Heading2"/>
        <w:numPr>
          <w:ilvl w:val="0"/>
          <w:numId w:val="19"/>
        </w:numPr>
        <w:spacing w:before="360" w:after="160"/>
        <w:ind w:left="533" w:hanging="720"/>
        <w:rPr>
          <w:rFonts w:cstheme="minorHAnsi"/>
          <w:b/>
        </w:rPr>
      </w:pPr>
      <w:bookmarkStart w:id="34" w:name="_Eligible_lenders_and"/>
      <w:bookmarkStart w:id="35" w:name="_Eligible_lenders/investors_and"/>
      <w:bookmarkStart w:id="36" w:name="_Toc2339904"/>
      <w:bookmarkStart w:id="37" w:name="_Toc121313764"/>
      <w:bookmarkEnd w:id="34"/>
      <w:bookmarkEnd w:id="35"/>
      <w:r w:rsidRPr="0091667C">
        <w:rPr>
          <w:rFonts w:cstheme="minorHAnsi"/>
          <w:b/>
          <w:color w:val="000000" w:themeColor="text1"/>
          <w:sz w:val="24"/>
          <w:szCs w:val="24"/>
        </w:rPr>
        <w:t>Eligible lenders</w:t>
      </w:r>
      <w:r w:rsidR="00495095" w:rsidRPr="0091667C">
        <w:rPr>
          <w:rFonts w:cstheme="minorHAnsi"/>
          <w:b/>
          <w:color w:val="000000" w:themeColor="text1"/>
          <w:sz w:val="24"/>
          <w:szCs w:val="24"/>
        </w:rPr>
        <w:t xml:space="preserve"> </w:t>
      </w:r>
      <w:r w:rsidR="0086347D">
        <w:rPr>
          <w:rFonts w:cstheme="minorHAnsi"/>
          <w:b/>
          <w:color w:val="000000" w:themeColor="text1"/>
          <w:sz w:val="24"/>
          <w:szCs w:val="24"/>
        </w:rPr>
        <w:t xml:space="preserve">and borrowers </w:t>
      </w:r>
      <w:r w:rsidR="00495095" w:rsidRPr="0091667C">
        <w:rPr>
          <w:rFonts w:cstheme="minorHAnsi"/>
          <w:b/>
          <w:color w:val="000000" w:themeColor="text1"/>
          <w:sz w:val="24"/>
          <w:szCs w:val="24"/>
        </w:rPr>
        <w:t>for UNDP</w:t>
      </w:r>
      <w:r w:rsidR="007F0E75">
        <w:rPr>
          <w:rFonts w:cstheme="minorHAnsi"/>
          <w:b/>
          <w:color w:val="000000" w:themeColor="text1"/>
          <w:sz w:val="24"/>
          <w:szCs w:val="24"/>
        </w:rPr>
        <w:t>-supported</w:t>
      </w:r>
      <w:r w:rsidR="00495095" w:rsidRPr="0091667C">
        <w:rPr>
          <w:rFonts w:cstheme="minorHAnsi"/>
          <w:b/>
          <w:color w:val="000000" w:themeColor="text1"/>
          <w:sz w:val="24"/>
          <w:szCs w:val="24"/>
        </w:rPr>
        <w:t xml:space="preserve"> </w:t>
      </w:r>
      <w:r w:rsidR="00223934" w:rsidRPr="0091667C">
        <w:rPr>
          <w:rFonts w:cstheme="minorHAnsi"/>
          <w:b/>
          <w:color w:val="000000" w:themeColor="text1"/>
          <w:sz w:val="24"/>
          <w:szCs w:val="24"/>
        </w:rPr>
        <w:t>g</w:t>
      </w:r>
      <w:r w:rsidR="00495095" w:rsidRPr="0091667C">
        <w:rPr>
          <w:rFonts w:cstheme="minorHAnsi"/>
          <w:b/>
          <w:color w:val="000000" w:themeColor="text1"/>
          <w:sz w:val="24"/>
          <w:szCs w:val="24"/>
        </w:rPr>
        <w:t>uarantees</w:t>
      </w:r>
      <w:r w:rsidRPr="0091667C">
        <w:rPr>
          <w:rFonts w:cstheme="minorHAnsi"/>
          <w:b/>
          <w:color w:val="000000" w:themeColor="text1"/>
          <w:sz w:val="24"/>
          <w:szCs w:val="24"/>
        </w:rPr>
        <w:t>.</w:t>
      </w:r>
      <w:bookmarkEnd w:id="36"/>
      <w:bookmarkEnd w:id="37"/>
      <w:r w:rsidRPr="0091667C">
        <w:rPr>
          <w:rFonts w:cstheme="minorHAnsi"/>
          <w:b/>
          <w:color w:val="000000" w:themeColor="text1"/>
          <w:sz w:val="24"/>
          <w:szCs w:val="24"/>
        </w:rPr>
        <w:t xml:space="preserve"> </w:t>
      </w:r>
    </w:p>
    <w:p w14:paraId="6C43A4B5" w14:textId="108191F2" w:rsidR="00917A49" w:rsidRDefault="00EA77BE" w:rsidP="0091667C">
      <w:pPr>
        <w:pStyle w:val="ListParagraph"/>
        <w:spacing w:after="0" w:line="276" w:lineRule="auto"/>
        <w:ind w:left="540"/>
        <w:contextualSpacing w:val="0"/>
        <w:jc w:val="both"/>
        <w:rPr>
          <w:rFonts w:cstheme="minorHAnsi"/>
          <w:color w:val="000000" w:themeColor="text1"/>
          <w:lang w:val="en-GB"/>
        </w:rPr>
      </w:pPr>
      <w:r>
        <w:rPr>
          <w:rFonts w:cstheme="minorHAnsi"/>
          <w:color w:val="000000" w:themeColor="text1"/>
          <w:lang w:val="en-GB"/>
        </w:rPr>
        <w:t>T</w:t>
      </w:r>
      <w:r w:rsidR="007969B4">
        <w:rPr>
          <w:rFonts w:cstheme="minorHAnsi"/>
        </w:rPr>
        <w:t xml:space="preserve">he </w:t>
      </w:r>
      <w:r w:rsidR="007969B4">
        <w:rPr>
          <w:rFonts w:cstheme="minorHAnsi"/>
          <w:color w:val="000000" w:themeColor="text1"/>
          <w:lang w:val="en-GB"/>
        </w:rPr>
        <w:t xml:space="preserve">creditworthiness of borrowers and lenders </w:t>
      </w:r>
      <w:r>
        <w:rPr>
          <w:rFonts w:cstheme="minorHAnsi"/>
          <w:color w:val="000000" w:themeColor="text1"/>
          <w:lang w:val="en-GB"/>
        </w:rPr>
        <w:t xml:space="preserve">is essential to the design of a sound </w:t>
      </w:r>
      <w:r w:rsidR="00F95DE7">
        <w:rPr>
          <w:rFonts w:cstheme="minorHAnsi"/>
          <w:color w:val="000000" w:themeColor="text1"/>
          <w:lang w:val="en-GB"/>
        </w:rPr>
        <w:t>guarantee scheme</w:t>
      </w:r>
      <w:r w:rsidR="0071709E">
        <w:rPr>
          <w:rFonts w:cstheme="minorHAnsi"/>
          <w:color w:val="000000" w:themeColor="text1"/>
          <w:lang w:val="en-GB"/>
        </w:rPr>
        <w:t xml:space="preserve">. In </w:t>
      </w:r>
      <w:r w:rsidR="00581E8E">
        <w:rPr>
          <w:rFonts w:cstheme="minorHAnsi"/>
          <w:color w:val="000000" w:themeColor="text1"/>
          <w:lang w:val="en-GB"/>
        </w:rPr>
        <w:t>determining</w:t>
      </w:r>
      <w:r w:rsidR="0071709E">
        <w:rPr>
          <w:rFonts w:cstheme="minorHAnsi"/>
          <w:color w:val="000000" w:themeColor="text1"/>
          <w:lang w:val="en-GB"/>
        </w:rPr>
        <w:t xml:space="preserve"> </w:t>
      </w:r>
      <w:r w:rsidR="0071709E" w:rsidRPr="00C2404E">
        <w:rPr>
          <w:rFonts w:cstheme="minorHAnsi"/>
          <w:color w:val="000000" w:themeColor="text1"/>
          <w:lang w:val="en-GB"/>
        </w:rPr>
        <w:t>the</w:t>
      </w:r>
      <w:bookmarkStart w:id="38" w:name="_Hlk860721"/>
      <w:r w:rsidR="00C2404E" w:rsidRPr="00B85A72">
        <w:rPr>
          <w:rFonts w:cstheme="minorHAnsi"/>
          <w:color w:val="000000" w:themeColor="text1"/>
          <w:lang w:val="en-GB"/>
        </w:rPr>
        <w:t xml:space="preserve">ir </w:t>
      </w:r>
      <w:r w:rsidR="00581E8E" w:rsidRPr="00B85A72">
        <w:rPr>
          <w:rFonts w:cstheme="minorHAnsi"/>
          <w:color w:val="000000" w:themeColor="text1"/>
          <w:lang w:val="en-GB"/>
        </w:rPr>
        <w:t>eligibility</w:t>
      </w:r>
      <w:r w:rsidR="00581E8E">
        <w:rPr>
          <w:rFonts w:cstheme="minorHAnsi"/>
          <w:color w:val="000000" w:themeColor="text1"/>
          <w:lang w:val="en-GB"/>
        </w:rPr>
        <w:t xml:space="preserve">, the following </w:t>
      </w:r>
      <w:r w:rsidR="00C57A3D">
        <w:rPr>
          <w:rFonts w:cstheme="minorHAnsi"/>
          <w:color w:val="000000" w:themeColor="text1"/>
          <w:lang w:val="en-GB"/>
        </w:rPr>
        <w:t>must</w:t>
      </w:r>
      <w:r w:rsidR="00581E8E">
        <w:rPr>
          <w:rFonts w:cstheme="minorHAnsi"/>
          <w:color w:val="000000" w:themeColor="text1"/>
          <w:lang w:val="en-GB"/>
        </w:rPr>
        <w:t xml:space="preserve"> be considered</w:t>
      </w:r>
      <w:bookmarkEnd w:id="38"/>
      <w:r>
        <w:rPr>
          <w:rFonts w:cstheme="minorHAnsi"/>
          <w:color w:val="000000" w:themeColor="text1"/>
          <w:lang w:val="en-GB"/>
        </w:rPr>
        <w:t>:</w:t>
      </w:r>
      <w:r w:rsidR="007969B4">
        <w:rPr>
          <w:rFonts w:cstheme="minorHAnsi"/>
          <w:color w:val="000000" w:themeColor="text1"/>
          <w:lang w:val="en-GB"/>
        </w:rPr>
        <w:t xml:space="preserve"> </w:t>
      </w:r>
    </w:p>
    <w:p w14:paraId="7A12A3FE" w14:textId="77777777" w:rsidR="00581E8E" w:rsidRDefault="00581E8E" w:rsidP="0091667C">
      <w:pPr>
        <w:pStyle w:val="ListParagraph"/>
        <w:spacing w:after="0" w:line="276" w:lineRule="auto"/>
        <w:ind w:left="540"/>
        <w:contextualSpacing w:val="0"/>
        <w:jc w:val="both"/>
        <w:rPr>
          <w:rFonts w:cstheme="minorHAnsi"/>
          <w:color w:val="000000" w:themeColor="text1"/>
          <w:lang w:val="en-GB"/>
        </w:rPr>
      </w:pPr>
    </w:p>
    <w:p w14:paraId="382A4B5F" w14:textId="45C010FE" w:rsidR="00900E67" w:rsidRPr="0086347D" w:rsidRDefault="00900E67" w:rsidP="004700D5">
      <w:pPr>
        <w:pStyle w:val="ListParagraph"/>
        <w:numPr>
          <w:ilvl w:val="0"/>
          <w:numId w:val="21"/>
        </w:numPr>
        <w:spacing w:after="0" w:line="276" w:lineRule="auto"/>
        <w:ind w:left="1080"/>
        <w:contextualSpacing w:val="0"/>
        <w:jc w:val="both"/>
        <w:rPr>
          <w:rFonts w:cstheme="minorHAnsi"/>
          <w:b/>
          <w:color w:val="000000" w:themeColor="text1"/>
          <w:lang w:val="en-GB"/>
        </w:rPr>
      </w:pPr>
      <w:r>
        <w:rPr>
          <w:rFonts w:cstheme="minorHAnsi"/>
          <w:b/>
          <w:color w:val="000000" w:themeColor="text1"/>
          <w:lang w:val="en-GB"/>
        </w:rPr>
        <w:t>Eligible l</w:t>
      </w:r>
      <w:r w:rsidRPr="0086347D">
        <w:rPr>
          <w:rFonts w:cstheme="minorHAnsi"/>
          <w:b/>
          <w:color w:val="000000" w:themeColor="text1"/>
          <w:lang w:val="en-GB"/>
        </w:rPr>
        <w:t>enders</w:t>
      </w:r>
      <w:r>
        <w:rPr>
          <w:rFonts w:cstheme="minorHAnsi"/>
          <w:b/>
          <w:color w:val="000000" w:themeColor="text1"/>
          <w:lang w:val="en-GB"/>
        </w:rPr>
        <w:t>:</w:t>
      </w:r>
      <w:r w:rsidRPr="0086347D">
        <w:rPr>
          <w:rFonts w:cstheme="minorHAnsi"/>
          <w:b/>
          <w:color w:val="000000" w:themeColor="text1"/>
          <w:lang w:val="en-GB"/>
        </w:rPr>
        <w:t xml:space="preserve"> </w:t>
      </w:r>
    </w:p>
    <w:p w14:paraId="499A5E58" w14:textId="1A6763BC" w:rsidR="00FA4B7B" w:rsidRDefault="007969B4" w:rsidP="004700D5">
      <w:pPr>
        <w:pStyle w:val="ListParagraph"/>
        <w:numPr>
          <w:ilvl w:val="0"/>
          <w:numId w:val="17"/>
        </w:numPr>
        <w:spacing w:after="60" w:line="276" w:lineRule="auto"/>
        <w:contextualSpacing w:val="0"/>
        <w:jc w:val="both"/>
        <w:rPr>
          <w:rFonts w:cstheme="minorHAnsi"/>
          <w:color w:val="000000" w:themeColor="text1"/>
          <w:lang w:val="en-GB"/>
        </w:rPr>
      </w:pPr>
      <w:r>
        <w:rPr>
          <w:rFonts w:cstheme="minorHAnsi"/>
          <w:color w:val="000000" w:themeColor="text1"/>
          <w:lang w:val="en-GB"/>
        </w:rPr>
        <w:t xml:space="preserve">Eligibility of lenders will be assessed </w:t>
      </w:r>
      <w:r w:rsidR="00F65FF4">
        <w:rPr>
          <w:rFonts w:cstheme="minorHAnsi"/>
          <w:color w:val="000000" w:themeColor="text1"/>
          <w:lang w:val="en-GB"/>
        </w:rPr>
        <w:t xml:space="preserve">firstly by UNDP, using its own due diligence policies, but also </w:t>
      </w:r>
      <w:r>
        <w:rPr>
          <w:rFonts w:cstheme="minorHAnsi"/>
          <w:color w:val="000000" w:themeColor="text1"/>
          <w:lang w:val="en-GB"/>
        </w:rPr>
        <w:t xml:space="preserve">by the </w:t>
      </w:r>
      <w:r w:rsidR="007126BC">
        <w:rPr>
          <w:rFonts w:cstheme="minorHAnsi"/>
          <w:color w:val="000000" w:themeColor="text1"/>
          <w:lang w:val="en-GB"/>
        </w:rPr>
        <w:t>Guarantee Issuer</w:t>
      </w:r>
      <w:r>
        <w:rPr>
          <w:rFonts w:cstheme="minorHAnsi"/>
          <w:color w:val="000000" w:themeColor="text1"/>
          <w:lang w:val="en-GB"/>
        </w:rPr>
        <w:t xml:space="preserve"> using</w:t>
      </w:r>
      <w:r w:rsidR="005B74C9">
        <w:rPr>
          <w:rFonts w:cstheme="minorHAnsi"/>
          <w:color w:val="000000" w:themeColor="text1"/>
          <w:lang w:val="en-GB"/>
        </w:rPr>
        <w:t xml:space="preserve"> </w:t>
      </w:r>
      <w:r w:rsidR="00254851">
        <w:rPr>
          <w:rFonts w:cstheme="minorHAnsi"/>
          <w:color w:val="000000" w:themeColor="text1"/>
          <w:lang w:val="en-GB"/>
        </w:rPr>
        <w:t xml:space="preserve">industry standard </w:t>
      </w:r>
      <w:r w:rsidR="00690CAE">
        <w:rPr>
          <w:rFonts w:cstheme="minorHAnsi"/>
          <w:color w:val="000000" w:themeColor="text1"/>
          <w:lang w:val="en-GB"/>
        </w:rPr>
        <w:t xml:space="preserve">norms for </w:t>
      </w:r>
      <w:r w:rsidR="00254851">
        <w:rPr>
          <w:rFonts w:cstheme="minorHAnsi"/>
          <w:color w:val="000000" w:themeColor="text1"/>
          <w:lang w:val="en-GB"/>
        </w:rPr>
        <w:t xml:space="preserve">credit </w:t>
      </w:r>
      <w:r w:rsidR="00690CAE">
        <w:rPr>
          <w:rFonts w:cstheme="minorHAnsi"/>
          <w:color w:val="000000" w:themeColor="text1"/>
          <w:lang w:val="en-GB"/>
        </w:rPr>
        <w:t>assessment</w:t>
      </w:r>
      <w:r w:rsidR="0087662D">
        <w:rPr>
          <w:rFonts w:cstheme="minorHAnsi"/>
          <w:color w:val="000000" w:themeColor="text1"/>
          <w:lang w:val="en-GB"/>
        </w:rPr>
        <w:t>,</w:t>
      </w:r>
      <w:r w:rsidR="00690CAE">
        <w:rPr>
          <w:rFonts w:cstheme="minorHAnsi"/>
          <w:color w:val="000000" w:themeColor="text1"/>
          <w:lang w:val="en-GB"/>
        </w:rPr>
        <w:t xml:space="preserve"> </w:t>
      </w:r>
      <w:r w:rsidR="00675472">
        <w:rPr>
          <w:rFonts w:cstheme="minorHAnsi"/>
          <w:color w:val="000000" w:themeColor="text1"/>
          <w:lang w:val="en-GB"/>
        </w:rPr>
        <w:t xml:space="preserve">as well as any </w:t>
      </w:r>
      <w:r w:rsidR="00587B59">
        <w:rPr>
          <w:rFonts w:cstheme="minorHAnsi"/>
          <w:color w:val="000000" w:themeColor="text1"/>
          <w:lang w:val="en-GB"/>
        </w:rPr>
        <w:t>addition</w:t>
      </w:r>
      <w:r w:rsidR="00675472">
        <w:rPr>
          <w:rFonts w:cstheme="minorHAnsi"/>
          <w:color w:val="000000" w:themeColor="text1"/>
          <w:lang w:val="en-GB"/>
        </w:rPr>
        <w:t>al</w:t>
      </w:r>
      <w:r w:rsidR="00587B59">
        <w:rPr>
          <w:rFonts w:cstheme="minorHAnsi"/>
          <w:color w:val="000000" w:themeColor="text1"/>
          <w:lang w:val="en-GB"/>
        </w:rPr>
        <w:t xml:space="preserve"> </w:t>
      </w:r>
      <w:r w:rsidR="00675472">
        <w:rPr>
          <w:rFonts w:cstheme="minorHAnsi"/>
          <w:color w:val="000000" w:themeColor="text1"/>
          <w:lang w:val="en-GB"/>
        </w:rPr>
        <w:t xml:space="preserve">requirements requested by </w:t>
      </w:r>
      <w:r w:rsidR="00890B49">
        <w:rPr>
          <w:rFonts w:cstheme="minorHAnsi"/>
          <w:color w:val="000000" w:themeColor="text1"/>
          <w:lang w:val="en-GB"/>
        </w:rPr>
        <w:t>UNDP</w:t>
      </w:r>
      <w:r w:rsidR="00675472">
        <w:rPr>
          <w:rFonts w:cstheme="minorHAnsi"/>
          <w:color w:val="000000" w:themeColor="text1"/>
          <w:lang w:val="en-GB"/>
        </w:rPr>
        <w:t xml:space="preserve"> </w:t>
      </w:r>
      <w:r w:rsidR="00683F6F">
        <w:rPr>
          <w:rFonts w:cstheme="minorHAnsi"/>
          <w:color w:val="000000" w:themeColor="text1"/>
          <w:lang w:val="en-GB"/>
        </w:rPr>
        <w:t xml:space="preserve">that are </w:t>
      </w:r>
      <w:r w:rsidR="00890B49">
        <w:rPr>
          <w:rFonts w:cstheme="minorHAnsi"/>
          <w:color w:val="000000" w:themeColor="text1"/>
          <w:lang w:val="en-GB"/>
        </w:rPr>
        <w:t xml:space="preserve">specific </w:t>
      </w:r>
      <w:r w:rsidR="00675472">
        <w:rPr>
          <w:rFonts w:cstheme="minorHAnsi"/>
          <w:color w:val="000000" w:themeColor="text1"/>
          <w:lang w:val="en-GB"/>
        </w:rPr>
        <w:t xml:space="preserve">to the </w:t>
      </w:r>
      <w:r w:rsidR="00F95DE7">
        <w:rPr>
          <w:rFonts w:cstheme="minorHAnsi"/>
          <w:color w:val="000000" w:themeColor="text1"/>
          <w:lang w:val="en-GB"/>
        </w:rPr>
        <w:t>scheme</w:t>
      </w:r>
      <w:r>
        <w:rPr>
          <w:rFonts w:cstheme="minorHAnsi"/>
          <w:color w:val="000000" w:themeColor="text1"/>
          <w:lang w:val="en-GB"/>
        </w:rPr>
        <w:t xml:space="preserve"> </w:t>
      </w:r>
      <w:r w:rsidR="00890B49">
        <w:rPr>
          <w:rFonts w:cstheme="minorHAnsi"/>
          <w:color w:val="000000" w:themeColor="text1"/>
          <w:lang w:val="en-GB"/>
        </w:rPr>
        <w:t xml:space="preserve">(to be shared as part of the </w:t>
      </w:r>
      <w:r w:rsidR="007126BC">
        <w:rPr>
          <w:rFonts w:cstheme="minorHAnsi"/>
          <w:color w:val="000000" w:themeColor="text1"/>
          <w:lang w:val="en-GB"/>
        </w:rPr>
        <w:t>Guarantee Issuer</w:t>
      </w:r>
      <w:r w:rsidR="00890B49">
        <w:rPr>
          <w:rFonts w:cstheme="minorHAnsi"/>
          <w:color w:val="000000" w:themeColor="text1"/>
          <w:lang w:val="en-GB"/>
        </w:rPr>
        <w:t xml:space="preserve"> agreement)</w:t>
      </w:r>
      <w:r>
        <w:rPr>
          <w:rFonts w:cstheme="minorHAnsi"/>
          <w:color w:val="000000" w:themeColor="text1"/>
          <w:lang w:val="en-GB"/>
        </w:rPr>
        <w:t xml:space="preserve">. </w:t>
      </w:r>
      <w:r w:rsidR="00473B12">
        <w:rPr>
          <w:rFonts w:cstheme="minorHAnsi"/>
          <w:color w:val="000000" w:themeColor="text1"/>
          <w:lang w:val="en-GB"/>
        </w:rPr>
        <w:t>The lending operations of the lender</w:t>
      </w:r>
      <w:r w:rsidR="00DE548A">
        <w:rPr>
          <w:rFonts w:cstheme="minorHAnsi"/>
          <w:color w:val="000000" w:themeColor="text1"/>
          <w:lang w:val="en-GB"/>
        </w:rPr>
        <w:t>s</w:t>
      </w:r>
      <w:r w:rsidR="00473B12">
        <w:rPr>
          <w:rFonts w:cstheme="minorHAnsi"/>
          <w:color w:val="000000" w:themeColor="text1"/>
          <w:lang w:val="en-GB"/>
        </w:rPr>
        <w:t xml:space="preserve"> </w:t>
      </w:r>
      <w:r w:rsidR="00473B12">
        <w:rPr>
          <w:lang w:val="en-GB"/>
        </w:rPr>
        <w:t xml:space="preserve">must be </w:t>
      </w:r>
      <w:r w:rsidR="00473B12" w:rsidRPr="0058334E">
        <w:rPr>
          <w:lang w:val="en-GB"/>
        </w:rPr>
        <w:t>consistent with Good Practices for Lending</w:t>
      </w:r>
      <w:r w:rsidR="00473B12">
        <w:rPr>
          <w:lang w:val="en-GB"/>
        </w:rPr>
        <w:t xml:space="preserve"> as </w:t>
      </w:r>
      <w:r w:rsidR="00473B12" w:rsidRPr="00473B12">
        <w:rPr>
          <w:lang w:val="en-GB"/>
        </w:rPr>
        <w:t xml:space="preserve">set forth in </w:t>
      </w:r>
      <w:hyperlink w:anchor="_Annex_2:_Good" w:history="1">
        <w:r w:rsidR="00473B12" w:rsidRPr="00F215CB">
          <w:rPr>
            <w:rStyle w:val="Hyperlink"/>
            <w:lang w:val="en-GB"/>
          </w:rPr>
          <w:t>Annex 3</w:t>
        </w:r>
      </w:hyperlink>
      <w:r w:rsidR="00473B12" w:rsidRPr="00473B12">
        <w:rPr>
          <w:lang w:val="en-GB"/>
        </w:rPr>
        <w:t>.</w:t>
      </w:r>
    </w:p>
    <w:p w14:paraId="42221FD9" w14:textId="4055FCB8" w:rsidR="005B74C9" w:rsidRDefault="00FD1AAE" w:rsidP="004700D5">
      <w:pPr>
        <w:pStyle w:val="ListParagraph"/>
        <w:numPr>
          <w:ilvl w:val="0"/>
          <w:numId w:val="17"/>
        </w:numPr>
        <w:spacing w:after="60" w:line="276" w:lineRule="auto"/>
        <w:contextualSpacing w:val="0"/>
        <w:jc w:val="both"/>
        <w:rPr>
          <w:rFonts w:cstheme="minorHAnsi"/>
          <w:color w:val="000000" w:themeColor="text1"/>
          <w:lang w:val="en-GB"/>
        </w:rPr>
      </w:pPr>
      <w:r>
        <w:rPr>
          <w:rFonts w:cstheme="minorHAnsi"/>
          <w:color w:val="000000" w:themeColor="text1"/>
          <w:lang w:val="en-GB"/>
        </w:rPr>
        <w:t>Specific criteria to assess the capability of lenders</w:t>
      </w:r>
      <w:r w:rsidR="007969B4">
        <w:rPr>
          <w:rFonts w:cstheme="minorHAnsi"/>
          <w:color w:val="000000" w:themeColor="text1"/>
          <w:lang w:val="en-GB"/>
        </w:rPr>
        <w:t xml:space="preserve"> </w:t>
      </w:r>
      <w:r w:rsidR="00DF6617">
        <w:rPr>
          <w:rFonts w:cstheme="minorHAnsi"/>
          <w:color w:val="000000" w:themeColor="text1"/>
          <w:lang w:val="en-GB"/>
        </w:rPr>
        <w:t xml:space="preserve">may </w:t>
      </w:r>
      <w:r w:rsidR="007969B4">
        <w:rPr>
          <w:rFonts w:cstheme="minorHAnsi"/>
          <w:color w:val="000000" w:themeColor="text1"/>
          <w:lang w:val="en-GB"/>
        </w:rPr>
        <w:t>include a review of</w:t>
      </w:r>
      <w:r w:rsidR="005B74C9">
        <w:rPr>
          <w:rFonts w:cstheme="minorHAnsi"/>
          <w:color w:val="000000" w:themeColor="text1"/>
          <w:lang w:val="en-GB"/>
        </w:rPr>
        <w:t xml:space="preserve"> its:</w:t>
      </w:r>
      <w:r w:rsidR="007969B4">
        <w:rPr>
          <w:rFonts w:cstheme="minorHAnsi"/>
          <w:color w:val="000000" w:themeColor="text1"/>
          <w:lang w:val="en-GB"/>
        </w:rPr>
        <w:t xml:space="preserve"> </w:t>
      </w:r>
    </w:p>
    <w:p w14:paraId="322CA56B" w14:textId="77777777" w:rsidR="005B74C9" w:rsidRDefault="005B74C9" w:rsidP="00C729E3">
      <w:pPr>
        <w:pStyle w:val="ListParagraph"/>
        <w:numPr>
          <w:ilvl w:val="0"/>
          <w:numId w:val="18"/>
        </w:numPr>
        <w:spacing w:after="60" w:line="276" w:lineRule="auto"/>
        <w:ind w:left="2160"/>
        <w:contextualSpacing w:val="0"/>
        <w:jc w:val="both"/>
        <w:rPr>
          <w:rFonts w:cstheme="minorHAnsi"/>
          <w:color w:val="000000" w:themeColor="text1"/>
          <w:lang w:val="en-GB"/>
        </w:rPr>
      </w:pPr>
      <w:r>
        <w:rPr>
          <w:rFonts w:cstheme="minorHAnsi"/>
          <w:color w:val="000000" w:themeColor="text1"/>
          <w:lang w:val="en-GB"/>
        </w:rPr>
        <w:lastRenderedPageBreak/>
        <w:t>Legal structure and governance</w:t>
      </w:r>
    </w:p>
    <w:p w14:paraId="75D2CEB0" w14:textId="77777777" w:rsidR="005B74C9" w:rsidRDefault="005B74C9" w:rsidP="00C729E3">
      <w:pPr>
        <w:pStyle w:val="ListParagraph"/>
        <w:numPr>
          <w:ilvl w:val="0"/>
          <w:numId w:val="18"/>
        </w:numPr>
        <w:spacing w:after="60" w:line="276" w:lineRule="auto"/>
        <w:ind w:left="2160"/>
        <w:contextualSpacing w:val="0"/>
        <w:jc w:val="both"/>
        <w:rPr>
          <w:rFonts w:cstheme="minorHAnsi"/>
          <w:color w:val="000000" w:themeColor="text1"/>
          <w:lang w:val="en-GB"/>
        </w:rPr>
      </w:pPr>
      <w:r>
        <w:rPr>
          <w:rFonts w:cstheme="minorHAnsi"/>
          <w:color w:val="000000" w:themeColor="text1"/>
          <w:lang w:val="en-GB"/>
        </w:rPr>
        <w:t>C</w:t>
      </w:r>
      <w:r w:rsidR="007969B4">
        <w:rPr>
          <w:rFonts w:cstheme="minorHAnsi"/>
          <w:color w:val="000000" w:themeColor="text1"/>
          <w:lang w:val="en-GB"/>
        </w:rPr>
        <w:t xml:space="preserve">lient and asset base </w:t>
      </w:r>
    </w:p>
    <w:p w14:paraId="33502774" w14:textId="3DCCF3AA" w:rsidR="005B74C9" w:rsidRDefault="005B74C9" w:rsidP="00C729E3">
      <w:pPr>
        <w:pStyle w:val="ListParagraph"/>
        <w:numPr>
          <w:ilvl w:val="0"/>
          <w:numId w:val="18"/>
        </w:numPr>
        <w:spacing w:after="60" w:line="276" w:lineRule="auto"/>
        <w:ind w:left="2160"/>
        <w:contextualSpacing w:val="0"/>
        <w:jc w:val="both"/>
        <w:rPr>
          <w:rFonts w:cstheme="minorHAnsi"/>
          <w:color w:val="000000" w:themeColor="text1"/>
          <w:lang w:val="en-GB"/>
        </w:rPr>
      </w:pPr>
      <w:r>
        <w:rPr>
          <w:rFonts w:cstheme="minorHAnsi"/>
          <w:color w:val="000000" w:themeColor="text1"/>
          <w:lang w:val="en-GB"/>
        </w:rPr>
        <w:t>P</w:t>
      </w:r>
      <w:r w:rsidR="007969B4">
        <w:rPr>
          <w:rFonts w:cstheme="minorHAnsi"/>
          <w:color w:val="000000" w:themeColor="text1"/>
          <w:lang w:val="en-GB"/>
        </w:rPr>
        <w:t xml:space="preserve">ast performance in credit management </w:t>
      </w:r>
    </w:p>
    <w:p w14:paraId="25066E2D" w14:textId="77777777" w:rsidR="005B74C9" w:rsidRDefault="005B74C9" w:rsidP="00C729E3">
      <w:pPr>
        <w:pStyle w:val="ListParagraph"/>
        <w:numPr>
          <w:ilvl w:val="0"/>
          <w:numId w:val="18"/>
        </w:numPr>
        <w:spacing w:after="60" w:line="276" w:lineRule="auto"/>
        <w:ind w:left="2160"/>
        <w:contextualSpacing w:val="0"/>
        <w:jc w:val="both"/>
        <w:rPr>
          <w:rFonts w:cstheme="minorHAnsi"/>
          <w:color w:val="000000" w:themeColor="text1"/>
          <w:lang w:val="en-GB"/>
        </w:rPr>
      </w:pPr>
      <w:r>
        <w:rPr>
          <w:rFonts w:cstheme="minorHAnsi"/>
          <w:color w:val="000000" w:themeColor="text1"/>
          <w:lang w:val="en-GB"/>
        </w:rPr>
        <w:t>Lending</w:t>
      </w:r>
      <w:r w:rsidR="00A30EFF">
        <w:rPr>
          <w:rFonts w:cstheme="minorHAnsi"/>
          <w:color w:val="000000" w:themeColor="text1"/>
          <w:lang w:val="en-GB"/>
        </w:rPr>
        <w:t>/</w:t>
      </w:r>
      <w:r w:rsidR="00BF4D79">
        <w:rPr>
          <w:rFonts w:cstheme="minorHAnsi"/>
          <w:color w:val="000000" w:themeColor="text1"/>
          <w:lang w:val="en-GB"/>
        </w:rPr>
        <w:t xml:space="preserve">contractual </w:t>
      </w:r>
      <w:r w:rsidR="00A30EFF">
        <w:rPr>
          <w:rFonts w:cstheme="minorHAnsi"/>
          <w:color w:val="000000" w:themeColor="text1"/>
          <w:lang w:val="en-GB"/>
        </w:rPr>
        <w:t>performance management</w:t>
      </w:r>
      <w:r>
        <w:rPr>
          <w:rFonts w:cstheme="minorHAnsi"/>
          <w:color w:val="000000" w:themeColor="text1"/>
          <w:lang w:val="en-GB"/>
        </w:rPr>
        <w:t xml:space="preserve"> policies and procedures</w:t>
      </w:r>
    </w:p>
    <w:p w14:paraId="02BD7072" w14:textId="77777777" w:rsidR="007969B4" w:rsidRDefault="005B74C9" w:rsidP="00C729E3">
      <w:pPr>
        <w:pStyle w:val="ListParagraph"/>
        <w:numPr>
          <w:ilvl w:val="0"/>
          <w:numId w:val="18"/>
        </w:numPr>
        <w:spacing w:after="60" w:line="276" w:lineRule="auto"/>
        <w:ind w:left="2160"/>
        <w:contextualSpacing w:val="0"/>
        <w:jc w:val="both"/>
        <w:rPr>
          <w:rFonts w:cstheme="minorHAnsi"/>
          <w:color w:val="000000" w:themeColor="text1"/>
          <w:lang w:val="en-GB"/>
        </w:rPr>
      </w:pPr>
      <w:r>
        <w:rPr>
          <w:rFonts w:cstheme="minorHAnsi"/>
          <w:color w:val="000000" w:themeColor="text1"/>
          <w:lang w:val="en-GB"/>
        </w:rPr>
        <w:t xml:space="preserve">Management structure and </w:t>
      </w:r>
      <w:r w:rsidR="007969B4">
        <w:rPr>
          <w:rFonts w:cstheme="minorHAnsi"/>
          <w:color w:val="000000" w:themeColor="text1"/>
          <w:lang w:val="en-GB"/>
        </w:rPr>
        <w:t>qualified personnel</w:t>
      </w:r>
    </w:p>
    <w:p w14:paraId="56E103C0" w14:textId="4E7AB591" w:rsidR="00AE0717" w:rsidRPr="00D74628" w:rsidRDefault="0087662D" w:rsidP="008F46C3">
      <w:pPr>
        <w:pStyle w:val="ListParagraph"/>
        <w:numPr>
          <w:ilvl w:val="0"/>
          <w:numId w:val="17"/>
        </w:numPr>
        <w:spacing w:after="60" w:line="276" w:lineRule="auto"/>
        <w:contextualSpacing w:val="0"/>
        <w:jc w:val="both"/>
        <w:rPr>
          <w:rFonts w:cstheme="minorHAnsi"/>
          <w:color w:val="000000" w:themeColor="text1"/>
          <w:lang w:val="en-GB"/>
        </w:rPr>
      </w:pPr>
      <w:r>
        <w:rPr>
          <w:rFonts w:cstheme="minorHAnsi"/>
        </w:rPr>
        <w:t xml:space="preserve">UNDP-supported </w:t>
      </w:r>
      <w:r w:rsidR="00707208">
        <w:rPr>
          <w:rFonts w:cstheme="minorHAnsi"/>
        </w:rPr>
        <w:t>guarantees</w:t>
      </w:r>
      <w:r w:rsidR="00707208" w:rsidRPr="00707208">
        <w:rPr>
          <w:rFonts w:cstheme="minorHAnsi"/>
        </w:rPr>
        <w:t xml:space="preserve"> </w:t>
      </w:r>
      <w:r>
        <w:rPr>
          <w:rFonts w:cstheme="minorHAnsi"/>
        </w:rPr>
        <w:t xml:space="preserve">can be provided </w:t>
      </w:r>
      <w:r w:rsidR="00707208" w:rsidRPr="00F44B72">
        <w:rPr>
          <w:rFonts w:cstheme="minorHAnsi"/>
        </w:rPr>
        <w:t>to</w:t>
      </w:r>
      <w:r w:rsidR="008F46C3">
        <w:rPr>
          <w:rFonts w:cstheme="minorHAnsi"/>
        </w:rPr>
        <w:t xml:space="preserve"> n</w:t>
      </w:r>
      <w:r w:rsidR="00707208" w:rsidRPr="00AE0717">
        <w:rPr>
          <w:rFonts w:cstheme="minorHAnsi"/>
        </w:rPr>
        <w:t>ational development banks and international and domestic private financial institutions with good standing (investment grade) for</w:t>
      </w:r>
      <w:r w:rsidR="00AE0717">
        <w:rPr>
          <w:rFonts w:cstheme="minorHAnsi"/>
        </w:rPr>
        <w:t>:</w:t>
      </w:r>
    </w:p>
    <w:p w14:paraId="4F2E390B" w14:textId="3A8CD334" w:rsidR="00707208" w:rsidRPr="00AE0717" w:rsidRDefault="00AE0717" w:rsidP="00D74628">
      <w:pPr>
        <w:pStyle w:val="ListParagraph"/>
        <w:numPr>
          <w:ilvl w:val="1"/>
          <w:numId w:val="17"/>
        </w:numPr>
        <w:spacing w:after="60" w:line="276" w:lineRule="auto"/>
        <w:contextualSpacing w:val="0"/>
        <w:jc w:val="both"/>
        <w:rPr>
          <w:rFonts w:cstheme="minorHAnsi"/>
          <w:color w:val="000000" w:themeColor="text1"/>
          <w:lang w:val="en-GB"/>
        </w:rPr>
      </w:pPr>
      <w:r>
        <w:rPr>
          <w:rFonts w:cstheme="minorHAnsi"/>
        </w:rPr>
        <w:t>L</w:t>
      </w:r>
      <w:r w:rsidR="00707208" w:rsidRPr="00AE0717">
        <w:rPr>
          <w:rFonts w:cstheme="minorHAnsi"/>
        </w:rPr>
        <w:t>ending to sub-national government entities, public entities operating on a commercial basis, and the private sector (incl. SMEs)</w:t>
      </w:r>
      <w:r w:rsidR="0049155A" w:rsidRPr="00AE0717">
        <w:rPr>
          <w:rFonts w:cstheme="minorHAnsi"/>
        </w:rPr>
        <w:t xml:space="preserve"> demonstrating strong financial discipline and management</w:t>
      </w:r>
      <w:r w:rsidR="00707208" w:rsidRPr="00AE0717">
        <w:rPr>
          <w:rFonts w:cstheme="minorHAnsi"/>
        </w:rPr>
        <w:t xml:space="preserve">; and </w:t>
      </w:r>
    </w:p>
    <w:p w14:paraId="3B4F2ED7" w14:textId="0F403A62" w:rsidR="00B24312" w:rsidRPr="00B24312" w:rsidRDefault="0085684E" w:rsidP="00860E1D">
      <w:pPr>
        <w:pStyle w:val="ListParagraph"/>
        <w:numPr>
          <w:ilvl w:val="1"/>
          <w:numId w:val="17"/>
        </w:numPr>
        <w:spacing w:after="60" w:line="276" w:lineRule="auto"/>
        <w:contextualSpacing w:val="0"/>
        <w:jc w:val="both"/>
        <w:rPr>
          <w:rFonts w:cstheme="minorHAnsi"/>
          <w:color w:val="000000" w:themeColor="text1"/>
          <w:lang w:val="en-GB"/>
        </w:rPr>
      </w:pPr>
      <w:r>
        <w:rPr>
          <w:rFonts w:cstheme="minorHAnsi"/>
        </w:rPr>
        <w:t>A</w:t>
      </w:r>
      <w:r w:rsidR="00860E1D" w:rsidRPr="00860E1D">
        <w:rPr>
          <w:rFonts w:cstheme="minorHAnsi"/>
        </w:rPr>
        <w:t xml:space="preserve"> portfolio of </w:t>
      </w:r>
      <w:r>
        <w:rPr>
          <w:rFonts w:cstheme="minorHAnsi"/>
        </w:rPr>
        <w:t xml:space="preserve">lending </w:t>
      </w:r>
      <w:r w:rsidR="00860E1D" w:rsidRPr="00860E1D">
        <w:rPr>
          <w:rFonts w:cstheme="minorHAnsi"/>
        </w:rPr>
        <w:t>(e.g. a bank’s credit facility for SMEs</w:t>
      </w:r>
      <w:r w:rsidR="00974E66">
        <w:rPr>
          <w:rFonts w:cstheme="minorHAnsi"/>
        </w:rPr>
        <w:t>,</w:t>
      </w:r>
      <w:r w:rsidR="00860E1D" w:rsidRPr="00860E1D">
        <w:rPr>
          <w:rFonts w:cstheme="minorHAnsi"/>
        </w:rPr>
        <w:t xml:space="preserve"> youth entrepreneurs</w:t>
      </w:r>
      <w:r w:rsidR="00B10656">
        <w:rPr>
          <w:rFonts w:cstheme="minorHAnsi"/>
        </w:rPr>
        <w:t>,</w:t>
      </w:r>
      <w:r w:rsidR="00974E66">
        <w:rPr>
          <w:rFonts w:cstheme="minorHAnsi"/>
        </w:rPr>
        <w:t xml:space="preserve"> </w:t>
      </w:r>
      <w:r w:rsidR="00B10656">
        <w:rPr>
          <w:rFonts w:cstheme="minorHAnsi"/>
        </w:rPr>
        <w:t>individuals</w:t>
      </w:r>
      <w:r w:rsidR="00175C12">
        <w:rPr>
          <w:rFonts w:cstheme="minorHAnsi"/>
        </w:rPr>
        <w:t>,</w:t>
      </w:r>
      <w:r w:rsidR="00B10656">
        <w:rPr>
          <w:rFonts w:cstheme="minorHAnsi"/>
        </w:rPr>
        <w:t xml:space="preserve"> etc.</w:t>
      </w:r>
      <w:r w:rsidR="00860E1D" w:rsidRPr="00860E1D">
        <w:rPr>
          <w:rFonts w:cstheme="minorHAnsi"/>
        </w:rPr>
        <w:t xml:space="preserve">) as </w:t>
      </w:r>
      <w:r w:rsidR="00B10656">
        <w:rPr>
          <w:rFonts w:cstheme="minorHAnsi"/>
        </w:rPr>
        <w:t xml:space="preserve">described in </w:t>
      </w:r>
      <w:hyperlink w:anchor="_Preferably_guarantee_a" w:history="1">
        <w:r w:rsidR="00B10656" w:rsidRPr="00B10656">
          <w:rPr>
            <w:rStyle w:val="Hyperlink"/>
            <w:rFonts w:cstheme="minorHAnsi"/>
          </w:rPr>
          <w:t>Section 2.9</w:t>
        </w:r>
      </w:hyperlink>
      <w:r w:rsidR="00860E1D" w:rsidRPr="00860E1D">
        <w:rPr>
          <w:rFonts w:cstheme="minorHAnsi"/>
        </w:rPr>
        <w:t xml:space="preserve">. </w:t>
      </w:r>
    </w:p>
    <w:p w14:paraId="67C4D1C2" w14:textId="77777777" w:rsidR="00707208" w:rsidRPr="00707208" w:rsidRDefault="00665337" w:rsidP="00B02472">
      <w:pPr>
        <w:pStyle w:val="ListParagraph"/>
        <w:numPr>
          <w:ilvl w:val="0"/>
          <w:numId w:val="17"/>
        </w:numPr>
        <w:spacing w:line="276" w:lineRule="auto"/>
        <w:ind w:left="1627"/>
        <w:contextualSpacing w:val="0"/>
        <w:jc w:val="both"/>
        <w:rPr>
          <w:rFonts w:cstheme="minorHAnsi"/>
          <w:color w:val="000000" w:themeColor="text1"/>
          <w:lang w:val="en-GB"/>
        </w:rPr>
      </w:pPr>
      <w:r>
        <w:rPr>
          <w:rFonts w:cstheme="minorHAnsi"/>
        </w:rPr>
        <w:t xml:space="preserve">Private sector </w:t>
      </w:r>
      <w:r w:rsidR="00383368">
        <w:rPr>
          <w:rFonts w:cstheme="minorHAnsi"/>
        </w:rPr>
        <w:t xml:space="preserve">lending </w:t>
      </w:r>
      <w:r>
        <w:rPr>
          <w:rFonts w:cstheme="minorHAnsi"/>
        </w:rPr>
        <w:t>entities will be selected through a competitive process</w:t>
      </w:r>
      <w:r w:rsidR="009F072C" w:rsidRPr="009F072C">
        <w:rPr>
          <w:rFonts w:cstheme="minorHAnsi"/>
          <w:bCs/>
        </w:rPr>
        <w:t xml:space="preserve"> </w:t>
      </w:r>
      <w:r w:rsidR="009F072C">
        <w:rPr>
          <w:rFonts w:cstheme="minorHAnsi"/>
          <w:bCs/>
        </w:rPr>
        <w:t xml:space="preserve">and are subject to the </w:t>
      </w:r>
      <w:r w:rsidR="009F072C" w:rsidRPr="00657DFF">
        <w:rPr>
          <w:rFonts w:cstheme="minorHAnsi"/>
          <w:bCs/>
        </w:rPr>
        <w:t>Private Sector Due Diligence Policy</w:t>
      </w:r>
      <w:r>
        <w:rPr>
          <w:rFonts w:cstheme="minorHAnsi"/>
        </w:rPr>
        <w:t>.</w:t>
      </w:r>
    </w:p>
    <w:p w14:paraId="04AFEFA6" w14:textId="77777777" w:rsidR="00581E8E" w:rsidRPr="00900E67" w:rsidRDefault="00900E67" w:rsidP="00B02472">
      <w:pPr>
        <w:pStyle w:val="ListParagraph"/>
        <w:numPr>
          <w:ilvl w:val="0"/>
          <w:numId w:val="21"/>
        </w:numPr>
        <w:spacing w:after="0" w:line="276" w:lineRule="auto"/>
        <w:ind w:left="1080"/>
        <w:contextualSpacing w:val="0"/>
        <w:jc w:val="both"/>
        <w:rPr>
          <w:rFonts w:cstheme="minorHAnsi"/>
        </w:rPr>
      </w:pPr>
      <w:r w:rsidRPr="00C6570B">
        <w:rPr>
          <w:rFonts w:cstheme="minorHAnsi"/>
          <w:b/>
          <w:color w:val="000000" w:themeColor="text1"/>
          <w:lang w:val="en-GB"/>
        </w:rPr>
        <w:t xml:space="preserve">Eligible </w:t>
      </w:r>
      <w:r w:rsidR="00FD1AAE">
        <w:rPr>
          <w:rFonts w:cstheme="minorHAnsi"/>
          <w:b/>
          <w:color w:val="000000" w:themeColor="text1"/>
          <w:lang w:val="en-GB"/>
        </w:rPr>
        <w:t>borrowers</w:t>
      </w:r>
      <w:r w:rsidRPr="00C6570B">
        <w:rPr>
          <w:rFonts w:cstheme="minorHAnsi"/>
          <w:b/>
          <w:color w:val="000000" w:themeColor="text1"/>
          <w:lang w:val="en-GB"/>
        </w:rPr>
        <w:t>:</w:t>
      </w:r>
    </w:p>
    <w:p w14:paraId="6C89638E" w14:textId="7B295CEA" w:rsidR="00355129" w:rsidRPr="00607E59" w:rsidRDefault="00355129" w:rsidP="00B02472">
      <w:pPr>
        <w:pStyle w:val="ListParagraph"/>
        <w:numPr>
          <w:ilvl w:val="0"/>
          <w:numId w:val="17"/>
        </w:numPr>
        <w:spacing w:after="60" w:line="276" w:lineRule="auto"/>
        <w:contextualSpacing w:val="0"/>
        <w:jc w:val="both"/>
        <w:rPr>
          <w:rFonts w:cstheme="minorHAnsi"/>
        </w:rPr>
      </w:pPr>
      <w:r>
        <w:rPr>
          <w:rFonts w:cstheme="minorHAnsi"/>
        </w:rPr>
        <w:t xml:space="preserve">As part of the </w:t>
      </w:r>
      <w:r w:rsidR="00C67CEF">
        <w:rPr>
          <w:rFonts w:cstheme="minorHAnsi"/>
        </w:rPr>
        <w:t xml:space="preserve">project </w:t>
      </w:r>
      <w:r>
        <w:rPr>
          <w:rFonts w:cstheme="minorHAnsi"/>
        </w:rPr>
        <w:t>design, UNDP will identify the target population/chara</w:t>
      </w:r>
      <w:r w:rsidR="00CB5C37">
        <w:rPr>
          <w:rFonts w:cstheme="minorHAnsi"/>
        </w:rPr>
        <w:t>c</w:t>
      </w:r>
      <w:r>
        <w:rPr>
          <w:rFonts w:cstheme="minorHAnsi"/>
        </w:rPr>
        <w:t>te</w:t>
      </w:r>
      <w:r w:rsidR="00CB5C37">
        <w:rPr>
          <w:rFonts w:cstheme="minorHAnsi"/>
        </w:rPr>
        <w:t>ri</w:t>
      </w:r>
      <w:r>
        <w:rPr>
          <w:rFonts w:cstheme="minorHAnsi"/>
        </w:rPr>
        <w:t xml:space="preserve">stics of the borrowers to whom the </w:t>
      </w:r>
      <w:r w:rsidR="00C67CEF">
        <w:rPr>
          <w:rFonts w:cstheme="minorHAnsi"/>
        </w:rPr>
        <w:t xml:space="preserve">project </w:t>
      </w:r>
      <w:r>
        <w:rPr>
          <w:rFonts w:cstheme="minorHAnsi"/>
        </w:rPr>
        <w:t xml:space="preserve">is aimed. </w:t>
      </w:r>
      <w:r w:rsidR="00F65448">
        <w:rPr>
          <w:rFonts w:cstheme="minorHAnsi"/>
        </w:rPr>
        <w:t>Ideally t</w:t>
      </w:r>
      <w:r w:rsidR="00A7620D">
        <w:rPr>
          <w:rFonts w:cstheme="minorHAnsi"/>
        </w:rPr>
        <w:t xml:space="preserve">he lender </w:t>
      </w:r>
      <w:r w:rsidR="00F65448">
        <w:rPr>
          <w:rFonts w:cstheme="minorHAnsi"/>
        </w:rPr>
        <w:t xml:space="preserve">itself </w:t>
      </w:r>
      <w:r w:rsidR="00A7620D">
        <w:rPr>
          <w:rFonts w:cstheme="minorHAnsi"/>
        </w:rPr>
        <w:t xml:space="preserve">will </w:t>
      </w:r>
      <w:r w:rsidR="00846FD5">
        <w:rPr>
          <w:rFonts w:cstheme="minorHAnsi"/>
        </w:rPr>
        <w:t xml:space="preserve">make the final determination of eligibility for </w:t>
      </w:r>
      <w:r w:rsidR="00E3778C">
        <w:rPr>
          <w:rFonts w:cstheme="minorHAnsi"/>
        </w:rPr>
        <w:t xml:space="preserve">issuance of </w:t>
      </w:r>
      <w:r w:rsidR="00846FD5">
        <w:rPr>
          <w:rFonts w:cstheme="minorHAnsi"/>
        </w:rPr>
        <w:t xml:space="preserve">the loans, based on the agreed lending criteria and its own </w:t>
      </w:r>
      <w:r w:rsidR="00F65448">
        <w:rPr>
          <w:rFonts w:cstheme="minorHAnsi"/>
        </w:rPr>
        <w:t xml:space="preserve">lending assessment processes. </w:t>
      </w:r>
      <w:r w:rsidR="00A7620D">
        <w:rPr>
          <w:rFonts w:cstheme="minorHAnsi"/>
        </w:rPr>
        <w:t xml:space="preserve"> </w:t>
      </w:r>
    </w:p>
    <w:p w14:paraId="174C3DCE" w14:textId="7E1205A0" w:rsidR="00ED6E76" w:rsidRPr="0064222B" w:rsidRDefault="00D352B8" w:rsidP="00B02472">
      <w:pPr>
        <w:pStyle w:val="ListParagraph"/>
        <w:numPr>
          <w:ilvl w:val="0"/>
          <w:numId w:val="17"/>
        </w:numPr>
        <w:spacing w:after="60" w:line="276" w:lineRule="auto"/>
        <w:contextualSpacing w:val="0"/>
        <w:jc w:val="both"/>
        <w:rPr>
          <w:rFonts w:cstheme="minorHAnsi"/>
        </w:rPr>
      </w:pPr>
      <w:r>
        <w:rPr>
          <w:rFonts w:cstheme="minorHAnsi"/>
          <w:color w:val="000000" w:themeColor="text1"/>
          <w:lang w:val="en-GB"/>
        </w:rPr>
        <w:t>Where a</w:t>
      </w:r>
      <w:r w:rsidR="0087662D">
        <w:rPr>
          <w:rFonts w:cstheme="minorHAnsi"/>
          <w:color w:val="000000" w:themeColor="text1"/>
          <w:lang w:val="en-GB"/>
        </w:rPr>
        <w:t xml:space="preserve"> UNDP-supported</w:t>
      </w:r>
      <w:r>
        <w:rPr>
          <w:rFonts w:cstheme="minorHAnsi"/>
          <w:color w:val="000000" w:themeColor="text1"/>
          <w:lang w:val="en-GB"/>
        </w:rPr>
        <w:t xml:space="preserve"> guarantee is being issued to support a specific lending </w:t>
      </w:r>
      <w:r w:rsidR="00757B80">
        <w:rPr>
          <w:rFonts w:cstheme="minorHAnsi"/>
          <w:color w:val="000000" w:themeColor="text1"/>
          <w:lang w:val="en-GB"/>
        </w:rPr>
        <w:t>scheme</w:t>
      </w:r>
      <w:r w:rsidR="00C67CEF">
        <w:rPr>
          <w:rFonts w:cstheme="minorHAnsi"/>
          <w:color w:val="000000" w:themeColor="text1"/>
          <w:lang w:val="en-GB"/>
        </w:rPr>
        <w:t xml:space="preserve"> </w:t>
      </w:r>
      <w:r>
        <w:rPr>
          <w:rFonts w:cstheme="minorHAnsi"/>
          <w:color w:val="000000" w:themeColor="text1"/>
          <w:lang w:val="en-GB"/>
        </w:rPr>
        <w:t xml:space="preserve">of a lender (such as a bank), the lender must have adequate processes and criteria in place to analyse the ability of the borrower to repay the loan, in addition to performing standard due diligence and Know-Your-Customer (KYC) assessments that are performed for borrowers per industry norms. </w:t>
      </w:r>
    </w:p>
    <w:p w14:paraId="5631E4BB" w14:textId="641C670F" w:rsidR="001D61D3" w:rsidRPr="00F91242" w:rsidRDefault="00BE0C87" w:rsidP="00B02472">
      <w:pPr>
        <w:pStyle w:val="ListParagraph"/>
        <w:numPr>
          <w:ilvl w:val="0"/>
          <w:numId w:val="17"/>
        </w:numPr>
        <w:spacing w:after="60" w:line="276" w:lineRule="auto"/>
        <w:contextualSpacing w:val="0"/>
        <w:jc w:val="both"/>
      </w:pPr>
      <w:r w:rsidRPr="00ED6E76">
        <w:rPr>
          <w:rFonts w:cstheme="minorHAnsi"/>
        </w:rPr>
        <w:t xml:space="preserve">In addition to </w:t>
      </w:r>
      <w:r w:rsidR="00B34E49" w:rsidRPr="00ED6E76">
        <w:rPr>
          <w:rFonts w:cstheme="minorHAnsi"/>
        </w:rPr>
        <w:t xml:space="preserve">the lender’s </w:t>
      </w:r>
      <w:r w:rsidRPr="00ED6E76">
        <w:rPr>
          <w:rFonts w:cstheme="minorHAnsi"/>
        </w:rPr>
        <w:t>standard due diligence and KYC assessments, t</w:t>
      </w:r>
      <w:r w:rsidR="005548C8" w:rsidRPr="00ED6E76">
        <w:rPr>
          <w:rFonts w:cstheme="minorHAnsi"/>
        </w:rPr>
        <w:t xml:space="preserve">he lender </w:t>
      </w:r>
      <w:r w:rsidR="00C57A3D" w:rsidRPr="0049155A">
        <w:rPr>
          <w:rFonts w:cstheme="minorHAnsi"/>
        </w:rPr>
        <w:t>must</w:t>
      </w:r>
      <w:r w:rsidR="005548C8" w:rsidRPr="0049155A">
        <w:rPr>
          <w:rFonts w:cstheme="minorHAnsi"/>
        </w:rPr>
        <w:t xml:space="preserve"> </w:t>
      </w:r>
      <w:r w:rsidR="00D76AA0" w:rsidRPr="0049155A">
        <w:rPr>
          <w:rFonts w:cstheme="minorHAnsi"/>
        </w:rPr>
        <w:t xml:space="preserve">include clauses </w:t>
      </w:r>
      <w:r w:rsidR="00577F16" w:rsidRPr="0049155A">
        <w:rPr>
          <w:rFonts w:cstheme="minorHAnsi"/>
        </w:rPr>
        <w:t>to prohibit certain</w:t>
      </w:r>
      <w:r w:rsidR="00A93223" w:rsidRPr="0049155A">
        <w:rPr>
          <w:rFonts w:cstheme="minorHAnsi"/>
        </w:rPr>
        <w:t xml:space="preserve"> </w:t>
      </w:r>
      <w:r w:rsidR="003A60E3" w:rsidRPr="0049155A">
        <w:rPr>
          <w:rFonts w:cstheme="minorHAnsi"/>
        </w:rPr>
        <w:t>conduct/</w:t>
      </w:r>
      <w:r w:rsidR="00A93223" w:rsidRPr="0049155A">
        <w:rPr>
          <w:rFonts w:cstheme="minorHAnsi"/>
        </w:rPr>
        <w:t>activities</w:t>
      </w:r>
      <w:r w:rsidR="00577F16" w:rsidRPr="00B901DF">
        <w:rPr>
          <w:rFonts w:cstheme="minorHAnsi"/>
        </w:rPr>
        <w:t xml:space="preserve"> </w:t>
      </w:r>
      <w:r w:rsidR="00C944D3" w:rsidRPr="00B901DF">
        <w:rPr>
          <w:rFonts w:cstheme="minorHAnsi"/>
        </w:rPr>
        <w:t>of borrowers</w:t>
      </w:r>
      <w:r w:rsidR="00C81CAF" w:rsidRPr="00F97137">
        <w:rPr>
          <w:rFonts w:cstheme="minorHAnsi"/>
        </w:rPr>
        <w:t xml:space="preserve"> in the loan agreement</w:t>
      </w:r>
      <w:r w:rsidR="00EF53BB" w:rsidRPr="00F97137">
        <w:rPr>
          <w:rFonts w:cstheme="minorHAnsi"/>
        </w:rPr>
        <w:t>.</w:t>
      </w:r>
      <w:r w:rsidR="00BF066D" w:rsidRPr="00F97137">
        <w:rPr>
          <w:rFonts w:cstheme="minorHAnsi"/>
        </w:rPr>
        <w:t xml:space="preserve"> </w:t>
      </w:r>
      <w:r w:rsidRPr="00F01C4B">
        <w:rPr>
          <w:rFonts w:cstheme="minorHAnsi"/>
        </w:rPr>
        <w:t>This</w:t>
      </w:r>
      <w:r w:rsidR="00BA76B3" w:rsidRPr="00F01C4B">
        <w:rPr>
          <w:rFonts w:cstheme="minorHAnsi"/>
        </w:rPr>
        <w:t xml:space="preserve"> is important </w:t>
      </w:r>
      <w:r w:rsidR="005C072A" w:rsidRPr="00F01C4B">
        <w:rPr>
          <w:rFonts w:cstheme="minorHAnsi"/>
        </w:rPr>
        <w:t xml:space="preserve">to manage the reputational risk associated </w:t>
      </w:r>
      <w:r w:rsidRPr="0089675B">
        <w:rPr>
          <w:rFonts w:cstheme="minorHAnsi"/>
        </w:rPr>
        <w:t>with</w:t>
      </w:r>
      <w:r w:rsidR="005C072A" w:rsidRPr="0089675B">
        <w:rPr>
          <w:rFonts w:cstheme="minorHAnsi"/>
        </w:rPr>
        <w:t xml:space="preserve"> the </w:t>
      </w:r>
      <w:r w:rsidR="007B0C6F">
        <w:rPr>
          <w:rFonts w:cstheme="minorHAnsi"/>
        </w:rPr>
        <w:t xml:space="preserve">UNDP-supported </w:t>
      </w:r>
      <w:r w:rsidR="005C072A" w:rsidRPr="0089675B">
        <w:rPr>
          <w:rFonts w:cstheme="minorHAnsi"/>
        </w:rPr>
        <w:t xml:space="preserve">guarantees. </w:t>
      </w:r>
      <w:r w:rsidR="00F91242" w:rsidRPr="0089675B">
        <w:rPr>
          <w:rFonts w:cstheme="minorHAnsi"/>
        </w:rPr>
        <w:t xml:space="preserve"> </w:t>
      </w:r>
      <w:r w:rsidR="00F91242">
        <w:t>Such</w:t>
      </w:r>
      <w:r w:rsidR="00577F16" w:rsidRPr="00F91242">
        <w:t xml:space="preserve"> clauses </w:t>
      </w:r>
      <w:r w:rsidR="00C57A3D" w:rsidRPr="00F91242">
        <w:t>must</w:t>
      </w:r>
      <w:r w:rsidR="00001DFC" w:rsidRPr="00F91242">
        <w:t xml:space="preserve"> prohibit:</w:t>
      </w:r>
      <w:r w:rsidR="00001DFC">
        <w:rPr>
          <w:rStyle w:val="CommentReference"/>
        </w:rPr>
        <w:t xml:space="preserve"> </w:t>
      </w:r>
    </w:p>
    <w:p w14:paraId="5320CCDF" w14:textId="77777777" w:rsidR="006C69EB" w:rsidRDefault="006C69EB" w:rsidP="00BC0D92">
      <w:pPr>
        <w:pStyle w:val="ListParagraph"/>
        <w:numPr>
          <w:ilvl w:val="1"/>
          <w:numId w:val="17"/>
        </w:numPr>
        <w:spacing w:after="60" w:line="276" w:lineRule="auto"/>
        <w:contextualSpacing w:val="0"/>
        <w:jc w:val="both"/>
        <w:rPr>
          <w:rFonts w:cstheme="minorHAnsi"/>
        </w:rPr>
      </w:pPr>
      <w:r>
        <w:rPr>
          <w:rFonts w:cstheme="minorHAnsi"/>
        </w:rPr>
        <w:t>Violations of UN sanctions and human rights</w:t>
      </w:r>
    </w:p>
    <w:p w14:paraId="2C607947" w14:textId="77777777" w:rsidR="00ED462B" w:rsidRDefault="000D0427" w:rsidP="00BC0D92">
      <w:pPr>
        <w:pStyle w:val="ListParagraph"/>
        <w:numPr>
          <w:ilvl w:val="1"/>
          <w:numId w:val="17"/>
        </w:numPr>
        <w:spacing w:after="60" w:line="276" w:lineRule="auto"/>
        <w:contextualSpacing w:val="0"/>
        <w:jc w:val="both"/>
        <w:rPr>
          <w:rFonts w:cstheme="minorHAnsi"/>
        </w:rPr>
      </w:pPr>
      <w:r w:rsidRPr="00B1181A">
        <w:rPr>
          <w:rFonts w:cstheme="minorHAnsi"/>
        </w:rPr>
        <w:t>Use or toleration of forced labor and child labor</w:t>
      </w:r>
    </w:p>
    <w:p w14:paraId="0C1972B6" w14:textId="77777777" w:rsidR="00686271" w:rsidRDefault="00283203" w:rsidP="00BC0D92">
      <w:pPr>
        <w:pStyle w:val="ListParagraph"/>
        <w:numPr>
          <w:ilvl w:val="1"/>
          <w:numId w:val="17"/>
        </w:numPr>
        <w:spacing w:after="60" w:line="276" w:lineRule="auto"/>
        <w:contextualSpacing w:val="0"/>
        <w:jc w:val="both"/>
        <w:rPr>
          <w:rFonts w:cstheme="minorHAnsi"/>
        </w:rPr>
      </w:pPr>
      <w:r>
        <w:rPr>
          <w:rFonts w:cstheme="minorHAnsi"/>
        </w:rPr>
        <w:t>Sale or manufact</w:t>
      </w:r>
      <w:r w:rsidR="00F5139E">
        <w:rPr>
          <w:rFonts w:cstheme="minorHAnsi"/>
        </w:rPr>
        <w:t>ure</w:t>
      </w:r>
      <w:r>
        <w:rPr>
          <w:rFonts w:cstheme="minorHAnsi"/>
        </w:rPr>
        <w:t xml:space="preserve"> of </w:t>
      </w:r>
      <w:r w:rsidR="00C66E97">
        <w:rPr>
          <w:rFonts w:cstheme="minorHAnsi"/>
        </w:rPr>
        <w:t>anti-personnel mines or components utilized in the manufacture of anti-personnel mines</w:t>
      </w:r>
    </w:p>
    <w:p w14:paraId="47526265" w14:textId="5CBD6F76" w:rsidR="006A577A" w:rsidRDefault="00F5139E" w:rsidP="00BC0D92">
      <w:pPr>
        <w:pStyle w:val="ListParagraph"/>
        <w:numPr>
          <w:ilvl w:val="1"/>
          <w:numId w:val="17"/>
        </w:numPr>
        <w:spacing w:after="60" w:line="276" w:lineRule="auto"/>
        <w:contextualSpacing w:val="0"/>
        <w:jc w:val="both"/>
        <w:rPr>
          <w:rFonts w:cstheme="minorHAnsi"/>
        </w:rPr>
      </w:pPr>
      <w:r>
        <w:rPr>
          <w:rFonts w:cstheme="minorHAnsi"/>
        </w:rPr>
        <w:t xml:space="preserve">Engagement </w:t>
      </w:r>
      <w:r w:rsidR="00ED462B">
        <w:rPr>
          <w:rFonts w:cstheme="minorHAnsi"/>
        </w:rPr>
        <w:t xml:space="preserve">in </w:t>
      </w:r>
      <w:r w:rsidR="00BE2868">
        <w:rPr>
          <w:rFonts w:cstheme="minorHAnsi"/>
        </w:rPr>
        <w:t xml:space="preserve">any sexual </w:t>
      </w:r>
      <w:r w:rsidR="00F514EA">
        <w:rPr>
          <w:rFonts w:cstheme="minorHAnsi"/>
        </w:rPr>
        <w:t xml:space="preserve">exploitation, sexual abuse or sexual harassment </w:t>
      </w:r>
      <w:r w:rsidR="00CD3781">
        <w:rPr>
          <w:rFonts w:cstheme="minorHAnsi"/>
        </w:rPr>
        <w:t xml:space="preserve"> </w:t>
      </w:r>
    </w:p>
    <w:p w14:paraId="4A5D357F" w14:textId="16093230" w:rsidR="003A60E3" w:rsidRDefault="007D4B04" w:rsidP="00BC0D92">
      <w:pPr>
        <w:pStyle w:val="ListParagraph"/>
        <w:numPr>
          <w:ilvl w:val="1"/>
          <w:numId w:val="17"/>
        </w:numPr>
        <w:spacing w:after="60" w:line="276" w:lineRule="auto"/>
        <w:contextualSpacing w:val="0"/>
        <w:jc w:val="both"/>
        <w:rPr>
          <w:rFonts w:cstheme="minorHAnsi"/>
        </w:rPr>
      </w:pPr>
      <w:r w:rsidRPr="003A60E3">
        <w:rPr>
          <w:rFonts w:cstheme="minorHAnsi"/>
        </w:rPr>
        <w:lastRenderedPageBreak/>
        <w:t>F</w:t>
      </w:r>
      <w:r w:rsidR="003A60E3" w:rsidRPr="003A60E3">
        <w:rPr>
          <w:rFonts w:cstheme="minorHAnsi"/>
        </w:rPr>
        <w:t>und</w:t>
      </w:r>
      <w:r>
        <w:rPr>
          <w:rFonts w:cstheme="minorHAnsi"/>
        </w:rPr>
        <w:t xml:space="preserve">ing/supporting </w:t>
      </w:r>
      <w:r w:rsidR="003A60E3" w:rsidRPr="003A60E3">
        <w:rPr>
          <w:rFonts w:cstheme="minorHAnsi"/>
        </w:rPr>
        <w:t xml:space="preserve">individuals or entities associated with terrorism </w:t>
      </w:r>
      <w:r>
        <w:rPr>
          <w:rFonts w:cstheme="minorHAnsi"/>
        </w:rPr>
        <w:t xml:space="preserve">as per the </w:t>
      </w:r>
      <w:r w:rsidR="003A60E3" w:rsidRPr="003A60E3">
        <w:rPr>
          <w:rFonts w:cstheme="minorHAnsi"/>
        </w:rPr>
        <w:t>list maintained by the Security Council Committee established pursuant to Resolution 1267 (1999)</w:t>
      </w:r>
      <w:r>
        <w:rPr>
          <w:rFonts w:cstheme="minorHAnsi"/>
        </w:rPr>
        <w:t>.</w:t>
      </w:r>
    </w:p>
    <w:p w14:paraId="3E9591F6" w14:textId="7063A771" w:rsidR="002F38F3" w:rsidRPr="00900E67" w:rsidRDefault="00C6570B" w:rsidP="00DD5BAD">
      <w:pPr>
        <w:pStyle w:val="ListParagraph"/>
        <w:numPr>
          <w:ilvl w:val="0"/>
          <w:numId w:val="17"/>
        </w:numPr>
        <w:spacing w:after="60" w:line="276" w:lineRule="auto"/>
        <w:contextualSpacing w:val="0"/>
        <w:jc w:val="both"/>
      </w:pPr>
      <w:r>
        <w:rPr>
          <w:rFonts w:cstheme="minorHAnsi"/>
        </w:rPr>
        <w:t>UNDP pro</w:t>
      </w:r>
      <w:r w:rsidR="00B96CC0">
        <w:rPr>
          <w:rFonts w:cstheme="minorHAnsi"/>
        </w:rPr>
        <w:t>ject</w:t>
      </w:r>
      <w:r>
        <w:rPr>
          <w:rFonts w:cstheme="minorHAnsi"/>
        </w:rPr>
        <w:t xml:space="preserve">s </w:t>
      </w:r>
      <w:r w:rsidR="008B19DE">
        <w:rPr>
          <w:rFonts w:cstheme="minorHAnsi"/>
        </w:rPr>
        <w:t xml:space="preserve">may </w:t>
      </w:r>
      <w:r>
        <w:rPr>
          <w:rFonts w:cstheme="minorHAnsi"/>
        </w:rPr>
        <w:t xml:space="preserve">require </w:t>
      </w:r>
      <w:r w:rsidR="000C6157">
        <w:rPr>
          <w:rFonts w:cstheme="minorHAnsi"/>
        </w:rPr>
        <w:t xml:space="preserve">the </w:t>
      </w:r>
      <w:r w:rsidR="007B0C6F">
        <w:rPr>
          <w:rFonts w:cstheme="minorHAnsi"/>
        </w:rPr>
        <w:t xml:space="preserve">UNDP-supported </w:t>
      </w:r>
      <w:r w:rsidR="000C6157">
        <w:rPr>
          <w:rFonts w:cstheme="minorHAnsi"/>
        </w:rPr>
        <w:t xml:space="preserve">guarantee </w:t>
      </w:r>
      <w:r w:rsidR="008B19DE">
        <w:rPr>
          <w:rFonts w:cstheme="minorHAnsi"/>
        </w:rPr>
        <w:t xml:space="preserve">to target specific </w:t>
      </w:r>
      <w:r w:rsidR="000C6157">
        <w:rPr>
          <w:rFonts w:cstheme="minorHAnsi"/>
        </w:rPr>
        <w:t xml:space="preserve">underserved </w:t>
      </w:r>
      <w:r w:rsidR="008B19DE">
        <w:rPr>
          <w:rFonts w:cstheme="minorHAnsi"/>
        </w:rPr>
        <w:t>borrowers</w:t>
      </w:r>
      <w:r w:rsidR="00780171">
        <w:rPr>
          <w:rFonts w:cstheme="minorHAnsi"/>
        </w:rPr>
        <w:t xml:space="preserve"> (</w:t>
      </w:r>
      <w:r w:rsidR="00556203">
        <w:rPr>
          <w:rFonts w:cstheme="minorHAnsi"/>
        </w:rPr>
        <w:t xml:space="preserve">for instance women and </w:t>
      </w:r>
      <w:r w:rsidR="00BE0C87">
        <w:rPr>
          <w:rFonts w:cstheme="minorHAnsi"/>
        </w:rPr>
        <w:t>youth</w:t>
      </w:r>
      <w:r w:rsidR="00780171">
        <w:rPr>
          <w:rFonts w:cstheme="minorHAnsi"/>
        </w:rPr>
        <w:t>)</w:t>
      </w:r>
      <w:r w:rsidR="00BE0C87">
        <w:rPr>
          <w:rFonts w:cstheme="minorHAnsi"/>
        </w:rPr>
        <w:t xml:space="preserve">, </w:t>
      </w:r>
      <w:r w:rsidR="00A56C00">
        <w:rPr>
          <w:rFonts w:cstheme="minorHAnsi"/>
        </w:rPr>
        <w:t>non-sovereign entities</w:t>
      </w:r>
      <w:r w:rsidR="00BE0C87">
        <w:rPr>
          <w:rFonts w:cstheme="minorHAnsi"/>
        </w:rPr>
        <w:t xml:space="preserve"> or not so well-established entities</w:t>
      </w:r>
      <w:r w:rsidR="00EE5458">
        <w:rPr>
          <w:rFonts w:cstheme="minorHAnsi"/>
        </w:rPr>
        <w:t xml:space="preserve"> </w:t>
      </w:r>
      <w:r>
        <w:rPr>
          <w:rFonts w:cstheme="minorHAnsi"/>
        </w:rPr>
        <w:t xml:space="preserve">for whom </w:t>
      </w:r>
      <w:r w:rsidR="000C6157">
        <w:rPr>
          <w:rFonts w:cstheme="minorHAnsi"/>
        </w:rPr>
        <w:t xml:space="preserve">credit </w:t>
      </w:r>
      <w:r>
        <w:rPr>
          <w:rFonts w:cstheme="minorHAnsi"/>
        </w:rPr>
        <w:t xml:space="preserve">information may not be easily available and hence traditional credit </w:t>
      </w:r>
      <w:r w:rsidR="00C25505">
        <w:rPr>
          <w:rFonts w:cstheme="minorHAnsi"/>
        </w:rPr>
        <w:t>assessment</w:t>
      </w:r>
      <w:r w:rsidR="000C6157">
        <w:rPr>
          <w:rFonts w:cstheme="minorHAnsi"/>
        </w:rPr>
        <w:t xml:space="preserve"> </w:t>
      </w:r>
      <w:r>
        <w:rPr>
          <w:rFonts w:cstheme="minorHAnsi"/>
        </w:rPr>
        <w:t xml:space="preserve">processes may </w:t>
      </w:r>
      <w:r w:rsidR="000C6157">
        <w:rPr>
          <w:rFonts w:cstheme="minorHAnsi"/>
        </w:rPr>
        <w:t xml:space="preserve">not </w:t>
      </w:r>
      <w:r w:rsidR="00217AF0">
        <w:rPr>
          <w:rFonts w:cstheme="minorHAnsi"/>
        </w:rPr>
        <w:t>be</w:t>
      </w:r>
      <w:r w:rsidR="000C6157">
        <w:rPr>
          <w:rFonts w:cstheme="minorHAnsi"/>
        </w:rPr>
        <w:t xml:space="preserve"> </w:t>
      </w:r>
      <w:r>
        <w:rPr>
          <w:rFonts w:cstheme="minorHAnsi"/>
        </w:rPr>
        <w:t>possible</w:t>
      </w:r>
      <w:r w:rsidR="00217AF0">
        <w:rPr>
          <w:rFonts w:cstheme="minorHAnsi"/>
        </w:rPr>
        <w:t xml:space="preserve">. </w:t>
      </w:r>
      <w:r>
        <w:rPr>
          <w:rFonts w:cstheme="minorHAnsi"/>
        </w:rPr>
        <w:t>S</w:t>
      </w:r>
      <w:r w:rsidR="00217AF0">
        <w:rPr>
          <w:rFonts w:cstheme="minorHAnsi"/>
        </w:rPr>
        <w:t>uch situations</w:t>
      </w:r>
      <w:r>
        <w:rPr>
          <w:rFonts w:cstheme="minorHAnsi"/>
        </w:rPr>
        <w:t xml:space="preserve"> may require </w:t>
      </w:r>
      <w:r w:rsidR="00217AF0">
        <w:rPr>
          <w:rFonts w:cstheme="minorHAnsi"/>
        </w:rPr>
        <w:t xml:space="preserve">the </w:t>
      </w:r>
      <w:r w:rsidR="00E521BB">
        <w:rPr>
          <w:rFonts w:cstheme="minorHAnsi"/>
        </w:rPr>
        <w:t>lender to take increased risk</w:t>
      </w:r>
      <w:r w:rsidR="00217AF0">
        <w:rPr>
          <w:rFonts w:cstheme="minorHAnsi"/>
        </w:rPr>
        <w:t xml:space="preserve"> </w:t>
      </w:r>
      <w:r>
        <w:rPr>
          <w:rFonts w:cstheme="minorHAnsi"/>
        </w:rPr>
        <w:t xml:space="preserve">and </w:t>
      </w:r>
      <w:r w:rsidR="008B19DE">
        <w:rPr>
          <w:rFonts w:cstheme="minorHAnsi"/>
        </w:rPr>
        <w:t>exercis</w:t>
      </w:r>
      <w:r>
        <w:rPr>
          <w:rFonts w:cstheme="minorHAnsi"/>
        </w:rPr>
        <w:t>e</w:t>
      </w:r>
      <w:r w:rsidR="008B19DE">
        <w:rPr>
          <w:rFonts w:cstheme="minorHAnsi"/>
        </w:rPr>
        <w:t xml:space="preserve"> flexibility on </w:t>
      </w:r>
      <w:r>
        <w:rPr>
          <w:rFonts w:cstheme="minorHAnsi"/>
        </w:rPr>
        <w:t xml:space="preserve">the </w:t>
      </w:r>
      <w:r w:rsidR="008B19DE">
        <w:rPr>
          <w:rFonts w:cstheme="minorHAnsi"/>
        </w:rPr>
        <w:t xml:space="preserve">eligibility criteria </w:t>
      </w:r>
      <w:r>
        <w:rPr>
          <w:rFonts w:cstheme="minorHAnsi"/>
        </w:rPr>
        <w:t xml:space="preserve">applied. </w:t>
      </w:r>
      <w:r w:rsidR="001E164F">
        <w:rPr>
          <w:rFonts w:cstheme="minorHAnsi"/>
        </w:rPr>
        <w:t xml:space="preserve">However, </w:t>
      </w:r>
      <w:r w:rsidR="001E164F" w:rsidRPr="00AD4D8C">
        <w:rPr>
          <w:rFonts w:cstheme="minorHAnsi"/>
          <w:b/>
        </w:rPr>
        <w:t xml:space="preserve">the decision on who to lend to </w:t>
      </w:r>
      <w:r w:rsidR="00AD4D8C">
        <w:rPr>
          <w:rFonts w:cstheme="minorHAnsi"/>
          <w:b/>
        </w:rPr>
        <w:t xml:space="preserve">within the established parameters for the </w:t>
      </w:r>
      <w:r w:rsidR="007B0C6F">
        <w:rPr>
          <w:rFonts w:cstheme="minorHAnsi"/>
          <w:b/>
        </w:rPr>
        <w:t xml:space="preserve">UNDP-supported </w:t>
      </w:r>
      <w:r w:rsidR="00AD4D8C">
        <w:rPr>
          <w:rFonts w:cstheme="minorHAnsi"/>
          <w:b/>
        </w:rPr>
        <w:t xml:space="preserve">guarantee facility </w:t>
      </w:r>
      <w:r w:rsidR="001E164F" w:rsidRPr="00AD4D8C">
        <w:rPr>
          <w:rFonts w:cstheme="minorHAnsi"/>
          <w:b/>
        </w:rPr>
        <w:t>will ultimately rest with the lender</w:t>
      </w:r>
      <w:r w:rsidR="001E164F">
        <w:rPr>
          <w:rFonts w:cstheme="minorHAnsi"/>
        </w:rPr>
        <w:t xml:space="preserve">. </w:t>
      </w:r>
      <w:r w:rsidR="00881197" w:rsidRPr="00881197">
        <w:rPr>
          <w:rFonts w:cstheme="minorHAnsi"/>
        </w:rPr>
        <w:t xml:space="preserve">For this reason, both </w:t>
      </w:r>
      <w:r w:rsidR="001D7284">
        <w:rPr>
          <w:rFonts w:cstheme="minorHAnsi"/>
        </w:rPr>
        <w:t xml:space="preserve">UNDP </w:t>
      </w:r>
      <w:r w:rsidR="00881197" w:rsidRPr="00881197">
        <w:rPr>
          <w:rFonts w:cstheme="minorHAnsi"/>
        </w:rPr>
        <w:t xml:space="preserve">and the </w:t>
      </w:r>
      <w:r w:rsidR="001D7284">
        <w:rPr>
          <w:rFonts w:cstheme="minorHAnsi"/>
        </w:rPr>
        <w:t>funding partner</w:t>
      </w:r>
      <w:r w:rsidR="000E654F">
        <w:rPr>
          <w:rFonts w:cstheme="minorHAnsi"/>
        </w:rPr>
        <w:t>(</w:t>
      </w:r>
      <w:r w:rsidR="001D7284">
        <w:rPr>
          <w:rFonts w:cstheme="minorHAnsi"/>
        </w:rPr>
        <w:t>s</w:t>
      </w:r>
      <w:r w:rsidR="000E654F">
        <w:rPr>
          <w:rFonts w:cstheme="minorHAnsi"/>
        </w:rPr>
        <w:t>)</w:t>
      </w:r>
      <w:r w:rsidR="001D7284">
        <w:rPr>
          <w:rFonts w:cstheme="minorHAnsi"/>
        </w:rPr>
        <w:t xml:space="preserve"> </w:t>
      </w:r>
      <w:r w:rsidR="00061B44">
        <w:rPr>
          <w:rFonts w:cstheme="minorHAnsi"/>
        </w:rPr>
        <w:t xml:space="preserve">must not be involved in the </w:t>
      </w:r>
      <w:r w:rsidR="00881197" w:rsidRPr="00881197">
        <w:rPr>
          <w:rFonts w:cstheme="minorHAnsi"/>
        </w:rPr>
        <w:t xml:space="preserve">management and day-to-day affairs of </w:t>
      </w:r>
      <w:r w:rsidR="00293699">
        <w:rPr>
          <w:rFonts w:cstheme="minorHAnsi"/>
        </w:rPr>
        <w:t xml:space="preserve">the </w:t>
      </w:r>
      <w:r w:rsidR="007B0C6F">
        <w:rPr>
          <w:rFonts w:cstheme="minorHAnsi"/>
        </w:rPr>
        <w:t xml:space="preserve">UNDP-supported </w:t>
      </w:r>
      <w:r w:rsidR="00061B44">
        <w:rPr>
          <w:rFonts w:cstheme="minorHAnsi"/>
        </w:rPr>
        <w:t xml:space="preserve">guaranteed </w:t>
      </w:r>
      <w:r w:rsidR="00293699">
        <w:rPr>
          <w:rFonts w:cstheme="minorHAnsi"/>
        </w:rPr>
        <w:t xml:space="preserve">lending </w:t>
      </w:r>
      <w:r w:rsidR="00061B44">
        <w:rPr>
          <w:rFonts w:cstheme="minorHAnsi"/>
        </w:rPr>
        <w:t>facility</w:t>
      </w:r>
      <w:r w:rsidR="00881197" w:rsidRPr="00881197">
        <w:rPr>
          <w:rFonts w:cstheme="minorHAnsi"/>
        </w:rPr>
        <w:t>.</w:t>
      </w:r>
    </w:p>
    <w:p w14:paraId="0B0D58F8" w14:textId="77777777" w:rsidR="00581E8E" w:rsidRPr="00233411" w:rsidRDefault="00581E8E" w:rsidP="00A81821">
      <w:pPr>
        <w:spacing w:after="0" w:line="276" w:lineRule="auto"/>
        <w:jc w:val="both"/>
        <w:rPr>
          <w:rFonts w:cstheme="minorHAnsi"/>
          <w:b/>
        </w:rPr>
      </w:pPr>
    </w:p>
    <w:p w14:paraId="1A1AEA54" w14:textId="77777777" w:rsidR="00F74067" w:rsidRPr="00F74067" w:rsidRDefault="007969B4" w:rsidP="00DD5BAD">
      <w:pPr>
        <w:pStyle w:val="Heading2"/>
        <w:numPr>
          <w:ilvl w:val="0"/>
          <w:numId w:val="19"/>
        </w:numPr>
        <w:spacing w:before="0" w:after="160"/>
        <w:ind w:left="540" w:hanging="540"/>
        <w:rPr>
          <w:rFonts w:cstheme="minorHAnsi"/>
          <w:b/>
          <w:color w:val="000000" w:themeColor="text1"/>
          <w:sz w:val="24"/>
          <w:szCs w:val="24"/>
        </w:rPr>
      </w:pPr>
      <w:bookmarkStart w:id="39" w:name="_Toc2339905"/>
      <w:bookmarkStart w:id="40" w:name="_Toc121313765"/>
      <w:r w:rsidRPr="0091667C">
        <w:rPr>
          <w:rFonts w:cstheme="minorHAnsi"/>
          <w:b/>
          <w:color w:val="000000" w:themeColor="text1"/>
          <w:sz w:val="24"/>
          <w:szCs w:val="24"/>
        </w:rPr>
        <w:t>UNDP Programming modalities</w:t>
      </w:r>
      <w:bookmarkEnd w:id="39"/>
      <w:bookmarkEnd w:id="40"/>
    </w:p>
    <w:p w14:paraId="159C4FE4" w14:textId="6F01A59E" w:rsidR="00B53F90" w:rsidRPr="00110DB9" w:rsidRDefault="00B53F90" w:rsidP="00446480">
      <w:pPr>
        <w:spacing w:after="0" w:line="276" w:lineRule="auto"/>
        <w:jc w:val="both"/>
        <w:rPr>
          <w:rFonts w:cstheme="minorHAnsi"/>
          <w:b/>
        </w:rPr>
      </w:pPr>
      <w:r w:rsidRPr="00110DB9">
        <w:rPr>
          <w:rFonts w:cstheme="minorHAnsi"/>
        </w:rPr>
        <w:t>UNDP</w:t>
      </w:r>
      <w:r w:rsidR="00F97137">
        <w:rPr>
          <w:rFonts w:cstheme="minorHAnsi"/>
        </w:rPr>
        <w:t>-supported</w:t>
      </w:r>
      <w:r w:rsidRPr="00110DB9">
        <w:rPr>
          <w:rFonts w:cstheme="minorHAnsi"/>
        </w:rPr>
        <w:t xml:space="preserve"> guarantees will only be </w:t>
      </w:r>
      <w:r w:rsidR="006B1AE8">
        <w:rPr>
          <w:rFonts w:cstheme="minorHAnsi"/>
        </w:rPr>
        <w:t>offered</w:t>
      </w:r>
      <w:r w:rsidR="006B1AE8" w:rsidRPr="00110DB9">
        <w:rPr>
          <w:rFonts w:cstheme="minorHAnsi"/>
        </w:rPr>
        <w:t xml:space="preserve"> </w:t>
      </w:r>
      <w:r w:rsidR="00F97137">
        <w:rPr>
          <w:rFonts w:cstheme="minorHAnsi"/>
        </w:rPr>
        <w:t xml:space="preserve">to projects </w:t>
      </w:r>
      <w:r w:rsidRPr="00110DB9">
        <w:rPr>
          <w:rFonts w:cstheme="minorHAnsi"/>
        </w:rPr>
        <w:t>under Direct Implementation Modality (</w:t>
      </w:r>
      <w:r w:rsidRPr="00EF3DAE">
        <w:rPr>
          <w:rFonts w:cstheme="minorHAnsi"/>
        </w:rPr>
        <w:t xml:space="preserve">DIM) and </w:t>
      </w:r>
      <w:r w:rsidR="00F97137">
        <w:rPr>
          <w:rFonts w:cstheme="minorHAnsi"/>
        </w:rPr>
        <w:t xml:space="preserve">full </w:t>
      </w:r>
      <w:r w:rsidRPr="00EF3DAE">
        <w:rPr>
          <w:rFonts w:cstheme="minorHAnsi"/>
          <w:lang w:val="en-GB"/>
        </w:rPr>
        <w:t xml:space="preserve">Country Office Support to </w:t>
      </w:r>
      <w:r w:rsidRPr="00EF3DAE">
        <w:rPr>
          <w:rFonts w:cstheme="minorHAnsi"/>
        </w:rPr>
        <w:t>National</w:t>
      </w:r>
      <w:r w:rsidRPr="00635E40">
        <w:rPr>
          <w:rFonts w:cstheme="minorHAnsi"/>
          <w:lang w:val="en-GB"/>
        </w:rPr>
        <w:t xml:space="preserve"> Implementation Modality (NIM).</w:t>
      </w:r>
      <w:r w:rsidR="00F97137">
        <w:rPr>
          <w:rFonts w:cstheme="minorHAnsi"/>
          <w:lang w:val="en-GB"/>
        </w:rPr>
        <w:t xml:space="preserve"> </w:t>
      </w:r>
      <w:r w:rsidR="00F97137" w:rsidRPr="00F97137">
        <w:rPr>
          <w:rFonts w:cstheme="minorHAnsi"/>
          <w:lang w:val="en-GB"/>
        </w:rPr>
        <w:t xml:space="preserve">As specified in </w:t>
      </w:r>
      <w:hyperlink w:anchor="_Issue_Offer_guarantees" w:history="1">
        <w:r w:rsidR="00F97137" w:rsidRPr="00F97137">
          <w:rPr>
            <w:rStyle w:val="Hyperlink"/>
            <w:rFonts w:cstheme="minorHAnsi"/>
            <w:lang w:val="en-GB"/>
          </w:rPr>
          <w:t>Section 2.1</w:t>
        </w:r>
      </w:hyperlink>
      <w:r w:rsidR="00F97137" w:rsidRPr="00F97137">
        <w:rPr>
          <w:rFonts w:cstheme="minorHAnsi"/>
          <w:lang w:val="en-GB"/>
        </w:rPr>
        <w:t>, UNDP-supported guarantees must be part of a project and supported by other development interventions (which may include other de-risking instruments, technical assistance, performance-based payments, grants, etc.) and may not be the sole activity under/for the project.</w:t>
      </w:r>
    </w:p>
    <w:p w14:paraId="28B19A39" w14:textId="77777777" w:rsidR="005148F2" w:rsidRPr="006D7CB5" w:rsidRDefault="005148F2" w:rsidP="005148F2">
      <w:pPr>
        <w:spacing w:after="0" w:line="276" w:lineRule="auto"/>
        <w:jc w:val="both"/>
        <w:rPr>
          <w:rFonts w:cstheme="minorHAnsi"/>
        </w:rPr>
      </w:pPr>
    </w:p>
    <w:p w14:paraId="40763F9E" w14:textId="77777777" w:rsidR="007969B4" w:rsidRPr="00F7601D" w:rsidRDefault="001943F9" w:rsidP="00DD5BAD">
      <w:pPr>
        <w:pStyle w:val="Heading2"/>
        <w:numPr>
          <w:ilvl w:val="0"/>
          <w:numId w:val="19"/>
        </w:numPr>
        <w:spacing w:before="0" w:after="160"/>
        <w:ind w:left="540" w:hanging="540"/>
        <w:rPr>
          <w:rFonts w:cstheme="minorHAnsi"/>
          <w:b/>
          <w:color w:val="000000" w:themeColor="text1"/>
          <w:sz w:val="24"/>
          <w:szCs w:val="24"/>
        </w:rPr>
      </w:pPr>
      <w:bookmarkStart w:id="41" w:name="_Preferably_guarantee_a"/>
      <w:bookmarkStart w:id="42" w:name="_Toc2339906"/>
      <w:bookmarkStart w:id="43" w:name="_Toc121313766"/>
      <w:bookmarkEnd w:id="41"/>
      <w:r w:rsidRPr="0091667C">
        <w:rPr>
          <w:rFonts w:cstheme="minorHAnsi"/>
          <w:b/>
          <w:color w:val="000000" w:themeColor="text1"/>
          <w:sz w:val="24"/>
          <w:szCs w:val="24"/>
        </w:rPr>
        <w:t xml:space="preserve">Preferably guarantee </w:t>
      </w:r>
      <w:r w:rsidR="00591926">
        <w:rPr>
          <w:rFonts w:cstheme="minorHAnsi"/>
          <w:b/>
          <w:color w:val="000000" w:themeColor="text1"/>
          <w:sz w:val="24"/>
          <w:szCs w:val="24"/>
        </w:rPr>
        <w:t xml:space="preserve">a </w:t>
      </w:r>
      <w:r w:rsidRPr="0091667C">
        <w:rPr>
          <w:rFonts w:cstheme="minorHAnsi"/>
          <w:b/>
          <w:color w:val="000000" w:themeColor="text1"/>
          <w:sz w:val="24"/>
          <w:szCs w:val="24"/>
        </w:rPr>
        <w:t xml:space="preserve">portfolio </w:t>
      </w:r>
      <w:r w:rsidR="007969B4" w:rsidRPr="0091667C">
        <w:rPr>
          <w:rFonts w:cstheme="minorHAnsi"/>
          <w:b/>
          <w:color w:val="000000" w:themeColor="text1"/>
          <w:sz w:val="24"/>
          <w:szCs w:val="24"/>
        </w:rPr>
        <w:t xml:space="preserve">of </w:t>
      </w:r>
      <w:r w:rsidRPr="0091667C">
        <w:rPr>
          <w:rFonts w:cstheme="minorHAnsi"/>
          <w:b/>
          <w:color w:val="000000" w:themeColor="text1"/>
          <w:sz w:val="24"/>
          <w:szCs w:val="24"/>
        </w:rPr>
        <w:t>investments</w:t>
      </w:r>
      <w:bookmarkEnd w:id="42"/>
      <w:bookmarkEnd w:id="43"/>
    </w:p>
    <w:p w14:paraId="49E88BF7" w14:textId="1BBBB6B7" w:rsidR="00D03579" w:rsidRPr="00D03579" w:rsidRDefault="00B33F88" w:rsidP="007E27D8">
      <w:pPr>
        <w:spacing w:line="276" w:lineRule="auto"/>
        <w:jc w:val="both"/>
      </w:pPr>
      <w:r w:rsidRPr="00F7601D">
        <w:rPr>
          <w:rFonts w:cstheme="minorHAnsi"/>
          <w:lang w:val="en-GB"/>
        </w:rPr>
        <w:t xml:space="preserve">Within the context of a UNDP project, </w:t>
      </w:r>
      <w:r w:rsidR="001422EA" w:rsidRPr="00F7601D">
        <w:rPr>
          <w:rFonts w:cstheme="minorHAnsi"/>
          <w:lang w:val="en-GB"/>
        </w:rPr>
        <w:t xml:space="preserve">a </w:t>
      </w:r>
      <w:r w:rsidR="007B0C6F">
        <w:rPr>
          <w:rFonts w:cstheme="minorHAnsi"/>
          <w:lang w:val="en-GB"/>
        </w:rPr>
        <w:t xml:space="preserve">UNDP-supported </w:t>
      </w:r>
      <w:r w:rsidR="001422EA" w:rsidRPr="00F7601D">
        <w:rPr>
          <w:rFonts w:cstheme="minorHAnsi"/>
          <w:lang w:val="en-GB"/>
        </w:rPr>
        <w:t xml:space="preserve">guarantee may be issued to a </w:t>
      </w:r>
      <w:r w:rsidRPr="00F7601D">
        <w:rPr>
          <w:rFonts w:cstheme="minorHAnsi"/>
          <w:lang w:val="en-GB"/>
        </w:rPr>
        <w:t xml:space="preserve">financial institution </w:t>
      </w:r>
      <w:r w:rsidR="00B50C5D" w:rsidRPr="00F7601D">
        <w:rPr>
          <w:rFonts w:cstheme="minorHAnsi"/>
          <w:lang w:val="en-GB"/>
        </w:rPr>
        <w:t>(typically a bank</w:t>
      </w:r>
      <w:r w:rsidR="007B0C6F">
        <w:rPr>
          <w:rFonts w:cstheme="minorHAnsi"/>
          <w:lang w:val="en-GB"/>
        </w:rPr>
        <w:t xml:space="preserve"> with a banking license</w:t>
      </w:r>
      <w:r w:rsidR="00B50C5D" w:rsidRPr="00F7601D">
        <w:rPr>
          <w:rFonts w:cstheme="minorHAnsi"/>
          <w:lang w:val="en-GB"/>
        </w:rPr>
        <w:t xml:space="preserve">) </w:t>
      </w:r>
      <w:r w:rsidR="001422EA" w:rsidRPr="00F7601D">
        <w:rPr>
          <w:rFonts w:cstheme="minorHAnsi"/>
          <w:lang w:val="en-GB"/>
        </w:rPr>
        <w:t xml:space="preserve">who </w:t>
      </w:r>
      <w:r w:rsidRPr="00F7601D">
        <w:rPr>
          <w:rFonts w:cstheme="minorHAnsi"/>
          <w:lang w:val="en-GB"/>
        </w:rPr>
        <w:t xml:space="preserve">will manage </w:t>
      </w:r>
      <w:r w:rsidR="00B53F90" w:rsidRPr="00F7601D">
        <w:rPr>
          <w:rFonts w:cstheme="minorHAnsi"/>
          <w:lang w:val="en-GB"/>
        </w:rPr>
        <w:t>a lending portfolio</w:t>
      </w:r>
      <w:r w:rsidRPr="00F7601D">
        <w:rPr>
          <w:rFonts w:cstheme="minorHAnsi"/>
          <w:lang w:val="en-GB"/>
        </w:rPr>
        <w:t>.</w:t>
      </w:r>
      <w:r w:rsidR="001422EA" w:rsidRPr="00F7601D">
        <w:rPr>
          <w:rFonts w:cstheme="minorHAnsi"/>
          <w:lang w:val="en-GB"/>
        </w:rPr>
        <w:t xml:space="preserve"> </w:t>
      </w:r>
      <w:r w:rsidR="007969B4" w:rsidRPr="00F7601D">
        <w:rPr>
          <w:rFonts w:cstheme="minorHAnsi"/>
          <w:lang w:val="en-GB"/>
        </w:rPr>
        <w:t>UNDP</w:t>
      </w:r>
      <w:r w:rsidR="00BC56DA" w:rsidRPr="00F7601D">
        <w:rPr>
          <w:rFonts w:cstheme="minorHAnsi"/>
          <w:lang w:val="en-GB"/>
        </w:rPr>
        <w:t>-supported</w:t>
      </w:r>
      <w:r w:rsidR="007969B4" w:rsidRPr="00F7601D">
        <w:rPr>
          <w:rFonts w:cstheme="minorHAnsi"/>
          <w:lang w:val="en-GB"/>
        </w:rPr>
        <w:t xml:space="preserve"> partial credit </w:t>
      </w:r>
      <w:r w:rsidR="000D1BEB" w:rsidRPr="00F7601D">
        <w:rPr>
          <w:rFonts w:cstheme="minorHAnsi"/>
          <w:lang w:val="en-GB"/>
        </w:rPr>
        <w:t xml:space="preserve">guarantees </w:t>
      </w:r>
      <w:r w:rsidR="00BC56DA" w:rsidRPr="00F7601D">
        <w:rPr>
          <w:rFonts w:cstheme="minorHAnsi"/>
          <w:lang w:val="en-GB"/>
        </w:rPr>
        <w:t xml:space="preserve">will </w:t>
      </w:r>
      <w:r w:rsidR="007969B4" w:rsidRPr="00F7601D">
        <w:rPr>
          <w:rFonts w:cstheme="minorHAnsi"/>
          <w:lang w:val="en-GB"/>
        </w:rPr>
        <w:t>ideally cover a portfolio of investments (e.g. a bank’s credit facility for SMEs</w:t>
      </w:r>
      <w:r w:rsidR="002409CB" w:rsidRPr="00F7601D">
        <w:rPr>
          <w:rFonts w:cstheme="minorHAnsi"/>
          <w:lang w:val="en-GB"/>
        </w:rPr>
        <w:t xml:space="preserve"> or</w:t>
      </w:r>
      <w:r w:rsidR="007969B4" w:rsidRPr="00F7601D">
        <w:rPr>
          <w:rFonts w:cstheme="minorHAnsi"/>
          <w:lang w:val="en-GB"/>
        </w:rPr>
        <w:t xml:space="preserve"> youth entrepreneurs) as this would impact more beneficiaries compared to guaranteeing individual loans. </w:t>
      </w:r>
      <w:r w:rsidR="00717D08" w:rsidRPr="00F7601D">
        <w:rPr>
          <w:rFonts w:cstheme="minorHAnsi"/>
          <w:lang w:val="en-GB"/>
        </w:rPr>
        <w:t xml:space="preserve">The </w:t>
      </w:r>
      <w:r w:rsidR="007969B4" w:rsidRPr="00F7601D">
        <w:rPr>
          <w:rFonts w:cstheme="minorHAnsi"/>
          <w:lang w:val="en-GB"/>
        </w:rPr>
        <w:t>portfolio</w:t>
      </w:r>
      <w:r w:rsidR="00717D08" w:rsidRPr="00F7601D">
        <w:rPr>
          <w:rFonts w:cstheme="minorHAnsi"/>
          <w:lang w:val="en-GB"/>
        </w:rPr>
        <w:t xml:space="preserve"> of loans will be covered by a UNDP</w:t>
      </w:r>
      <w:r w:rsidR="00BC56DA" w:rsidRPr="00F7601D">
        <w:rPr>
          <w:rFonts w:cstheme="minorHAnsi"/>
          <w:lang w:val="en-GB"/>
        </w:rPr>
        <w:t>-</w:t>
      </w:r>
      <w:r w:rsidR="00790597" w:rsidRPr="00F7601D">
        <w:rPr>
          <w:rFonts w:cstheme="minorHAnsi"/>
          <w:lang w:val="en-GB"/>
        </w:rPr>
        <w:t>supported guarantee</w:t>
      </w:r>
      <w:r w:rsidR="00717D08" w:rsidRPr="00F7601D">
        <w:rPr>
          <w:rFonts w:cstheme="minorHAnsi"/>
          <w:lang w:val="en-GB"/>
        </w:rPr>
        <w:t xml:space="preserve"> </w:t>
      </w:r>
      <w:r w:rsidR="007969B4" w:rsidRPr="00F7601D">
        <w:rPr>
          <w:rFonts w:cstheme="minorHAnsi"/>
          <w:lang w:val="en-GB"/>
        </w:rPr>
        <w:t xml:space="preserve">based on negotiated eligibility criteria </w:t>
      </w:r>
      <w:r w:rsidR="00717D08" w:rsidRPr="00F7601D">
        <w:rPr>
          <w:rFonts w:cstheme="minorHAnsi"/>
          <w:lang w:val="en-GB"/>
        </w:rPr>
        <w:t xml:space="preserve">(which may </w:t>
      </w:r>
      <w:r w:rsidR="007969B4" w:rsidRPr="00F7601D">
        <w:rPr>
          <w:rFonts w:cstheme="minorHAnsi"/>
          <w:lang w:val="en-GB"/>
        </w:rPr>
        <w:t xml:space="preserve">include </w:t>
      </w:r>
      <w:r w:rsidR="00717D08" w:rsidRPr="00F7601D">
        <w:rPr>
          <w:rFonts w:cstheme="minorHAnsi"/>
          <w:lang w:val="en-GB"/>
        </w:rPr>
        <w:t xml:space="preserve">factors such as </w:t>
      </w:r>
      <w:r w:rsidR="007969B4" w:rsidRPr="00F7601D">
        <w:rPr>
          <w:rFonts w:cstheme="minorHAnsi"/>
          <w:lang w:val="en-GB"/>
        </w:rPr>
        <w:t>loan size, class of borrowers, level of assets, sector or project activity</w:t>
      </w:r>
      <w:r w:rsidR="00717D08" w:rsidRPr="00F7601D">
        <w:rPr>
          <w:rFonts w:cstheme="minorHAnsi"/>
          <w:lang w:val="en-GB"/>
        </w:rPr>
        <w:t>, etc.) and the forecast rate of default</w:t>
      </w:r>
      <w:r w:rsidR="001422EA" w:rsidRPr="00F7601D">
        <w:rPr>
          <w:rFonts w:cstheme="minorHAnsi"/>
          <w:lang w:val="en-GB"/>
        </w:rPr>
        <w:t>.</w:t>
      </w:r>
      <w:r w:rsidR="000C36CA" w:rsidRPr="00F7601D" w:rsidDel="000C36CA">
        <w:rPr>
          <w:rFonts w:cstheme="minorHAnsi"/>
          <w:lang w:val="en-GB"/>
        </w:rPr>
        <w:t xml:space="preserve"> </w:t>
      </w:r>
    </w:p>
    <w:p w14:paraId="4EED4A41" w14:textId="34BEAF2C" w:rsidR="007969B4" w:rsidRPr="00D03579" w:rsidRDefault="007969B4" w:rsidP="009E44B9">
      <w:pPr>
        <w:pStyle w:val="Heading1"/>
        <w:numPr>
          <w:ilvl w:val="0"/>
          <w:numId w:val="2"/>
        </w:numPr>
        <w:spacing w:before="480" w:after="240"/>
        <w:ind w:left="360"/>
        <w:rPr>
          <w:rFonts w:asciiTheme="minorHAnsi" w:eastAsia="Century Gothic" w:hAnsiTheme="minorHAnsi" w:cstheme="minorHAnsi"/>
          <w:color w:val="000000" w:themeColor="text1"/>
          <w:lang w:val="en-GB"/>
        </w:rPr>
      </w:pPr>
      <w:bookmarkStart w:id="44" w:name="_Toc2339907"/>
      <w:bookmarkStart w:id="45" w:name="_Toc121313767"/>
      <w:r w:rsidRPr="00D03579">
        <w:rPr>
          <w:rFonts w:asciiTheme="minorHAnsi" w:eastAsia="Century Gothic" w:hAnsiTheme="minorHAnsi" w:cstheme="minorHAnsi"/>
          <w:color w:val="000000" w:themeColor="text1"/>
          <w:lang w:val="en-GB"/>
        </w:rPr>
        <w:t xml:space="preserve">Types of Guarantees </w:t>
      </w:r>
      <w:r w:rsidR="00496F0D">
        <w:rPr>
          <w:rFonts w:asciiTheme="minorHAnsi" w:eastAsia="Century Gothic" w:hAnsiTheme="minorHAnsi" w:cstheme="minorHAnsi"/>
          <w:color w:val="000000" w:themeColor="text1"/>
          <w:lang w:val="en-GB"/>
        </w:rPr>
        <w:t>O</w:t>
      </w:r>
      <w:r w:rsidR="00451DD6" w:rsidRPr="00D03579">
        <w:rPr>
          <w:rFonts w:asciiTheme="minorHAnsi" w:eastAsia="Century Gothic" w:hAnsiTheme="minorHAnsi" w:cstheme="minorHAnsi"/>
          <w:color w:val="000000" w:themeColor="text1"/>
          <w:lang w:val="en-GB"/>
        </w:rPr>
        <w:t xml:space="preserve">ffered </w:t>
      </w:r>
      <w:r w:rsidR="00C01133" w:rsidRPr="00D03579">
        <w:rPr>
          <w:rFonts w:asciiTheme="minorHAnsi" w:eastAsia="Century Gothic" w:hAnsiTheme="minorHAnsi" w:cstheme="minorHAnsi"/>
          <w:color w:val="000000" w:themeColor="text1"/>
          <w:lang w:val="en-GB"/>
        </w:rPr>
        <w:t>by UNDP</w:t>
      </w:r>
      <w:bookmarkEnd w:id="44"/>
      <w:r w:rsidR="00451DD6" w:rsidRPr="00D03579">
        <w:rPr>
          <w:rFonts w:asciiTheme="minorHAnsi" w:eastAsia="Century Gothic" w:hAnsiTheme="minorHAnsi" w:cstheme="minorHAnsi"/>
          <w:color w:val="000000" w:themeColor="text1"/>
          <w:lang w:val="en-GB"/>
        </w:rPr>
        <w:t xml:space="preserve"> through Guarantee Issuers</w:t>
      </w:r>
      <w:bookmarkEnd w:id="45"/>
    </w:p>
    <w:p w14:paraId="2901DC15" w14:textId="466CF4F3" w:rsidR="007969B4" w:rsidRPr="00F928BA" w:rsidRDefault="007969B4" w:rsidP="009E5750">
      <w:pPr>
        <w:spacing w:after="200" w:line="276" w:lineRule="auto"/>
        <w:jc w:val="both"/>
        <w:rPr>
          <w:rFonts w:cstheme="minorHAnsi"/>
          <w:b/>
          <w:color w:val="000000" w:themeColor="text1"/>
        </w:rPr>
      </w:pPr>
      <w:r>
        <w:rPr>
          <w:rFonts w:cstheme="minorHAnsi"/>
        </w:rPr>
        <w:t>UNDP</w:t>
      </w:r>
      <w:r w:rsidRPr="003D4088">
        <w:rPr>
          <w:rFonts w:cstheme="minorHAnsi"/>
        </w:rPr>
        <w:t xml:space="preserve"> primarily offer</w:t>
      </w:r>
      <w:r>
        <w:rPr>
          <w:rFonts w:cstheme="minorHAnsi"/>
        </w:rPr>
        <w:t>s</w:t>
      </w:r>
      <w:r w:rsidRPr="003D4088">
        <w:rPr>
          <w:rFonts w:cstheme="minorHAnsi"/>
        </w:rPr>
        <w:t xml:space="preserve"> partial credit </w:t>
      </w:r>
      <w:r w:rsidR="00C5105A">
        <w:rPr>
          <w:rFonts w:cstheme="minorHAnsi"/>
        </w:rPr>
        <w:t xml:space="preserve">or loan </w:t>
      </w:r>
      <w:r w:rsidRPr="003D4088">
        <w:rPr>
          <w:rFonts w:cstheme="minorHAnsi"/>
        </w:rPr>
        <w:t>guarantees</w:t>
      </w:r>
      <w:r w:rsidR="001C6615">
        <w:rPr>
          <w:rFonts w:cstheme="minorHAnsi"/>
        </w:rPr>
        <w:t xml:space="preserve"> </w:t>
      </w:r>
      <w:r w:rsidR="001870B1">
        <w:rPr>
          <w:rFonts w:cstheme="minorHAnsi"/>
        </w:rPr>
        <w:t xml:space="preserve">(see </w:t>
      </w:r>
      <w:hyperlink w:anchor="_Credit_(Loan)_Guarantees" w:history="1">
        <w:r w:rsidR="001870B1" w:rsidRPr="001870B1">
          <w:rPr>
            <w:rStyle w:val="Hyperlink"/>
            <w:rFonts w:cstheme="minorHAnsi"/>
          </w:rPr>
          <w:t>Section 3.1</w:t>
        </w:r>
      </w:hyperlink>
      <w:r w:rsidR="001870B1">
        <w:rPr>
          <w:rFonts w:cstheme="minorHAnsi"/>
        </w:rPr>
        <w:t xml:space="preserve">) </w:t>
      </w:r>
      <w:r w:rsidR="00C87C90" w:rsidRPr="00C87C90">
        <w:rPr>
          <w:rFonts w:cstheme="minorHAnsi"/>
        </w:rPr>
        <w:t xml:space="preserve">with risk shared with co-guarantors (if any), lenders and borrowers (see </w:t>
      </w:r>
      <w:hyperlink w:anchor="_Target_specific_risks" w:history="1">
        <w:r w:rsidR="00664ABA" w:rsidRPr="00664ABA">
          <w:rPr>
            <w:rStyle w:val="Hyperlink"/>
            <w:rFonts w:cstheme="minorHAnsi"/>
          </w:rPr>
          <w:t>Section 2.4</w:t>
        </w:r>
      </w:hyperlink>
      <w:r w:rsidR="00664ABA">
        <w:rPr>
          <w:rFonts w:cstheme="minorHAnsi"/>
        </w:rPr>
        <w:t xml:space="preserve"> and </w:t>
      </w:r>
      <w:hyperlink w:anchor="_Risk_sharing_(Pari" w:history="1">
        <w:r w:rsidR="00664ABA" w:rsidRPr="00664ABA">
          <w:rPr>
            <w:rStyle w:val="Hyperlink"/>
            <w:rFonts w:cstheme="minorHAnsi"/>
          </w:rPr>
          <w:t>Section 4.7</w:t>
        </w:r>
      </w:hyperlink>
      <w:r w:rsidR="00C87C90" w:rsidRPr="00C87C90">
        <w:rPr>
          <w:rFonts w:cstheme="minorHAnsi"/>
        </w:rPr>
        <w:t>)</w:t>
      </w:r>
      <w:r w:rsidR="00C87C90">
        <w:rPr>
          <w:rFonts w:cstheme="minorHAnsi"/>
        </w:rPr>
        <w:t xml:space="preserve">, </w:t>
      </w:r>
      <w:r w:rsidR="001A2205">
        <w:rPr>
          <w:rFonts w:cstheme="minorHAnsi"/>
        </w:rPr>
        <w:t xml:space="preserve">that are </w:t>
      </w:r>
      <w:r w:rsidRPr="003D4088">
        <w:rPr>
          <w:rFonts w:cstheme="minorHAnsi"/>
        </w:rPr>
        <w:t xml:space="preserve">designed to target underserved sectors </w:t>
      </w:r>
      <w:r w:rsidR="007203B7">
        <w:rPr>
          <w:rFonts w:cstheme="minorHAnsi"/>
        </w:rPr>
        <w:t xml:space="preserve">in country or </w:t>
      </w:r>
      <w:r w:rsidRPr="003D4088">
        <w:rPr>
          <w:rFonts w:cstheme="minorHAnsi"/>
        </w:rPr>
        <w:t>across regions</w:t>
      </w:r>
      <w:r w:rsidRPr="00F928BA">
        <w:rPr>
          <w:rFonts w:cstheme="minorHAnsi"/>
        </w:rPr>
        <w:t xml:space="preserve"> an</w:t>
      </w:r>
      <w:r>
        <w:rPr>
          <w:rFonts w:cstheme="minorHAnsi"/>
        </w:rPr>
        <w:t>d specific root-cause barriers.</w:t>
      </w:r>
      <w:r w:rsidR="00C928DA">
        <w:rPr>
          <w:rFonts w:cstheme="minorHAnsi"/>
        </w:rPr>
        <w:t xml:space="preserve"> </w:t>
      </w:r>
      <w:r w:rsidR="000250F9" w:rsidRPr="000250F9">
        <w:rPr>
          <w:rFonts w:cstheme="minorHAnsi"/>
        </w:rPr>
        <w:t xml:space="preserve">UNDP can also offer procurement guarantees, where UNDP and/or funding partners may wish to underwrite various parts of </w:t>
      </w:r>
      <w:r w:rsidR="000250F9" w:rsidRPr="000250F9">
        <w:rPr>
          <w:rFonts w:cstheme="minorHAnsi"/>
        </w:rPr>
        <w:lastRenderedPageBreak/>
        <w:t>the procurement supply chain</w:t>
      </w:r>
      <w:r w:rsidR="007B1490">
        <w:rPr>
          <w:rFonts w:cstheme="minorHAnsi"/>
        </w:rPr>
        <w:t xml:space="preserve"> (see </w:t>
      </w:r>
      <w:hyperlink w:anchor="_Procurement_Guarantees_1" w:history="1">
        <w:r w:rsidR="00FB1229" w:rsidRPr="00FB1229">
          <w:rPr>
            <w:rStyle w:val="Hyperlink"/>
            <w:rFonts w:cstheme="minorHAnsi"/>
          </w:rPr>
          <w:t>Section 3.2</w:t>
        </w:r>
      </w:hyperlink>
      <w:r w:rsidR="007B1490">
        <w:rPr>
          <w:rFonts w:cstheme="minorHAnsi"/>
        </w:rPr>
        <w:t>)</w:t>
      </w:r>
      <w:r w:rsidR="000250F9" w:rsidRPr="000250F9">
        <w:rPr>
          <w:rFonts w:cstheme="minorHAnsi"/>
        </w:rPr>
        <w:t>.</w:t>
      </w:r>
      <w:r w:rsidR="007B1490">
        <w:rPr>
          <w:rFonts w:cstheme="minorHAnsi"/>
        </w:rPr>
        <w:t xml:space="preserve"> </w:t>
      </w:r>
      <w:r w:rsidR="00FF065F">
        <w:rPr>
          <w:rFonts w:cstheme="minorHAnsi"/>
        </w:rPr>
        <w:t xml:space="preserve">Cognizant of the disparate needs on the ground, </w:t>
      </w:r>
      <w:r w:rsidR="009B120B">
        <w:rPr>
          <w:rFonts w:cstheme="minorHAnsi"/>
        </w:rPr>
        <w:t xml:space="preserve">different types of guarantees are presented </w:t>
      </w:r>
      <w:r w:rsidR="00517FB6">
        <w:rPr>
          <w:rFonts w:cstheme="minorHAnsi"/>
        </w:rPr>
        <w:t xml:space="preserve">to illustrate the different scenarios in which </w:t>
      </w:r>
      <w:r w:rsidR="007B0C6F">
        <w:rPr>
          <w:rFonts w:cstheme="minorHAnsi"/>
        </w:rPr>
        <w:t xml:space="preserve">UNDP-supported </w:t>
      </w:r>
      <w:r w:rsidR="00517FB6">
        <w:rPr>
          <w:rFonts w:cstheme="minorHAnsi"/>
        </w:rPr>
        <w:t>guarantees can be used</w:t>
      </w:r>
      <w:r w:rsidR="009B120B">
        <w:rPr>
          <w:rFonts w:cstheme="minorHAnsi"/>
        </w:rPr>
        <w:t>. T</w:t>
      </w:r>
      <w:r w:rsidR="00FF065F" w:rsidRPr="00FF065F">
        <w:rPr>
          <w:rFonts w:cstheme="minorHAnsi"/>
        </w:rPr>
        <w:t xml:space="preserve">he use of </w:t>
      </w:r>
      <w:r w:rsidR="007B0C6F">
        <w:rPr>
          <w:rFonts w:cstheme="minorHAnsi"/>
        </w:rPr>
        <w:t xml:space="preserve">UNDP-supported </w:t>
      </w:r>
      <w:r w:rsidR="001C6615">
        <w:rPr>
          <w:rFonts w:cstheme="minorHAnsi"/>
        </w:rPr>
        <w:t>guarantee</w:t>
      </w:r>
      <w:r w:rsidR="00FF065F" w:rsidRPr="00FF065F">
        <w:rPr>
          <w:rFonts w:cstheme="minorHAnsi"/>
        </w:rPr>
        <w:t xml:space="preserve"> instruments can be modified and tailored to address a particular project’s financing needs. </w:t>
      </w:r>
    </w:p>
    <w:p w14:paraId="4764EB3F" w14:textId="2ACAF11E" w:rsidR="002D555B" w:rsidRPr="001A2205" w:rsidRDefault="007969B4" w:rsidP="00E26E2C">
      <w:pPr>
        <w:pStyle w:val="Heading2"/>
        <w:numPr>
          <w:ilvl w:val="1"/>
          <w:numId w:val="2"/>
        </w:numPr>
        <w:spacing w:before="0" w:after="160"/>
        <w:ind w:left="540" w:hanging="540"/>
        <w:rPr>
          <w:rFonts w:cstheme="minorHAnsi"/>
          <w:b/>
        </w:rPr>
      </w:pPr>
      <w:bookmarkStart w:id="46" w:name="_Credit_(Loan)_Guarantees"/>
      <w:bookmarkStart w:id="47" w:name="_Toc2339908"/>
      <w:bookmarkStart w:id="48" w:name="_Toc121313768"/>
      <w:bookmarkEnd w:id="46"/>
      <w:r w:rsidRPr="00D03579">
        <w:rPr>
          <w:rStyle w:val="Heading2Char"/>
          <w:b/>
          <w:color w:val="000000" w:themeColor="text1"/>
          <w:sz w:val="24"/>
          <w:szCs w:val="24"/>
        </w:rPr>
        <w:t>Credit</w:t>
      </w:r>
      <w:r w:rsidR="00FF065F" w:rsidRPr="00D03579">
        <w:rPr>
          <w:rStyle w:val="Heading2Char"/>
          <w:b/>
          <w:color w:val="000000" w:themeColor="text1"/>
          <w:sz w:val="24"/>
          <w:szCs w:val="24"/>
        </w:rPr>
        <w:t xml:space="preserve"> (Loan)</w:t>
      </w:r>
      <w:r w:rsidRPr="00D03579">
        <w:rPr>
          <w:rStyle w:val="Heading2Char"/>
          <w:b/>
          <w:color w:val="000000" w:themeColor="text1"/>
          <w:sz w:val="24"/>
          <w:szCs w:val="24"/>
        </w:rPr>
        <w:t xml:space="preserve"> Guarantees</w:t>
      </w:r>
      <w:bookmarkEnd w:id="47"/>
      <w:bookmarkEnd w:id="48"/>
      <w:r w:rsidRPr="001A2205">
        <w:rPr>
          <w:rFonts w:cstheme="minorHAnsi"/>
          <w:b/>
        </w:rPr>
        <w:t xml:space="preserve">  </w:t>
      </w:r>
    </w:p>
    <w:p w14:paraId="05A19B0B" w14:textId="6EE68ABF" w:rsidR="007969B4" w:rsidRPr="000342F7" w:rsidRDefault="00FF065F" w:rsidP="00230902">
      <w:pPr>
        <w:spacing w:line="276" w:lineRule="auto"/>
        <w:jc w:val="both"/>
        <w:rPr>
          <w:rFonts w:cstheme="minorHAnsi"/>
        </w:rPr>
      </w:pPr>
      <w:r>
        <w:rPr>
          <w:rFonts w:cstheme="minorHAnsi"/>
        </w:rPr>
        <w:t xml:space="preserve">Credit or loan guarantees are used for </w:t>
      </w:r>
      <w:r w:rsidRPr="00FF065F">
        <w:rPr>
          <w:rFonts w:cstheme="minorHAnsi"/>
        </w:rPr>
        <w:t xml:space="preserve">specific credit enhancement purposes in cases where the borrower, lender, and uses of loan proceeds are known. </w:t>
      </w:r>
      <w:r w:rsidR="007969B4" w:rsidRPr="000342F7">
        <w:rPr>
          <w:rFonts w:cstheme="minorHAnsi"/>
        </w:rPr>
        <w:t>Credit guarantees cover losses in the event of a default on debt. Credit guarantees can be further classified into:</w:t>
      </w:r>
    </w:p>
    <w:p w14:paraId="23C5AF98" w14:textId="1D65C27E" w:rsidR="007969B4" w:rsidRPr="00F730D3" w:rsidRDefault="007969B4" w:rsidP="00E26E2C">
      <w:pPr>
        <w:pStyle w:val="ListParagraph"/>
        <w:numPr>
          <w:ilvl w:val="0"/>
          <w:numId w:val="14"/>
        </w:numPr>
        <w:spacing w:line="276" w:lineRule="auto"/>
        <w:ind w:left="907"/>
        <w:contextualSpacing w:val="0"/>
        <w:jc w:val="both"/>
        <w:rPr>
          <w:rFonts w:cstheme="minorHAnsi"/>
        </w:rPr>
      </w:pPr>
      <w:r w:rsidRPr="00230902">
        <w:rPr>
          <w:rFonts w:cstheme="minorHAnsi"/>
          <w:b/>
        </w:rPr>
        <w:t>Partial credit guarantees (PCGs):</w:t>
      </w:r>
      <w:r w:rsidRPr="00F730D3">
        <w:rPr>
          <w:rFonts w:cstheme="minorHAnsi"/>
          <w:i/>
        </w:rPr>
        <w:t xml:space="preserve">  </w:t>
      </w:r>
      <w:r w:rsidRPr="00F730D3">
        <w:rPr>
          <w:rFonts w:cstheme="minorHAnsi"/>
        </w:rPr>
        <w:t xml:space="preserve">Partial credit guarantees cover part of the losses on debt payment. The guarantee coverage can be structured flexibly, effectively sharing the credit risk between the lender and the guarantor. </w:t>
      </w:r>
      <w:r w:rsidR="00135A02">
        <w:rPr>
          <w:rFonts w:cstheme="minorHAnsi"/>
        </w:rPr>
        <w:t xml:space="preserve">UNDP can offer PCGs. </w:t>
      </w:r>
      <w:r w:rsidRPr="00F730D3">
        <w:rPr>
          <w:rFonts w:cstheme="minorHAnsi"/>
        </w:rPr>
        <w:t>An example of where UNDP can use PCGs would be through GCF/GEF funded projects</w:t>
      </w:r>
      <w:r w:rsidR="003638A5">
        <w:rPr>
          <w:rFonts w:cstheme="minorHAnsi"/>
        </w:rPr>
        <w:t xml:space="preserve">, where it </w:t>
      </w:r>
      <w:r w:rsidRPr="00F730D3">
        <w:rPr>
          <w:rFonts w:cstheme="minorHAnsi"/>
        </w:rPr>
        <w:t xml:space="preserve">can </w:t>
      </w:r>
      <w:r w:rsidR="00F05D76">
        <w:rPr>
          <w:rFonts w:cstheme="minorHAnsi"/>
        </w:rPr>
        <w:t>offer</w:t>
      </w:r>
      <w:r w:rsidRPr="00F730D3">
        <w:rPr>
          <w:rFonts w:cstheme="minorHAnsi"/>
        </w:rPr>
        <w:t xml:space="preserve"> PCGs as temporary mechanisms to incentivize lenders to start lending in particular sectors (e.g. climate or green energy) until the sector can stand alone</w:t>
      </w:r>
      <w:r w:rsidR="003F3A89">
        <w:rPr>
          <w:rFonts w:cstheme="minorHAnsi"/>
        </w:rPr>
        <w:t xml:space="preserve"> and</w:t>
      </w:r>
      <w:r w:rsidRPr="00F730D3">
        <w:rPr>
          <w:rFonts w:cstheme="minorHAnsi"/>
        </w:rPr>
        <w:t>, lenders are better able to price their risks and the guarantees are no longer needed.</w:t>
      </w:r>
    </w:p>
    <w:p w14:paraId="71EE0F57" w14:textId="189EDDFE" w:rsidR="009F34A3" w:rsidRDefault="007969B4" w:rsidP="00E26E2C">
      <w:pPr>
        <w:pStyle w:val="ListParagraph"/>
        <w:numPr>
          <w:ilvl w:val="0"/>
          <w:numId w:val="14"/>
        </w:numPr>
        <w:spacing w:line="276" w:lineRule="auto"/>
        <w:ind w:left="907"/>
        <w:contextualSpacing w:val="0"/>
        <w:jc w:val="both"/>
        <w:rPr>
          <w:rFonts w:cstheme="minorHAnsi"/>
        </w:rPr>
      </w:pPr>
      <w:r w:rsidRPr="009E5750">
        <w:rPr>
          <w:rFonts w:cstheme="minorHAnsi"/>
          <w:b/>
        </w:rPr>
        <w:t>Full credit guarantees (Wrap guarantees</w:t>
      </w:r>
      <w:r w:rsidR="00F91763">
        <w:rPr>
          <w:rFonts w:cstheme="minorHAnsi"/>
          <w:b/>
        </w:rPr>
        <w:t>)</w:t>
      </w:r>
      <w:r w:rsidRPr="009E5750">
        <w:rPr>
          <w:rFonts w:cstheme="minorHAnsi"/>
          <w:b/>
        </w:rPr>
        <w:t>:</w:t>
      </w:r>
      <w:r w:rsidRPr="00F730D3">
        <w:rPr>
          <w:rFonts w:cstheme="minorHAnsi"/>
          <w:i/>
        </w:rPr>
        <w:t xml:space="preserve">  </w:t>
      </w:r>
      <w:r w:rsidRPr="00F730D3">
        <w:rPr>
          <w:rFonts w:cstheme="minorHAnsi"/>
        </w:rPr>
        <w:t xml:space="preserve">Full credit guarantees cover the entire debt in the event of a </w:t>
      </w:r>
      <w:r w:rsidR="006F57FC" w:rsidRPr="00F730D3">
        <w:rPr>
          <w:rFonts w:cstheme="minorHAnsi"/>
        </w:rPr>
        <w:t>default</w:t>
      </w:r>
      <w:r w:rsidR="006F57FC">
        <w:rPr>
          <w:rFonts w:cstheme="minorHAnsi"/>
        </w:rPr>
        <w:t xml:space="preserve"> and</w:t>
      </w:r>
      <w:r w:rsidR="00E92BA5">
        <w:rPr>
          <w:rFonts w:cstheme="minorHAnsi"/>
        </w:rPr>
        <w:t xml:space="preserve"> </w:t>
      </w:r>
      <w:r w:rsidR="005963A2" w:rsidRPr="009358C0">
        <w:rPr>
          <w:rFonts w:cstheme="minorHAnsi"/>
          <w:b/>
          <w:bCs/>
        </w:rPr>
        <w:t xml:space="preserve">cannot be </w:t>
      </w:r>
      <w:r w:rsidR="006B1AE8" w:rsidRPr="009358C0">
        <w:rPr>
          <w:rFonts w:cstheme="minorHAnsi"/>
          <w:b/>
          <w:bCs/>
        </w:rPr>
        <w:t xml:space="preserve">offered </w:t>
      </w:r>
      <w:r w:rsidR="005963A2" w:rsidRPr="009358C0">
        <w:rPr>
          <w:rFonts w:cstheme="minorHAnsi"/>
          <w:b/>
          <w:bCs/>
        </w:rPr>
        <w:t xml:space="preserve">by </w:t>
      </w:r>
      <w:r w:rsidRPr="009358C0">
        <w:rPr>
          <w:rFonts w:cstheme="minorHAnsi"/>
          <w:b/>
          <w:bCs/>
        </w:rPr>
        <w:t>UNDP.</w:t>
      </w:r>
      <w:r w:rsidRPr="00F730D3">
        <w:rPr>
          <w:rFonts w:cstheme="minorHAnsi"/>
        </w:rPr>
        <w:t xml:space="preserve"> </w:t>
      </w:r>
    </w:p>
    <w:p w14:paraId="54CF747D" w14:textId="0975E20C" w:rsidR="00E43D58" w:rsidRDefault="009F34A3" w:rsidP="00E26E2C">
      <w:pPr>
        <w:pStyle w:val="ListParagraph"/>
        <w:numPr>
          <w:ilvl w:val="0"/>
          <w:numId w:val="14"/>
        </w:numPr>
        <w:spacing w:line="276" w:lineRule="auto"/>
        <w:ind w:left="907"/>
        <w:contextualSpacing w:val="0"/>
        <w:jc w:val="both"/>
        <w:rPr>
          <w:rFonts w:cstheme="minorHAnsi"/>
        </w:rPr>
      </w:pPr>
      <w:r w:rsidRPr="00ED7D61">
        <w:rPr>
          <w:rFonts w:cstheme="minorHAnsi"/>
          <w:b/>
        </w:rPr>
        <w:t>Loan portfolio guarantees:</w:t>
      </w:r>
      <w:r w:rsidRPr="009F34A3">
        <w:rPr>
          <w:rFonts w:cstheme="minorHAnsi"/>
        </w:rPr>
        <w:t xml:space="preserve"> Provided to financial institutions with partial coverage on a portfolio of loans that they provide to their customers. UNDP can agree to share in the risk of the bank loans, with a goal to encourage local banks to extend credit to an underserved sector. The individual borrowers under </w:t>
      </w:r>
      <w:r>
        <w:rPr>
          <w:rFonts w:cstheme="minorHAnsi"/>
        </w:rPr>
        <w:t>loan portfolio guarantees</w:t>
      </w:r>
      <w:r w:rsidRPr="009F34A3">
        <w:rPr>
          <w:rFonts w:cstheme="minorHAnsi"/>
        </w:rPr>
        <w:t xml:space="preserve"> are not predetermined at the time the Guarantee Agreement is signed, but the borrowers must fall within a pre-agreed definition of “Eligible Borrowers,” such as borrowers that are small businesses operating in a specific geographic area</w:t>
      </w:r>
      <w:r>
        <w:rPr>
          <w:rFonts w:cstheme="minorHAnsi"/>
        </w:rPr>
        <w:t xml:space="preserve"> or sector</w:t>
      </w:r>
      <w:r w:rsidRPr="009F34A3">
        <w:rPr>
          <w:rFonts w:cstheme="minorHAnsi"/>
        </w:rPr>
        <w:t xml:space="preserve">. </w:t>
      </w:r>
    </w:p>
    <w:p w14:paraId="35B4D13A" w14:textId="0A81849C" w:rsidR="008701B9" w:rsidRDefault="008701B9" w:rsidP="00E26E2C">
      <w:pPr>
        <w:pStyle w:val="ListParagraph"/>
        <w:numPr>
          <w:ilvl w:val="0"/>
          <w:numId w:val="14"/>
        </w:numPr>
        <w:spacing w:line="276" w:lineRule="auto"/>
        <w:ind w:left="907"/>
        <w:jc w:val="both"/>
        <w:rPr>
          <w:rFonts w:cstheme="minorHAnsi"/>
        </w:rPr>
      </w:pPr>
      <w:r>
        <w:rPr>
          <w:rFonts w:cstheme="minorHAnsi"/>
          <w:b/>
        </w:rPr>
        <w:t>Portable guarantees:</w:t>
      </w:r>
      <w:r>
        <w:rPr>
          <w:rFonts w:cstheme="minorHAnsi"/>
        </w:rPr>
        <w:t xml:space="preserve"> The </w:t>
      </w:r>
      <w:r w:rsidR="003368DF">
        <w:rPr>
          <w:rFonts w:cstheme="minorHAnsi"/>
        </w:rPr>
        <w:t xml:space="preserve">portable </w:t>
      </w:r>
      <w:r>
        <w:rPr>
          <w:rFonts w:cstheme="minorHAnsi"/>
        </w:rPr>
        <w:t xml:space="preserve">guarantee is used when the borrower is known and </w:t>
      </w:r>
      <w:r w:rsidR="00A4082E">
        <w:rPr>
          <w:rFonts w:cstheme="minorHAnsi"/>
        </w:rPr>
        <w:t>eligible,</w:t>
      </w:r>
      <w:r>
        <w:rPr>
          <w:rFonts w:cstheme="minorHAnsi"/>
        </w:rPr>
        <w:t xml:space="preserve"> but the lender is unknown—it </w:t>
      </w:r>
      <w:r w:rsidRPr="008701B9">
        <w:rPr>
          <w:rFonts w:cstheme="minorHAnsi"/>
        </w:rPr>
        <w:t>provides an identified potential borrower with a letter of guarantee commitment through which the borrower may seek the most advantageous terms from the lo</w:t>
      </w:r>
      <w:r>
        <w:rPr>
          <w:rFonts w:cstheme="minorHAnsi"/>
        </w:rPr>
        <w:t xml:space="preserve">cal financial market. Through this instrument, </w:t>
      </w:r>
      <w:r w:rsidRPr="008701B9">
        <w:rPr>
          <w:rFonts w:cstheme="minorHAnsi"/>
        </w:rPr>
        <w:t xml:space="preserve">a minimum credit rating </w:t>
      </w:r>
      <w:r>
        <w:rPr>
          <w:rFonts w:cstheme="minorHAnsi"/>
        </w:rPr>
        <w:t xml:space="preserve">can </w:t>
      </w:r>
      <w:r w:rsidR="00921D2A">
        <w:rPr>
          <w:rFonts w:cstheme="minorHAnsi"/>
        </w:rPr>
        <w:t xml:space="preserve">be </w:t>
      </w:r>
      <w:r w:rsidR="00921D2A" w:rsidRPr="008701B9">
        <w:rPr>
          <w:rFonts w:cstheme="minorHAnsi"/>
        </w:rPr>
        <w:t>established</w:t>
      </w:r>
      <w:r w:rsidRPr="008701B9">
        <w:rPr>
          <w:rFonts w:cstheme="minorHAnsi"/>
        </w:rPr>
        <w:t>, and the risk calculation cost</w:t>
      </w:r>
      <w:r>
        <w:rPr>
          <w:rFonts w:cstheme="minorHAnsi"/>
        </w:rPr>
        <w:t>s (to the borrower)</w:t>
      </w:r>
      <w:r w:rsidRPr="008701B9">
        <w:rPr>
          <w:rFonts w:cstheme="minorHAnsi"/>
        </w:rPr>
        <w:t xml:space="preserve"> are based on the assumption that the eventual lender </w:t>
      </w:r>
      <w:r>
        <w:rPr>
          <w:rFonts w:cstheme="minorHAnsi"/>
        </w:rPr>
        <w:t>is equally creditworthy.</w:t>
      </w:r>
    </w:p>
    <w:p w14:paraId="74CB7489" w14:textId="77777777" w:rsidR="008701B9" w:rsidRPr="008701B9" w:rsidRDefault="008701B9" w:rsidP="00ED7D61">
      <w:pPr>
        <w:pStyle w:val="ListParagraph"/>
        <w:spacing w:line="276" w:lineRule="auto"/>
        <w:ind w:left="907"/>
        <w:jc w:val="both"/>
        <w:rPr>
          <w:rFonts w:cstheme="minorHAnsi"/>
        </w:rPr>
      </w:pPr>
    </w:p>
    <w:p w14:paraId="3C429D23" w14:textId="25C90C0C" w:rsidR="009F34A3" w:rsidRDefault="00D15368" w:rsidP="00E26E2C">
      <w:pPr>
        <w:pStyle w:val="ListParagraph"/>
        <w:numPr>
          <w:ilvl w:val="0"/>
          <w:numId w:val="14"/>
        </w:numPr>
        <w:spacing w:line="276" w:lineRule="auto"/>
        <w:ind w:left="907"/>
        <w:contextualSpacing w:val="0"/>
        <w:jc w:val="both"/>
        <w:rPr>
          <w:rFonts w:cstheme="minorHAnsi"/>
        </w:rPr>
      </w:pPr>
      <w:r w:rsidRPr="00ED7D61">
        <w:rPr>
          <w:rFonts w:cstheme="minorHAnsi"/>
          <w:b/>
        </w:rPr>
        <w:t>Bond guarantees</w:t>
      </w:r>
      <w:r w:rsidR="00E43D58" w:rsidRPr="00E43D58">
        <w:rPr>
          <w:rFonts w:cstheme="minorHAnsi"/>
        </w:rPr>
        <w:t xml:space="preserve">: </w:t>
      </w:r>
      <w:r w:rsidR="00E43D58">
        <w:rPr>
          <w:rFonts w:cstheme="minorHAnsi"/>
        </w:rPr>
        <w:t xml:space="preserve">Bond guarantees </w:t>
      </w:r>
      <w:r w:rsidR="00E43D58" w:rsidRPr="00E43D58">
        <w:rPr>
          <w:rFonts w:cstheme="minorHAnsi"/>
        </w:rPr>
        <w:t xml:space="preserve">support the issuance of bonds by financial institutions, private sector corporations, or sub-national entities. The </w:t>
      </w:r>
      <w:r w:rsidR="00501D6D">
        <w:rPr>
          <w:rFonts w:cstheme="minorHAnsi"/>
        </w:rPr>
        <w:t xml:space="preserve">use of proceeds, or </w:t>
      </w:r>
      <w:r w:rsidR="00E43D58" w:rsidRPr="00E43D58">
        <w:rPr>
          <w:rFonts w:cstheme="minorHAnsi"/>
        </w:rPr>
        <w:t>funds generat</w:t>
      </w:r>
      <w:r w:rsidR="00E43D58">
        <w:rPr>
          <w:rFonts w:cstheme="minorHAnsi"/>
        </w:rPr>
        <w:t>ed from the bond issuance can</w:t>
      </w:r>
      <w:r w:rsidR="00501D6D">
        <w:rPr>
          <w:rFonts w:cstheme="minorHAnsi"/>
        </w:rPr>
        <w:t xml:space="preserve"> be</w:t>
      </w:r>
      <w:r w:rsidR="00E43D58">
        <w:rPr>
          <w:rFonts w:cstheme="minorHAnsi"/>
        </w:rPr>
        <w:t xml:space="preserve"> </w:t>
      </w:r>
      <w:r w:rsidR="00501D6D">
        <w:rPr>
          <w:rFonts w:cstheme="minorHAnsi"/>
        </w:rPr>
        <w:t>tied to development goals, a</w:t>
      </w:r>
      <w:r w:rsidR="00E43D58" w:rsidRPr="00E43D58">
        <w:rPr>
          <w:rFonts w:cstheme="minorHAnsi"/>
        </w:rPr>
        <w:t>ssist</w:t>
      </w:r>
      <w:r w:rsidR="00501D6D">
        <w:rPr>
          <w:rFonts w:cstheme="minorHAnsi"/>
        </w:rPr>
        <w:t>ing</w:t>
      </w:r>
      <w:r w:rsidR="00E43D58" w:rsidRPr="00E43D58">
        <w:rPr>
          <w:rFonts w:cstheme="minorHAnsi"/>
        </w:rPr>
        <w:t xml:space="preserve"> in raising local funds to </w:t>
      </w:r>
      <w:r w:rsidR="00E43D58" w:rsidRPr="00E43D58">
        <w:rPr>
          <w:rFonts w:cstheme="minorHAnsi"/>
        </w:rPr>
        <w:lastRenderedPageBreak/>
        <w:t xml:space="preserve">initiate </w:t>
      </w:r>
      <w:r w:rsidR="00501D6D">
        <w:rPr>
          <w:rFonts w:cstheme="minorHAnsi"/>
        </w:rPr>
        <w:t>resilient</w:t>
      </w:r>
      <w:r w:rsidR="00E43D58" w:rsidRPr="00E43D58">
        <w:rPr>
          <w:rFonts w:cstheme="minorHAnsi"/>
        </w:rPr>
        <w:t xml:space="preserve"> infrastructure projects, which require substantial upfront</w:t>
      </w:r>
      <w:r w:rsidR="00501D6D">
        <w:rPr>
          <w:rFonts w:cstheme="minorHAnsi"/>
        </w:rPr>
        <w:t xml:space="preserve"> capital investments. The </w:t>
      </w:r>
      <w:r w:rsidR="001172C5">
        <w:rPr>
          <w:rFonts w:cstheme="minorHAnsi"/>
        </w:rPr>
        <w:t xml:space="preserve">bond </w:t>
      </w:r>
      <w:r w:rsidR="00501D6D">
        <w:rPr>
          <w:rFonts w:cstheme="minorHAnsi"/>
        </w:rPr>
        <w:t xml:space="preserve">guarantor commits to paying the interest or principal in the event of default of the issuer. It can </w:t>
      </w:r>
      <w:r w:rsidR="00E43D58" w:rsidRPr="00E43D58">
        <w:rPr>
          <w:rFonts w:cstheme="minorHAnsi"/>
        </w:rPr>
        <w:t xml:space="preserve">be used to encourage the development of bond issuances in less sophisticated markets. </w:t>
      </w:r>
    </w:p>
    <w:p w14:paraId="62931ACF" w14:textId="4C4A5EE3" w:rsidR="00314EF9" w:rsidRDefault="00E42902" w:rsidP="00E26E2C">
      <w:pPr>
        <w:pStyle w:val="ListParagraph"/>
        <w:numPr>
          <w:ilvl w:val="0"/>
          <w:numId w:val="14"/>
        </w:numPr>
        <w:spacing w:line="276" w:lineRule="auto"/>
        <w:ind w:left="907"/>
        <w:contextualSpacing w:val="0"/>
        <w:jc w:val="both"/>
        <w:rPr>
          <w:rFonts w:cstheme="minorHAnsi"/>
        </w:rPr>
      </w:pPr>
      <w:r w:rsidRPr="00ED7D61">
        <w:rPr>
          <w:rFonts w:cstheme="minorHAnsi"/>
          <w:b/>
        </w:rPr>
        <w:t>Loan buy-downs</w:t>
      </w:r>
      <w:r w:rsidR="00314EF9" w:rsidRPr="00ED7D61">
        <w:rPr>
          <w:rFonts w:cstheme="minorHAnsi"/>
          <w:b/>
        </w:rPr>
        <w:t>:</w:t>
      </w:r>
      <w:r w:rsidR="00314EF9" w:rsidRPr="00485A81">
        <w:rPr>
          <w:rFonts w:cstheme="minorHAnsi"/>
        </w:rPr>
        <w:t xml:space="preserve"> In a buy-down arrangement, a </w:t>
      </w:r>
      <w:r w:rsidR="0061732B">
        <w:rPr>
          <w:rFonts w:cstheme="minorHAnsi"/>
        </w:rPr>
        <w:t>f</w:t>
      </w:r>
      <w:r w:rsidR="00D33FF6">
        <w:rPr>
          <w:rFonts w:cstheme="minorHAnsi"/>
        </w:rPr>
        <w:t>unding</w:t>
      </w:r>
      <w:r w:rsidR="0061732B">
        <w:rPr>
          <w:rFonts w:cstheme="minorHAnsi"/>
        </w:rPr>
        <w:t xml:space="preserve"> partner </w:t>
      </w:r>
      <w:r w:rsidR="00314EF9" w:rsidRPr="00485A81">
        <w:rPr>
          <w:rFonts w:cstheme="minorHAnsi"/>
        </w:rPr>
        <w:t>commits to paying off (“buy</w:t>
      </w:r>
      <w:r w:rsidR="00314EF9" w:rsidRPr="00B66C24">
        <w:rPr>
          <w:rFonts w:cstheme="minorHAnsi"/>
        </w:rPr>
        <w:t xml:space="preserve">ing down”) part or all of the principal and/or interest of a </w:t>
      </w:r>
      <w:r w:rsidR="00314EF9" w:rsidRPr="008701B9">
        <w:rPr>
          <w:rFonts w:cstheme="minorHAnsi"/>
        </w:rPr>
        <w:t xml:space="preserve">loan, thereby increasing the </w:t>
      </w:r>
      <w:r w:rsidR="00734748" w:rsidRPr="008701B9">
        <w:rPr>
          <w:rFonts w:cstheme="minorHAnsi"/>
        </w:rPr>
        <w:t>concessionally</w:t>
      </w:r>
      <w:r w:rsidR="00314EF9" w:rsidRPr="008701B9">
        <w:rPr>
          <w:rFonts w:cstheme="minorHAnsi"/>
        </w:rPr>
        <w:t xml:space="preserve">, or grant element, of the loan. In other words, a buy-down is an instrument that serves to blend loans and grants. </w:t>
      </w:r>
      <w:r w:rsidR="00314EF9" w:rsidRPr="009358C0">
        <w:rPr>
          <w:rFonts w:cstheme="minorHAnsi"/>
          <w:b/>
          <w:bCs/>
        </w:rPr>
        <w:t>A tripartite agreement</w:t>
      </w:r>
      <w:r w:rsidR="005F5A7A" w:rsidRPr="009358C0">
        <w:rPr>
          <w:rFonts w:cstheme="minorHAnsi"/>
          <w:b/>
          <w:bCs/>
        </w:rPr>
        <w:t xml:space="preserve"> between the lender</w:t>
      </w:r>
      <w:r w:rsidR="00314EF9" w:rsidRPr="009358C0">
        <w:rPr>
          <w:rFonts w:cstheme="minorHAnsi"/>
          <w:b/>
          <w:bCs/>
        </w:rPr>
        <w:t xml:space="preserve">, the borrower, and the </w:t>
      </w:r>
      <w:r w:rsidR="005E2091" w:rsidRPr="009358C0">
        <w:rPr>
          <w:rFonts w:cstheme="minorHAnsi"/>
          <w:b/>
          <w:bCs/>
        </w:rPr>
        <w:t>f</w:t>
      </w:r>
      <w:r w:rsidR="00D33FF6" w:rsidRPr="009358C0">
        <w:rPr>
          <w:rFonts w:cstheme="minorHAnsi"/>
          <w:b/>
          <w:bCs/>
        </w:rPr>
        <w:t>unding</w:t>
      </w:r>
      <w:r w:rsidR="005E2091" w:rsidRPr="009358C0">
        <w:rPr>
          <w:rFonts w:cstheme="minorHAnsi"/>
          <w:b/>
          <w:bCs/>
        </w:rPr>
        <w:t xml:space="preserve"> partner</w:t>
      </w:r>
      <w:r w:rsidR="00314EF9" w:rsidRPr="009358C0">
        <w:rPr>
          <w:rFonts w:cstheme="minorHAnsi"/>
          <w:b/>
          <w:bCs/>
        </w:rPr>
        <w:t xml:space="preserve"> willing to pay all or part of the loans provided</w:t>
      </w:r>
      <w:r w:rsidR="00734748" w:rsidRPr="009358C0">
        <w:rPr>
          <w:rFonts w:cstheme="minorHAnsi"/>
          <w:b/>
          <w:bCs/>
        </w:rPr>
        <w:t xml:space="preserve"> is signed</w:t>
      </w:r>
      <w:r w:rsidR="00314EF9" w:rsidRPr="009358C0">
        <w:rPr>
          <w:rFonts w:cstheme="minorHAnsi"/>
          <w:b/>
          <w:bCs/>
        </w:rPr>
        <w:t>.</w:t>
      </w:r>
      <w:r w:rsidR="00314EF9" w:rsidRPr="008701B9">
        <w:rPr>
          <w:rFonts w:cstheme="minorHAnsi"/>
        </w:rPr>
        <w:t xml:space="preserve"> </w:t>
      </w:r>
      <w:r w:rsidR="00B547BC">
        <w:rPr>
          <w:rFonts w:cstheme="minorHAnsi"/>
        </w:rPr>
        <w:t>These arrangements are o</w:t>
      </w:r>
      <w:r w:rsidR="00314EF9" w:rsidRPr="008701B9">
        <w:rPr>
          <w:rFonts w:cstheme="minorHAnsi"/>
        </w:rPr>
        <w:t>ften</w:t>
      </w:r>
      <w:r w:rsidR="00875C2F">
        <w:rPr>
          <w:rFonts w:cstheme="minorHAnsi"/>
        </w:rPr>
        <w:t xml:space="preserve"> </w:t>
      </w:r>
      <w:r w:rsidR="00314EF9" w:rsidRPr="008701B9">
        <w:rPr>
          <w:rFonts w:cstheme="minorHAnsi"/>
        </w:rPr>
        <w:t>tied to pre-agreed performance objectives to encourage investing or programming in a certain sector or geography.</w:t>
      </w:r>
    </w:p>
    <w:p w14:paraId="13D0725C" w14:textId="77777777" w:rsidR="00EA18D0" w:rsidRPr="00EA18D0" w:rsidRDefault="00EA18D0" w:rsidP="005A2079">
      <w:pPr>
        <w:spacing w:after="0" w:line="276" w:lineRule="auto"/>
        <w:jc w:val="both"/>
        <w:rPr>
          <w:rFonts w:cstheme="minorHAnsi"/>
        </w:rPr>
      </w:pPr>
    </w:p>
    <w:p w14:paraId="1027C3CF" w14:textId="77777777" w:rsidR="00CD3F40" w:rsidRPr="005F2153" w:rsidRDefault="00CD3F40" w:rsidP="00A85B9F">
      <w:pPr>
        <w:pStyle w:val="Heading2"/>
        <w:numPr>
          <w:ilvl w:val="1"/>
          <w:numId w:val="2"/>
        </w:numPr>
        <w:spacing w:before="0" w:after="160"/>
        <w:ind w:left="540" w:hanging="540"/>
        <w:rPr>
          <w:rStyle w:val="Heading2Char"/>
          <w:b/>
          <w:color w:val="000000" w:themeColor="text1"/>
          <w:sz w:val="24"/>
          <w:szCs w:val="24"/>
        </w:rPr>
      </w:pPr>
      <w:bookmarkStart w:id="49" w:name="_Procurement_Guarantees_1"/>
      <w:bookmarkStart w:id="50" w:name="_Toc121313769"/>
      <w:bookmarkStart w:id="51" w:name="_Toc2339909"/>
      <w:bookmarkStart w:id="52" w:name="_Toc14691125"/>
      <w:bookmarkEnd w:id="49"/>
      <w:r w:rsidRPr="005F2153">
        <w:rPr>
          <w:rStyle w:val="Heading2Char"/>
          <w:b/>
          <w:color w:val="000000" w:themeColor="text1"/>
          <w:sz w:val="24"/>
          <w:szCs w:val="24"/>
        </w:rPr>
        <w:t>P</w:t>
      </w:r>
      <w:r>
        <w:rPr>
          <w:rStyle w:val="Heading2Char"/>
          <w:b/>
          <w:color w:val="000000" w:themeColor="text1"/>
          <w:sz w:val="24"/>
          <w:szCs w:val="24"/>
        </w:rPr>
        <w:t>rocurement</w:t>
      </w:r>
      <w:r w:rsidRPr="005F2153">
        <w:rPr>
          <w:rStyle w:val="Heading2Char"/>
          <w:b/>
          <w:color w:val="000000" w:themeColor="text1"/>
          <w:sz w:val="24"/>
          <w:szCs w:val="24"/>
        </w:rPr>
        <w:t xml:space="preserve"> Guarantees</w:t>
      </w:r>
      <w:bookmarkEnd w:id="50"/>
      <w:r w:rsidRPr="005F2153">
        <w:rPr>
          <w:rStyle w:val="Heading2Char"/>
          <w:b/>
          <w:color w:val="000000" w:themeColor="text1"/>
          <w:sz w:val="24"/>
          <w:szCs w:val="24"/>
        </w:rPr>
        <w:t xml:space="preserve">  </w:t>
      </w:r>
    </w:p>
    <w:p w14:paraId="608F87CE" w14:textId="59F3DD5F" w:rsidR="00CD3F40" w:rsidRPr="0003547D" w:rsidRDefault="00CD3F40" w:rsidP="00CD3F40">
      <w:pPr>
        <w:pStyle w:val="CommentText"/>
        <w:spacing w:line="276" w:lineRule="auto"/>
        <w:jc w:val="both"/>
        <w:rPr>
          <w:rFonts w:cstheme="minorHAnsi"/>
          <w:sz w:val="22"/>
          <w:szCs w:val="22"/>
        </w:rPr>
      </w:pPr>
      <w:r w:rsidRPr="0003547D">
        <w:rPr>
          <w:rFonts w:cstheme="minorHAnsi"/>
          <w:sz w:val="22"/>
          <w:szCs w:val="22"/>
        </w:rPr>
        <w:t>Guarantees may also be used as a financial mechanism that enables governments to facilitate timely procurement of essential supplies that aligns better with the timing of availability of funding. Many governments are increasingly using domestic funding to procure essential commodities that contribute directly to development outcomes, medical and laboratory equipment, solar photovoltaic systems, smart cards, electoral supplies</w:t>
      </w:r>
      <w:r w:rsidR="00D33D19">
        <w:rPr>
          <w:rFonts w:cstheme="minorHAnsi"/>
          <w:sz w:val="22"/>
          <w:szCs w:val="22"/>
        </w:rPr>
        <w:t>,</w:t>
      </w:r>
      <w:r w:rsidRPr="0003547D">
        <w:rPr>
          <w:rFonts w:cstheme="minorHAnsi"/>
          <w:sz w:val="22"/>
          <w:szCs w:val="22"/>
        </w:rPr>
        <w:t xml:space="preserve"> etc. Many of these high-volume items have long lead times for delivery to partners. There is often a timing mismatch between the release of national budgets funds to procure necessary commodities and when the procurement and payment for commodities needs to occur. Guarantees may be used in procurement to improve credit terms for countries by helping them match payment to delivery of supplies for a pre-defined period, reducing uncertainty in demand or pricing. Also, by procuring these items globally, backed by guarantees from funding partners, a portfolio of procurement volume could be advanced providing more planning certainty to </w:t>
      </w:r>
      <w:r w:rsidR="001D4A01">
        <w:rPr>
          <w:rFonts w:cstheme="minorHAnsi"/>
          <w:sz w:val="22"/>
          <w:szCs w:val="22"/>
        </w:rPr>
        <w:t xml:space="preserve">UNDP’s </w:t>
      </w:r>
      <w:r w:rsidRPr="0003547D">
        <w:rPr>
          <w:rFonts w:cstheme="minorHAnsi"/>
          <w:sz w:val="22"/>
          <w:szCs w:val="22"/>
        </w:rPr>
        <w:t>implementing partners</w:t>
      </w:r>
      <w:r w:rsidR="00F535D5">
        <w:rPr>
          <w:rFonts w:cstheme="minorHAnsi"/>
          <w:sz w:val="22"/>
          <w:szCs w:val="22"/>
        </w:rPr>
        <w:t>,</w:t>
      </w:r>
      <w:r w:rsidRPr="0003547D">
        <w:rPr>
          <w:rFonts w:cstheme="minorHAnsi"/>
          <w:sz w:val="22"/>
          <w:szCs w:val="22"/>
        </w:rPr>
        <w:t xml:space="preserve"> whilst also providing certainty to suppliers and securing improved pricing. </w:t>
      </w:r>
    </w:p>
    <w:p w14:paraId="76A756E2" w14:textId="77777777" w:rsidR="00F535D0" w:rsidRPr="00C12062" w:rsidRDefault="00F535D0" w:rsidP="00F535D0">
      <w:pPr>
        <w:pStyle w:val="CommentText"/>
        <w:spacing w:line="276" w:lineRule="auto"/>
        <w:jc w:val="both"/>
        <w:rPr>
          <w:rFonts w:cstheme="minorHAnsi"/>
          <w:sz w:val="22"/>
          <w:szCs w:val="22"/>
        </w:rPr>
      </w:pPr>
      <w:r w:rsidRPr="00C12062">
        <w:rPr>
          <w:rFonts w:cstheme="minorHAnsi"/>
          <w:sz w:val="22"/>
          <w:szCs w:val="22"/>
        </w:rPr>
        <w:t xml:space="preserve">There may be instances where UNDP itself and/or funding partners would wish to utilize procurement guarantees to underwrite various parts of the procurement supply chain in a variety of ways, which may include:  </w:t>
      </w:r>
    </w:p>
    <w:p w14:paraId="156911D4" w14:textId="77777777" w:rsidR="00462B4D" w:rsidRDefault="00F535D0" w:rsidP="00A85B9F">
      <w:pPr>
        <w:pStyle w:val="ListParagraph"/>
        <w:numPr>
          <w:ilvl w:val="0"/>
          <w:numId w:val="51"/>
        </w:numPr>
        <w:spacing w:line="276" w:lineRule="auto"/>
        <w:ind w:left="900"/>
        <w:contextualSpacing w:val="0"/>
        <w:jc w:val="both"/>
        <w:rPr>
          <w:rFonts w:cstheme="minorHAnsi"/>
        </w:rPr>
      </w:pPr>
      <w:r w:rsidRPr="00655433">
        <w:rPr>
          <w:rFonts w:cstheme="minorHAnsi"/>
          <w:b/>
        </w:rPr>
        <w:t>Option 1</w:t>
      </w:r>
      <w:r w:rsidRPr="00C12062">
        <w:rPr>
          <w:rFonts w:cstheme="minorHAnsi"/>
        </w:rPr>
        <w:t xml:space="preserve"> – Funding partners can guarantee the procurement activities of countries through a pooled central procurement facility (bridge fund facility) established by UNDP that allows pre-delivery financing for member countries wishing to procure supplies or commodities through UNDP.</w:t>
      </w:r>
    </w:p>
    <w:p w14:paraId="544DA363" w14:textId="77777777" w:rsidR="00000FE4" w:rsidRDefault="00F535D0" w:rsidP="00A85B9F">
      <w:pPr>
        <w:pStyle w:val="ListParagraph"/>
        <w:numPr>
          <w:ilvl w:val="0"/>
          <w:numId w:val="51"/>
        </w:numPr>
        <w:spacing w:line="276" w:lineRule="auto"/>
        <w:ind w:left="900"/>
        <w:contextualSpacing w:val="0"/>
        <w:jc w:val="both"/>
        <w:rPr>
          <w:rFonts w:cstheme="minorHAnsi"/>
        </w:rPr>
      </w:pPr>
      <w:r w:rsidRPr="00462B4D">
        <w:rPr>
          <w:rFonts w:cstheme="minorHAnsi"/>
          <w:b/>
          <w:bCs/>
        </w:rPr>
        <w:lastRenderedPageBreak/>
        <w:t>Option 2</w:t>
      </w:r>
      <w:r w:rsidRPr="00462B4D">
        <w:rPr>
          <w:rFonts w:cstheme="minorHAnsi"/>
        </w:rPr>
        <w:t xml:space="preserve"> – UNDP and/or funding partners directly guarantee the procurement activities of individual countries or implementing partners (outside of a pooled procurement facility described in Option 1). </w:t>
      </w:r>
    </w:p>
    <w:p w14:paraId="1CF2B2C2" w14:textId="15616433" w:rsidR="00F535D0" w:rsidRPr="00000FE4" w:rsidRDefault="00F535D0" w:rsidP="00A85B9F">
      <w:pPr>
        <w:pStyle w:val="ListParagraph"/>
        <w:numPr>
          <w:ilvl w:val="0"/>
          <w:numId w:val="51"/>
        </w:numPr>
        <w:spacing w:line="276" w:lineRule="auto"/>
        <w:ind w:left="900"/>
        <w:contextualSpacing w:val="0"/>
        <w:jc w:val="both"/>
        <w:rPr>
          <w:rFonts w:cstheme="minorHAnsi"/>
        </w:rPr>
      </w:pPr>
      <w:r w:rsidRPr="00000FE4">
        <w:rPr>
          <w:rFonts w:cstheme="minorHAnsi"/>
          <w:b/>
          <w:bCs/>
        </w:rPr>
        <w:t>Option 3</w:t>
      </w:r>
      <w:r w:rsidRPr="00000FE4">
        <w:rPr>
          <w:rFonts w:cstheme="minorHAnsi"/>
        </w:rPr>
        <w:t xml:space="preserve"> – UNDP can facilitate guarantees to suppliers on sales volume and price of essential commodities.</w:t>
      </w:r>
    </w:p>
    <w:p w14:paraId="21A9F8FD" w14:textId="1E73B805" w:rsidR="00FB2907" w:rsidRPr="00C12062" w:rsidRDefault="00E74231" w:rsidP="00FB2907">
      <w:pPr>
        <w:pStyle w:val="CommentText"/>
        <w:spacing w:line="276" w:lineRule="auto"/>
        <w:jc w:val="both"/>
        <w:rPr>
          <w:rFonts w:cstheme="minorHAnsi"/>
          <w:sz w:val="22"/>
          <w:szCs w:val="22"/>
        </w:rPr>
      </w:pPr>
      <w:r>
        <w:rPr>
          <w:rFonts w:cstheme="minorHAnsi"/>
          <w:sz w:val="22"/>
          <w:szCs w:val="22"/>
        </w:rPr>
        <w:t xml:space="preserve">These </w:t>
      </w:r>
      <w:r w:rsidR="00045405">
        <w:rPr>
          <w:rFonts w:cstheme="minorHAnsi"/>
          <w:sz w:val="22"/>
          <w:szCs w:val="22"/>
        </w:rPr>
        <w:t xml:space="preserve">options </w:t>
      </w:r>
      <w:r w:rsidR="00CD3F40" w:rsidRPr="00FB1229">
        <w:rPr>
          <w:rFonts w:cstheme="minorHAnsi"/>
          <w:sz w:val="22"/>
          <w:szCs w:val="22"/>
        </w:rPr>
        <w:t xml:space="preserve">are </w:t>
      </w:r>
      <w:r w:rsidR="00360319">
        <w:rPr>
          <w:rFonts w:cstheme="minorHAnsi"/>
          <w:sz w:val="22"/>
          <w:szCs w:val="22"/>
        </w:rPr>
        <w:t xml:space="preserve">further </w:t>
      </w:r>
      <w:r w:rsidR="00CD3F40" w:rsidRPr="00FB1229">
        <w:rPr>
          <w:rFonts w:cstheme="minorHAnsi"/>
          <w:sz w:val="22"/>
          <w:szCs w:val="22"/>
        </w:rPr>
        <w:t xml:space="preserve">detailed in </w:t>
      </w:r>
      <w:hyperlink w:anchor="_Annex_4:_Procurement" w:history="1">
        <w:r w:rsidR="00F535D5" w:rsidRPr="00F535D5">
          <w:rPr>
            <w:rStyle w:val="Hyperlink"/>
            <w:sz w:val="22"/>
            <w:szCs w:val="22"/>
          </w:rPr>
          <w:t>Annex 4</w:t>
        </w:r>
      </w:hyperlink>
      <w:r w:rsidR="00CD3F40" w:rsidRPr="00FB1229">
        <w:rPr>
          <w:rFonts w:cstheme="minorHAnsi"/>
          <w:sz w:val="22"/>
          <w:szCs w:val="22"/>
        </w:rPr>
        <w:t xml:space="preserve">. A similar approach to ‘Option 1’ is already underway by UNICEF and other UN entities, with guarantees provided for their global procurement of immunization supplies by funding partners. </w:t>
      </w:r>
      <w:r w:rsidR="00FB2907" w:rsidRPr="00C12062">
        <w:rPr>
          <w:rFonts w:cstheme="minorHAnsi"/>
          <w:sz w:val="22"/>
          <w:szCs w:val="22"/>
        </w:rPr>
        <w:t>The pooled procurement facility will pre-finance the countries commitment for procurement needs and allow countries to make payments for the supplies upon delivery at expectedly lower prices due to longer term purchase commitment, which became possible through procurement guarantees.</w:t>
      </w:r>
    </w:p>
    <w:p w14:paraId="0935C8E7" w14:textId="69338787" w:rsidR="004A48F3" w:rsidRPr="009358C0" w:rsidRDefault="00CD3F40" w:rsidP="00C12062">
      <w:pPr>
        <w:pStyle w:val="CommentText"/>
        <w:spacing w:line="276" w:lineRule="auto"/>
        <w:jc w:val="both"/>
        <w:rPr>
          <w:rFonts w:cstheme="minorHAnsi"/>
          <w:b/>
          <w:bCs/>
          <w:sz w:val="22"/>
          <w:szCs w:val="22"/>
        </w:rPr>
      </w:pPr>
      <w:r w:rsidRPr="00FB1229">
        <w:rPr>
          <w:rFonts w:cstheme="minorHAnsi"/>
          <w:sz w:val="22"/>
          <w:szCs w:val="22"/>
        </w:rPr>
        <w:t>As with other forms of UNDP guarantees, a full guarantee from funding partners would be required to establish such a facility, such as a counter-guarantee offered by a third party (e.g. foundation, international financial institutions, etc.), against firm procurement commitments of partners across a portfolio of projects.</w:t>
      </w:r>
      <w:r w:rsidR="001A79AE">
        <w:rPr>
          <w:rFonts w:cstheme="minorHAnsi"/>
          <w:sz w:val="22"/>
          <w:szCs w:val="22"/>
        </w:rPr>
        <w:t xml:space="preserve"> </w:t>
      </w:r>
      <w:r w:rsidR="00906246" w:rsidRPr="00C12062">
        <w:rPr>
          <w:rFonts w:cstheme="minorHAnsi"/>
          <w:sz w:val="22"/>
          <w:szCs w:val="22"/>
        </w:rPr>
        <w:t xml:space="preserve">Without a guarantee facility provided by funding partners, UNDP will be exposed to the risk of non-payment (default) and in some instances may be exposed to foreign exchange risks as commitments made in local currency may lose value due to fluctuations in the market compared to the currency of the procurement. </w:t>
      </w:r>
      <w:r w:rsidR="00906246" w:rsidRPr="009358C0">
        <w:rPr>
          <w:rFonts w:cstheme="minorHAnsi"/>
          <w:b/>
          <w:bCs/>
          <w:sz w:val="22"/>
          <w:szCs w:val="22"/>
        </w:rPr>
        <w:t xml:space="preserve">Therefore, the pooled procurement facility should be supported by guarantees issued by funding partners who can cover the risk of default or risk of loss in value of the facilities’ resources. </w:t>
      </w:r>
    </w:p>
    <w:p w14:paraId="28EE2132" w14:textId="0A6D975E" w:rsidR="00C12062" w:rsidRDefault="00906246" w:rsidP="00C12062">
      <w:pPr>
        <w:pStyle w:val="CommentText"/>
        <w:spacing w:line="276" w:lineRule="auto"/>
        <w:jc w:val="both"/>
        <w:rPr>
          <w:rFonts w:cstheme="minorHAnsi"/>
          <w:sz w:val="22"/>
          <w:szCs w:val="22"/>
        </w:rPr>
      </w:pPr>
      <w:r w:rsidRPr="00C12062">
        <w:rPr>
          <w:rFonts w:cstheme="minorHAnsi"/>
          <w:sz w:val="22"/>
          <w:szCs w:val="22"/>
        </w:rPr>
        <w:t>This reduces the financial risk to UNDP - in the event that the goods are</w:t>
      </w:r>
      <w:r w:rsidR="007B0C6F">
        <w:rPr>
          <w:rFonts w:cstheme="minorHAnsi"/>
          <w:sz w:val="22"/>
          <w:szCs w:val="22"/>
        </w:rPr>
        <w:t xml:space="preserve"> </w:t>
      </w:r>
      <w:r w:rsidRPr="00C12062">
        <w:rPr>
          <w:rFonts w:cstheme="minorHAnsi"/>
          <w:sz w:val="22"/>
          <w:szCs w:val="22"/>
        </w:rPr>
        <w:t>received, UNDP will be able to draw upon the guarantee. However, reputational risks with the funding partner may emerge, should the beneficiary government not be in a position to meet its financial obligations on the delivery of the procured items.</w:t>
      </w:r>
    </w:p>
    <w:p w14:paraId="2312F300" w14:textId="77777777" w:rsidR="00EA18D0" w:rsidRPr="00FB1229" w:rsidRDefault="00EA18D0" w:rsidP="005A2079">
      <w:pPr>
        <w:pStyle w:val="CommentText"/>
        <w:spacing w:after="0" w:line="276" w:lineRule="auto"/>
        <w:jc w:val="both"/>
        <w:rPr>
          <w:rFonts w:cstheme="minorHAnsi"/>
          <w:sz w:val="22"/>
          <w:szCs w:val="22"/>
        </w:rPr>
      </w:pPr>
    </w:p>
    <w:p w14:paraId="65508134" w14:textId="274B60C6" w:rsidR="000342F7" w:rsidRPr="005F2153" w:rsidRDefault="007969B4" w:rsidP="00332057">
      <w:pPr>
        <w:pStyle w:val="Heading2"/>
        <w:numPr>
          <w:ilvl w:val="1"/>
          <w:numId w:val="2"/>
        </w:numPr>
        <w:spacing w:before="0" w:after="160"/>
        <w:ind w:left="540" w:hanging="540"/>
        <w:rPr>
          <w:rStyle w:val="Heading2Char"/>
          <w:b/>
          <w:color w:val="000000" w:themeColor="text1"/>
          <w:sz w:val="24"/>
          <w:szCs w:val="24"/>
        </w:rPr>
      </w:pPr>
      <w:bookmarkStart w:id="53" w:name="_Toc121313770"/>
      <w:r w:rsidRPr="005F2153">
        <w:rPr>
          <w:rStyle w:val="Heading2Char"/>
          <w:b/>
          <w:color w:val="000000" w:themeColor="text1"/>
          <w:sz w:val="24"/>
          <w:szCs w:val="24"/>
        </w:rPr>
        <w:t>Performance Guarantees</w:t>
      </w:r>
      <w:bookmarkEnd w:id="51"/>
      <w:bookmarkEnd w:id="52"/>
      <w:bookmarkEnd w:id="53"/>
      <w:r w:rsidRPr="005F2153">
        <w:rPr>
          <w:rStyle w:val="Heading2Char"/>
          <w:b/>
          <w:color w:val="000000" w:themeColor="text1"/>
          <w:sz w:val="24"/>
          <w:szCs w:val="24"/>
        </w:rPr>
        <w:t xml:space="preserve">  </w:t>
      </w:r>
    </w:p>
    <w:p w14:paraId="5C79A120" w14:textId="7E9DEAC6" w:rsidR="007969B4" w:rsidRPr="000342F7" w:rsidRDefault="007969B4" w:rsidP="00A36F69">
      <w:pPr>
        <w:spacing w:line="276" w:lineRule="auto"/>
        <w:jc w:val="both"/>
        <w:rPr>
          <w:rFonts w:cstheme="minorHAnsi"/>
        </w:rPr>
      </w:pPr>
      <w:r w:rsidRPr="000342F7">
        <w:rPr>
          <w:rFonts w:cstheme="minorHAnsi"/>
        </w:rPr>
        <w:t xml:space="preserve">Performance guarantees are a common form of support used in commercial transactions to secure the performance of contractual obligations. For example, a guarantor can guarantee that the payments expected for a project will be made by a specific date once the trigger conditions for the payment are met. If the contractor fails to receive the payment by the expected date, then the guarantor may be liable for the unpaid amounts. An example of the use of performance guarantees in the energy sector is when a guarantor partially guarantees the revenue stream of a </w:t>
      </w:r>
      <w:r w:rsidR="00B53F90" w:rsidRPr="000342F7">
        <w:rPr>
          <w:rFonts w:cstheme="minorHAnsi"/>
        </w:rPr>
        <w:t xml:space="preserve">Power Purchase Agreement </w:t>
      </w:r>
      <w:r w:rsidRPr="000342F7">
        <w:rPr>
          <w:rFonts w:cstheme="minorHAnsi"/>
        </w:rPr>
        <w:t xml:space="preserve">(conditional on payment conditions being met), which provides the investor the certainty of inflow required to borrow </w:t>
      </w:r>
      <w:r w:rsidRPr="000342F7">
        <w:rPr>
          <w:rFonts w:cstheme="minorHAnsi"/>
        </w:rPr>
        <w:lastRenderedPageBreak/>
        <w:t xml:space="preserve">and eventually, repay its debts. The purpose of the performance guarantee could also be to cure a default if certain performance targets or project timelines are not satisfied. </w:t>
      </w:r>
    </w:p>
    <w:p w14:paraId="78D9F4F9" w14:textId="5AA35922" w:rsidR="002C1676" w:rsidRDefault="00DC4FBD" w:rsidP="002C1676">
      <w:pPr>
        <w:spacing w:line="276" w:lineRule="auto"/>
        <w:jc w:val="both"/>
        <w:rPr>
          <w:rFonts w:cstheme="minorHAnsi"/>
        </w:rPr>
      </w:pPr>
      <w:r w:rsidRPr="0014107B">
        <w:rPr>
          <w:rFonts w:cstheme="minorHAnsi"/>
        </w:rPr>
        <w:t xml:space="preserve">At present, </w:t>
      </w:r>
      <w:r w:rsidRPr="009358C0">
        <w:rPr>
          <w:rFonts w:cstheme="minorHAnsi"/>
          <w:b/>
          <w:bCs/>
        </w:rPr>
        <w:t>the use of performance guarantees is not permitted</w:t>
      </w:r>
      <w:r w:rsidR="00FC6042" w:rsidRPr="009358C0">
        <w:rPr>
          <w:rFonts w:cstheme="minorHAnsi"/>
          <w:b/>
          <w:bCs/>
        </w:rPr>
        <w:t xml:space="preserve"> for UNDP</w:t>
      </w:r>
      <w:r w:rsidRPr="0014107B">
        <w:rPr>
          <w:rFonts w:cstheme="minorHAnsi"/>
        </w:rPr>
        <w:t>.</w:t>
      </w:r>
      <w:bookmarkStart w:id="54" w:name="_Procurement_Guarantees"/>
      <w:bookmarkEnd w:id="54"/>
    </w:p>
    <w:p w14:paraId="5C97E4EC" w14:textId="55280803" w:rsidR="007969B4" w:rsidRPr="00D65A15" w:rsidRDefault="0087022C" w:rsidP="008A56BD">
      <w:pPr>
        <w:pStyle w:val="Heading1"/>
        <w:numPr>
          <w:ilvl w:val="0"/>
          <w:numId w:val="2"/>
        </w:numPr>
        <w:spacing w:before="480" w:after="240"/>
        <w:ind w:left="360"/>
        <w:rPr>
          <w:rFonts w:asciiTheme="minorHAnsi" w:eastAsia="Century Gothic" w:hAnsiTheme="minorHAnsi" w:cstheme="minorHAnsi"/>
          <w:color w:val="000000" w:themeColor="text1"/>
          <w:lang w:val="en-GB"/>
        </w:rPr>
      </w:pPr>
      <w:bookmarkStart w:id="55" w:name="_Toc2339911"/>
      <w:bookmarkStart w:id="56" w:name="_Toc121313771"/>
      <w:r>
        <w:rPr>
          <w:rFonts w:asciiTheme="minorHAnsi" w:eastAsia="Century Gothic" w:hAnsiTheme="minorHAnsi" w:cstheme="minorHAnsi"/>
          <w:color w:val="000000" w:themeColor="text1"/>
          <w:lang w:val="en-GB"/>
        </w:rPr>
        <w:t xml:space="preserve">Operational </w:t>
      </w:r>
      <w:r w:rsidR="007969B4">
        <w:rPr>
          <w:rFonts w:asciiTheme="minorHAnsi" w:eastAsia="Century Gothic" w:hAnsiTheme="minorHAnsi" w:cstheme="minorHAnsi"/>
          <w:color w:val="000000" w:themeColor="text1"/>
          <w:lang w:val="en-GB"/>
        </w:rPr>
        <w:t xml:space="preserve">Guidance related to Structuring, Issuing and Managing </w:t>
      </w:r>
      <w:r w:rsidR="00D56637">
        <w:rPr>
          <w:rFonts w:asciiTheme="minorHAnsi" w:eastAsia="Century Gothic" w:hAnsiTheme="minorHAnsi" w:cstheme="minorHAnsi"/>
          <w:color w:val="000000" w:themeColor="text1"/>
          <w:lang w:val="en-GB"/>
        </w:rPr>
        <w:t xml:space="preserve">UNDP-supported </w:t>
      </w:r>
      <w:r w:rsidR="007969B4">
        <w:rPr>
          <w:rFonts w:asciiTheme="minorHAnsi" w:eastAsia="Century Gothic" w:hAnsiTheme="minorHAnsi" w:cstheme="minorHAnsi"/>
          <w:color w:val="000000" w:themeColor="text1"/>
          <w:lang w:val="en-GB"/>
        </w:rPr>
        <w:t>Guarantees</w:t>
      </w:r>
      <w:bookmarkEnd w:id="55"/>
      <w:bookmarkEnd w:id="56"/>
      <w:r w:rsidR="007969B4">
        <w:rPr>
          <w:rFonts w:asciiTheme="minorHAnsi" w:eastAsia="Century Gothic" w:hAnsiTheme="minorHAnsi" w:cstheme="minorHAnsi"/>
          <w:color w:val="000000" w:themeColor="text1"/>
          <w:lang w:val="en-GB"/>
        </w:rPr>
        <w:t xml:space="preserve"> </w:t>
      </w:r>
    </w:p>
    <w:p w14:paraId="4A36244D" w14:textId="77777777" w:rsidR="007969B4" w:rsidRDefault="007969B4" w:rsidP="001A4ACC">
      <w:pPr>
        <w:spacing w:after="200" w:line="276" w:lineRule="auto"/>
        <w:jc w:val="both"/>
        <w:rPr>
          <w:rFonts w:cstheme="minorHAnsi"/>
        </w:rPr>
      </w:pPr>
      <w:r>
        <w:rPr>
          <w:rFonts w:cstheme="minorHAnsi"/>
        </w:rPr>
        <w:t xml:space="preserve">Risk </w:t>
      </w:r>
      <w:r w:rsidRPr="00F86465">
        <w:rPr>
          <w:rFonts w:cstheme="minorHAnsi"/>
        </w:rPr>
        <w:t>mitigation tools like guarantees do not in themselves make poorly structured projects or borrowers with unpredictable future prospects bankable, therefore both the projects and guarantee instruments need to be properly designed</w:t>
      </w:r>
      <w:r>
        <w:rPr>
          <w:rFonts w:cstheme="minorHAnsi"/>
        </w:rPr>
        <w:t xml:space="preserve"> and managed</w:t>
      </w:r>
      <w:r w:rsidRPr="00F86465">
        <w:rPr>
          <w:rFonts w:cstheme="minorHAnsi"/>
        </w:rPr>
        <w:t xml:space="preserve"> if they are to be effective. </w:t>
      </w:r>
      <w:r>
        <w:rPr>
          <w:rFonts w:cstheme="minorHAnsi"/>
        </w:rPr>
        <w:t>Also, p</w:t>
      </w:r>
      <w:r w:rsidRPr="00F86465">
        <w:rPr>
          <w:rFonts w:cstheme="minorHAnsi"/>
        </w:rPr>
        <w:t>rojects to be funded must be sufficiently bankable to enable the guarantors to properly assess the risks, identify recourse measures and offer defined risk coverage.</w:t>
      </w:r>
    </w:p>
    <w:p w14:paraId="1A1B6D66" w14:textId="347C2BD4" w:rsidR="00F17473" w:rsidRPr="00ED7D61" w:rsidRDefault="00AA2BC7" w:rsidP="008A56BD">
      <w:pPr>
        <w:pStyle w:val="Heading2"/>
        <w:numPr>
          <w:ilvl w:val="0"/>
          <w:numId w:val="15"/>
        </w:numPr>
        <w:spacing w:before="0" w:after="160"/>
        <w:ind w:left="547" w:hanging="547"/>
        <w:rPr>
          <w:b/>
          <w:color w:val="000000" w:themeColor="text1"/>
          <w:sz w:val="24"/>
          <w:szCs w:val="24"/>
        </w:rPr>
      </w:pPr>
      <w:bookmarkStart w:id="57" w:name="_Toc2339912"/>
      <w:bookmarkStart w:id="58" w:name="_Toc121313772"/>
      <w:r w:rsidRPr="00ED7D61">
        <w:rPr>
          <w:b/>
          <w:color w:val="000000" w:themeColor="text1"/>
          <w:sz w:val="24"/>
          <w:szCs w:val="24"/>
        </w:rPr>
        <w:t>Origination</w:t>
      </w:r>
      <w:r w:rsidR="001409CA">
        <w:rPr>
          <w:b/>
          <w:color w:val="000000" w:themeColor="text1"/>
          <w:sz w:val="24"/>
          <w:szCs w:val="24"/>
        </w:rPr>
        <w:t xml:space="preserve"> of </w:t>
      </w:r>
      <w:r w:rsidR="00D56637">
        <w:rPr>
          <w:b/>
          <w:color w:val="000000" w:themeColor="text1"/>
          <w:sz w:val="24"/>
          <w:szCs w:val="24"/>
        </w:rPr>
        <w:t xml:space="preserve">UNDP-supported </w:t>
      </w:r>
      <w:r w:rsidR="001409CA">
        <w:rPr>
          <w:b/>
          <w:color w:val="000000" w:themeColor="text1"/>
          <w:sz w:val="24"/>
          <w:szCs w:val="24"/>
        </w:rPr>
        <w:t>Guarantees</w:t>
      </w:r>
      <w:bookmarkEnd w:id="57"/>
      <w:bookmarkEnd w:id="58"/>
    </w:p>
    <w:p w14:paraId="2940AA36" w14:textId="639964D5" w:rsidR="00AA2BC7" w:rsidRPr="00983812" w:rsidRDefault="00AA2BC7" w:rsidP="001A4ACC">
      <w:pPr>
        <w:spacing w:after="200" w:line="276" w:lineRule="auto"/>
        <w:jc w:val="both"/>
        <w:rPr>
          <w:iCs/>
          <w:highlight w:val="lightGray"/>
        </w:rPr>
      </w:pPr>
      <w:r w:rsidRPr="008A56BD">
        <w:rPr>
          <w:iCs/>
        </w:rPr>
        <w:t>A Concept Note must be submitted</w:t>
      </w:r>
      <w:r w:rsidRPr="00983812">
        <w:rPr>
          <w:iCs/>
        </w:rPr>
        <w:t xml:space="preserve"> </w:t>
      </w:r>
      <w:r w:rsidR="002A5F16" w:rsidRPr="00983812">
        <w:rPr>
          <w:iCs/>
        </w:rPr>
        <w:t xml:space="preserve">by the </w:t>
      </w:r>
      <w:r w:rsidR="00DE3256" w:rsidRPr="00983812">
        <w:rPr>
          <w:iCs/>
        </w:rPr>
        <w:t xml:space="preserve">country office </w:t>
      </w:r>
      <w:r w:rsidR="00963088" w:rsidRPr="00983812">
        <w:rPr>
          <w:iCs/>
        </w:rPr>
        <w:t xml:space="preserve">to the </w:t>
      </w:r>
      <w:r w:rsidR="007F5BA7" w:rsidRPr="00983812">
        <w:rPr>
          <w:iCs/>
        </w:rPr>
        <w:t>regional bureau</w:t>
      </w:r>
      <w:r w:rsidR="006B5CDB" w:rsidRPr="00983812">
        <w:rPr>
          <w:iCs/>
        </w:rPr>
        <w:t>,</w:t>
      </w:r>
      <w:r w:rsidR="007F5BA7" w:rsidRPr="00983812">
        <w:rPr>
          <w:iCs/>
        </w:rPr>
        <w:t xml:space="preserve"> Finance Sector Hub</w:t>
      </w:r>
      <w:r w:rsidR="001A4B2C">
        <w:rPr>
          <w:iCs/>
        </w:rPr>
        <w:t>, Guarantees Project Team</w:t>
      </w:r>
      <w:r w:rsidR="007F5BA7" w:rsidRPr="00983812">
        <w:rPr>
          <w:iCs/>
        </w:rPr>
        <w:t xml:space="preserve"> </w:t>
      </w:r>
      <w:r w:rsidR="006B5CDB" w:rsidRPr="00983812">
        <w:rPr>
          <w:iCs/>
        </w:rPr>
        <w:t xml:space="preserve">and </w:t>
      </w:r>
      <w:r w:rsidR="001A4B2C">
        <w:rPr>
          <w:iCs/>
        </w:rPr>
        <w:t>Global Policy Network (GPN)</w:t>
      </w:r>
      <w:r w:rsidR="006B5CDB" w:rsidRPr="00983812">
        <w:rPr>
          <w:iCs/>
        </w:rPr>
        <w:t xml:space="preserve"> </w:t>
      </w:r>
      <w:r w:rsidRPr="00983812">
        <w:rPr>
          <w:iCs/>
        </w:rPr>
        <w:t xml:space="preserve">after </w:t>
      </w:r>
      <w:r w:rsidR="006B5CDB" w:rsidRPr="00983812">
        <w:rPr>
          <w:iCs/>
        </w:rPr>
        <w:t xml:space="preserve">it </w:t>
      </w:r>
      <w:r w:rsidRPr="00983812">
        <w:rPr>
          <w:iCs/>
        </w:rPr>
        <w:t>originat</w:t>
      </w:r>
      <w:r w:rsidR="006B5CDB" w:rsidRPr="00983812">
        <w:rPr>
          <w:iCs/>
        </w:rPr>
        <w:t>es</w:t>
      </w:r>
      <w:r w:rsidRPr="00983812">
        <w:rPr>
          <w:iCs/>
        </w:rPr>
        <w:t xml:space="preserve"> an opportunity</w:t>
      </w:r>
      <w:r w:rsidR="00F2054F" w:rsidRPr="00983812">
        <w:rPr>
          <w:iCs/>
        </w:rPr>
        <w:t>, which must include</w:t>
      </w:r>
      <w:r w:rsidRPr="00983812">
        <w:rPr>
          <w:iCs/>
        </w:rPr>
        <w:t xml:space="preserve"> the following points:</w:t>
      </w:r>
    </w:p>
    <w:p w14:paraId="30CEB063" w14:textId="77777777" w:rsidR="00AA2BC7" w:rsidRDefault="00AA2BC7" w:rsidP="008A56BD">
      <w:pPr>
        <w:pStyle w:val="ListParagraph"/>
        <w:numPr>
          <w:ilvl w:val="0"/>
          <w:numId w:val="27"/>
        </w:numPr>
        <w:spacing w:after="200" w:line="276" w:lineRule="auto"/>
        <w:jc w:val="both"/>
        <w:rPr>
          <w:rFonts w:cstheme="minorHAnsi"/>
        </w:rPr>
      </w:pPr>
      <w:r w:rsidRPr="00AA2BC7">
        <w:rPr>
          <w:rFonts w:cstheme="minorHAnsi"/>
        </w:rPr>
        <w:t xml:space="preserve">Description and Purpose of Project </w:t>
      </w:r>
    </w:p>
    <w:p w14:paraId="0451867B" w14:textId="77777777" w:rsidR="00AA2BC7" w:rsidRDefault="00AA2BC7" w:rsidP="008A56BD">
      <w:pPr>
        <w:pStyle w:val="ListParagraph"/>
        <w:numPr>
          <w:ilvl w:val="1"/>
          <w:numId w:val="27"/>
        </w:numPr>
        <w:spacing w:after="200" w:line="276" w:lineRule="auto"/>
        <w:jc w:val="both"/>
        <w:rPr>
          <w:rFonts w:cstheme="minorHAnsi"/>
        </w:rPr>
      </w:pPr>
      <w:r>
        <w:rPr>
          <w:rFonts w:cstheme="minorHAnsi"/>
        </w:rPr>
        <w:t>B</w:t>
      </w:r>
      <w:r w:rsidRPr="00AA2BC7">
        <w:rPr>
          <w:rFonts w:cstheme="minorHAnsi"/>
        </w:rPr>
        <w:t xml:space="preserve">ackground and Rationale (briefly describe what the </w:t>
      </w:r>
      <w:r>
        <w:rPr>
          <w:rFonts w:cstheme="minorHAnsi"/>
        </w:rPr>
        <w:t>Project</w:t>
      </w:r>
      <w:r w:rsidRPr="00AA2BC7">
        <w:rPr>
          <w:rFonts w:cstheme="minorHAnsi"/>
        </w:rPr>
        <w:t xml:space="preserve"> proposes to do and why) </w:t>
      </w:r>
    </w:p>
    <w:p w14:paraId="46A0DF38" w14:textId="77777777" w:rsidR="00AA2BC7" w:rsidRDefault="00AA2BC7" w:rsidP="008A56BD">
      <w:pPr>
        <w:pStyle w:val="ListParagraph"/>
        <w:numPr>
          <w:ilvl w:val="1"/>
          <w:numId w:val="27"/>
        </w:numPr>
        <w:spacing w:after="200" w:line="276" w:lineRule="auto"/>
        <w:jc w:val="both"/>
        <w:rPr>
          <w:rFonts w:cstheme="minorHAnsi"/>
        </w:rPr>
      </w:pPr>
      <w:r>
        <w:rPr>
          <w:rFonts w:cstheme="minorHAnsi"/>
        </w:rPr>
        <w:t>Developmental Importance</w:t>
      </w:r>
    </w:p>
    <w:p w14:paraId="24A04C93" w14:textId="77777777" w:rsidR="00AA2BC7" w:rsidRDefault="00AA2BC7" w:rsidP="008A56BD">
      <w:pPr>
        <w:pStyle w:val="ListParagraph"/>
        <w:numPr>
          <w:ilvl w:val="1"/>
          <w:numId w:val="27"/>
        </w:numPr>
        <w:spacing w:after="200" w:line="276" w:lineRule="auto"/>
        <w:jc w:val="both"/>
        <w:rPr>
          <w:rFonts w:cstheme="minorHAnsi"/>
        </w:rPr>
      </w:pPr>
      <w:r w:rsidRPr="00AA2BC7">
        <w:rPr>
          <w:rFonts w:cstheme="minorHAnsi"/>
        </w:rPr>
        <w:t>Relationship to Mission Strategy/</w:t>
      </w:r>
      <w:r>
        <w:rPr>
          <w:rFonts w:cstheme="minorHAnsi"/>
        </w:rPr>
        <w:t>CO/Ongoing Activities</w:t>
      </w:r>
    </w:p>
    <w:p w14:paraId="34A66617" w14:textId="77777777" w:rsidR="00AA2BC7" w:rsidRDefault="00AA2BC7" w:rsidP="008A56BD">
      <w:pPr>
        <w:pStyle w:val="ListParagraph"/>
        <w:numPr>
          <w:ilvl w:val="1"/>
          <w:numId w:val="27"/>
        </w:numPr>
        <w:spacing w:after="200" w:line="276" w:lineRule="auto"/>
        <w:jc w:val="both"/>
        <w:rPr>
          <w:rFonts w:cstheme="minorHAnsi"/>
        </w:rPr>
      </w:pPr>
      <w:r w:rsidRPr="00AA2BC7">
        <w:rPr>
          <w:rFonts w:cstheme="minorHAnsi"/>
        </w:rPr>
        <w:t xml:space="preserve">Collaboration with Other Parties, e.g., </w:t>
      </w:r>
      <w:r w:rsidR="00CF6F0E">
        <w:rPr>
          <w:rFonts w:cstheme="minorHAnsi"/>
        </w:rPr>
        <w:t>F</w:t>
      </w:r>
      <w:r w:rsidR="00D33FF6">
        <w:rPr>
          <w:rFonts w:cstheme="minorHAnsi"/>
        </w:rPr>
        <w:t>unding</w:t>
      </w:r>
      <w:r w:rsidR="00CF6F0E">
        <w:rPr>
          <w:rFonts w:cstheme="minorHAnsi"/>
        </w:rPr>
        <w:t xml:space="preserve"> partner</w:t>
      </w:r>
      <w:r w:rsidRPr="00AA2BC7">
        <w:rPr>
          <w:rFonts w:cstheme="minorHAnsi"/>
        </w:rPr>
        <w:t xml:space="preserve">s, NGOs, Contractors, etc. </w:t>
      </w:r>
    </w:p>
    <w:p w14:paraId="6EA74D28" w14:textId="77777777" w:rsidR="00AA2BC7" w:rsidRDefault="00AA2BC7" w:rsidP="00CE46ED">
      <w:pPr>
        <w:pStyle w:val="ListParagraph"/>
        <w:numPr>
          <w:ilvl w:val="0"/>
          <w:numId w:val="27"/>
        </w:numPr>
        <w:spacing w:after="200" w:line="276" w:lineRule="auto"/>
        <w:jc w:val="both"/>
        <w:rPr>
          <w:rFonts w:cstheme="minorHAnsi"/>
        </w:rPr>
      </w:pPr>
      <w:r w:rsidRPr="00AA2BC7">
        <w:rPr>
          <w:rFonts w:cstheme="minorHAnsi"/>
        </w:rPr>
        <w:t xml:space="preserve">Structure of Project </w:t>
      </w:r>
    </w:p>
    <w:p w14:paraId="2347D857" w14:textId="08CE47D3" w:rsidR="00AA2BC7" w:rsidRDefault="00BA2823" w:rsidP="00CE46ED">
      <w:pPr>
        <w:pStyle w:val="ListParagraph"/>
        <w:numPr>
          <w:ilvl w:val="1"/>
          <w:numId w:val="27"/>
        </w:numPr>
        <w:spacing w:after="200" w:line="276" w:lineRule="auto"/>
        <w:jc w:val="both"/>
        <w:rPr>
          <w:rFonts w:cstheme="minorHAnsi"/>
        </w:rPr>
      </w:pPr>
      <w:r>
        <w:rPr>
          <w:rFonts w:cstheme="minorHAnsi"/>
        </w:rPr>
        <w:t>Lender/</w:t>
      </w:r>
      <w:r w:rsidR="00AA2BC7" w:rsidRPr="00AA2BC7">
        <w:rPr>
          <w:rFonts w:cstheme="minorHAnsi"/>
        </w:rPr>
        <w:t xml:space="preserve">Financial Intermediary (provide brief background, if available) </w:t>
      </w:r>
    </w:p>
    <w:p w14:paraId="16434F29"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 xml:space="preserve">Borrower (provide brief background, if available) </w:t>
      </w:r>
    </w:p>
    <w:p w14:paraId="2F408B4C"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 xml:space="preserve">Intended Beneficiaries (if different from borrower, if available) </w:t>
      </w:r>
    </w:p>
    <w:p w14:paraId="5A2CAD50"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 xml:space="preserve">Type of Credit Facility (loan guarantee, bond guarantee, portfolio guarantee, portable loan guarantee) </w:t>
      </w:r>
    </w:p>
    <w:p w14:paraId="7F01B392"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 xml:space="preserve">Estimated Amount of Project Financing (maximum portfolio size - US$ amount) </w:t>
      </w:r>
    </w:p>
    <w:p w14:paraId="7F52DC40"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Guarantee Ceiling (maximum U</w:t>
      </w:r>
      <w:r w:rsidR="00D1352E">
        <w:rPr>
          <w:rFonts w:cstheme="minorHAnsi"/>
        </w:rPr>
        <w:t xml:space="preserve">NDP </w:t>
      </w:r>
      <w:r w:rsidRPr="00AA2BC7">
        <w:rPr>
          <w:rFonts w:cstheme="minorHAnsi"/>
        </w:rPr>
        <w:t xml:space="preserve">contingent liability -US$ amount) </w:t>
      </w:r>
    </w:p>
    <w:p w14:paraId="28D878F7"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 xml:space="preserve">Guarantee Percentage (%) (covering principal only [preferred] or principal and interest) </w:t>
      </w:r>
    </w:p>
    <w:p w14:paraId="13A55CFF"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Term o</w:t>
      </w:r>
      <w:r>
        <w:rPr>
          <w:rFonts w:cstheme="minorHAnsi"/>
        </w:rPr>
        <w:t>f Guarantee (number of years)</w:t>
      </w:r>
    </w:p>
    <w:p w14:paraId="49ED5E21"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Currency of Guara</w:t>
      </w:r>
      <w:r>
        <w:rPr>
          <w:rFonts w:cstheme="minorHAnsi"/>
        </w:rPr>
        <w:t>ntee (US$ or local currency)</w:t>
      </w:r>
    </w:p>
    <w:p w14:paraId="3240FA5F" w14:textId="78AA6FAE" w:rsidR="00AA2BC7" w:rsidRDefault="00AA2BC7" w:rsidP="00CE46ED">
      <w:pPr>
        <w:pStyle w:val="ListParagraph"/>
        <w:numPr>
          <w:ilvl w:val="0"/>
          <w:numId w:val="27"/>
        </w:numPr>
        <w:spacing w:after="200" w:line="276" w:lineRule="auto"/>
        <w:jc w:val="both"/>
        <w:rPr>
          <w:rFonts w:cstheme="minorHAnsi"/>
        </w:rPr>
      </w:pPr>
      <w:r w:rsidRPr="00AA2BC7">
        <w:rPr>
          <w:rFonts w:cstheme="minorHAnsi"/>
        </w:rPr>
        <w:t xml:space="preserve">Funding Source and Amount Available for </w:t>
      </w:r>
      <w:r>
        <w:rPr>
          <w:rFonts w:cstheme="minorHAnsi"/>
        </w:rPr>
        <w:t>UNDP</w:t>
      </w:r>
      <w:r w:rsidR="007C293F">
        <w:rPr>
          <w:rFonts w:cstheme="minorHAnsi"/>
        </w:rPr>
        <w:t>-Supported</w:t>
      </w:r>
      <w:r w:rsidRPr="00AA2BC7">
        <w:rPr>
          <w:rFonts w:cstheme="minorHAnsi"/>
        </w:rPr>
        <w:t xml:space="preserve"> </w:t>
      </w:r>
      <w:r w:rsidR="00B948A3">
        <w:rPr>
          <w:rFonts w:cstheme="minorHAnsi"/>
        </w:rPr>
        <w:t>Guarantee</w:t>
      </w:r>
      <w:r w:rsidRPr="00AA2BC7">
        <w:rPr>
          <w:rFonts w:cstheme="minorHAnsi"/>
        </w:rPr>
        <w:t xml:space="preserve"> </w:t>
      </w:r>
    </w:p>
    <w:p w14:paraId="5EFA7F23" w14:textId="2C358EC6" w:rsidR="00C805D9" w:rsidRPr="00C805D9" w:rsidRDefault="00C805D9" w:rsidP="00CE46ED">
      <w:pPr>
        <w:pStyle w:val="ListParagraph"/>
        <w:numPr>
          <w:ilvl w:val="0"/>
          <w:numId w:val="27"/>
        </w:numPr>
        <w:jc w:val="both"/>
        <w:rPr>
          <w:rFonts w:cstheme="minorHAnsi"/>
        </w:rPr>
      </w:pPr>
      <w:r w:rsidRPr="00C805D9">
        <w:rPr>
          <w:rFonts w:cstheme="minorHAnsi"/>
        </w:rPr>
        <w:t xml:space="preserve">Preliminary </w:t>
      </w:r>
      <w:r w:rsidR="001C4F1B">
        <w:rPr>
          <w:rFonts w:cstheme="minorHAnsi"/>
        </w:rPr>
        <w:t>I</w:t>
      </w:r>
      <w:r w:rsidRPr="00C805D9">
        <w:rPr>
          <w:rFonts w:cstheme="minorHAnsi"/>
        </w:rPr>
        <w:t xml:space="preserve">mpact </w:t>
      </w:r>
      <w:r w:rsidR="001C4F1B">
        <w:rPr>
          <w:rFonts w:cstheme="minorHAnsi"/>
        </w:rPr>
        <w:t>A</w:t>
      </w:r>
      <w:r w:rsidRPr="00C805D9">
        <w:rPr>
          <w:rFonts w:cstheme="minorHAnsi"/>
        </w:rPr>
        <w:t>ssessment (e.g.</w:t>
      </w:r>
      <w:r w:rsidR="00201603">
        <w:rPr>
          <w:rFonts w:cstheme="minorHAnsi"/>
        </w:rPr>
        <w:t>,</w:t>
      </w:r>
      <w:r w:rsidRPr="00C805D9">
        <w:rPr>
          <w:rFonts w:cstheme="minorHAnsi"/>
        </w:rPr>
        <w:t xml:space="preserve"> according to the Impact Management Project methodology)</w:t>
      </w:r>
    </w:p>
    <w:p w14:paraId="01D1D4F3" w14:textId="77777777" w:rsidR="00AA2BC7" w:rsidRDefault="00AA2BC7" w:rsidP="00CE46ED">
      <w:pPr>
        <w:pStyle w:val="ListParagraph"/>
        <w:numPr>
          <w:ilvl w:val="0"/>
          <w:numId w:val="27"/>
        </w:numPr>
        <w:spacing w:after="200" w:line="276" w:lineRule="auto"/>
        <w:jc w:val="both"/>
        <w:rPr>
          <w:rFonts w:cstheme="minorHAnsi"/>
        </w:rPr>
      </w:pPr>
      <w:r>
        <w:rPr>
          <w:rFonts w:cstheme="minorHAnsi"/>
        </w:rPr>
        <w:lastRenderedPageBreak/>
        <w:t>Management Responsibility</w:t>
      </w:r>
    </w:p>
    <w:p w14:paraId="69E317DC"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In</w:t>
      </w:r>
      <w:r>
        <w:rPr>
          <w:rFonts w:cstheme="minorHAnsi"/>
        </w:rPr>
        <w:t>itial project monitoring plan</w:t>
      </w:r>
    </w:p>
    <w:p w14:paraId="48174BDC" w14:textId="77777777" w:rsidR="00AA2BC7" w:rsidRDefault="00AA2BC7" w:rsidP="00CE46ED">
      <w:pPr>
        <w:pStyle w:val="ListParagraph"/>
        <w:numPr>
          <w:ilvl w:val="1"/>
          <w:numId w:val="27"/>
        </w:numPr>
        <w:spacing w:after="200" w:line="276" w:lineRule="auto"/>
        <w:jc w:val="both"/>
        <w:rPr>
          <w:rFonts w:cstheme="minorHAnsi"/>
        </w:rPr>
      </w:pPr>
      <w:r w:rsidRPr="00AA2BC7">
        <w:rPr>
          <w:rFonts w:cstheme="minorHAnsi"/>
        </w:rPr>
        <w:t>Clear identification of parties responsible for project de</w:t>
      </w:r>
      <w:r>
        <w:rPr>
          <w:rFonts w:cstheme="minorHAnsi"/>
        </w:rPr>
        <w:t>velopment and implementation</w:t>
      </w:r>
    </w:p>
    <w:p w14:paraId="40C607D8" w14:textId="2DC34C0D" w:rsidR="00AA2BC7" w:rsidRDefault="00AA2BC7" w:rsidP="00CE46ED">
      <w:pPr>
        <w:pStyle w:val="ListParagraph"/>
        <w:numPr>
          <w:ilvl w:val="0"/>
          <w:numId w:val="27"/>
        </w:numPr>
        <w:spacing w:after="200" w:line="276" w:lineRule="auto"/>
        <w:jc w:val="both"/>
        <w:rPr>
          <w:rFonts w:cstheme="minorHAnsi"/>
        </w:rPr>
      </w:pPr>
      <w:r w:rsidRPr="00AA2BC7">
        <w:rPr>
          <w:rFonts w:cstheme="minorHAnsi"/>
        </w:rPr>
        <w:t xml:space="preserve">Proposed Technical Assistance to </w:t>
      </w:r>
      <w:r w:rsidR="00036FE5">
        <w:rPr>
          <w:rFonts w:cstheme="minorHAnsi"/>
        </w:rPr>
        <w:t>S</w:t>
      </w:r>
      <w:r w:rsidR="00036FE5" w:rsidRPr="00AA2BC7">
        <w:rPr>
          <w:rFonts w:cstheme="minorHAnsi"/>
        </w:rPr>
        <w:t xml:space="preserve">upport </w:t>
      </w:r>
      <w:r w:rsidRPr="00AA2BC7">
        <w:rPr>
          <w:rFonts w:cstheme="minorHAnsi"/>
        </w:rPr>
        <w:t xml:space="preserve">the </w:t>
      </w:r>
      <w:r w:rsidR="00036FE5">
        <w:rPr>
          <w:rFonts w:cstheme="minorHAnsi"/>
        </w:rPr>
        <w:t xml:space="preserve">Project, including the </w:t>
      </w:r>
      <w:r>
        <w:rPr>
          <w:rFonts w:cstheme="minorHAnsi"/>
        </w:rPr>
        <w:t>guarantee</w:t>
      </w:r>
    </w:p>
    <w:p w14:paraId="0827C9E8" w14:textId="77777777" w:rsidR="00AA2BC7" w:rsidRPr="00AA2BC7" w:rsidRDefault="00AA2BC7" w:rsidP="001D1622">
      <w:pPr>
        <w:pStyle w:val="ListParagraph"/>
        <w:numPr>
          <w:ilvl w:val="0"/>
          <w:numId w:val="27"/>
        </w:numPr>
        <w:spacing w:after="0" w:line="276" w:lineRule="auto"/>
        <w:jc w:val="both"/>
        <w:rPr>
          <w:rFonts w:cstheme="minorHAnsi"/>
        </w:rPr>
      </w:pPr>
      <w:r w:rsidRPr="00AA2BC7">
        <w:rPr>
          <w:rFonts w:cstheme="minorHAnsi"/>
        </w:rPr>
        <w:t xml:space="preserve">Estimated Time Frame for Project Implementation </w:t>
      </w:r>
    </w:p>
    <w:p w14:paraId="797973FD" w14:textId="77777777" w:rsidR="00AA2BC7" w:rsidRDefault="00AA2BC7" w:rsidP="001A4ACC">
      <w:pPr>
        <w:spacing w:after="200" w:line="276" w:lineRule="auto"/>
        <w:jc w:val="both"/>
        <w:rPr>
          <w:rFonts w:cstheme="minorHAnsi"/>
        </w:rPr>
      </w:pPr>
    </w:p>
    <w:p w14:paraId="43639F48" w14:textId="5E000B7D" w:rsidR="007969B4" w:rsidRPr="005F2E9C" w:rsidRDefault="007969B4" w:rsidP="00CE46ED">
      <w:pPr>
        <w:pStyle w:val="Heading2"/>
        <w:numPr>
          <w:ilvl w:val="0"/>
          <w:numId w:val="15"/>
        </w:numPr>
        <w:spacing w:before="0" w:after="160"/>
        <w:ind w:left="547" w:hanging="547"/>
        <w:rPr>
          <w:b/>
          <w:color w:val="000000" w:themeColor="text1"/>
          <w:sz w:val="24"/>
          <w:szCs w:val="24"/>
        </w:rPr>
      </w:pPr>
      <w:bookmarkStart w:id="59" w:name="_Toc454962"/>
      <w:bookmarkStart w:id="60" w:name="_Toc515393"/>
      <w:bookmarkStart w:id="61" w:name="_Toc515492"/>
      <w:bookmarkStart w:id="62" w:name="_Initial_diagnostic_of"/>
      <w:bookmarkStart w:id="63" w:name="_Toc2339913"/>
      <w:bookmarkStart w:id="64" w:name="_Toc121313773"/>
      <w:bookmarkEnd w:id="59"/>
      <w:bookmarkEnd w:id="60"/>
      <w:bookmarkEnd w:id="61"/>
      <w:bookmarkEnd w:id="62"/>
      <w:r w:rsidRPr="005F2E9C">
        <w:rPr>
          <w:b/>
          <w:color w:val="000000" w:themeColor="text1"/>
          <w:sz w:val="24"/>
          <w:szCs w:val="24"/>
        </w:rPr>
        <w:t xml:space="preserve">Initial diagnostic of </w:t>
      </w:r>
      <w:r w:rsidR="00D56637">
        <w:rPr>
          <w:b/>
          <w:color w:val="000000" w:themeColor="text1"/>
          <w:sz w:val="24"/>
          <w:szCs w:val="24"/>
        </w:rPr>
        <w:t xml:space="preserve">UNDP-supported </w:t>
      </w:r>
      <w:r w:rsidRPr="005F2E9C">
        <w:rPr>
          <w:b/>
          <w:color w:val="000000" w:themeColor="text1"/>
          <w:sz w:val="24"/>
          <w:szCs w:val="24"/>
        </w:rPr>
        <w:t>guarantees</w:t>
      </w:r>
      <w:bookmarkEnd w:id="63"/>
      <w:bookmarkEnd w:id="64"/>
    </w:p>
    <w:p w14:paraId="5FE2560F" w14:textId="59DBF002" w:rsidR="007969B4" w:rsidRPr="00E179ED" w:rsidRDefault="007969B4" w:rsidP="0018274F">
      <w:pPr>
        <w:spacing w:line="276" w:lineRule="auto"/>
        <w:jc w:val="both"/>
        <w:rPr>
          <w:iCs/>
          <w:highlight w:val="lightGray"/>
        </w:rPr>
      </w:pPr>
      <w:r w:rsidRPr="004F0872">
        <w:rPr>
          <w:iCs/>
        </w:rPr>
        <w:t>An initial diagnostic</w:t>
      </w:r>
      <w:r w:rsidR="008408C8">
        <w:rPr>
          <w:rStyle w:val="FootnoteReference"/>
          <w:iCs/>
        </w:rPr>
        <w:footnoteReference w:id="7"/>
      </w:r>
      <w:r w:rsidRPr="006E6FE2">
        <w:rPr>
          <w:iCs/>
        </w:rPr>
        <w:t xml:space="preserve"> </w:t>
      </w:r>
      <w:r w:rsidR="00D51BD7" w:rsidRPr="006E6FE2">
        <w:rPr>
          <w:iCs/>
        </w:rPr>
        <w:t xml:space="preserve">must </w:t>
      </w:r>
      <w:r w:rsidRPr="006E6FE2">
        <w:rPr>
          <w:iCs/>
        </w:rPr>
        <w:t>be conducted</w:t>
      </w:r>
      <w:r w:rsidRPr="00E179ED">
        <w:rPr>
          <w:iCs/>
        </w:rPr>
        <w:t xml:space="preserve"> </w:t>
      </w:r>
      <w:r w:rsidR="00451DD6" w:rsidRPr="00E179ED">
        <w:rPr>
          <w:iCs/>
        </w:rPr>
        <w:t xml:space="preserve">by the </w:t>
      </w:r>
      <w:r w:rsidR="0057061F" w:rsidRPr="00E179ED">
        <w:rPr>
          <w:iCs/>
        </w:rPr>
        <w:t>UNDP p</w:t>
      </w:r>
      <w:r w:rsidR="00451DD6" w:rsidRPr="00E179ED">
        <w:rPr>
          <w:iCs/>
        </w:rPr>
        <w:t xml:space="preserve">roject </w:t>
      </w:r>
      <w:r w:rsidR="0057061F" w:rsidRPr="00E179ED">
        <w:rPr>
          <w:iCs/>
        </w:rPr>
        <w:t>t</w:t>
      </w:r>
      <w:r w:rsidR="00451DD6" w:rsidRPr="00E179ED">
        <w:rPr>
          <w:iCs/>
        </w:rPr>
        <w:t>eam</w:t>
      </w:r>
      <w:r w:rsidR="008408C8" w:rsidRPr="008408C8">
        <w:rPr>
          <w:iCs/>
        </w:rPr>
        <w:t xml:space="preserve"> </w:t>
      </w:r>
      <w:r w:rsidR="008408C8" w:rsidRPr="002F122A">
        <w:rPr>
          <w:iCs/>
        </w:rPr>
        <w:t>at country level</w:t>
      </w:r>
      <w:r w:rsidR="00451DD6" w:rsidRPr="00E179ED">
        <w:rPr>
          <w:iCs/>
        </w:rPr>
        <w:t xml:space="preserve"> </w:t>
      </w:r>
      <w:r w:rsidRPr="00E179ED">
        <w:rPr>
          <w:iCs/>
        </w:rPr>
        <w:t xml:space="preserve">on all </w:t>
      </w:r>
      <w:r w:rsidR="00D56637">
        <w:rPr>
          <w:iCs/>
        </w:rPr>
        <w:t xml:space="preserve">UNDP-supported </w:t>
      </w:r>
      <w:r w:rsidRPr="00E179ED">
        <w:rPr>
          <w:iCs/>
        </w:rPr>
        <w:t xml:space="preserve">guarantee transactions to ensure effectiveness and efficiency of guarantees. </w:t>
      </w:r>
      <w:r w:rsidR="00BD70AD" w:rsidRPr="00E179ED">
        <w:rPr>
          <w:iCs/>
        </w:rPr>
        <w:t xml:space="preserve">It must assess </w:t>
      </w:r>
      <w:r w:rsidR="00B130FE" w:rsidRPr="00E179ED">
        <w:rPr>
          <w:iCs/>
        </w:rPr>
        <w:t xml:space="preserve">the </w:t>
      </w:r>
      <w:r w:rsidR="00B336AC" w:rsidRPr="00E179ED">
        <w:rPr>
          <w:iCs/>
        </w:rPr>
        <w:t xml:space="preserve">roles of </w:t>
      </w:r>
      <w:r w:rsidR="00D56637">
        <w:rPr>
          <w:iCs/>
        </w:rPr>
        <w:t xml:space="preserve">UNDP-supported </w:t>
      </w:r>
      <w:r w:rsidR="00B336AC" w:rsidRPr="00E179ED">
        <w:rPr>
          <w:iCs/>
        </w:rPr>
        <w:t>guarantees in the overall desig</w:t>
      </w:r>
      <w:r w:rsidR="001B18D6" w:rsidRPr="00E179ED">
        <w:rPr>
          <w:iCs/>
        </w:rPr>
        <w:t xml:space="preserve">n of </w:t>
      </w:r>
      <w:r w:rsidR="008C22A6" w:rsidRPr="00E179ED">
        <w:rPr>
          <w:iCs/>
        </w:rPr>
        <w:t xml:space="preserve">holistic development </w:t>
      </w:r>
      <w:r w:rsidR="00161652" w:rsidRPr="00E179ED">
        <w:rPr>
          <w:iCs/>
        </w:rPr>
        <w:t xml:space="preserve">interventions, </w:t>
      </w:r>
      <w:r w:rsidR="00FE20E1" w:rsidRPr="00E179ED">
        <w:rPr>
          <w:iCs/>
        </w:rPr>
        <w:t xml:space="preserve">political, </w:t>
      </w:r>
      <w:r w:rsidR="0058139D" w:rsidRPr="00E179ED">
        <w:rPr>
          <w:iCs/>
        </w:rPr>
        <w:t xml:space="preserve">economic and business environments </w:t>
      </w:r>
      <w:r w:rsidR="000C6918" w:rsidRPr="00E179ED">
        <w:rPr>
          <w:iCs/>
        </w:rPr>
        <w:t>(e.g.</w:t>
      </w:r>
      <w:r w:rsidR="0016618B">
        <w:rPr>
          <w:iCs/>
        </w:rPr>
        <w:t>,</w:t>
      </w:r>
      <w:r w:rsidR="000C6918" w:rsidRPr="00E179ED">
        <w:rPr>
          <w:iCs/>
        </w:rPr>
        <w:t xml:space="preserve"> </w:t>
      </w:r>
      <w:r w:rsidR="000C46E6">
        <w:rPr>
          <w:iCs/>
        </w:rPr>
        <w:t xml:space="preserve">local </w:t>
      </w:r>
      <w:r w:rsidR="0049618A" w:rsidRPr="00E179ED">
        <w:rPr>
          <w:iCs/>
        </w:rPr>
        <w:t xml:space="preserve">financial regulations and markets conditions, </w:t>
      </w:r>
      <w:r w:rsidR="00BA15C0" w:rsidRPr="00E179ED">
        <w:rPr>
          <w:iCs/>
        </w:rPr>
        <w:t xml:space="preserve">doing business </w:t>
      </w:r>
      <w:r w:rsidR="00502414" w:rsidRPr="00E179ED">
        <w:rPr>
          <w:iCs/>
        </w:rPr>
        <w:t>data</w:t>
      </w:r>
      <w:r w:rsidR="000C6918" w:rsidRPr="00E179ED">
        <w:rPr>
          <w:iCs/>
        </w:rPr>
        <w:t>)</w:t>
      </w:r>
      <w:r w:rsidR="00FE20E1" w:rsidRPr="00E179ED">
        <w:rPr>
          <w:iCs/>
        </w:rPr>
        <w:t xml:space="preserve"> </w:t>
      </w:r>
      <w:r w:rsidR="00D24B88" w:rsidRPr="00E179ED">
        <w:rPr>
          <w:iCs/>
        </w:rPr>
        <w:t>and</w:t>
      </w:r>
      <w:r w:rsidR="00065291" w:rsidRPr="00E179ED">
        <w:rPr>
          <w:iCs/>
        </w:rPr>
        <w:t xml:space="preserve"> </w:t>
      </w:r>
      <w:r w:rsidR="00BD70AD" w:rsidRPr="00E179ED">
        <w:rPr>
          <w:iCs/>
        </w:rPr>
        <w:t xml:space="preserve">the type of risk that needs to be mitigated and the adequacy of the recommended guarantee variant </w:t>
      </w:r>
      <w:r w:rsidR="00D43658" w:rsidRPr="00E179ED">
        <w:rPr>
          <w:iCs/>
        </w:rPr>
        <w:t xml:space="preserve">(vs. other potential development interventions) </w:t>
      </w:r>
      <w:r w:rsidR="00BD70AD" w:rsidRPr="00E179ED">
        <w:rPr>
          <w:iCs/>
        </w:rPr>
        <w:t xml:space="preserve">in mitigating the risk. </w:t>
      </w:r>
      <w:r w:rsidR="00F66FD3" w:rsidRPr="00F66FD3">
        <w:rPr>
          <w:iCs/>
        </w:rPr>
        <w:t xml:space="preserve">For </w:t>
      </w:r>
      <w:r w:rsidR="00D56637">
        <w:rPr>
          <w:iCs/>
        </w:rPr>
        <w:t xml:space="preserve">UNDP-supported </w:t>
      </w:r>
      <w:r w:rsidR="00F66FD3" w:rsidRPr="00F66FD3">
        <w:rPr>
          <w:iCs/>
        </w:rPr>
        <w:t xml:space="preserve">credit guarantees, the design of the lending programme and related guarantee will seek to target specific sectors/markets/beneficiaries in order to achieve the development objective. </w:t>
      </w:r>
      <w:r w:rsidR="002538CB" w:rsidRPr="00E179ED">
        <w:rPr>
          <w:iCs/>
        </w:rPr>
        <w:t>K</w:t>
      </w:r>
      <w:r w:rsidRPr="00E179ED">
        <w:rPr>
          <w:iCs/>
        </w:rPr>
        <w:t xml:space="preserve">ey to the successful design of a guarantee program is </w:t>
      </w:r>
      <w:r w:rsidR="007A6C7F" w:rsidRPr="00E179ED">
        <w:rPr>
          <w:iCs/>
        </w:rPr>
        <w:t xml:space="preserve">the </w:t>
      </w:r>
      <w:r w:rsidRPr="00E179ED">
        <w:rPr>
          <w:iCs/>
        </w:rPr>
        <w:t>identif</w:t>
      </w:r>
      <w:r w:rsidR="007A6C7F" w:rsidRPr="00E179ED">
        <w:rPr>
          <w:iCs/>
        </w:rPr>
        <w:t>ication</w:t>
      </w:r>
      <w:r w:rsidRPr="00E179ED">
        <w:rPr>
          <w:iCs/>
        </w:rPr>
        <w:t xml:space="preserve"> </w:t>
      </w:r>
      <w:r w:rsidR="007A6C7F" w:rsidRPr="00E179ED">
        <w:rPr>
          <w:iCs/>
        </w:rPr>
        <w:t xml:space="preserve">of </w:t>
      </w:r>
      <w:r w:rsidRPr="00E179ED">
        <w:rPr>
          <w:iCs/>
        </w:rPr>
        <w:t xml:space="preserve">the risk </w:t>
      </w:r>
      <w:r w:rsidR="00941F2C" w:rsidRPr="00E179ED">
        <w:rPr>
          <w:iCs/>
        </w:rPr>
        <w:t xml:space="preserve">that </w:t>
      </w:r>
      <w:r w:rsidRPr="00E179ED">
        <w:rPr>
          <w:iCs/>
        </w:rPr>
        <w:t>lenders are most concerned about</w:t>
      </w:r>
      <w:r w:rsidR="00172507" w:rsidRPr="00E179ED">
        <w:rPr>
          <w:iCs/>
        </w:rPr>
        <w:t>,</w:t>
      </w:r>
      <w:r w:rsidRPr="00E179ED">
        <w:rPr>
          <w:iCs/>
        </w:rPr>
        <w:t xml:space="preserve"> and </w:t>
      </w:r>
      <w:r w:rsidR="00F1271F" w:rsidRPr="00E179ED">
        <w:rPr>
          <w:iCs/>
        </w:rPr>
        <w:t xml:space="preserve">where UNDP’s knowledge can be used to </w:t>
      </w:r>
      <w:r w:rsidRPr="00E179ED">
        <w:rPr>
          <w:iCs/>
        </w:rPr>
        <w:t xml:space="preserve">mitigate that risk with a </w:t>
      </w:r>
      <w:r w:rsidR="004765CC" w:rsidRPr="00E179ED">
        <w:rPr>
          <w:iCs/>
        </w:rPr>
        <w:t xml:space="preserve">cost-effective </w:t>
      </w:r>
      <w:r w:rsidRPr="00E179ED">
        <w:rPr>
          <w:iCs/>
        </w:rPr>
        <w:t>guarantee product</w:t>
      </w:r>
      <w:r w:rsidR="00726723" w:rsidRPr="00E179ED">
        <w:rPr>
          <w:iCs/>
        </w:rPr>
        <w:t>.</w:t>
      </w:r>
      <w:r w:rsidR="00B42148" w:rsidRPr="00E179ED">
        <w:rPr>
          <w:iCs/>
        </w:rPr>
        <w:t xml:space="preserve"> </w:t>
      </w:r>
      <w:r w:rsidRPr="00E179ED">
        <w:rPr>
          <w:iCs/>
        </w:rPr>
        <w:t xml:space="preserve">In addition to the assessment of risks, cost benefit analysis of guarantees </w:t>
      </w:r>
      <w:r w:rsidR="00C57A3D" w:rsidRPr="00E179ED">
        <w:rPr>
          <w:iCs/>
        </w:rPr>
        <w:t>must</w:t>
      </w:r>
      <w:r w:rsidRPr="00E179ED">
        <w:rPr>
          <w:iCs/>
        </w:rPr>
        <w:t xml:space="preserve"> be conducted.</w:t>
      </w:r>
      <w:r w:rsidR="008F58EC" w:rsidRPr="00E179ED">
        <w:rPr>
          <w:iCs/>
        </w:rPr>
        <w:t xml:space="preserve"> </w:t>
      </w:r>
      <w:r w:rsidR="006D15F0" w:rsidRPr="00E179ED">
        <w:rPr>
          <w:iCs/>
        </w:rPr>
        <w:t xml:space="preserve">The initial diagnostic must </w:t>
      </w:r>
      <w:r w:rsidR="008F58EC" w:rsidRPr="00E179ED">
        <w:rPr>
          <w:iCs/>
        </w:rPr>
        <w:t>be woven into the UNDP project development cycle</w:t>
      </w:r>
      <w:r w:rsidR="00344037" w:rsidRPr="00E179ED">
        <w:rPr>
          <w:iCs/>
        </w:rPr>
        <w:t>, with a clear theory of change explaining how the objectives of the</w:t>
      </w:r>
      <w:r w:rsidR="005869D8">
        <w:rPr>
          <w:iCs/>
        </w:rPr>
        <w:t xml:space="preserve"> UNDP-supported</w:t>
      </w:r>
      <w:r w:rsidR="00344037" w:rsidRPr="00E179ED">
        <w:rPr>
          <w:iCs/>
        </w:rPr>
        <w:t xml:space="preserve"> guarantee are expected to be achieved.</w:t>
      </w:r>
    </w:p>
    <w:p w14:paraId="090C738A" w14:textId="6F559C4B" w:rsidR="007969B4" w:rsidRPr="00FF18DC" w:rsidRDefault="007969B4" w:rsidP="0018274F">
      <w:pPr>
        <w:spacing w:line="276" w:lineRule="auto"/>
        <w:jc w:val="both"/>
        <w:rPr>
          <w:rFonts w:cstheme="minorHAnsi"/>
        </w:rPr>
      </w:pPr>
      <w:r w:rsidRPr="00E463F1">
        <w:rPr>
          <w:rFonts w:cstheme="minorHAnsi"/>
        </w:rPr>
        <w:t xml:space="preserve">UNDP will provide </w:t>
      </w:r>
      <w:r w:rsidR="005869D8">
        <w:rPr>
          <w:rFonts w:cstheme="minorHAnsi"/>
        </w:rPr>
        <w:t xml:space="preserve">UNDP-supported </w:t>
      </w:r>
      <w:r w:rsidRPr="00E463F1">
        <w:rPr>
          <w:rFonts w:cstheme="minorHAnsi"/>
        </w:rPr>
        <w:t xml:space="preserve">guarantees only to the extent necessary. A </w:t>
      </w:r>
      <w:r w:rsidR="00061B8D">
        <w:rPr>
          <w:rFonts w:cstheme="minorHAnsi"/>
        </w:rPr>
        <w:t xml:space="preserve">UNDP-supported </w:t>
      </w:r>
      <w:r w:rsidRPr="00E463F1">
        <w:rPr>
          <w:rFonts w:cstheme="minorHAnsi"/>
        </w:rPr>
        <w:t xml:space="preserve">guarantee should not be utilized unless it is probable that </w:t>
      </w:r>
      <w:r w:rsidR="005869D8">
        <w:rPr>
          <w:rFonts w:cstheme="minorHAnsi"/>
        </w:rPr>
        <w:t xml:space="preserve">the </w:t>
      </w:r>
      <w:r w:rsidR="0040715B">
        <w:rPr>
          <w:rFonts w:cstheme="minorHAnsi"/>
        </w:rPr>
        <w:t xml:space="preserve">guarantee will have the desired development impact and that </w:t>
      </w:r>
      <w:r w:rsidRPr="00E463F1">
        <w:rPr>
          <w:rFonts w:cstheme="minorHAnsi"/>
        </w:rPr>
        <w:t>the transaction would not go forward without it</w:t>
      </w:r>
      <w:r w:rsidR="00727494">
        <w:rPr>
          <w:rFonts w:cstheme="minorHAnsi"/>
        </w:rPr>
        <w:t xml:space="preserve"> (i.e. </w:t>
      </w:r>
      <w:hyperlink w:anchor="_Guarantees_shall_generate" w:history="1">
        <w:r w:rsidR="00727494" w:rsidRPr="00DF1AB4">
          <w:rPr>
            <w:rStyle w:val="Hyperlink"/>
            <w:rFonts w:cstheme="minorHAnsi"/>
          </w:rPr>
          <w:t>additionality</w:t>
        </w:r>
      </w:hyperlink>
      <w:r w:rsidR="00727494">
        <w:rPr>
          <w:rFonts w:cstheme="minorHAnsi"/>
        </w:rPr>
        <w:t>)</w:t>
      </w:r>
      <w:r w:rsidRPr="00E463F1">
        <w:rPr>
          <w:rFonts w:cstheme="minorHAnsi"/>
        </w:rPr>
        <w:t xml:space="preserve">. </w:t>
      </w:r>
      <w:r w:rsidR="00D760BE">
        <w:rPr>
          <w:rFonts w:cstheme="minorHAnsi"/>
        </w:rPr>
        <w:t xml:space="preserve">Any guarantee </w:t>
      </w:r>
      <w:r w:rsidR="00F95DE7">
        <w:rPr>
          <w:rFonts w:cstheme="minorHAnsi"/>
        </w:rPr>
        <w:t>scheme</w:t>
      </w:r>
      <w:r w:rsidR="00D760BE">
        <w:rPr>
          <w:rFonts w:cstheme="minorHAnsi"/>
        </w:rPr>
        <w:t xml:space="preserve"> must </w:t>
      </w:r>
      <w:r w:rsidR="00D760BE" w:rsidRPr="00F33053">
        <w:rPr>
          <w:rFonts w:cstheme="minorHAnsi"/>
        </w:rPr>
        <w:t>have a clear commercial orientation</w:t>
      </w:r>
      <w:r w:rsidR="00D760BE">
        <w:rPr>
          <w:rFonts w:cstheme="minorHAnsi"/>
        </w:rPr>
        <w:t xml:space="preserve">. </w:t>
      </w:r>
      <w:r w:rsidRPr="00E463F1">
        <w:rPr>
          <w:rFonts w:cstheme="minorHAnsi"/>
        </w:rPr>
        <w:t>Careful design of guarantees is critical to ensure the potential of guarantees is maximized and that they contribute to the achieveme</w:t>
      </w:r>
      <w:r w:rsidRPr="006247C7">
        <w:rPr>
          <w:rFonts w:cstheme="minorHAnsi"/>
        </w:rPr>
        <w:t>nt of desired objectives and development goals</w:t>
      </w:r>
      <w:r w:rsidR="00601B5B">
        <w:rPr>
          <w:rFonts w:cstheme="minorHAnsi"/>
        </w:rPr>
        <w:t xml:space="preserve"> that would not otherwise be achieved without the </w:t>
      </w:r>
      <w:r w:rsidR="00AF7725">
        <w:rPr>
          <w:rFonts w:cstheme="minorHAnsi"/>
        </w:rPr>
        <w:t>guarantee</w:t>
      </w:r>
      <w:r w:rsidRPr="006247C7">
        <w:rPr>
          <w:rFonts w:cstheme="minorHAnsi"/>
        </w:rPr>
        <w:t>.</w:t>
      </w:r>
      <w:r w:rsidRPr="00FF18DC">
        <w:rPr>
          <w:rFonts w:cstheme="minorHAnsi"/>
        </w:rPr>
        <w:t xml:space="preserve"> The questions listed below </w:t>
      </w:r>
      <w:r w:rsidR="006021A0">
        <w:rPr>
          <w:rFonts w:cstheme="minorHAnsi"/>
        </w:rPr>
        <w:t xml:space="preserve">should </w:t>
      </w:r>
      <w:r w:rsidRPr="00FF18DC">
        <w:rPr>
          <w:rFonts w:cstheme="minorHAnsi"/>
        </w:rPr>
        <w:t>be answered as part of the initial diagnostic of guarantees.</w:t>
      </w:r>
    </w:p>
    <w:p w14:paraId="3DB932CD" w14:textId="77777777" w:rsidR="00451545" w:rsidRDefault="00204777" w:rsidP="00314951">
      <w:pPr>
        <w:pStyle w:val="ListParagraph"/>
        <w:keepNext/>
        <w:numPr>
          <w:ilvl w:val="0"/>
          <w:numId w:val="8"/>
        </w:numPr>
        <w:spacing w:before="240" w:line="276" w:lineRule="auto"/>
        <w:contextualSpacing w:val="0"/>
        <w:jc w:val="both"/>
        <w:rPr>
          <w:rFonts w:cstheme="minorHAnsi"/>
          <w:b/>
          <w:i/>
        </w:rPr>
      </w:pPr>
      <w:r>
        <w:rPr>
          <w:rFonts w:cstheme="minorHAnsi"/>
          <w:b/>
          <w:i/>
        </w:rPr>
        <w:t>What are the risks for the development interventions</w:t>
      </w:r>
      <w:r w:rsidRPr="00C5160F">
        <w:rPr>
          <w:rFonts w:cstheme="minorHAnsi"/>
          <w:b/>
          <w:i/>
        </w:rPr>
        <w:t>?</w:t>
      </w:r>
    </w:p>
    <w:p w14:paraId="04DEA8C2" w14:textId="4602953A" w:rsidR="00F83DAF" w:rsidRDefault="00F83DAF" w:rsidP="00F83DAF">
      <w:pPr>
        <w:spacing w:after="200" w:line="276" w:lineRule="auto"/>
        <w:jc w:val="both"/>
        <w:rPr>
          <w:rFonts w:cstheme="minorHAnsi"/>
        </w:rPr>
      </w:pPr>
      <w:r w:rsidRPr="00F83DAF">
        <w:rPr>
          <w:rFonts w:cstheme="minorHAnsi"/>
        </w:rPr>
        <w:t xml:space="preserve">To reveal uncertainties relevant to development interventions, a risk assessment </w:t>
      </w:r>
      <w:r w:rsidR="00C57A3D">
        <w:rPr>
          <w:rFonts w:cstheme="minorHAnsi"/>
        </w:rPr>
        <w:t>must</w:t>
      </w:r>
      <w:r w:rsidRPr="00F83DAF">
        <w:rPr>
          <w:rFonts w:cstheme="minorHAnsi"/>
        </w:rPr>
        <w:t xml:space="preserve"> be performed, which could include</w:t>
      </w:r>
      <w:r w:rsidR="00C31DB4">
        <w:rPr>
          <w:rFonts w:cstheme="minorHAnsi"/>
        </w:rPr>
        <w:t xml:space="preserve"> an assessment of</w:t>
      </w:r>
      <w:r w:rsidRPr="00F83DAF">
        <w:rPr>
          <w:rFonts w:cstheme="minorHAnsi"/>
        </w:rPr>
        <w:t xml:space="preserve"> political risks, macro- and microeconomic risks, risks in financial markets and business environment, regulatory risks</w:t>
      </w:r>
      <w:r w:rsidR="00C31DB4">
        <w:rPr>
          <w:rFonts w:cstheme="minorHAnsi"/>
        </w:rPr>
        <w:t xml:space="preserve"> and</w:t>
      </w:r>
      <w:r w:rsidRPr="00F83DAF">
        <w:rPr>
          <w:rFonts w:cstheme="minorHAnsi"/>
        </w:rPr>
        <w:t xml:space="preserve"> operational risks. This risk assessment could be </w:t>
      </w:r>
      <w:r w:rsidR="00C31DB4">
        <w:rPr>
          <w:rFonts w:cstheme="minorHAnsi"/>
        </w:rPr>
        <w:lastRenderedPageBreak/>
        <w:t>similar to the one conducted on</w:t>
      </w:r>
      <w:r w:rsidRPr="00F83DAF">
        <w:rPr>
          <w:rFonts w:cstheme="minorHAnsi"/>
        </w:rPr>
        <w:t xml:space="preserve"> other projects/interventions within the same broader development programmes.  </w:t>
      </w:r>
    </w:p>
    <w:p w14:paraId="6CFCDC7C" w14:textId="7471265E" w:rsidR="00667F72" w:rsidRPr="00F83DAF" w:rsidRDefault="00667F72" w:rsidP="00F83DAF">
      <w:pPr>
        <w:spacing w:after="200" w:line="276" w:lineRule="auto"/>
        <w:jc w:val="both"/>
        <w:rPr>
          <w:rFonts w:cstheme="minorHAnsi"/>
        </w:rPr>
      </w:pPr>
      <w:r>
        <w:rPr>
          <w:rFonts w:cstheme="minorHAnsi"/>
        </w:rPr>
        <w:t xml:space="preserve">Among these risks for the </w:t>
      </w:r>
      <w:r w:rsidR="00C4501E">
        <w:rPr>
          <w:rFonts w:cstheme="minorHAnsi"/>
        </w:rPr>
        <w:t>development interventions, a</w:t>
      </w:r>
      <w:r w:rsidR="00C31DB4">
        <w:rPr>
          <w:rFonts w:cstheme="minorHAnsi"/>
        </w:rPr>
        <w:t xml:space="preserve"> root cause </w:t>
      </w:r>
      <w:r w:rsidR="00C4501E">
        <w:rPr>
          <w:rFonts w:cstheme="minorHAnsi"/>
        </w:rPr>
        <w:t xml:space="preserve">analysis </w:t>
      </w:r>
      <w:r w:rsidR="00201935">
        <w:rPr>
          <w:rFonts w:cstheme="minorHAnsi"/>
        </w:rPr>
        <w:t xml:space="preserve">must be carried out </w:t>
      </w:r>
      <w:r w:rsidR="00201935" w:rsidRPr="00E64232">
        <w:rPr>
          <w:rFonts w:cstheme="minorHAnsi"/>
        </w:rPr>
        <w:t xml:space="preserve">to identify the </w:t>
      </w:r>
      <w:r w:rsidR="00201935">
        <w:rPr>
          <w:rFonts w:cstheme="minorHAnsi"/>
        </w:rPr>
        <w:t xml:space="preserve">underlying drivers of the </w:t>
      </w:r>
      <w:r w:rsidR="00201935" w:rsidRPr="00E64232">
        <w:rPr>
          <w:rFonts w:cstheme="minorHAnsi"/>
        </w:rPr>
        <w:t xml:space="preserve">specific risks </w:t>
      </w:r>
      <w:r w:rsidR="00201935">
        <w:rPr>
          <w:rFonts w:cstheme="minorHAnsi"/>
        </w:rPr>
        <w:t xml:space="preserve">that </w:t>
      </w:r>
      <w:r w:rsidR="00201935" w:rsidRPr="00E64232">
        <w:rPr>
          <w:rFonts w:cstheme="minorHAnsi"/>
        </w:rPr>
        <w:t xml:space="preserve">lenders are most concerned about </w:t>
      </w:r>
      <w:r w:rsidR="001069C4">
        <w:rPr>
          <w:rFonts w:cstheme="minorHAnsi"/>
        </w:rPr>
        <w:t>(e</w:t>
      </w:r>
      <w:r w:rsidR="00960C6B">
        <w:rPr>
          <w:rFonts w:cstheme="minorHAnsi"/>
        </w:rPr>
        <w:t>.g</w:t>
      </w:r>
      <w:r w:rsidR="001069C4">
        <w:rPr>
          <w:rFonts w:cstheme="minorHAnsi"/>
        </w:rPr>
        <w:t>. regulations on capital flows, currency risks, legal risks</w:t>
      </w:r>
      <w:r w:rsidR="00CA0C07">
        <w:rPr>
          <w:rFonts w:cstheme="minorHAnsi"/>
        </w:rPr>
        <w:t>,</w:t>
      </w:r>
      <w:r w:rsidR="001069C4">
        <w:rPr>
          <w:rFonts w:cstheme="minorHAnsi"/>
        </w:rPr>
        <w:t xml:space="preserve"> </w:t>
      </w:r>
      <w:r w:rsidR="00B022E7">
        <w:rPr>
          <w:rFonts w:cstheme="minorHAnsi"/>
        </w:rPr>
        <w:t>cash flow model of borrowers to identify the risks of default</w:t>
      </w:r>
      <w:r w:rsidR="00CA0C07">
        <w:rPr>
          <w:rFonts w:cstheme="minorHAnsi"/>
        </w:rPr>
        <w:t>, etc.</w:t>
      </w:r>
      <w:r w:rsidR="001069C4">
        <w:rPr>
          <w:rFonts w:cstheme="minorHAnsi"/>
        </w:rPr>
        <w:t>)</w:t>
      </w:r>
      <w:r w:rsidR="0042382B">
        <w:rPr>
          <w:rFonts w:cstheme="minorHAnsi"/>
        </w:rPr>
        <w:t xml:space="preserve"> </w:t>
      </w:r>
      <w:r w:rsidR="00201935" w:rsidRPr="00E64232">
        <w:rPr>
          <w:rFonts w:cstheme="minorHAnsi"/>
        </w:rPr>
        <w:t xml:space="preserve">and </w:t>
      </w:r>
      <w:r w:rsidR="00201935">
        <w:rPr>
          <w:rFonts w:cstheme="minorHAnsi"/>
        </w:rPr>
        <w:t xml:space="preserve">whether these can be mitigated through a guarantee instrument versus requiring other development interventions (e.g. policy change, etc.). Baseline data </w:t>
      </w:r>
      <w:r w:rsidR="006021A0">
        <w:rPr>
          <w:rFonts w:cstheme="minorHAnsi"/>
        </w:rPr>
        <w:t xml:space="preserve">should </w:t>
      </w:r>
      <w:r w:rsidR="00201935">
        <w:rPr>
          <w:rFonts w:cstheme="minorHAnsi"/>
        </w:rPr>
        <w:t>be provided and examples of standard market transactions with terms</w:t>
      </w:r>
      <w:r w:rsidR="00D736D3">
        <w:rPr>
          <w:rFonts w:cstheme="minorHAnsi"/>
        </w:rPr>
        <w:t xml:space="preserve"> </w:t>
      </w:r>
      <w:r w:rsidR="006A2DFF">
        <w:rPr>
          <w:rFonts w:cstheme="minorHAnsi"/>
        </w:rPr>
        <w:t>should be gathered</w:t>
      </w:r>
      <w:r w:rsidR="00201935">
        <w:rPr>
          <w:rFonts w:cstheme="minorHAnsi"/>
        </w:rPr>
        <w:t>. T</w:t>
      </w:r>
      <w:r w:rsidR="00201935" w:rsidRPr="00E64232">
        <w:rPr>
          <w:rFonts w:cstheme="minorHAnsi"/>
        </w:rPr>
        <w:t xml:space="preserve">he </w:t>
      </w:r>
      <w:r w:rsidR="00061B8D">
        <w:rPr>
          <w:rFonts w:cstheme="minorHAnsi"/>
        </w:rPr>
        <w:t xml:space="preserve">UNDP-supported </w:t>
      </w:r>
      <w:r w:rsidR="00201935" w:rsidRPr="00E64232">
        <w:rPr>
          <w:rFonts w:cstheme="minorHAnsi"/>
        </w:rPr>
        <w:t xml:space="preserve">guarantee product </w:t>
      </w:r>
      <w:r w:rsidR="006A2DFF">
        <w:rPr>
          <w:rFonts w:cstheme="minorHAnsi"/>
        </w:rPr>
        <w:t xml:space="preserve">should </w:t>
      </w:r>
      <w:r w:rsidR="00201935">
        <w:rPr>
          <w:rFonts w:cstheme="minorHAnsi"/>
        </w:rPr>
        <w:t xml:space="preserve">then </w:t>
      </w:r>
      <w:r w:rsidR="00201935" w:rsidRPr="00E64232">
        <w:rPr>
          <w:rFonts w:cstheme="minorHAnsi"/>
        </w:rPr>
        <w:t xml:space="preserve">be tailored to mitigate the specific risks identified. </w:t>
      </w:r>
      <w:r w:rsidR="00C4501E">
        <w:rPr>
          <w:rFonts w:cstheme="minorHAnsi"/>
        </w:rPr>
        <w:t xml:space="preserve"> </w:t>
      </w:r>
    </w:p>
    <w:p w14:paraId="3BA38239" w14:textId="2CFB700E" w:rsidR="00FE6604" w:rsidRDefault="00204777" w:rsidP="0027095B">
      <w:pPr>
        <w:pStyle w:val="ListParagraph"/>
        <w:numPr>
          <w:ilvl w:val="0"/>
          <w:numId w:val="8"/>
        </w:numPr>
        <w:spacing w:before="240" w:line="276" w:lineRule="auto"/>
        <w:contextualSpacing w:val="0"/>
        <w:jc w:val="both"/>
        <w:rPr>
          <w:rFonts w:cstheme="minorHAnsi"/>
          <w:b/>
          <w:i/>
        </w:rPr>
      </w:pPr>
      <w:r w:rsidRPr="008A2403">
        <w:rPr>
          <w:rFonts w:cstheme="minorHAnsi"/>
          <w:b/>
          <w:i/>
        </w:rPr>
        <w:t xml:space="preserve">Is a </w:t>
      </w:r>
      <w:r w:rsidR="00061B8D">
        <w:rPr>
          <w:rFonts w:cstheme="minorHAnsi"/>
          <w:b/>
          <w:i/>
        </w:rPr>
        <w:t xml:space="preserve">UNDP-supported </w:t>
      </w:r>
      <w:r w:rsidRPr="008A2403">
        <w:rPr>
          <w:rFonts w:cstheme="minorHAnsi"/>
          <w:b/>
          <w:i/>
        </w:rPr>
        <w:t>guarantee the appropriate instrument to</w:t>
      </w:r>
      <w:r w:rsidR="00173636">
        <w:rPr>
          <w:rFonts w:cstheme="minorHAnsi"/>
          <w:b/>
          <w:i/>
        </w:rPr>
        <w:t xml:space="preserve"> mitigate the identified risk and</w:t>
      </w:r>
      <w:r>
        <w:rPr>
          <w:rFonts w:cstheme="minorHAnsi"/>
          <w:b/>
          <w:i/>
        </w:rPr>
        <w:t xml:space="preserve"> deliver holistic development interventions?</w:t>
      </w:r>
      <w:r w:rsidR="00323DEB" w:rsidRPr="00C5160F">
        <w:rPr>
          <w:rFonts w:cstheme="minorHAnsi"/>
          <w:b/>
          <w:i/>
        </w:rPr>
        <w:t xml:space="preserve"> </w:t>
      </w:r>
      <w:r w:rsidR="002A6E2D" w:rsidRPr="00C5160F">
        <w:rPr>
          <w:rFonts w:cstheme="minorHAnsi"/>
          <w:b/>
          <w:i/>
        </w:rPr>
        <w:t xml:space="preserve">  </w:t>
      </w:r>
    </w:p>
    <w:p w14:paraId="0AC7A43F" w14:textId="03E01553" w:rsidR="007969B4" w:rsidRPr="00E64232" w:rsidRDefault="00737617" w:rsidP="00446480">
      <w:pPr>
        <w:spacing w:before="240" w:line="276" w:lineRule="auto"/>
        <w:jc w:val="both"/>
        <w:rPr>
          <w:rFonts w:cstheme="minorHAnsi"/>
        </w:rPr>
      </w:pPr>
      <w:r>
        <w:rPr>
          <w:rFonts w:cstheme="minorHAnsi"/>
        </w:rPr>
        <w:t xml:space="preserve">Following </w:t>
      </w:r>
      <w:r w:rsidR="00173636">
        <w:rPr>
          <w:rFonts w:cstheme="minorHAnsi"/>
        </w:rPr>
        <w:t>identification of the risks to be mitigated</w:t>
      </w:r>
      <w:r w:rsidR="000E4070">
        <w:rPr>
          <w:rFonts w:cstheme="minorHAnsi"/>
        </w:rPr>
        <w:t>,</w:t>
      </w:r>
      <w:r w:rsidR="00173636">
        <w:rPr>
          <w:rFonts w:cstheme="minorHAnsi"/>
        </w:rPr>
        <w:t xml:space="preserve"> </w:t>
      </w:r>
      <w:r w:rsidR="0079676C">
        <w:rPr>
          <w:rFonts w:cstheme="minorHAnsi"/>
        </w:rPr>
        <w:t>an</w:t>
      </w:r>
      <w:r w:rsidR="000E4070">
        <w:rPr>
          <w:rFonts w:cstheme="minorHAnsi"/>
        </w:rPr>
        <w:t xml:space="preserve"> a</w:t>
      </w:r>
      <w:r w:rsidR="0079676C">
        <w:rPr>
          <w:rFonts w:cstheme="minorHAnsi"/>
        </w:rPr>
        <w:t xml:space="preserve">ssessment </w:t>
      </w:r>
      <w:r w:rsidR="00C57A3D">
        <w:rPr>
          <w:rFonts w:cstheme="minorHAnsi"/>
        </w:rPr>
        <w:t>must</w:t>
      </w:r>
      <w:r w:rsidR="0079676C">
        <w:rPr>
          <w:rFonts w:cstheme="minorHAnsi"/>
        </w:rPr>
        <w:t xml:space="preserve"> be</w:t>
      </w:r>
      <w:r w:rsidR="000E4070">
        <w:rPr>
          <w:rFonts w:cstheme="minorHAnsi"/>
        </w:rPr>
        <w:t xml:space="preserve"> conducted to </w:t>
      </w:r>
      <w:r w:rsidR="0079676C">
        <w:rPr>
          <w:rFonts w:cstheme="minorHAnsi"/>
        </w:rPr>
        <w:t>establish clear</w:t>
      </w:r>
      <w:r>
        <w:rPr>
          <w:rFonts w:cstheme="minorHAnsi"/>
        </w:rPr>
        <w:t xml:space="preserve"> linkage</w:t>
      </w:r>
      <w:r w:rsidR="0079676C">
        <w:rPr>
          <w:rFonts w:cstheme="minorHAnsi"/>
        </w:rPr>
        <w:t>s</w:t>
      </w:r>
      <w:r>
        <w:rPr>
          <w:rFonts w:cstheme="minorHAnsi"/>
        </w:rPr>
        <w:t xml:space="preserve"> </w:t>
      </w:r>
      <w:r w:rsidR="000E4070">
        <w:rPr>
          <w:rFonts w:cstheme="minorHAnsi"/>
        </w:rPr>
        <w:t xml:space="preserve">between the ultimate objective(s) of the guarantee and how the </w:t>
      </w:r>
      <w:r w:rsidR="00061B8D">
        <w:rPr>
          <w:rFonts w:cstheme="minorHAnsi"/>
        </w:rPr>
        <w:t xml:space="preserve">UNDP-supported </w:t>
      </w:r>
      <w:r w:rsidR="000E4070">
        <w:rPr>
          <w:rFonts w:cstheme="minorHAnsi"/>
        </w:rPr>
        <w:t xml:space="preserve">guarantee </w:t>
      </w:r>
      <w:r w:rsidR="0079676C">
        <w:rPr>
          <w:rFonts w:cstheme="minorHAnsi"/>
        </w:rPr>
        <w:t xml:space="preserve">intends to </w:t>
      </w:r>
      <w:r w:rsidR="000E4070">
        <w:rPr>
          <w:rFonts w:cstheme="minorHAnsi"/>
        </w:rPr>
        <w:t>address the risks.</w:t>
      </w:r>
      <w:r w:rsidR="00173636">
        <w:rPr>
          <w:rFonts w:cstheme="minorHAnsi"/>
        </w:rPr>
        <w:t xml:space="preserve"> </w:t>
      </w:r>
      <w:r w:rsidR="000E4070">
        <w:rPr>
          <w:rFonts w:cstheme="minorHAnsi"/>
        </w:rPr>
        <w:t xml:space="preserve">This should </w:t>
      </w:r>
      <w:r w:rsidR="0079676C">
        <w:rPr>
          <w:rFonts w:cstheme="minorHAnsi"/>
        </w:rPr>
        <w:t>lead to</w:t>
      </w:r>
      <w:r w:rsidR="000E4070">
        <w:rPr>
          <w:rFonts w:cstheme="minorHAnsi"/>
        </w:rPr>
        <w:t xml:space="preserve"> an </w:t>
      </w:r>
      <w:r w:rsidR="00204777" w:rsidRPr="00E64232">
        <w:rPr>
          <w:rFonts w:cstheme="minorHAnsi"/>
        </w:rPr>
        <w:t>evaluati</w:t>
      </w:r>
      <w:r w:rsidR="000E4070">
        <w:rPr>
          <w:rFonts w:cstheme="minorHAnsi"/>
        </w:rPr>
        <w:t xml:space="preserve">on of </w:t>
      </w:r>
      <w:r w:rsidR="00204777" w:rsidRPr="00E64232">
        <w:rPr>
          <w:rFonts w:cstheme="minorHAnsi"/>
        </w:rPr>
        <w:t xml:space="preserve">whether </w:t>
      </w:r>
      <w:r w:rsidR="0079676C">
        <w:rPr>
          <w:rFonts w:cstheme="minorHAnsi"/>
        </w:rPr>
        <w:t>the</w:t>
      </w:r>
      <w:r w:rsidR="00204777" w:rsidRPr="00E64232">
        <w:rPr>
          <w:rFonts w:cstheme="minorHAnsi"/>
        </w:rPr>
        <w:t xml:space="preserve"> </w:t>
      </w:r>
      <w:r w:rsidR="00061B8D">
        <w:rPr>
          <w:rFonts w:cstheme="minorHAnsi"/>
        </w:rPr>
        <w:t xml:space="preserve">UNDP-supported </w:t>
      </w:r>
      <w:r w:rsidR="00204777" w:rsidRPr="00E64232">
        <w:rPr>
          <w:rFonts w:cstheme="minorHAnsi"/>
        </w:rPr>
        <w:t>guarantee is the appropriate intervention for the project.</w:t>
      </w:r>
      <w:r w:rsidR="00204777">
        <w:rPr>
          <w:rFonts w:cstheme="minorHAnsi"/>
        </w:rPr>
        <w:t xml:space="preserve"> A review o</w:t>
      </w:r>
      <w:r w:rsidR="0079676C">
        <w:rPr>
          <w:rFonts w:cstheme="minorHAnsi"/>
        </w:rPr>
        <w:t>f</w:t>
      </w:r>
      <w:r w:rsidR="00204777">
        <w:rPr>
          <w:rFonts w:cstheme="minorHAnsi"/>
        </w:rPr>
        <w:t xml:space="preserve"> linkages with other development interventions to achieve the intended results </w:t>
      </w:r>
      <w:r w:rsidR="00C57A3D">
        <w:rPr>
          <w:rFonts w:cstheme="minorHAnsi"/>
        </w:rPr>
        <w:t>must</w:t>
      </w:r>
      <w:r w:rsidR="00204777">
        <w:rPr>
          <w:rFonts w:cstheme="minorHAnsi"/>
        </w:rPr>
        <w:t xml:space="preserve"> </w:t>
      </w:r>
      <w:r w:rsidR="009E0FAB">
        <w:rPr>
          <w:rFonts w:cstheme="minorHAnsi"/>
        </w:rPr>
        <w:t xml:space="preserve">also </w:t>
      </w:r>
      <w:r w:rsidR="00204777">
        <w:rPr>
          <w:rFonts w:cstheme="minorHAnsi"/>
        </w:rPr>
        <w:t xml:space="preserve">be conducted.  </w:t>
      </w:r>
    </w:p>
    <w:p w14:paraId="27F4A8B4" w14:textId="474AB404" w:rsidR="007969B4" w:rsidRPr="004246B4" w:rsidRDefault="007969B4" w:rsidP="0027095B">
      <w:pPr>
        <w:pStyle w:val="ListParagraph"/>
        <w:keepNext/>
        <w:numPr>
          <w:ilvl w:val="0"/>
          <w:numId w:val="8"/>
        </w:numPr>
        <w:spacing w:line="276" w:lineRule="auto"/>
        <w:contextualSpacing w:val="0"/>
        <w:jc w:val="both"/>
        <w:rPr>
          <w:rFonts w:cstheme="minorHAnsi"/>
          <w:b/>
          <w:i/>
        </w:rPr>
      </w:pPr>
      <w:r w:rsidRPr="004246B4">
        <w:rPr>
          <w:rFonts w:cstheme="minorHAnsi"/>
          <w:b/>
          <w:i/>
        </w:rPr>
        <w:t xml:space="preserve">Has the </w:t>
      </w:r>
      <w:r w:rsidR="00EF11CE">
        <w:rPr>
          <w:rFonts w:cstheme="minorHAnsi"/>
          <w:b/>
          <w:i/>
        </w:rPr>
        <w:t>lender</w:t>
      </w:r>
      <w:r w:rsidR="00EF11CE" w:rsidRPr="004246B4">
        <w:rPr>
          <w:rFonts w:cstheme="minorHAnsi"/>
          <w:b/>
          <w:i/>
        </w:rPr>
        <w:t xml:space="preserve"> </w:t>
      </w:r>
      <w:r w:rsidRPr="004246B4">
        <w:rPr>
          <w:rFonts w:cstheme="minorHAnsi"/>
          <w:b/>
          <w:i/>
        </w:rPr>
        <w:t>correctly perceived risk and expected return?</w:t>
      </w:r>
    </w:p>
    <w:p w14:paraId="6FF8D47C" w14:textId="5B5E80FE" w:rsidR="007969B4" w:rsidRPr="00936109" w:rsidRDefault="007969B4" w:rsidP="00BF75DB">
      <w:pPr>
        <w:keepNext/>
        <w:spacing w:after="60" w:line="276" w:lineRule="auto"/>
        <w:jc w:val="both"/>
        <w:rPr>
          <w:rFonts w:cstheme="minorHAnsi"/>
        </w:rPr>
      </w:pPr>
      <w:r w:rsidRPr="00936109">
        <w:rPr>
          <w:rFonts w:cstheme="minorHAnsi"/>
        </w:rPr>
        <w:t xml:space="preserve">If the </w:t>
      </w:r>
      <w:r w:rsidR="00EF11CE">
        <w:rPr>
          <w:rFonts w:cstheme="minorHAnsi"/>
        </w:rPr>
        <w:t xml:space="preserve">lender </w:t>
      </w:r>
      <w:r w:rsidRPr="00936109">
        <w:rPr>
          <w:rFonts w:cstheme="minorHAnsi"/>
        </w:rPr>
        <w:t xml:space="preserve">has correctly perceived risk and the expected return from the project and determined expected returns are lower or risks higher than for other available projects, then UNDP </w:t>
      </w:r>
      <w:r w:rsidR="00C57A3D">
        <w:rPr>
          <w:rFonts w:cstheme="minorHAnsi"/>
        </w:rPr>
        <w:t>must</w:t>
      </w:r>
      <w:r w:rsidRPr="00936109">
        <w:rPr>
          <w:rFonts w:cstheme="minorHAnsi"/>
        </w:rPr>
        <w:t xml:space="preserve"> not intervene as this would shift capital from better investments to worse</w:t>
      </w:r>
      <w:r w:rsidR="00936109">
        <w:rPr>
          <w:rFonts w:cstheme="minorHAnsi"/>
        </w:rPr>
        <w:t>-</w:t>
      </w:r>
      <w:r w:rsidRPr="00936109">
        <w:rPr>
          <w:rFonts w:cstheme="minorHAnsi"/>
        </w:rPr>
        <w:t>off investments. UNDP</w:t>
      </w:r>
      <w:r w:rsidR="00CE41E3">
        <w:rPr>
          <w:rFonts w:cstheme="minorHAnsi"/>
        </w:rPr>
        <w:t>-supported</w:t>
      </w:r>
      <w:r w:rsidRPr="00936109">
        <w:rPr>
          <w:rFonts w:cstheme="minorHAnsi"/>
        </w:rPr>
        <w:t xml:space="preserve"> guarantees may improve outcomes if they support investments in projects in one or more of the following situations:</w:t>
      </w:r>
    </w:p>
    <w:p w14:paraId="37FC83BF" w14:textId="77777777" w:rsidR="007969B4" w:rsidRPr="00936109" w:rsidRDefault="007969B4" w:rsidP="0027095B">
      <w:pPr>
        <w:pStyle w:val="ListParagraph"/>
        <w:numPr>
          <w:ilvl w:val="0"/>
          <w:numId w:val="7"/>
        </w:numPr>
        <w:spacing w:after="200" w:line="276" w:lineRule="auto"/>
        <w:jc w:val="both"/>
        <w:rPr>
          <w:rFonts w:cstheme="minorHAnsi"/>
        </w:rPr>
      </w:pPr>
      <w:r w:rsidRPr="00936109">
        <w:rPr>
          <w:rFonts w:cstheme="minorHAnsi"/>
        </w:rPr>
        <w:t xml:space="preserve">When there are expected significant social returns in addition to </w:t>
      </w:r>
      <w:r w:rsidR="00936109" w:rsidRPr="00EA200F">
        <w:rPr>
          <w:rFonts w:cstheme="minorHAnsi"/>
        </w:rPr>
        <w:t xml:space="preserve">financial </w:t>
      </w:r>
      <w:r w:rsidRPr="00936109">
        <w:rPr>
          <w:rFonts w:cstheme="minorHAnsi"/>
        </w:rPr>
        <w:t>returns, from which society benefits</w:t>
      </w:r>
    </w:p>
    <w:p w14:paraId="6D570309" w14:textId="53878037" w:rsidR="007969B4" w:rsidRPr="00AA551A" w:rsidRDefault="007969B4" w:rsidP="0027095B">
      <w:pPr>
        <w:pStyle w:val="ListParagraph"/>
        <w:numPr>
          <w:ilvl w:val="0"/>
          <w:numId w:val="7"/>
        </w:numPr>
        <w:spacing w:after="200" w:line="276" w:lineRule="auto"/>
        <w:jc w:val="both"/>
        <w:rPr>
          <w:rFonts w:cstheme="minorHAnsi"/>
        </w:rPr>
      </w:pPr>
      <w:r w:rsidRPr="00AA551A">
        <w:rPr>
          <w:rFonts w:cstheme="minorHAnsi"/>
        </w:rPr>
        <w:t xml:space="preserve">When the </w:t>
      </w:r>
      <w:r w:rsidR="00BE1FD6">
        <w:rPr>
          <w:rFonts w:cstheme="minorHAnsi"/>
        </w:rPr>
        <w:t>lender</w:t>
      </w:r>
      <w:r w:rsidR="00BE1FD6" w:rsidRPr="00AA551A">
        <w:rPr>
          <w:rFonts w:cstheme="minorHAnsi"/>
        </w:rPr>
        <w:t xml:space="preserve"> </w:t>
      </w:r>
      <w:r w:rsidRPr="00AA551A">
        <w:rPr>
          <w:rFonts w:cstheme="minorHAnsi"/>
        </w:rPr>
        <w:t>systematically overestimates risk associated with the project</w:t>
      </w:r>
    </w:p>
    <w:p w14:paraId="3E1C6981" w14:textId="104EA60F" w:rsidR="007969B4" w:rsidRPr="00C10AC6" w:rsidRDefault="007969B4" w:rsidP="0027095B">
      <w:pPr>
        <w:pStyle w:val="ListParagraph"/>
        <w:numPr>
          <w:ilvl w:val="0"/>
          <w:numId w:val="7"/>
        </w:numPr>
        <w:spacing w:after="200" w:line="276" w:lineRule="auto"/>
        <w:jc w:val="both"/>
        <w:rPr>
          <w:rFonts w:cstheme="minorHAnsi"/>
        </w:rPr>
      </w:pPr>
      <w:r w:rsidRPr="00C10AC6">
        <w:rPr>
          <w:rFonts w:cstheme="minorHAnsi"/>
        </w:rPr>
        <w:t xml:space="preserve">When the </w:t>
      </w:r>
      <w:r w:rsidR="00870D44">
        <w:rPr>
          <w:rFonts w:cstheme="minorHAnsi"/>
        </w:rPr>
        <w:t>lender</w:t>
      </w:r>
      <w:r w:rsidR="00870D44" w:rsidRPr="00C10AC6">
        <w:rPr>
          <w:rFonts w:cstheme="minorHAnsi"/>
        </w:rPr>
        <w:t xml:space="preserve"> </w:t>
      </w:r>
      <w:r w:rsidRPr="00C10AC6">
        <w:rPr>
          <w:rFonts w:cstheme="minorHAnsi"/>
        </w:rPr>
        <w:t>underestimates the expected returns</w:t>
      </w:r>
    </w:p>
    <w:p w14:paraId="63084FCE" w14:textId="34454C64" w:rsidR="007969B4" w:rsidRPr="00C10AC6" w:rsidRDefault="007969B4" w:rsidP="00FF18DC">
      <w:pPr>
        <w:spacing w:after="200" w:line="276" w:lineRule="auto"/>
        <w:jc w:val="both"/>
        <w:rPr>
          <w:rFonts w:cstheme="minorHAnsi"/>
        </w:rPr>
      </w:pPr>
      <w:r w:rsidRPr="00C10AC6">
        <w:rPr>
          <w:rFonts w:cstheme="minorHAnsi"/>
        </w:rPr>
        <w:t xml:space="preserve">While it may be unlikely that UNDP can systematically outperform the </w:t>
      </w:r>
      <w:r w:rsidR="00B142D4">
        <w:rPr>
          <w:rFonts w:cstheme="minorHAnsi"/>
        </w:rPr>
        <w:t>lender</w:t>
      </w:r>
      <w:r w:rsidRPr="00C10AC6">
        <w:rPr>
          <w:rFonts w:cstheme="minorHAnsi"/>
        </w:rPr>
        <w:t>/private sector in either assessing the risks or evaluating the expected returns of projects,</w:t>
      </w:r>
      <w:r w:rsidR="008E71B3" w:rsidRPr="00C10AC6">
        <w:rPr>
          <w:rFonts w:cstheme="minorHAnsi"/>
        </w:rPr>
        <w:t xml:space="preserve"> it</w:t>
      </w:r>
      <w:r w:rsidRPr="00C10AC6">
        <w:rPr>
          <w:rFonts w:cstheme="minorHAnsi"/>
        </w:rPr>
        <w:t xml:space="preserve"> is important to note that the burden of proof to support any one of the three assertions </w:t>
      </w:r>
      <w:r w:rsidR="00AB322B" w:rsidRPr="00C10AC6">
        <w:rPr>
          <w:rFonts w:cstheme="minorHAnsi"/>
        </w:rPr>
        <w:t>above rests with UNDP</w:t>
      </w:r>
      <w:r w:rsidRPr="00C10AC6">
        <w:rPr>
          <w:rFonts w:cstheme="minorHAnsi"/>
        </w:rPr>
        <w:t>.</w:t>
      </w:r>
    </w:p>
    <w:p w14:paraId="50EA78C9" w14:textId="77777777" w:rsidR="007969B4" w:rsidRPr="00243201" w:rsidRDefault="007969B4" w:rsidP="0027095B">
      <w:pPr>
        <w:pStyle w:val="ListParagraph"/>
        <w:numPr>
          <w:ilvl w:val="0"/>
          <w:numId w:val="8"/>
        </w:numPr>
        <w:spacing w:line="276" w:lineRule="auto"/>
        <w:contextualSpacing w:val="0"/>
        <w:jc w:val="both"/>
        <w:rPr>
          <w:rFonts w:cstheme="minorHAnsi"/>
          <w:b/>
          <w:i/>
        </w:rPr>
      </w:pPr>
      <w:r w:rsidRPr="00243201">
        <w:rPr>
          <w:rFonts w:cstheme="minorHAnsi"/>
          <w:b/>
          <w:i/>
        </w:rPr>
        <w:t>Will the guarantee create market distortions?</w:t>
      </w:r>
    </w:p>
    <w:p w14:paraId="4E28A6E3" w14:textId="58EF2615" w:rsidR="00877F4A" w:rsidRDefault="003275D6" w:rsidP="00E64232">
      <w:pPr>
        <w:spacing w:after="200" w:line="276" w:lineRule="auto"/>
        <w:jc w:val="both"/>
        <w:rPr>
          <w:rFonts w:cstheme="minorHAnsi"/>
        </w:rPr>
      </w:pPr>
      <w:r>
        <w:rPr>
          <w:rFonts w:cstheme="minorHAnsi"/>
        </w:rPr>
        <w:t>UNDP</w:t>
      </w:r>
      <w:r w:rsidR="00CE41E3">
        <w:rPr>
          <w:rFonts w:cstheme="minorHAnsi"/>
        </w:rPr>
        <w:t>-supported</w:t>
      </w:r>
      <w:r>
        <w:rPr>
          <w:rFonts w:cstheme="minorHAnsi"/>
        </w:rPr>
        <w:t xml:space="preserve"> g</w:t>
      </w:r>
      <w:r w:rsidR="007969B4" w:rsidRPr="003275D6">
        <w:rPr>
          <w:rFonts w:cstheme="minorHAnsi"/>
        </w:rPr>
        <w:t xml:space="preserve">uarantees should not pick winners and losers and create unfair competitive advantage over investments that do not receive the guarantee. </w:t>
      </w:r>
      <w:r w:rsidR="00710D7E">
        <w:rPr>
          <w:rFonts w:cstheme="minorHAnsi"/>
        </w:rPr>
        <w:t xml:space="preserve">Guarantee lending schemes </w:t>
      </w:r>
      <w:r w:rsidR="00710D7E" w:rsidRPr="00710D7E">
        <w:rPr>
          <w:rFonts w:cstheme="minorHAnsi"/>
        </w:rPr>
        <w:t xml:space="preserve">can distort markets by introducing products or services with features that are not sustainable. For instance, a guarantor offering </w:t>
      </w:r>
      <w:r w:rsidR="00710D7E" w:rsidRPr="00710D7E">
        <w:rPr>
          <w:rFonts w:cstheme="minorHAnsi"/>
        </w:rPr>
        <w:lastRenderedPageBreak/>
        <w:t xml:space="preserve">loans at lower than market interest rates will attract a lot of borrowers. This will be detrimental to other lenders who will either try to respond or suffer losses. </w:t>
      </w:r>
      <w:r w:rsidR="007969B4" w:rsidRPr="003275D6">
        <w:rPr>
          <w:rFonts w:cstheme="minorHAnsi"/>
        </w:rPr>
        <w:t>This creates market distortions which could generate overall losses in the economies where guara</w:t>
      </w:r>
      <w:r w:rsidR="007969B4" w:rsidRPr="003D54E1">
        <w:rPr>
          <w:rFonts w:cstheme="minorHAnsi"/>
        </w:rPr>
        <w:t xml:space="preserve">ntees are implemented. </w:t>
      </w:r>
    </w:p>
    <w:p w14:paraId="08973393" w14:textId="6BDD9DB6" w:rsidR="007969B4" w:rsidRPr="00243201" w:rsidRDefault="007969B4" w:rsidP="00E64232">
      <w:pPr>
        <w:spacing w:after="200" w:line="276" w:lineRule="auto"/>
        <w:jc w:val="both"/>
        <w:rPr>
          <w:rFonts w:cstheme="minorHAnsi"/>
        </w:rPr>
      </w:pPr>
      <w:r w:rsidRPr="003D54E1">
        <w:rPr>
          <w:rFonts w:cstheme="minorHAnsi"/>
        </w:rPr>
        <w:t>UNDP</w:t>
      </w:r>
      <w:r w:rsidR="003A05B1">
        <w:rPr>
          <w:rFonts w:cstheme="minorHAnsi"/>
        </w:rPr>
        <w:t>-supported</w:t>
      </w:r>
      <w:r w:rsidRPr="003D54E1">
        <w:rPr>
          <w:rFonts w:cstheme="minorHAnsi"/>
        </w:rPr>
        <w:t xml:space="preserve"> guarantee</w:t>
      </w:r>
      <w:r w:rsidR="003D54E1">
        <w:rPr>
          <w:rFonts w:cstheme="minorHAnsi"/>
        </w:rPr>
        <w:t>s</w:t>
      </w:r>
      <w:r w:rsidRPr="003D54E1">
        <w:rPr>
          <w:rFonts w:cstheme="minorHAnsi"/>
        </w:rPr>
        <w:t xml:space="preserve"> should not displace </w:t>
      </w:r>
      <w:r w:rsidRPr="00243201">
        <w:rPr>
          <w:rFonts w:cstheme="minorHAnsi"/>
        </w:rPr>
        <w:t xml:space="preserve">demand for capital and debt financing that could be fulfilled from other sources. </w:t>
      </w:r>
      <w:r w:rsidR="00877F4A">
        <w:rPr>
          <w:rFonts w:cstheme="minorHAnsi"/>
        </w:rPr>
        <w:t xml:space="preserve">Generally speaking, </w:t>
      </w:r>
      <w:r w:rsidR="002D5E47">
        <w:rPr>
          <w:rFonts w:cstheme="minorHAnsi"/>
        </w:rPr>
        <w:t xml:space="preserve">if a </w:t>
      </w:r>
      <w:r w:rsidR="00877F4A" w:rsidRPr="00877F4A">
        <w:rPr>
          <w:rFonts w:cstheme="minorHAnsi"/>
        </w:rPr>
        <w:t xml:space="preserve">lender can offer finance on normal commercial terms without the need to make use of </w:t>
      </w:r>
      <w:r w:rsidR="002D5E47">
        <w:rPr>
          <w:rFonts w:cstheme="minorHAnsi"/>
        </w:rPr>
        <w:t>a guarantee</w:t>
      </w:r>
      <w:r w:rsidR="00877F4A" w:rsidRPr="00877F4A">
        <w:rPr>
          <w:rFonts w:cstheme="minorHAnsi"/>
        </w:rPr>
        <w:t xml:space="preserve">, they will do so. </w:t>
      </w:r>
      <w:r w:rsidR="00114590">
        <w:rPr>
          <w:rFonts w:cstheme="minorHAnsi"/>
        </w:rPr>
        <w:t xml:space="preserve">A </w:t>
      </w:r>
      <w:r w:rsidR="00EF1185">
        <w:rPr>
          <w:rFonts w:cstheme="minorHAnsi"/>
        </w:rPr>
        <w:t xml:space="preserve">UNDP-supported </w:t>
      </w:r>
      <w:r w:rsidR="00A42FD9">
        <w:rPr>
          <w:rFonts w:cstheme="minorHAnsi"/>
        </w:rPr>
        <w:t xml:space="preserve">guarantee </w:t>
      </w:r>
      <w:r w:rsidR="00114590">
        <w:rPr>
          <w:rFonts w:cstheme="minorHAnsi"/>
        </w:rPr>
        <w:t xml:space="preserve">scheme should only be considered for lending that would not otherwise </w:t>
      </w:r>
      <w:r w:rsidR="0048437F">
        <w:rPr>
          <w:rFonts w:cstheme="minorHAnsi"/>
        </w:rPr>
        <w:t xml:space="preserve">occur. </w:t>
      </w:r>
      <w:r w:rsidR="00EF1185">
        <w:rPr>
          <w:rFonts w:cstheme="minorHAnsi"/>
        </w:rPr>
        <w:t>UNDP-supported g</w:t>
      </w:r>
      <w:r w:rsidRPr="00243201">
        <w:rPr>
          <w:rFonts w:cstheme="minorHAnsi"/>
        </w:rPr>
        <w:t>uarantees should not be pursued if they will create market distortions.</w:t>
      </w:r>
    </w:p>
    <w:p w14:paraId="2BA25177" w14:textId="665397D1" w:rsidR="007969B4" w:rsidRPr="00243201" w:rsidRDefault="007969B4" w:rsidP="0027095B">
      <w:pPr>
        <w:pStyle w:val="ListParagraph"/>
        <w:numPr>
          <w:ilvl w:val="0"/>
          <w:numId w:val="8"/>
        </w:numPr>
        <w:spacing w:line="276" w:lineRule="auto"/>
        <w:contextualSpacing w:val="0"/>
        <w:jc w:val="both"/>
        <w:rPr>
          <w:rFonts w:cstheme="minorHAnsi"/>
          <w:b/>
          <w:i/>
        </w:rPr>
      </w:pPr>
      <w:r w:rsidRPr="00243201">
        <w:rPr>
          <w:rFonts w:cstheme="minorHAnsi"/>
          <w:b/>
          <w:i/>
        </w:rPr>
        <w:t xml:space="preserve">Is the </w:t>
      </w:r>
      <w:r w:rsidR="00EF1185">
        <w:rPr>
          <w:rFonts w:cstheme="minorHAnsi"/>
          <w:b/>
          <w:i/>
        </w:rPr>
        <w:t xml:space="preserve">UNDP-supported </w:t>
      </w:r>
      <w:r w:rsidRPr="00243201">
        <w:rPr>
          <w:rFonts w:cstheme="minorHAnsi"/>
          <w:b/>
          <w:i/>
        </w:rPr>
        <w:t>guarantee likely to be effective?</w:t>
      </w:r>
    </w:p>
    <w:p w14:paraId="0D1C0B84" w14:textId="1D30F316" w:rsidR="007969B4" w:rsidRPr="00243201" w:rsidRDefault="007969B4" w:rsidP="00BF75DB">
      <w:pPr>
        <w:spacing w:after="60" w:line="276" w:lineRule="auto"/>
        <w:jc w:val="both"/>
        <w:rPr>
          <w:rFonts w:cstheme="minorHAnsi"/>
        </w:rPr>
      </w:pPr>
      <w:r w:rsidRPr="00243201">
        <w:rPr>
          <w:rFonts w:cstheme="minorHAnsi"/>
        </w:rPr>
        <w:t xml:space="preserve">The most effective guarantees are those that correct some imperfection in the market or lead to the creation of </w:t>
      </w:r>
      <w:r w:rsidR="00EF1185">
        <w:rPr>
          <w:rFonts w:cstheme="minorHAnsi"/>
        </w:rPr>
        <w:t xml:space="preserve">a </w:t>
      </w:r>
      <w:r w:rsidRPr="00243201">
        <w:rPr>
          <w:rFonts w:cstheme="minorHAnsi"/>
        </w:rPr>
        <w:t xml:space="preserve">market where one did not exist. In order to assess whether </w:t>
      </w:r>
      <w:r w:rsidR="00EF1185">
        <w:rPr>
          <w:rFonts w:cstheme="minorHAnsi"/>
        </w:rPr>
        <w:t xml:space="preserve">UNDP-supported </w:t>
      </w:r>
      <w:r w:rsidRPr="00243201">
        <w:rPr>
          <w:rFonts w:cstheme="minorHAnsi"/>
        </w:rPr>
        <w:t>guarantees are likely to be effective, the following questions should also be answered</w:t>
      </w:r>
      <w:r w:rsidR="009610D8">
        <w:rPr>
          <w:rFonts w:cstheme="minorHAnsi"/>
        </w:rPr>
        <w:t xml:space="preserve"> </w:t>
      </w:r>
      <w:r w:rsidRPr="00243201">
        <w:rPr>
          <w:rFonts w:cstheme="minorHAnsi"/>
        </w:rPr>
        <w:t>as part of the initial diagnostic:</w:t>
      </w:r>
    </w:p>
    <w:p w14:paraId="07F26CCC" w14:textId="77777777" w:rsidR="007969B4" w:rsidRPr="00243201" w:rsidRDefault="007969B4" w:rsidP="001A6D60">
      <w:pPr>
        <w:pStyle w:val="ListParagraph"/>
        <w:numPr>
          <w:ilvl w:val="0"/>
          <w:numId w:val="6"/>
        </w:numPr>
        <w:spacing w:after="200" w:line="276" w:lineRule="auto"/>
        <w:ind w:left="720"/>
        <w:jc w:val="both"/>
        <w:rPr>
          <w:rFonts w:cstheme="minorHAnsi"/>
        </w:rPr>
      </w:pPr>
      <w:r w:rsidRPr="00243201">
        <w:rPr>
          <w:rFonts w:cstheme="minorHAnsi"/>
        </w:rPr>
        <w:t xml:space="preserve">Will the guarantee increase </w:t>
      </w:r>
      <w:r w:rsidR="004B772F">
        <w:rPr>
          <w:rFonts w:cstheme="minorHAnsi"/>
        </w:rPr>
        <w:t xml:space="preserve">the </w:t>
      </w:r>
      <w:r w:rsidRPr="00243201">
        <w:rPr>
          <w:rFonts w:cstheme="minorHAnsi"/>
        </w:rPr>
        <w:t xml:space="preserve">volume of lending </w:t>
      </w:r>
      <w:r w:rsidR="004B772F">
        <w:rPr>
          <w:rFonts w:cstheme="minorHAnsi"/>
        </w:rPr>
        <w:t xml:space="preserve">to the target sector/region/population </w:t>
      </w:r>
      <w:r w:rsidRPr="00243201">
        <w:rPr>
          <w:rFonts w:cstheme="minorHAnsi"/>
        </w:rPr>
        <w:t>during the lifespan of the guarantee?</w:t>
      </w:r>
    </w:p>
    <w:p w14:paraId="7A44772B" w14:textId="77777777" w:rsidR="003A0FB2" w:rsidRDefault="003A0FB2" w:rsidP="001A6D60">
      <w:pPr>
        <w:pStyle w:val="ListParagraph"/>
        <w:numPr>
          <w:ilvl w:val="0"/>
          <w:numId w:val="6"/>
        </w:numPr>
        <w:spacing w:after="200" w:line="276" w:lineRule="auto"/>
        <w:ind w:left="720"/>
        <w:jc w:val="both"/>
        <w:rPr>
          <w:rFonts w:cstheme="minorHAnsi"/>
        </w:rPr>
      </w:pPr>
      <w:r>
        <w:rPr>
          <w:rFonts w:cstheme="minorHAnsi"/>
        </w:rPr>
        <w:t xml:space="preserve">Will </w:t>
      </w:r>
      <w:r w:rsidR="00020ECC">
        <w:rPr>
          <w:rFonts w:cstheme="minorHAnsi"/>
        </w:rPr>
        <w:t>the volume of lending be sustained by the market after the guarantee lifespan is finished</w:t>
      </w:r>
      <w:r w:rsidR="008A78B2">
        <w:rPr>
          <w:rFonts w:cstheme="minorHAnsi"/>
        </w:rPr>
        <w:t>?</w:t>
      </w:r>
    </w:p>
    <w:p w14:paraId="2F9C9B24" w14:textId="77777777" w:rsidR="007969B4" w:rsidRPr="00A95CDD" w:rsidRDefault="007969B4" w:rsidP="001A6D60">
      <w:pPr>
        <w:pStyle w:val="ListParagraph"/>
        <w:numPr>
          <w:ilvl w:val="0"/>
          <w:numId w:val="6"/>
        </w:numPr>
        <w:spacing w:after="200" w:line="276" w:lineRule="auto"/>
        <w:ind w:left="720"/>
        <w:jc w:val="both"/>
        <w:rPr>
          <w:rFonts w:cstheme="minorHAnsi"/>
        </w:rPr>
      </w:pPr>
      <w:r w:rsidRPr="00A95CDD">
        <w:rPr>
          <w:rFonts w:cstheme="minorHAnsi"/>
        </w:rPr>
        <w:t xml:space="preserve">Will the guarantee lower an investment’s </w:t>
      </w:r>
      <w:r w:rsidR="002C5280">
        <w:rPr>
          <w:rFonts w:cstheme="minorHAnsi"/>
        </w:rPr>
        <w:t xml:space="preserve">perceived </w:t>
      </w:r>
      <w:r w:rsidRPr="00A95CDD">
        <w:rPr>
          <w:rFonts w:cstheme="minorHAnsi"/>
        </w:rPr>
        <w:t>risk?</w:t>
      </w:r>
    </w:p>
    <w:p w14:paraId="25F88AEC" w14:textId="77777777" w:rsidR="00914415" w:rsidRDefault="00EA7593" w:rsidP="001A6D60">
      <w:pPr>
        <w:pStyle w:val="ListParagraph"/>
        <w:numPr>
          <w:ilvl w:val="0"/>
          <w:numId w:val="6"/>
        </w:numPr>
        <w:spacing w:after="200" w:line="276" w:lineRule="auto"/>
        <w:ind w:left="720"/>
        <w:jc w:val="both"/>
        <w:rPr>
          <w:rFonts w:cstheme="minorHAnsi"/>
        </w:rPr>
      </w:pPr>
      <w:r>
        <w:rPr>
          <w:rFonts w:cstheme="minorHAnsi"/>
        </w:rPr>
        <w:t>Will the guarantee improve lending conditions/terms for the target borrower segment?</w:t>
      </w:r>
    </w:p>
    <w:p w14:paraId="4AF64737" w14:textId="77777777" w:rsidR="00914415" w:rsidRDefault="007969B4" w:rsidP="001A6D60">
      <w:pPr>
        <w:pStyle w:val="ListParagraph"/>
        <w:numPr>
          <w:ilvl w:val="0"/>
          <w:numId w:val="6"/>
        </w:numPr>
        <w:spacing w:after="200" w:line="276" w:lineRule="auto"/>
        <w:ind w:left="720"/>
        <w:jc w:val="both"/>
      </w:pPr>
      <w:r w:rsidRPr="00914415">
        <w:rPr>
          <w:rFonts w:cstheme="minorHAnsi"/>
        </w:rPr>
        <w:t>Will the guarantee accelerate the venture into new markets?</w:t>
      </w:r>
    </w:p>
    <w:p w14:paraId="6516EDC2" w14:textId="77777777" w:rsidR="007969B4" w:rsidRPr="00A95CDD" w:rsidRDefault="007969B4" w:rsidP="00A95CDD">
      <w:pPr>
        <w:pStyle w:val="ListParagraph"/>
        <w:spacing w:after="200" w:line="276" w:lineRule="auto"/>
        <w:ind w:left="1440"/>
        <w:jc w:val="both"/>
        <w:rPr>
          <w:rFonts w:cstheme="minorHAnsi"/>
        </w:rPr>
      </w:pPr>
    </w:p>
    <w:p w14:paraId="3BAC1114" w14:textId="521EEF9F" w:rsidR="007969B4" w:rsidRPr="00243201" w:rsidRDefault="007969B4" w:rsidP="001A6D60">
      <w:pPr>
        <w:pStyle w:val="ListParagraph"/>
        <w:numPr>
          <w:ilvl w:val="0"/>
          <w:numId w:val="8"/>
        </w:numPr>
        <w:spacing w:line="276" w:lineRule="auto"/>
        <w:contextualSpacing w:val="0"/>
        <w:jc w:val="both"/>
        <w:rPr>
          <w:rFonts w:cstheme="minorHAnsi"/>
          <w:b/>
          <w:i/>
        </w:rPr>
      </w:pPr>
      <w:r w:rsidRPr="00243201">
        <w:rPr>
          <w:rFonts w:cstheme="minorHAnsi"/>
          <w:b/>
          <w:i/>
        </w:rPr>
        <w:t xml:space="preserve">What are the costs vs benefits of using the </w:t>
      </w:r>
      <w:r w:rsidR="00EF1185">
        <w:rPr>
          <w:rFonts w:cstheme="minorHAnsi"/>
          <w:b/>
          <w:i/>
        </w:rPr>
        <w:t xml:space="preserve">UNDP-supported </w:t>
      </w:r>
      <w:r w:rsidRPr="00243201">
        <w:rPr>
          <w:rFonts w:cstheme="minorHAnsi"/>
          <w:b/>
          <w:i/>
        </w:rPr>
        <w:t>guarantee?</w:t>
      </w:r>
    </w:p>
    <w:p w14:paraId="531811CB" w14:textId="63611609" w:rsidR="00CD4F5F" w:rsidRPr="00243201" w:rsidRDefault="007969B4" w:rsidP="00CD4F5F">
      <w:pPr>
        <w:spacing w:after="200" w:line="276" w:lineRule="auto"/>
        <w:jc w:val="both"/>
        <w:rPr>
          <w:rFonts w:cstheme="minorHAnsi"/>
        </w:rPr>
      </w:pPr>
      <w:r w:rsidRPr="00243201">
        <w:rPr>
          <w:rFonts w:cstheme="minorHAnsi"/>
        </w:rPr>
        <w:t>Guarantees usually entail significant costs</w:t>
      </w:r>
      <w:r w:rsidR="00155538">
        <w:rPr>
          <w:rFonts w:cstheme="minorHAnsi"/>
        </w:rPr>
        <w:t>,</w:t>
      </w:r>
      <w:r w:rsidRPr="00243201">
        <w:rPr>
          <w:rFonts w:cstheme="minorHAnsi"/>
        </w:rPr>
        <w:t xml:space="preserve"> which include guarantee set</w:t>
      </w:r>
      <w:r w:rsidR="00854172">
        <w:rPr>
          <w:rFonts w:cstheme="minorHAnsi"/>
        </w:rPr>
        <w:t>-</w:t>
      </w:r>
      <w:r w:rsidRPr="00243201">
        <w:rPr>
          <w:rFonts w:cstheme="minorHAnsi"/>
        </w:rPr>
        <w:t>up costs, legal</w:t>
      </w:r>
      <w:r w:rsidRPr="00A95CDD">
        <w:rPr>
          <w:rFonts w:cstheme="minorHAnsi"/>
        </w:rPr>
        <w:t xml:space="preserve"> and structuring costs, monitoring costs and expenses related to managing the guarantee funds in an escrow account through an intermediary. The </w:t>
      </w:r>
      <w:r w:rsidR="00854172" w:rsidRPr="00553EB5">
        <w:rPr>
          <w:rFonts w:cstheme="minorHAnsi"/>
        </w:rPr>
        <w:t>effort</w:t>
      </w:r>
      <w:r w:rsidR="00EF1185">
        <w:rPr>
          <w:rFonts w:cstheme="minorHAnsi"/>
        </w:rPr>
        <w:t>-</w:t>
      </w:r>
      <w:r w:rsidRPr="00553EB5">
        <w:rPr>
          <w:rFonts w:cstheme="minorHAnsi"/>
        </w:rPr>
        <w:t>intensi</w:t>
      </w:r>
      <w:r w:rsidR="00854172" w:rsidRPr="00553EB5">
        <w:rPr>
          <w:rFonts w:cstheme="minorHAnsi"/>
        </w:rPr>
        <w:t>ve</w:t>
      </w:r>
      <w:r w:rsidRPr="00553EB5">
        <w:rPr>
          <w:rFonts w:cstheme="minorHAnsi"/>
        </w:rPr>
        <w:t xml:space="preserve"> </w:t>
      </w:r>
      <w:r w:rsidRPr="00A95CDD">
        <w:rPr>
          <w:rFonts w:cstheme="minorHAnsi"/>
        </w:rPr>
        <w:t>and cumbersome administrative nature of guarantees should also be considered. In addition to ana</w:t>
      </w:r>
      <w:r w:rsidRPr="00EA7593">
        <w:rPr>
          <w:rFonts w:cstheme="minorHAnsi"/>
        </w:rPr>
        <w:t xml:space="preserve">lyzing the cost effectiveness of </w:t>
      </w:r>
      <w:r w:rsidR="00EF1185">
        <w:rPr>
          <w:rFonts w:cstheme="minorHAnsi"/>
        </w:rPr>
        <w:t xml:space="preserve">the UNDP-supported </w:t>
      </w:r>
      <w:r w:rsidRPr="00EA7593">
        <w:rPr>
          <w:rFonts w:cstheme="minorHAnsi"/>
        </w:rPr>
        <w:t xml:space="preserve">guarantee, benefits </w:t>
      </w:r>
      <w:r w:rsidR="00753BC7">
        <w:rPr>
          <w:rFonts w:cstheme="minorHAnsi"/>
        </w:rPr>
        <w:t xml:space="preserve">such as </w:t>
      </w:r>
      <w:r w:rsidRPr="00EA7593">
        <w:rPr>
          <w:rFonts w:cstheme="minorHAnsi"/>
        </w:rPr>
        <w:t xml:space="preserve">how much the guarantee objectives </w:t>
      </w:r>
      <w:r w:rsidR="00753BC7">
        <w:rPr>
          <w:rFonts w:cstheme="minorHAnsi"/>
        </w:rPr>
        <w:t xml:space="preserve">will help contribute to </w:t>
      </w:r>
      <w:r w:rsidRPr="00EA7593">
        <w:rPr>
          <w:rFonts w:cstheme="minorHAnsi"/>
        </w:rPr>
        <w:t xml:space="preserve">society should </w:t>
      </w:r>
      <w:r w:rsidR="00753BC7">
        <w:rPr>
          <w:rFonts w:cstheme="minorHAnsi"/>
        </w:rPr>
        <w:t xml:space="preserve">also be </w:t>
      </w:r>
      <w:r w:rsidRPr="00EA7593">
        <w:rPr>
          <w:rFonts w:cstheme="minorHAnsi"/>
        </w:rPr>
        <w:t xml:space="preserve">assessed. An objective evaluation and feasibility study might reveal the advantages of the </w:t>
      </w:r>
      <w:r w:rsidR="00EF1185">
        <w:rPr>
          <w:rFonts w:cstheme="minorHAnsi"/>
        </w:rPr>
        <w:t xml:space="preserve">UNDP-supported </w:t>
      </w:r>
      <w:r w:rsidRPr="00EA7593">
        <w:rPr>
          <w:rFonts w:cstheme="minorHAnsi"/>
        </w:rPr>
        <w:t>guarantee or of alternative i</w:t>
      </w:r>
      <w:r w:rsidRPr="00854172">
        <w:rPr>
          <w:rFonts w:cstheme="minorHAnsi"/>
        </w:rPr>
        <w:t xml:space="preserve">nterventions or policies. </w:t>
      </w:r>
    </w:p>
    <w:p w14:paraId="5D6F774E" w14:textId="77777777" w:rsidR="00CD4F5F" w:rsidRPr="00243201" w:rsidRDefault="00CD4F5F" w:rsidP="001A6D60">
      <w:pPr>
        <w:pStyle w:val="ListParagraph"/>
        <w:numPr>
          <w:ilvl w:val="0"/>
          <w:numId w:val="8"/>
        </w:numPr>
        <w:spacing w:line="276" w:lineRule="auto"/>
        <w:contextualSpacing w:val="0"/>
        <w:jc w:val="both"/>
        <w:rPr>
          <w:rFonts w:cstheme="minorHAnsi"/>
          <w:b/>
          <w:i/>
        </w:rPr>
      </w:pPr>
      <w:r>
        <w:rPr>
          <w:rFonts w:cstheme="minorHAnsi"/>
          <w:b/>
          <w:i/>
        </w:rPr>
        <w:t>What is the exit strategy</w:t>
      </w:r>
      <w:r w:rsidRPr="00243201">
        <w:rPr>
          <w:rFonts w:cstheme="minorHAnsi"/>
          <w:b/>
          <w:i/>
        </w:rPr>
        <w:t>?</w:t>
      </w:r>
    </w:p>
    <w:p w14:paraId="1840CE05" w14:textId="2A5BE654" w:rsidR="000C501F" w:rsidRDefault="009C46DF" w:rsidP="000B2476">
      <w:pPr>
        <w:spacing w:line="276" w:lineRule="auto"/>
        <w:jc w:val="both"/>
        <w:rPr>
          <w:rFonts w:cstheme="minorHAnsi"/>
        </w:rPr>
      </w:pPr>
      <w:r w:rsidRPr="009C46DF">
        <w:rPr>
          <w:rFonts w:cstheme="minorHAnsi"/>
        </w:rPr>
        <w:t xml:space="preserve">In line with the exit strategy for the project, </w:t>
      </w:r>
      <w:r w:rsidR="00A96DE7">
        <w:rPr>
          <w:rFonts w:cstheme="minorHAnsi"/>
        </w:rPr>
        <w:t xml:space="preserve">a </w:t>
      </w:r>
      <w:r w:rsidR="005C2BD2">
        <w:rPr>
          <w:rFonts w:cstheme="minorHAnsi"/>
        </w:rPr>
        <w:t xml:space="preserve">clear exit strategy is required </w:t>
      </w:r>
      <w:r w:rsidR="00A96DE7">
        <w:rPr>
          <w:rFonts w:cstheme="minorHAnsi"/>
        </w:rPr>
        <w:t xml:space="preserve">for the </w:t>
      </w:r>
      <w:r w:rsidR="00EF1185">
        <w:rPr>
          <w:rFonts w:cstheme="minorHAnsi"/>
        </w:rPr>
        <w:t xml:space="preserve">UNDP-supported </w:t>
      </w:r>
      <w:r w:rsidR="00A96DE7">
        <w:rPr>
          <w:rFonts w:cstheme="minorHAnsi"/>
        </w:rPr>
        <w:t xml:space="preserve">guarantee </w:t>
      </w:r>
      <w:r w:rsidR="005C2BD2">
        <w:rPr>
          <w:rFonts w:cstheme="minorHAnsi"/>
        </w:rPr>
        <w:t xml:space="preserve">to ensure that UNDP’s </w:t>
      </w:r>
      <w:r w:rsidR="00A96DE7">
        <w:rPr>
          <w:rFonts w:cstheme="minorHAnsi"/>
        </w:rPr>
        <w:t>support to</w:t>
      </w:r>
      <w:r w:rsidR="005C2BD2">
        <w:rPr>
          <w:rFonts w:cstheme="minorHAnsi"/>
        </w:rPr>
        <w:t xml:space="preserve"> guarantees</w:t>
      </w:r>
      <w:r w:rsidR="00240C34">
        <w:rPr>
          <w:rFonts w:cstheme="minorHAnsi"/>
        </w:rPr>
        <w:t xml:space="preserve"> leads to the necessary changes in the marketplace so that </w:t>
      </w:r>
      <w:r w:rsidR="0098798A">
        <w:rPr>
          <w:rFonts w:cstheme="minorHAnsi"/>
        </w:rPr>
        <w:t xml:space="preserve">the guarantee </w:t>
      </w:r>
      <w:r w:rsidR="00F95DE7">
        <w:rPr>
          <w:rFonts w:cstheme="minorHAnsi"/>
        </w:rPr>
        <w:t>facility</w:t>
      </w:r>
      <w:r w:rsidR="0098798A">
        <w:rPr>
          <w:rFonts w:cstheme="minorHAnsi"/>
        </w:rPr>
        <w:t xml:space="preserve"> may no longer </w:t>
      </w:r>
      <w:r w:rsidR="00A00D1F">
        <w:rPr>
          <w:rFonts w:cstheme="minorHAnsi"/>
        </w:rPr>
        <w:t xml:space="preserve">be </w:t>
      </w:r>
      <w:r w:rsidR="0098798A">
        <w:rPr>
          <w:rFonts w:cstheme="minorHAnsi"/>
        </w:rPr>
        <w:t xml:space="preserve">required. </w:t>
      </w:r>
      <w:r w:rsidR="00C32B4C">
        <w:rPr>
          <w:rFonts w:cstheme="minorHAnsi"/>
        </w:rPr>
        <w:t>Th</w:t>
      </w:r>
      <w:r w:rsidR="00C33223">
        <w:rPr>
          <w:rFonts w:cstheme="minorHAnsi"/>
        </w:rPr>
        <w:t>is may be achieved by demonstrating that lending to a certain sector of the economy</w:t>
      </w:r>
      <w:r w:rsidR="00D910C2">
        <w:rPr>
          <w:rFonts w:cstheme="minorHAnsi"/>
        </w:rPr>
        <w:t xml:space="preserve"> is productive and commercially viable; that other lending </w:t>
      </w:r>
      <w:r w:rsidR="00D910C2">
        <w:rPr>
          <w:rFonts w:cstheme="minorHAnsi"/>
        </w:rPr>
        <w:lastRenderedPageBreak/>
        <w:t xml:space="preserve">institutions are attracted to the marketplace to correct inefficiencies; that policy barriers to entry in a marketplace have been removed; </w:t>
      </w:r>
      <w:r w:rsidR="00BA1E51">
        <w:rPr>
          <w:rFonts w:cstheme="minorHAnsi"/>
        </w:rPr>
        <w:t xml:space="preserve">and that the market inefficiency that existed is no longer a constraint. </w:t>
      </w:r>
    </w:p>
    <w:p w14:paraId="092C51C3" w14:textId="3AFE25F5" w:rsidR="00F210FC" w:rsidRDefault="000C501F" w:rsidP="000B2476">
      <w:pPr>
        <w:spacing w:line="276" w:lineRule="auto"/>
        <w:jc w:val="both"/>
        <w:rPr>
          <w:rFonts w:cstheme="minorHAnsi"/>
        </w:rPr>
      </w:pPr>
      <w:r w:rsidRPr="000C501F">
        <w:rPr>
          <w:rFonts w:cstheme="minorHAnsi"/>
        </w:rPr>
        <w:t xml:space="preserve">Even with the best diagnostics, there is always the risk that an uncontrollable adverse event may happen (e.g. adverse change in regulatory framework, force majeure, industry consolidation, etc.). The </w:t>
      </w:r>
      <w:r w:rsidR="00EF1185">
        <w:rPr>
          <w:rFonts w:cstheme="minorHAnsi"/>
        </w:rPr>
        <w:t xml:space="preserve">UNDP-supported </w:t>
      </w:r>
      <w:r w:rsidRPr="000C501F">
        <w:rPr>
          <w:rFonts w:cstheme="minorHAnsi"/>
        </w:rPr>
        <w:t xml:space="preserve">guarantee design </w:t>
      </w:r>
      <w:r w:rsidR="008B4876">
        <w:rPr>
          <w:rFonts w:cstheme="minorHAnsi"/>
        </w:rPr>
        <w:t xml:space="preserve">also </w:t>
      </w:r>
      <w:r w:rsidR="00B20858">
        <w:rPr>
          <w:rFonts w:cstheme="minorHAnsi"/>
        </w:rPr>
        <w:t>needs to</w:t>
      </w:r>
      <w:r w:rsidRPr="000C501F">
        <w:rPr>
          <w:rFonts w:cstheme="minorHAnsi"/>
        </w:rPr>
        <w:t xml:space="preserve"> include a proper exit strategy that addresses these potential risks. </w:t>
      </w:r>
      <w:r w:rsidR="00C176F9" w:rsidRPr="000C501F">
        <w:rPr>
          <w:rFonts w:cstheme="minorHAnsi"/>
        </w:rPr>
        <w:t xml:space="preserve">In cases where there is an uncontrollable adverse event or where a guarantee is </w:t>
      </w:r>
      <w:r w:rsidR="003C0733">
        <w:rPr>
          <w:rFonts w:cstheme="minorHAnsi"/>
        </w:rPr>
        <w:t>recalled</w:t>
      </w:r>
      <w:r w:rsidR="0091341C">
        <w:rPr>
          <w:rFonts w:cstheme="minorHAnsi"/>
        </w:rPr>
        <w:t xml:space="preserve"> </w:t>
      </w:r>
      <w:r w:rsidR="00C176F9" w:rsidRPr="000C501F">
        <w:rPr>
          <w:rFonts w:cstheme="minorHAnsi"/>
        </w:rPr>
        <w:t>due to non-performance, a phased-out approach to exiting the guarantee may need to be considered.</w:t>
      </w:r>
    </w:p>
    <w:p w14:paraId="0449654F" w14:textId="77777777" w:rsidR="00E10281" w:rsidRDefault="00F210FC" w:rsidP="000D5548">
      <w:pPr>
        <w:spacing w:after="60" w:line="276" w:lineRule="auto"/>
        <w:jc w:val="both"/>
        <w:rPr>
          <w:rFonts w:cstheme="minorHAnsi"/>
        </w:rPr>
      </w:pPr>
      <w:r>
        <w:rPr>
          <w:rFonts w:cstheme="minorHAnsi"/>
        </w:rPr>
        <w:t>Therefore, t</w:t>
      </w:r>
      <w:r w:rsidR="000C501F" w:rsidRPr="000C501F">
        <w:rPr>
          <w:rFonts w:cstheme="minorHAnsi"/>
        </w:rPr>
        <w:t xml:space="preserve">he guarantee </w:t>
      </w:r>
      <w:r>
        <w:rPr>
          <w:rFonts w:cstheme="minorHAnsi"/>
        </w:rPr>
        <w:t xml:space="preserve">exit </w:t>
      </w:r>
      <w:r w:rsidR="000C501F" w:rsidRPr="000C501F">
        <w:rPr>
          <w:rFonts w:cstheme="minorHAnsi"/>
        </w:rPr>
        <w:t xml:space="preserve">strategy </w:t>
      </w:r>
      <w:r>
        <w:rPr>
          <w:rFonts w:cstheme="minorHAnsi"/>
        </w:rPr>
        <w:t xml:space="preserve">must </w:t>
      </w:r>
      <w:r w:rsidR="000C501F" w:rsidRPr="000C501F">
        <w:rPr>
          <w:rFonts w:cstheme="minorHAnsi"/>
        </w:rPr>
        <w:t>address</w:t>
      </w:r>
      <w:r w:rsidR="00E10281">
        <w:rPr>
          <w:rFonts w:cstheme="minorHAnsi"/>
        </w:rPr>
        <w:t>:</w:t>
      </w:r>
    </w:p>
    <w:p w14:paraId="0EC03569" w14:textId="77777777" w:rsidR="001C5F95" w:rsidRDefault="001C5F95" w:rsidP="00CF32DF">
      <w:pPr>
        <w:pStyle w:val="ListParagraph"/>
        <w:numPr>
          <w:ilvl w:val="0"/>
          <w:numId w:val="25"/>
        </w:numPr>
        <w:spacing w:after="200" w:line="276" w:lineRule="auto"/>
        <w:jc w:val="both"/>
        <w:rPr>
          <w:rFonts w:cstheme="minorHAnsi"/>
        </w:rPr>
      </w:pPr>
      <w:r>
        <w:rPr>
          <w:rFonts w:cstheme="minorHAnsi"/>
        </w:rPr>
        <w:t xml:space="preserve">A </w:t>
      </w:r>
      <w:r w:rsidRPr="00E10281">
        <w:rPr>
          <w:rFonts w:cstheme="minorHAnsi"/>
        </w:rPr>
        <w:t xml:space="preserve">mature exit strategy that ensures that underlying development objectives continue to be sustainable in </w:t>
      </w:r>
      <w:r w:rsidR="00AB322B" w:rsidRPr="00E10281">
        <w:rPr>
          <w:rFonts w:cstheme="minorHAnsi"/>
        </w:rPr>
        <w:t xml:space="preserve">the medium term </w:t>
      </w:r>
      <w:r w:rsidRPr="00E10281">
        <w:rPr>
          <w:rFonts w:cstheme="minorHAnsi"/>
        </w:rPr>
        <w:t>when the guarantee coverage period elapses, as guarantees are only meant to be short term interventions</w:t>
      </w:r>
      <w:r>
        <w:rPr>
          <w:rFonts w:cstheme="minorHAnsi"/>
        </w:rPr>
        <w:t>; and</w:t>
      </w:r>
    </w:p>
    <w:p w14:paraId="7ECDA8F9" w14:textId="77777777" w:rsidR="00E10281" w:rsidRPr="001C5F95" w:rsidRDefault="00E10281" w:rsidP="00CF32DF">
      <w:pPr>
        <w:pStyle w:val="ListParagraph"/>
        <w:numPr>
          <w:ilvl w:val="0"/>
          <w:numId w:val="25"/>
        </w:numPr>
        <w:spacing w:line="276" w:lineRule="auto"/>
        <w:ind w:left="778"/>
        <w:contextualSpacing w:val="0"/>
        <w:jc w:val="both"/>
        <w:rPr>
          <w:rFonts w:cstheme="minorHAnsi"/>
        </w:rPr>
      </w:pPr>
      <w:r>
        <w:rPr>
          <w:rFonts w:cstheme="minorHAnsi"/>
        </w:rPr>
        <w:t>H</w:t>
      </w:r>
      <w:r w:rsidR="000C501F" w:rsidRPr="00E10281">
        <w:rPr>
          <w:rFonts w:cstheme="minorHAnsi"/>
        </w:rPr>
        <w:t>ow premature guarantee exits due to unforeseen and uncontrollable adverse events will be handled</w:t>
      </w:r>
      <w:r w:rsidR="001C5F95">
        <w:rPr>
          <w:rFonts w:cstheme="minorHAnsi"/>
        </w:rPr>
        <w:t>.</w:t>
      </w:r>
      <w:r w:rsidR="000C501F" w:rsidRPr="00E10281">
        <w:rPr>
          <w:rFonts w:cstheme="minorHAnsi"/>
        </w:rPr>
        <w:t xml:space="preserve"> </w:t>
      </w:r>
      <w:r w:rsidR="000C501F" w:rsidRPr="001C5F95">
        <w:rPr>
          <w:rFonts w:cstheme="minorHAnsi"/>
        </w:rPr>
        <w:t xml:space="preserve"> </w:t>
      </w:r>
    </w:p>
    <w:p w14:paraId="32D862A0" w14:textId="17EBBFEA" w:rsidR="000B2476" w:rsidRDefault="000C501F" w:rsidP="002E4496">
      <w:pPr>
        <w:spacing w:after="60"/>
        <w:jc w:val="both"/>
      </w:pPr>
      <w:r w:rsidRPr="000B2476">
        <w:rPr>
          <w:rFonts w:cstheme="minorHAnsi"/>
        </w:rPr>
        <w:t>When planned and implemented correctly, exit strategies have the impact of empowering both lenders and borrowers to be able to continue their operatio</w:t>
      </w:r>
      <w:r w:rsidRPr="002E4496">
        <w:rPr>
          <w:rFonts w:cstheme="minorHAnsi"/>
        </w:rPr>
        <w:t xml:space="preserve">ns without the use of the </w:t>
      </w:r>
      <w:r w:rsidR="007E3C72">
        <w:rPr>
          <w:rFonts w:cstheme="minorHAnsi"/>
        </w:rPr>
        <w:t>UNDP</w:t>
      </w:r>
      <w:r w:rsidR="003A05B1">
        <w:rPr>
          <w:rFonts w:cstheme="minorHAnsi"/>
        </w:rPr>
        <w:t>-supported</w:t>
      </w:r>
      <w:r w:rsidR="007E3C72">
        <w:rPr>
          <w:rFonts w:cstheme="minorHAnsi"/>
        </w:rPr>
        <w:t xml:space="preserve"> </w:t>
      </w:r>
      <w:r w:rsidRPr="002E4496">
        <w:rPr>
          <w:rFonts w:cstheme="minorHAnsi"/>
        </w:rPr>
        <w:t>guarantee.</w:t>
      </w:r>
      <w:r w:rsidR="004A31A0" w:rsidRPr="002E4496">
        <w:rPr>
          <w:rFonts w:cstheme="minorHAnsi"/>
        </w:rPr>
        <w:t xml:space="preserve"> </w:t>
      </w:r>
      <w:r w:rsidR="000B2476">
        <w:t xml:space="preserve">Some measures to gauge the success of </w:t>
      </w:r>
      <w:r w:rsidR="002E4496">
        <w:t xml:space="preserve">an </w:t>
      </w:r>
      <w:r w:rsidR="000B2476">
        <w:t xml:space="preserve">exit strategy </w:t>
      </w:r>
      <w:r w:rsidR="002E4496">
        <w:t xml:space="preserve">may </w:t>
      </w:r>
      <w:r w:rsidR="000B2476">
        <w:t>be:</w:t>
      </w:r>
    </w:p>
    <w:p w14:paraId="324C6BDE" w14:textId="70F74CB7" w:rsidR="000B2476" w:rsidRPr="002E4496" w:rsidRDefault="000B2476" w:rsidP="00CF32DF">
      <w:pPr>
        <w:pStyle w:val="ListParagraph"/>
        <w:numPr>
          <w:ilvl w:val="0"/>
          <w:numId w:val="25"/>
        </w:numPr>
        <w:spacing w:after="200" w:line="276" w:lineRule="auto"/>
        <w:jc w:val="both"/>
        <w:rPr>
          <w:rFonts w:cstheme="minorHAnsi"/>
        </w:rPr>
      </w:pPr>
      <w:r w:rsidRPr="002E4496">
        <w:rPr>
          <w:rFonts w:cstheme="minorHAnsi"/>
        </w:rPr>
        <w:t>Whether the lending entity has been able to continue its lending operations after the UNDP</w:t>
      </w:r>
      <w:r w:rsidR="00497176">
        <w:rPr>
          <w:rFonts w:cstheme="minorHAnsi"/>
        </w:rPr>
        <w:t>-supported</w:t>
      </w:r>
      <w:r w:rsidRPr="002E4496">
        <w:rPr>
          <w:rFonts w:cstheme="minorHAnsi"/>
        </w:rPr>
        <w:t xml:space="preserve"> guarantee period has lapsed; </w:t>
      </w:r>
    </w:p>
    <w:p w14:paraId="38D2F206" w14:textId="77777777" w:rsidR="000B2476" w:rsidRDefault="000B2476" w:rsidP="00CF32DF">
      <w:pPr>
        <w:pStyle w:val="ListParagraph"/>
        <w:numPr>
          <w:ilvl w:val="0"/>
          <w:numId w:val="25"/>
        </w:numPr>
        <w:spacing w:after="200" w:line="276" w:lineRule="auto"/>
        <w:jc w:val="both"/>
        <w:rPr>
          <w:rFonts w:cstheme="minorHAnsi"/>
          <w:color w:val="000000" w:themeColor="text1"/>
        </w:rPr>
      </w:pPr>
      <w:r w:rsidRPr="002E4496">
        <w:rPr>
          <w:rFonts w:cstheme="minorHAnsi"/>
        </w:rPr>
        <w:t>If the guarantee impact</w:t>
      </w:r>
      <w:r>
        <w:rPr>
          <w:rFonts w:cstheme="minorHAnsi"/>
          <w:color w:val="000000" w:themeColor="text1"/>
        </w:rPr>
        <w:t xml:space="preserve"> has been sustained or improved after the guarantee coverage period</w:t>
      </w:r>
      <w:r w:rsidR="00626A15">
        <w:rPr>
          <w:rFonts w:cstheme="minorHAnsi"/>
          <w:color w:val="000000" w:themeColor="text1"/>
        </w:rPr>
        <w:t xml:space="preserve"> has ended.</w:t>
      </w:r>
    </w:p>
    <w:p w14:paraId="0F9BA9DF" w14:textId="1E974079" w:rsidR="000C501F" w:rsidRPr="000C501F" w:rsidRDefault="000C501F" w:rsidP="000B2476">
      <w:pPr>
        <w:spacing w:after="60" w:line="276" w:lineRule="auto"/>
        <w:jc w:val="both"/>
        <w:rPr>
          <w:rFonts w:cstheme="minorHAnsi"/>
        </w:rPr>
      </w:pPr>
      <w:r w:rsidRPr="000C501F">
        <w:rPr>
          <w:rFonts w:cstheme="minorHAnsi"/>
        </w:rPr>
        <w:t xml:space="preserve">The </w:t>
      </w:r>
      <w:r w:rsidR="004A31A0">
        <w:rPr>
          <w:rFonts w:cstheme="minorHAnsi"/>
        </w:rPr>
        <w:t xml:space="preserve">timing of the </w:t>
      </w:r>
      <w:r w:rsidRPr="000C501F">
        <w:rPr>
          <w:rFonts w:cstheme="minorHAnsi"/>
        </w:rPr>
        <w:t xml:space="preserve">guarantee exit </w:t>
      </w:r>
      <w:r w:rsidR="004A31A0">
        <w:rPr>
          <w:rFonts w:cstheme="minorHAnsi"/>
        </w:rPr>
        <w:t xml:space="preserve">is a critical design element and must </w:t>
      </w:r>
      <w:r w:rsidRPr="000C501F">
        <w:rPr>
          <w:rFonts w:cstheme="minorHAnsi"/>
        </w:rPr>
        <w:t xml:space="preserve">be carefully </w:t>
      </w:r>
      <w:r w:rsidR="004A31A0">
        <w:rPr>
          <w:rFonts w:cstheme="minorHAnsi"/>
        </w:rPr>
        <w:t xml:space="preserve">established </w:t>
      </w:r>
      <w:r w:rsidRPr="000C501F">
        <w:rPr>
          <w:rFonts w:cstheme="minorHAnsi"/>
        </w:rPr>
        <w:t xml:space="preserve">as it may </w:t>
      </w:r>
      <w:r w:rsidR="004A31A0">
        <w:rPr>
          <w:rFonts w:cstheme="minorHAnsi"/>
        </w:rPr>
        <w:t xml:space="preserve">help enhance </w:t>
      </w:r>
      <w:r w:rsidRPr="000C501F">
        <w:rPr>
          <w:rFonts w:cstheme="minorHAnsi"/>
        </w:rPr>
        <w:t>increase a guarantee’s focus on establishing systems of sustainability</w:t>
      </w:r>
      <w:r w:rsidR="004A31A0">
        <w:rPr>
          <w:rFonts w:cstheme="minorHAnsi"/>
        </w:rPr>
        <w:t>.</w:t>
      </w:r>
      <w:r w:rsidRPr="000C501F">
        <w:rPr>
          <w:rFonts w:cstheme="minorHAnsi"/>
        </w:rPr>
        <w:t xml:space="preserve"> </w:t>
      </w:r>
      <w:r w:rsidR="004A31A0">
        <w:rPr>
          <w:rFonts w:cstheme="minorHAnsi"/>
        </w:rPr>
        <w:t xml:space="preserve">Conversely, too short a guarantee period </w:t>
      </w:r>
      <w:r w:rsidRPr="000C501F">
        <w:rPr>
          <w:rFonts w:cstheme="minorHAnsi"/>
        </w:rPr>
        <w:t>may impose artificial timing constraints</w:t>
      </w:r>
      <w:r w:rsidR="004A31A0">
        <w:rPr>
          <w:rFonts w:cstheme="minorHAnsi"/>
        </w:rPr>
        <w:t xml:space="preserve"> and cause unsustainable interventions</w:t>
      </w:r>
      <w:r w:rsidRPr="000C501F">
        <w:rPr>
          <w:rFonts w:cstheme="minorHAnsi"/>
        </w:rPr>
        <w:t xml:space="preserve">. </w:t>
      </w:r>
      <w:r w:rsidR="00EF1185">
        <w:rPr>
          <w:rFonts w:cstheme="minorHAnsi"/>
        </w:rPr>
        <w:t>UNDP-supported g</w:t>
      </w:r>
      <w:r w:rsidR="005A3189" w:rsidRPr="009C46DF">
        <w:rPr>
          <w:rFonts w:cstheme="minorHAnsi"/>
        </w:rPr>
        <w:t>uarantee extensions (if any) must be supported by a new risk and cost-benefit analysis.</w:t>
      </w:r>
    </w:p>
    <w:p w14:paraId="61D093BF" w14:textId="77777777" w:rsidR="007A64DC" w:rsidRPr="00375E63" w:rsidRDefault="007A64DC" w:rsidP="0018274F">
      <w:pPr>
        <w:spacing w:after="200" w:line="276" w:lineRule="auto"/>
        <w:jc w:val="both"/>
        <w:rPr>
          <w:b/>
          <w:color w:val="FF0000"/>
        </w:rPr>
      </w:pPr>
    </w:p>
    <w:p w14:paraId="19C0E805" w14:textId="77777777" w:rsidR="007969B4" w:rsidRPr="00243201" w:rsidRDefault="007969B4" w:rsidP="00930ACF">
      <w:pPr>
        <w:pStyle w:val="Heading2"/>
        <w:numPr>
          <w:ilvl w:val="0"/>
          <w:numId w:val="15"/>
        </w:numPr>
        <w:spacing w:before="0" w:after="160" w:line="276" w:lineRule="auto"/>
        <w:ind w:left="547" w:hanging="547"/>
        <w:rPr>
          <w:b/>
          <w:color w:val="000000" w:themeColor="text1"/>
          <w:sz w:val="24"/>
          <w:szCs w:val="24"/>
        </w:rPr>
      </w:pPr>
      <w:bookmarkStart w:id="65" w:name="_Toc2339915"/>
      <w:bookmarkStart w:id="66" w:name="_Toc121313774"/>
      <w:r w:rsidRPr="00243201">
        <w:rPr>
          <w:b/>
          <w:color w:val="000000" w:themeColor="text1"/>
          <w:sz w:val="24"/>
          <w:szCs w:val="24"/>
        </w:rPr>
        <w:t>Target leverage ratio</w:t>
      </w:r>
      <w:bookmarkEnd w:id="65"/>
      <w:bookmarkEnd w:id="66"/>
    </w:p>
    <w:p w14:paraId="538610B6" w14:textId="77777777" w:rsidR="008B42B8" w:rsidRPr="008B42B8" w:rsidRDefault="008B42B8" w:rsidP="008B42B8">
      <w:pPr>
        <w:spacing w:line="276" w:lineRule="auto"/>
        <w:jc w:val="both"/>
        <w:rPr>
          <w:rFonts w:cstheme="minorHAnsi"/>
        </w:rPr>
      </w:pPr>
      <w:r w:rsidRPr="008B42B8">
        <w:rPr>
          <w:iCs/>
        </w:rPr>
        <w:t>The</w:t>
      </w:r>
      <w:r w:rsidRPr="008B42B8">
        <w:rPr>
          <w:rFonts w:cstheme="minorHAnsi"/>
        </w:rPr>
        <w:t xml:space="preserve"> leverage ratio is defined as </w:t>
      </w:r>
      <w:r w:rsidRPr="008B42B8">
        <w:rPr>
          <w:rFonts w:cstheme="minorHAnsi"/>
          <w:i/>
        </w:rPr>
        <w:t>the relation between the amount mobilized</w:t>
      </w:r>
      <w:r w:rsidRPr="00FD48EE">
        <w:rPr>
          <w:rStyle w:val="FootnoteReference"/>
          <w:rFonts w:cstheme="minorHAnsi"/>
          <w:i/>
        </w:rPr>
        <w:footnoteReference w:id="8"/>
      </w:r>
      <w:r w:rsidRPr="008B42B8">
        <w:rPr>
          <w:rFonts w:cstheme="minorHAnsi"/>
          <w:i/>
        </w:rPr>
        <w:t xml:space="preserve"> by a financial instrument (guarantee) over the maximum amount that may have to be paid out by the guarantee</w:t>
      </w:r>
      <w:r w:rsidRPr="008B42B8">
        <w:rPr>
          <w:rFonts w:cstheme="minorHAnsi"/>
        </w:rPr>
        <w:t xml:space="preserve">. The higher the leverage ratio, the greater the effectiveness of the guarantee in attracting additional investment. </w:t>
      </w:r>
    </w:p>
    <w:p w14:paraId="2DB0710B" w14:textId="0FE835A6" w:rsidR="007969B4" w:rsidRDefault="00B33096" w:rsidP="00BB0CFB">
      <w:pPr>
        <w:spacing w:line="276" w:lineRule="auto"/>
        <w:jc w:val="both"/>
        <w:rPr>
          <w:rFonts w:cstheme="minorHAnsi"/>
        </w:rPr>
      </w:pPr>
      <w:r w:rsidRPr="00D96891">
        <w:rPr>
          <w:iCs/>
        </w:rPr>
        <w:lastRenderedPageBreak/>
        <w:t xml:space="preserve">For </w:t>
      </w:r>
      <w:r w:rsidR="00EF1185">
        <w:rPr>
          <w:iCs/>
        </w:rPr>
        <w:t xml:space="preserve">UNDP-supported </w:t>
      </w:r>
      <w:r w:rsidRPr="00D96891">
        <w:rPr>
          <w:iCs/>
        </w:rPr>
        <w:t>credit guarantees,</w:t>
      </w:r>
      <w:r>
        <w:rPr>
          <w:iCs/>
        </w:rPr>
        <w:t xml:space="preserve"> </w:t>
      </w:r>
      <w:r w:rsidR="00FF6905" w:rsidRPr="00BF4AC2">
        <w:rPr>
          <w:iCs/>
        </w:rPr>
        <w:t xml:space="preserve">UNDP’s target leverage ratio must range </w:t>
      </w:r>
      <w:r w:rsidR="00497A65" w:rsidRPr="00BF4AC2">
        <w:rPr>
          <w:iCs/>
        </w:rPr>
        <w:t>from</w:t>
      </w:r>
      <w:r w:rsidR="00FF6905" w:rsidRPr="00BF4AC2">
        <w:rPr>
          <w:iCs/>
        </w:rPr>
        <w:t xml:space="preserve"> 3.5:1 </w:t>
      </w:r>
      <w:r w:rsidR="00497A65" w:rsidRPr="00BF4AC2">
        <w:rPr>
          <w:iCs/>
        </w:rPr>
        <w:t>upwards</w:t>
      </w:r>
      <w:r w:rsidR="00FF6905" w:rsidRPr="00BF4AC2">
        <w:rPr>
          <w:iCs/>
        </w:rPr>
        <w:t xml:space="preserve">, depending upon the targeted beneficiaries. </w:t>
      </w:r>
      <w:r w:rsidR="00F01885">
        <w:rPr>
          <w:rFonts w:cstheme="minorHAnsi"/>
        </w:rPr>
        <w:t xml:space="preserve">This means that </w:t>
      </w:r>
      <w:r w:rsidR="007969B4" w:rsidRPr="00C368C4">
        <w:rPr>
          <w:rFonts w:cstheme="minorHAnsi"/>
        </w:rPr>
        <w:t>every dollar provided by UNDP as part of a guarantee must mobilize at least $</w:t>
      </w:r>
      <w:r w:rsidR="00FF6905">
        <w:rPr>
          <w:rFonts w:cstheme="minorHAnsi"/>
        </w:rPr>
        <w:t xml:space="preserve">3.5 </w:t>
      </w:r>
      <w:r w:rsidR="007969B4" w:rsidRPr="00C368C4">
        <w:rPr>
          <w:rFonts w:cstheme="minorHAnsi"/>
        </w:rPr>
        <w:t xml:space="preserve">additional capital from the </w:t>
      </w:r>
      <w:r w:rsidR="00540C34">
        <w:rPr>
          <w:rFonts w:cstheme="minorHAnsi"/>
        </w:rPr>
        <w:t>lender</w:t>
      </w:r>
      <w:r w:rsidR="007969B4" w:rsidRPr="00C368C4">
        <w:rPr>
          <w:rFonts w:cstheme="minorHAnsi"/>
        </w:rPr>
        <w:t>.</w:t>
      </w:r>
      <w:r w:rsidR="00FF6905">
        <w:rPr>
          <w:rFonts w:cstheme="minorHAnsi"/>
        </w:rPr>
        <w:t xml:space="preserve"> </w:t>
      </w:r>
      <w:r w:rsidR="00FF6905" w:rsidRPr="00FF6905">
        <w:rPr>
          <w:rFonts w:cstheme="minorHAnsi"/>
        </w:rPr>
        <w:t xml:space="preserve">As a general guide, for loan portfolios to SMEs, a minimum leverage ratio of </w:t>
      </w:r>
      <w:r w:rsidR="00CC0635">
        <w:rPr>
          <w:rFonts w:cstheme="minorHAnsi"/>
        </w:rPr>
        <w:t>5</w:t>
      </w:r>
      <w:r w:rsidR="00FF6905" w:rsidRPr="00FF6905">
        <w:rPr>
          <w:rFonts w:cstheme="minorHAnsi"/>
        </w:rPr>
        <w:t>:1 or higher is recommended. Where necessary, a minimum target ratio of 3.5:1 may be considered for loan portfolios in LDCs that target new types of individual beneficiaries, such as individual farmers, households, youth and women to encourage entrepreneurship.</w:t>
      </w:r>
    </w:p>
    <w:p w14:paraId="64ED81D2" w14:textId="77777777" w:rsidR="007969B4" w:rsidRPr="00BF60F1" w:rsidRDefault="003F7671" w:rsidP="003F7671">
      <w:pPr>
        <w:spacing w:after="0" w:line="276" w:lineRule="auto"/>
        <w:jc w:val="both"/>
        <w:rPr>
          <w:b/>
        </w:rPr>
      </w:pPr>
      <w:r w:rsidRPr="0063108B">
        <w:rPr>
          <w:b/>
          <w:noProof/>
          <w:sz w:val="24"/>
          <w:szCs w:val="24"/>
        </w:rPr>
        <mc:AlternateContent>
          <mc:Choice Requires="wps">
            <w:drawing>
              <wp:anchor distT="91440" distB="91440" distL="114300" distR="114300" simplePos="0" relativeHeight="251659264" behindDoc="0" locked="0" layoutInCell="1" allowOverlap="1" wp14:anchorId="46D3D384" wp14:editId="47664F03">
                <wp:simplePos x="0" y="0"/>
                <wp:positionH relativeFrom="margin">
                  <wp:posOffset>0</wp:posOffset>
                </wp:positionH>
                <wp:positionV relativeFrom="paragraph">
                  <wp:posOffset>279400</wp:posOffset>
                </wp:positionV>
                <wp:extent cx="6105525" cy="4419600"/>
                <wp:effectExtent l="0" t="0" r="2857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419600"/>
                        </a:xfrm>
                        <a:prstGeom prst="rect">
                          <a:avLst/>
                        </a:prstGeom>
                        <a:noFill/>
                        <a:ln w="9525">
                          <a:solidFill>
                            <a:schemeClr val="accent1"/>
                          </a:solidFill>
                          <a:miter lim="800000"/>
                          <a:headEnd/>
                          <a:tailEnd/>
                        </a:ln>
                      </wps:spPr>
                      <wps:txbx>
                        <w:txbxContent>
                          <w:p w14:paraId="5F5E28DB" w14:textId="77777777" w:rsidR="00F972B1" w:rsidRPr="0063108B" w:rsidRDefault="00F972B1" w:rsidP="003F7671">
                            <w:pPr>
                              <w:pBdr>
                                <w:top w:val="single" w:sz="24" w:space="8" w:color="4472C4" w:themeColor="accent1"/>
                                <w:bottom w:val="single" w:sz="24" w:space="8" w:color="4472C4" w:themeColor="accent1"/>
                              </w:pBdr>
                              <w:spacing w:after="240" w:line="240" w:lineRule="auto"/>
                              <w:jc w:val="both"/>
                              <w:rPr>
                                <w:i/>
                                <w:iCs/>
                                <w:color w:val="4472C4" w:themeColor="accent1"/>
                                <w:sz w:val="24"/>
                                <w:szCs w:val="24"/>
                              </w:rPr>
                            </w:pPr>
                            <w:r w:rsidRPr="0063108B">
                              <w:rPr>
                                <w:i/>
                                <w:iCs/>
                                <w:color w:val="4472C4" w:themeColor="accent1"/>
                                <w:sz w:val="24"/>
                                <w:szCs w:val="24"/>
                              </w:rPr>
                              <w:t>Figure 1 below gives a simplified illustration of the leverage ratio for a renewable energy investment project, where $3 million (maximum pay</w:t>
                            </w:r>
                            <w:r>
                              <w:rPr>
                                <w:i/>
                                <w:iCs/>
                                <w:color w:val="4472C4" w:themeColor="accent1"/>
                                <w:sz w:val="24"/>
                                <w:szCs w:val="24"/>
                              </w:rPr>
                              <w:t>-</w:t>
                            </w:r>
                            <w:r w:rsidRPr="0063108B">
                              <w:rPr>
                                <w:i/>
                                <w:iCs/>
                                <w:color w:val="4472C4" w:themeColor="accent1"/>
                                <w:sz w:val="24"/>
                                <w:szCs w:val="24"/>
                              </w:rPr>
                              <w:t>out for the guarantee) has triggered $21 million in renewable energy investment. As both the pay</w:t>
                            </w:r>
                            <w:r>
                              <w:rPr>
                                <w:i/>
                                <w:iCs/>
                                <w:color w:val="4472C4" w:themeColor="accent1"/>
                                <w:sz w:val="24"/>
                                <w:szCs w:val="24"/>
                              </w:rPr>
                              <w:t>-</w:t>
                            </w:r>
                            <w:r w:rsidRPr="0063108B">
                              <w:rPr>
                                <w:i/>
                                <w:iCs/>
                                <w:color w:val="4472C4" w:themeColor="accent1"/>
                                <w:sz w:val="24"/>
                                <w:szCs w:val="24"/>
                              </w:rPr>
                              <w:t>out of the guarantee instrument and the investments occur over time, the present value of the pay</w:t>
                            </w:r>
                            <w:r>
                              <w:rPr>
                                <w:i/>
                                <w:iCs/>
                                <w:color w:val="4472C4" w:themeColor="accent1"/>
                                <w:sz w:val="24"/>
                                <w:szCs w:val="24"/>
                              </w:rPr>
                              <w:t>-</w:t>
                            </w:r>
                            <w:r w:rsidRPr="0063108B">
                              <w:rPr>
                                <w:i/>
                                <w:iCs/>
                                <w:color w:val="4472C4" w:themeColor="accent1"/>
                                <w:sz w:val="24"/>
                                <w:szCs w:val="24"/>
                              </w:rPr>
                              <w:t xml:space="preserve">outs and investments are used to calculate the leverage ratio. It is common for an organization issuing guarantees to establish a leverage ratio when formulating its policies on guarantees. </w:t>
                            </w:r>
                          </w:p>
                          <w:p w14:paraId="3A5231E6" w14:textId="77777777" w:rsidR="00F972B1" w:rsidRPr="0063108B" w:rsidRDefault="00F972B1" w:rsidP="007969B4">
                            <w:pPr>
                              <w:pBdr>
                                <w:top w:val="single" w:sz="24" w:space="8" w:color="4472C4" w:themeColor="accent1"/>
                                <w:bottom w:val="single" w:sz="24" w:space="8" w:color="4472C4" w:themeColor="accent1"/>
                              </w:pBdr>
                              <w:spacing w:after="0"/>
                              <w:rPr>
                                <w:i/>
                                <w:iCs/>
                                <w:color w:val="4472C4" w:themeColor="accent1"/>
                                <w:sz w:val="24"/>
                                <w:szCs w:val="24"/>
                              </w:rPr>
                            </w:pPr>
                            <w:r w:rsidRPr="0063108B">
                              <w:rPr>
                                <w:i/>
                                <w:iCs/>
                                <w:color w:val="4472C4" w:themeColor="accent1"/>
                                <w:sz w:val="24"/>
                                <w:szCs w:val="24"/>
                              </w:rPr>
                              <w:t>Visualization of Leverage Ratio</w:t>
                            </w:r>
                          </w:p>
                          <w:p w14:paraId="7E51244F"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r w:rsidRPr="00C34F85">
                              <w:rPr>
                                <w:rFonts w:cstheme="minorHAnsi"/>
                                <w:noProof/>
                              </w:rPr>
                              <w:drawing>
                                <wp:inline distT="0" distB="0" distL="0" distR="0" wp14:anchorId="32F5138D" wp14:editId="7EFBE069">
                                  <wp:extent cx="4782370" cy="2619375"/>
                                  <wp:effectExtent l="19050" t="19050" r="1841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5640"/>
                                          <a:stretch/>
                                        </pic:blipFill>
                                        <pic:spPr bwMode="auto">
                                          <a:xfrm>
                                            <a:off x="0" y="0"/>
                                            <a:ext cx="4863310" cy="2663707"/>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9EAF026"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p>
                          <w:p w14:paraId="150BA89D"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p>
                          <w:p w14:paraId="7B505B75"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3D384" id="_x0000_t202" coordsize="21600,21600" o:spt="202" path="m,l,21600r21600,l21600,xe">
                <v:stroke joinstyle="miter"/>
                <v:path gradientshapeok="t" o:connecttype="rect"/>
              </v:shapetype>
              <v:shape id="Text Box 2" o:spid="_x0000_s1026" type="#_x0000_t202" style="position:absolute;left:0;text-align:left;margin-left:0;margin-top:22pt;width:480.75pt;height:348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" filled="f" strokecolor="#4472c4 [3204]">
                <v:textbox>
                  <w:txbxContent>
                    <w:p w14:paraId="5F5E28DB" w14:textId="77777777" w:rsidR="00F972B1" w:rsidRPr="0063108B" w:rsidRDefault="00F972B1" w:rsidP="003F7671">
                      <w:pPr>
                        <w:pBdr>
                          <w:top w:val="single" w:sz="24" w:space="8" w:color="4472C4" w:themeColor="accent1"/>
                          <w:bottom w:val="single" w:sz="24" w:space="8" w:color="4472C4" w:themeColor="accent1"/>
                        </w:pBdr>
                        <w:spacing w:after="240" w:line="240" w:lineRule="auto"/>
                        <w:jc w:val="both"/>
                        <w:rPr>
                          <w:i/>
                          <w:iCs/>
                          <w:color w:val="4472C4" w:themeColor="accent1"/>
                          <w:sz w:val="24"/>
                          <w:szCs w:val="24"/>
                        </w:rPr>
                      </w:pPr>
                      <w:r w:rsidRPr="0063108B">
                        <w:rPr>
                          <w:i/>
                          <w:iCs/>
                          <w:color w:val="4472C4" w:themeColor="accent1"/>
                          <w:sz w:val="24"/>
                          <w:szCs w:val="24"/>
                        </w:rPr>
                        <w:t>Figure 1 below gives a simplified illustration of the leverage ratio for a renewable energy investment project, where $3 million (maximum pay</w:t>
                      </w:r>
                      <w:r>
                        <w:rPr>
                          <w:i/>
                          <w:iCs/>
                          <w:color w:val="4472C4" w:themeColor="accent1"/>
                          <w:sz w:val="24"/>
                          <w:szCs w:val="24"/>
                        </w:rPr>
                        <w:t>-</w:t>
                      </w:r>
                      <w:r w:rsidRPr="0063108B">
                        <w:rPr>
                          <w:i/>
                          <w:iCs/>
                          <w:color w:val="4472C4" w:themeColor="accent1"/>
                          <w:sz w:val="24"/>
                          <w:szCs w:val="24"/>
                        </w:rPr>
                        <w:t>out for the guarantee) has triggered $21 million in renewable energy investment. As both the pay</w:t>
                      </w:r>
                      <w:r>
                        <w:rPr>
                          <w:i/>
                          <w:iCs/>
                          <w:color w:val="4472C4" w:themeColor="accent1"/>
                          <w:sz w:val="24"/>
                          <w:szCs w:val="24"/>
                        </w:rPr>
                        <w:t>-</w:t>
                      </w:r>
                      <w:r w:rsidRPr="0063108B">
                        <w:rPr>
                          <w:i/>
                          <w:iCs/>
                          <w:color w:val="4472C4" w:themeColor="accent1"/>
                          <w:sz w:val="24"/>
                          <w:szCs w:val="24"/>
                        </w:rPr>
                        <w:t>out of the guarantee instrument and the investments occur over time, the present value of the pay</w:t>
                      </w:r>
                      <w:r>
                        <w:rPr>
                          <w:i/>
                          <w:iCs/>
                          <w:color w:val="4472C4" w:themeColor="accent1"/>
                          <w:sz w:val="24"/>
                          <w:szCs w:val="24"/>
                        </w:rPr>
                        <w:t>-</w:t>
                      </w:r>
                      <w:r w:rsidRPr="0063108B">
                        <w:rPr>
                          <w:i/>
                          <w:iCs/>
                          <w:color w:val="4472C4" w:themeColor="accent1"/>
                          <w:sz w:val="24"/>
                          <w:szCs w:val="24"/>
                        </w:rPr>
                        <w:t xml:space="preserve">outs and investments are used to calculate the leverage ratio. It is common for an organization issuing guarantees to establish a leverage ratio when formulating its policies on guarantees. </w:t>
                      </w:r>
                    </w:p>
                    <w:p w14:paraId="3A5231E6" w14:textId="77777777" w:rsidR="00F972B1" w:rsidRPr="0063108B" w:rsidRDefault="00F972B1" w:rsidP="007969B4">
                      <w:pPr>
                        <w:pBdr>
                          <w:top w:val="single" w:sz="24" w:space="8" w:color="4472C4" w:themeColor="accent1"/>
                          <w:bottom w:val="single" w:sz="24" w:space="8" w:color="4472C4" w:themeColor="accent1"/>
                        </w:pBdr>
                        <w:spacing w:after="0"/>
                        <w:rPr>
                          <w:i/>
                          <w:iCs/>
                          <w:color w:val="4472C4" w:themeColor="accent1"/>
                          <w:sz w:val="24"/>
                          <w:szCs w:val="24"/>
                        </w:rPr>
                      </w:pPr>
                      <w:r w:rsidRPr="0063108B">
                        <w:rPr>
                          <w:i/>
                          <w:iCs/>
                          <w:color w:val="4472C4" w:themeColor="accent1"/>
                          <w:sz w:val="24"/>
                          <w:szCs w:val="24"/>
                        </w:rPr>
                        <w:t>Visualization of Leverage Ratio</w:t>
                      </w:r>
                    </w:p>
                    <w:p w14:paraId="7E51244F"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r w:rsidRPr="00C34F85">
                        <w:rPr>
                          <w:rFonts w:cstheme="minorHAnsi"/>
                          <w:noProof/>
                        </w:rPr>
                        <w:drawing>
                          <wp:inline distT="0" distB="0" distL="0" distR="0" wp14:anchorId="32F5138D" wp14:editId="7EFBE069">
                            <wp:extent cx="4782370" cy="2619375"/>
                            <wp:effectExtent l="19050" t="19050" r="1841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5640"/>
                                    <a:stretch/>
                                  </pic:blipFill>
                                  <pic:spPr bwMode="auto">
                                    <a:xfrm>
                                      <a:off x="0" y="0"/>
                                      <a:ext cx="4863310" cy="2663707"/>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9EAF026"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p>
                    <w:p w14:paraId="150BA89D"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p>
                    <w:p w14:paraId="7B505B75" w14:textId="77777777" w:rsidR="00F972B1" w:rsidRDefault="00F972B1" w:rsidP="007969B4">
                      <w:pPr>
                        <w:pBdr>
                          <w:top w:val="single" w:sz="24" w:space="8" w:color="4472C4" w:themeColor="accent1"/>
                          <w:bottom w:val="single" w:sz="24" w:space="8" w:color="4472C4" w:themeColor="accent1"/>
                        </w:pBdr>
                        <w:spacing w:after="0"/>
                        <w:rPr>
                          <w:i/>
                          <w:iCs/>
                          <w:color w:val="4472C4" w:themeColor="accent1"/>
                          <w:sz w:val="24"/>
                        </w:rPr>
                      </w:pPr>
                    </w:p>
                  </w:txbxContent>
                </v:textbox>
                <w10:wrap type="topAndBottom" anchorx="margin"/>
              </v:shape>
            </w:pict>
          </mc:Fallback>
        </mc:AlternateContent>
      </w:r>
      <w:r w:rsidR="008E71B3">
        <w:rPr>
          <w:b/>
        </w:rPr>
        <w:t xml:space="preserve">Figure 1: </w:t>
      </w:r>
      <w:r w:rsidR="007969B4">
        <w:rPr>
          <w:b/>
        </w:rPr>
        <w:t>Calculating leverage ratio – an example</w:t>
      </w:r>
    </w:p>
    <w:p w14:paraId="069A326E" w14:textId="269F416B" w:rsidR="00914415" w:rsidRPr="00FA5BDD" w:rsidRDefault="00914415" w:rsidP="00BD092A">
      <w:pPr>
        <w:pStyle w:val="ListParagraph"/>
        <w:spacing w:after="0" w:line="276" w:lineRule="auto"/>
        <w:ind w:left="0"/>
        <w:jc w:val="both"/>
      </w:pPr>
      <w:r>
        <w:t xml:space="preserve">The </w:t>
      </w:r>
      <w:r w:rsidR="00A4082E">
        <w:t>target</w:t>
      </w:r>
      <w:r>
        <w:t xml:space="preserve"> leverage ratio guidance above </w:t>
      </w:r>
      <w:r w:rsidR="00C57A3D">
        <w:t>must</w:t>
      </w:r>
      <w:r>
        <w:t xml:space="preserve"> be adhered to, and demonstrated within the proposal where the leveraged financing is coming from, and on what terms, as part of UNDP’s due diligence and determination of </w:t>
      </w:r>
      <w:r w:rsidR="00EF1185">
        <w:t xml:space="preserve">UNDP-supported </w:t>
      </w:r>
      <w:r>
        <w:t>guarantee approval.</w:t>
      </w:r>
    </w:p>
    <w:p w14:paraId="648D50F8" w14:textId="77777777" w:rsidR="003F4C6D" w:rsidRDefault="003F4C6D" w:rsidP="003F4C6D">
      <w:pPr>
        <w:ind w:left="360"/>
        <w:jc w:val="both"/>
        <w:rPr>
          <w:b/>
          <w:sz w:val="24"/>
          <w:szCs w:val="24"/>
        </w:rPr>
      </w:pPr>
    </w:p>
    <w:p w14:paraId="1C681DFA" w14:textId="78129371" w:rsidR="003F4C6D" w:rsidRPr="001D6057" w:rsidRDefault="00EF1185" w:rsidP="00993702">
      <w:pPr>
        <w:pStyle w:val="Heading2"/>
        <w:numPr>
          <w:ilvl w:val="0"/>
          <w:numId w:val="15"/>
        </w:numPr>
        <w:spacing w:before="0" w:after="160"/>
        <w:ind w:left="547" w:hanging="547"/>
        <w:rPr>
          <w:b/>
          <w:color w:val="000000" w:themeColor="text1"/>
          <w:sz w:val="24"/>
          <w:szCs w:val="24"/>
        </w:rPr>
      </w:pPr>
      <w:bookmarkStart w:id="67" w:name="_Toc2339916"/>
      <w:bookmarkStart w:id="68" w:name="_Toc121313775"/>
      <w:r>
        <w:rPr>
          <w:b/>
          <w:color w:val="000000" w:themeColor="text1"/>
          <w:sz w:val="24"/>
          <w:szCs w:val="24"/>
        </w:rPr>
        <w:lastRenderedPageBreak/>
        <w:t>G</w:t>
      </w:r>
      <w:r w:rsidR="003F4C6D" w:rsidRPr="001D6057">
        <w:rPr>
          <w:b/>
          <w:color w:val="000000" w:themeColor="text1"/>
          <w:sz w:val="24"/>
          <w:szCs w:val="24"/>
        </w:rPr>
        <w:t xml:space="preserve">uarantee </w:t>
      </w:r>
      <w:r w:rsidR="003009A8">
        <w:rPr>
          <w:b/>
          <w:color w:val="000000" w:themeColor="text1"/>
          <w:sz w:val="24"/>
          <w:szCs w:val="24"/>
        </w:rPr>
        <w:t>c</w:t>
      </w:r>
      <w:r w:rsidR="003009A8" w:rsidRPr="001D6057">
        <w:rPr>
          <w:b/>
          <w:color w:val="000000" w:themeColor="text1"/>
          <w:sz w:val="24"/>
          <w:szCs w:val="24"/>
        </w:rPr>
        <w:t>urrency</w:t>
      </w:r>
      <w:bookmarkEnd w:id="67"/>
      <w:bookmarkEnd w:id="68"/>
    </w:p>
    <w:p w14:paraId="17A703EC" w14:textId="16113F72" w:rsidR="00264470" w:rsidRDefault="0080175F" w:rsidP="008C66BF">
      <w:pPr>
        <w:spacing w:line="276" w:lineRule="auto"/>
        <w:jc w:val="both"/>
        <w:rPr>
          <w:rFonts w:cstheme="minorHAnsi"/>
        </w:rPr>
      </w:pPr>
      <w:r w:rsidRPr="005312C4">
        <w:rPr>
          <w:iCs/>
        </w:rPr>
        <w:t>When issuing loans guaranteed by UNDP, the lender must do so in the local currency to avoid market distortion. UNDP</w:t>
      </w:r>
      <w:r w:rsidR="00EF1185">
        <w:rPr>
          <w:iCs/>
        </w:rPr>
        <w:t>-supported</w:t>
      </w:r>
      <w:r w:rsidRPr="005312C4">
        <w:rPr>
          <w:iCs/>
        </w:rPr>
        <w:t xml:space="preserve"> guarantees will </w:t>
      </w:r>
      <w:r w:rsidR="007969B4" w:rsidRPr="005312C4">
        <w:rPr>
          <w:iCs/>
        </w:rPr>
        <w:t>be issued in the currency of the underlying loans</w:t>
      </w:r>
      <w:r w:rsidR="00285B5C">
        <w:rPr>
          <w:iCs/>
        </w:rPr>
        <w:t xml:space="preserve"> as </w:t>
      </w:r>
      <w:r w:rsidR="00285B5C">
        <w:rPr>
          <w:rFonts w:cstheme="minorHAnsi"/>
        </w:rPr>
        <w:t xml:space="preserve">currency </w:t>
      </w:r>
      <w:r w:rsidR="00727494">
        <w:rPr>
          <w:rFonts w:cstheme="minorHAnsi"/>
        </w:rPr>
        <w:t xml:space="preserve">mismatches </w:t>
      </w:r>
      <w:r w:rsidR="00505E27">
        <w:rPr>
          <w:rFonts w:cstheme="minorHAnsi"/>
        </w:rPr>
        <w:t xml:space="preserve">for the lender </w:t>
      </w:r>
      <w:r w:rsidR="002153F2">
        <w:rPr>
          <w:rFonts w:cstheme="minorHAnsi"/>
        </w:rPr>
        <w:t>must</w:t>
      </w:r>
      <w:r w:rsidR="00B34C22">
        <w:rPr>
          <w:rFonts w:cstheme="minorHAnsi"/>
        </w:rPr>
        <w:t xml:space="preserve"> be avoided</w:t>
      </w:r>
      <w:r w:rsidR="007969B4" w:rsidRPr="003637DC">
        <w:rPr>
          <w:rFonts w:cstheme="minorHAnsi"/>
        </w:rPr>
        <w:t>. All guarantee related fees and pay</w:t>
      </w:r>
      <w:r w:rsidR="007969B4">
        <w:rPr>
          <w:rFonts w:cstheme="minorHAnsi"/>
        </w:rPr>
        <w:t>outs will be denominated in th</w:t>
      </w:r>
      <w:r w:rsidR="00144BA9">
        <w:rPr>
          <w:rFonts w:cstheme="minorHAnsi"/>
        </w:rPr>
        <w:t>is</w:t>
      </w:r>
      <w:r w:rsidR="007969B4" w:rsidRPr="003637DC">
        <w:rPr>
          <w:rFonts w:cstheme="minorHAnsi"/>
        </w:rPr>
        <w:t xml:space="preserve"> guarantee currency</w:t>
      </w:r>
      <w:r w:rsidR="007969B4">
        <w:rPr>
          <w:rFonts w:cstheme="minorHAnsi"/>
        </w:rPr>
        <w:t xml:space="preserve"> to </w:t>
      </w:r>
      <w:r w:rsidR="00144BA9">
        <w:rPr>
          <w:rFonts w:cstheme="minorHAnsi"/>
        </w:rPr>
        <w:t xml:space="preserve">avoid </w:t>
      </w:r>
      <w:r w:rsidR="007969B4">
        <w:rPr>
          <w:rFonts w:cstheme="minorHAnsi"/>
        </w:rPr>
        <w:t xml:space="preserve">currency mismatches and foreign exchange </w:t>
      </w:r>
      <w:r w:rsidR="00144BA9">
        <w:rPr>
          <w:rFonts w:cstheme="minorHAnsi"/>
        </w:rPr>
        <w:t xml:space="preserve">(FX) </w:t>
      </w:r>
      <w:r w:rsidR="007969B4">
        <w:rPr>
          <w:rFonts w:cstheme="minorHAnsi"/>
        </w:rPr>
        <w:t>risks for the lender</w:t>
      </w:r>
      <w:r w:rsidR="007969B4" w:rsidRPr="003637DC">
        <w:rPr>
          <w:rFonts w:cstheme="minorHAnsi"/>
        </w:rPr>
        <w:t xml:space="preserve">. </w:t>
      </w:r>
    </w:p>
    <w:p w14:paraId="4F7A38C4" w14:textId="65880BB3" w:rsidR="009A1016" w:rsidRDefault="007969B4" w:rsidP="008C66BF">
      <w:pPr>
        <w:spacing w:line="276" w:lineRule="auto"/>
        <w:jc w:val="both"/>
        <w:rPr>
          <w:rFonts w:cstheme="minorHAnsi"/>
        </w:rPr>
      </w:pPr>
      <w:r w:rsidRPr="003637DC">
        <w:rPr>
          <w:rFonts w:cstheme="minorHAnsi"/>
        </w:rPr>
        <w:t>It is noted that these stipulations raise an FX exposure issue</w:t>
      </w:r>
      <w:r>
        <w:rPr>
          <w:rFonts w:cstheme="minorHAnsi"/>
        </w:rPr>
        <w:t xml:space="preserve"> for UNDP</w:t>
      </w:r>
      <w:r w:rsidRPr="003637DC">
        <w:rPr>
          <w:rFonts w:cstheme="minorHAnsi"/>
        </w:rPr>
        <w:t xml:space="preserve"> as UNDP’s </w:t>
      </w:r>
      <w:r>
        <w:rPr>
          <w:rFonts w:cstheme="minorHAnsi"/>
        </w:rPr>
        <w:t>reporting currency is in US Dollars</w:t>
      </w:r>
      <w:r w:rsidR="00E902DF">
        <w:rPr>
          <w:rFonts w:cstheme="minorHAnsi"/>
        </w:rPr>
        <w:t>,</w:t>
      </w:r>
      <w:r>
        <w:rPr>
          <w:rFonts w:cstheme="minorHAnsi"/>
        </w:rPr>
        <w:t xml:space="preserve"> while the guarantee</w:t>
      </w:r>
      <w:r w:rsidRPr="003637DC">
        <w:rPr>
          <w:rFonts w:cstheme="minorHAnsi"/>
        </w:rPr>
        <w:t xml:space="preserve"> </w:t>
      </w:r>
      <w:r w:rsidR="00FE0AA4">
        <w:rPr>
          <w:rFonts w:cstheme="minorHAnsi"/>
        </w:rPr>
        <w:t xml:space="preserve">may </w:t>
      </w:r>
      <w:r w:rsidRPr="003637DC">
        <w:rPr>
          <w:rFonts w:cstheme="minorHAnsi"/>
        </w:rPr>
        <w:t xml:space="preserve">be </w:t>
      </w:r>
      <w:r w:rsidR="00FE0AA4">
        <w:rPr>
          <w:rFonts w:cstheme="minorHAnsi"/>
        </w:rPr>
        <w:t xml:space="preserve">denominated </w:t>
      </w:r>
      <w:r w:rsidRPr="003637DC">
        <w:rPr>
          <w:rFonts w:cstheme="minorHAnsi"/>
        </w:rPr>
        <w:t xml:space="preserve">in </w:t>
      </w:r>
      <w:r w:rsidR="00FE0AA4">
        <w:rPr>
          <w:rFonts w:cstheme="minorHAnsi"/>
        </w:rPr>
        <w:t xml:space="preserve">the </w:t>
      </w:r>
      <w:r w:rsidRPr="003637DC">
        <w:rPr>
          <w:rFonts w:cstheme="minorHAnsi"/>
        </w:rPr>
        <w:t xml:space="preserve">local currency. </w:t>
      </w:r>
      <w:r w:rsidR="003E4DCD">
        <w:rPr>
          <w:rFonts w:cstheme="minorHAnsi"/>
        </w:rPr>
        <w:t>Whilst contribution</w:t>
      </w:r>
      <w:r w:rsidR="000D37CE">
        <w:rPr>
          <w:rFonts w:cstheme="minorHAnsi"/>
        </w:rPr>
        <w:t>/financing</w:t>
      </w:r>
      <w:r w:rsidR="003E4DCD">
        <w:rPr>
          <w:rFonts w:cstheme="minorHAnsi"/>
        </w:rPr>
        <w:t xml:space="preserve"> agreements </w:t>
      </w:r>
      <w:r w:rsidR="003C5D83">
        <w:rPr>
          <w:rFonts w:cstheme="minorHAnsi"/>
        </w:rPr>
        <w:t xml:space="preserve">with the funding partner should cover the risk of unfavorable movements in exchange rates, </w:t>
      </w:r>
      <w:r w:rsidRPr="003637DC">
        <w:rPr>
          <w:rFonts w:cstheme="minorHAnsi"/>
        </w:rPr>
        <w:t xml:space="preserve">UNDP should monitor the relative trends between the </w:t>
      </w:r>
      <w:r w:rsidR="00F15953">
        <w:rPr>
          <w:rFonts w:cstheme="minorHAnsi"/>
        </w:rPr>
        <w:t xml:space="preserve">guarantee </w:t>
      </w:r>
      <w:r w:rsidRPr="003637DC">
        <w:rPr>
          <w:rFonts w:cstheme="minorHAnsi"/>
        </w:rPr>
        <w:t xml:space="preserve">currency and the </w:t>
      </w:r>
      <w:r>
        <w:rPr>
          <w:rFonts w:cstheme="minorHAnsi"/>
        </w:rPr>
        <w:t>US D</w:t>
      </w:r>
      <w:r w:rsidRPr="003637DC">
        <w:rPr>
          <w:rFonts w:cstheme="minorHAnsi"/>
        </w:rPr>
        <w:t>ollar</w:t>
      </w:r>
      <w:r w:rsidR="00F81E2C">
        <w:rPr>
          <w:rFonts w:cstheme="minorHAnsi"/>
        </w:rPr>
        <w:t xml:space="preserve">, </w:t>
      </w:r>
      <w:r w:rsidR="00F81E2C" w:rsidRPr="003637DC">
        <w:rPr>
          <w:rFonts w:cstheme="minorHAnsi"/>
        </w:rPr>
        <w:t xml:space="preserve">with consolidated (forecast) currency risk incorporated in the overall </w:t>
      </w:r>
      <w:r w:rsidR="00F81E2C">
        <w:rPr>
          <w:rFonts w:cstheme="minorHAnsi"/>
        </w:rPr>
        <w:t xml:space="preserve">assessment </w:t>
      </w:r>
      <w:r w:rsidR="00F81E2C" w:rsidRPr="003637DC">
        <w:rPr>
          <w:rFonts w:cstheme="minorHAnsi"/>
        </w:rPr>
        <w:t>of portfolio risk</w:t>
      </w:r>
      <w:r w:rsidR="000E3C0C">
        <w:rPr>
          <w:rFonts w:cstheme="minorHAnsi"/>
        </w:rPr>
        <w:t xml:space="preserve">. </w:t>
      </w:r>
      <w:r w:rsidR="007C6B17">
        <w:rPr>
          <w:rFonts w:cstheme="minorHAnsi"/>
        </w:rPr>
        <w:t xml:space="preserve">UNDP’s </w:t>
      </w:r>
      <w:r w:rsidR="004C610E">
        <w:rPr>
          <w:rFonts w:cstheme="minorHAnsi"/>
        </w:rPr>
        <w:t xml:space="preserve">currency risk </w:t>
      </w:r>
      <w:r w:rsidR="00C57A3D">
        <w:rPr>
          <w:rFonts w:cstheme="minorHAnsi"/>
        </w:rPr>
        <w:t>must</w:t>
      </w:r>
      <w:r w:rsidR="004C610E">
        <w:rPr>
          <w:rFonts w:cstheme="minorHAnsi"/>
        </w:rPr>
        <w:t xml:space="preserve"> be consider</w:t>
      </w:r>
      <w:r w:rsidR="00EC4A72">
        <w:rPr>
          <w:rFonts w:cstheme="minorHAnsi"/>
        </w:rPr>
        <w:t>ed</w:t>
      </w:r>
      <w:r w:rsidR="004C610E">
        <w:rPr>
          <w:rFonts w:cstheme="minorHAnsi"/>
        </w:rPr>
        <w:t xml:space="preserve"> carefully</w:t>
      </w:r>
      <w:r w:rsidR="00312305">
        <w:rPr>
          <w:rFonts w:cstheme="minorHAnsi"/>
        </w:rPr>
        <w:t>,</w:t>
      </w:r>
      <w:r w:rsidR="004C610E">
        <w:rPr>
          <w:rFonts w:cstheme="minorHAnsi"/>
        </w:rPr>
        <w:t xml:space="preserve"> especially f</w:t>
      </w:r>
      <w:r w:rsidR="0043658E">
        <w:rPr>
          <w:rFonts w:cstheme="minorHAnsi"/>
        </w:rPr>
        <w:t xml:space="preserve">or </w:t>
      </w:r>
      <w:r w:rsidR="00DD5749">
        <w:rPr>
          <w:rFonts w:cstheme="minorHAnsi"/>
        </w:rPr>
        <w:t>long</w:t>
      </w:r>
      <w:r w:rsidR="00265F26">
        <w:rPr>
          <w:rFonts w:cstheme="minorHAnsi"/>
        </w:rPr>
        <w:t xml:space="preserve">er </w:t>
      </w:r>
      <w:r w:rsidR="00DD5749">
        <w:rPr>
          <w:rFonts w:cstheme="minorHAnsi"/>
        </w:rPr>
        <w:t>term guarantee</w:t>
      </w:r>
      <w:r w:rsidR="006E5CE3">
        <w:rPr>
          <w:rFonts w:cstheme="minorHAnsi"/>
        </w:rPr>
        <w:t>s</w:t>
      </w:r>
      <w:r w:rsidR="004C610E">
        <w:rPr>
          <w:rFonts w:cstheme="minorHAnsi"/>
        </w:rPr>
        <w:t xml:space="preserve"> and </w:t>
      </w:r>
      <w:r w:rsidR="006E5CE3">
        <w:rPr>
          <w:rFonts w:cstheme="minorHAnsi"/>
        </w:rPr>
        <w:t>large</w:t>
      </w:r>
      <w:r w:rsidR="00265F26">
        <w:rPr>
          <w:rFonts w:cstheme="minorHAnsi"/>
        </w:rPr>
        <w:t xml:space="preserve">r </w:t>
      </w:r>
      <w:r w:rsidR="006E5CE3">
        <w:rPr>
          <w:rFonts w:cstheme="minorHAnsi"/>
        </w:rPr>
        <w:t>size guarantees</w:t>
      </w:r>
      <w:r w:rsidR="00265F26">
        <w:rPr>
          <w:rFonts w:cstheme="minorHAnsi"/>
        </w:rPr>
        <w:t>.</w:t>
      </w:r>
      <w:r w:rsidRPr="003637DC">
        <w:rPr>
          <w:rFonts w:cstheme="minorHAnsi"/>
        </w:rPr>
        <w:t xml:space="preserve"> </w:t>
      </w:r>
      <w:r w:rsidR="00F55C10" w:rsidRPr="00EF15AE">
        <w:rPr>
          <w:rFonts w:cstheme="minorHAnsi"/>
        </w:rPr>
        <w:t xml:space="preserve">Any proposed exceptions to issuing </w:t>
      </w:r>
      <w:r w:rsidR="00EF1185">
        <w:rPr>
          <w:rFonts w:cstheme="minorHAnsi"/>
        </w:rPr>
        <w:t xml:space="preserve">UNDP-supported </w:t>
      </w:r>
      <w:r w:rsidR="00F55C10" w:rsidRPr="00EF15AE">
        <w:rPr>
          <w:rFonts w:cstheme="minorHAnsi"/>
        </w:rPr>
        <w:t>guarantees in the currency of the underlying loan/transaction must be fully justified and brought to the Chief Financ</w:t>
      </w:r>
      <w:r w:rsidR="009A27E5">
        <w:rPr>
          <w:rFonts w:cstheme="minorHAnsi"/>
        </w:rPr>
        <w:t>ial</w:t>
      </w:r>
      <w:r w:rsidR="00F55C10" w:rsidRPr="00EF15AE">
        <w:rPr>
          <w:rFonts w:cstheme="minorHAnsi"/>
        </w:rPr>
        <w:t xml:space="preserve"> Officer for consideration.</w:t>
      </w:r>
    </w:p>
    <w:p w14:paraId="0FB75271" w14:textId="77777777" w:rsidR="007969B4" w:rsidRPr="00166FB5" w:rsidRDefault="007969B4" w:rsidP="007969B4">
      <w:pPr>
        <w:spacing w:after="60"/>
        <w:jc w:val="both"/>
        <w:rPr>
          <w:rFonts w:ascii="Arial" w:hAnsi="Arial" w:cs="Arial"/>
          <w:iCs/>
          <w:sz w:val="20"/>
          <w:szCs w:val="20"/>
        </w:rPr>
      </w:pPr>
    </w:p>
    <w:p w14:paraId="06E27945" w14:textId="77777777" w:rsidR="007969B4" w:rsidRPr="00AB5F67" w:rsidRDefault="007969B4" w:rsidP="00993702">
      <w:pPr>
        <w:pStyle w:val="Heading2"/>
        <w:numPr>
          <w:ilvl w:val="0"/>
          <w:numId w:val="15"/>
        </w:numPr>
        <w:spacing w:before="0" w:after="160"/>
        <w:ind w:left="547" w:hanging="547"/>
        <w:rPr>
          <w:b/>
          <w:color w:val="000000" w:themeColor="text1"/>
          <w:sz w:val="24"/>
          <w:szCs w:val="24"/>
        </w:rPr>
      </w:pPr>
      <w:bookmarkStart w:id="69" w:name="_Toc2339917"/>
      <w:bookmarkStart w:id="70" w:name="_Toc121313776"/>
      <w:r w:rsidRPr="00AB5F67">
        <w:rPr>
          <w:b/>
          <w:color w:val="000000" w:themeColor="text1"/>
          <w:sz w:val="24"/>
          <w:szCs w:val="24"/>
        </w:rPr>
        <w:t xml:space="preserve">Guarantee </w:t>
      </w:r>
      <w:r w:rsidR="003009A8">
        <w:rPr>
          <w:b/>
          <w:color w:val="000000" w:themeColor="text1"/>
          <w:sz w:val="24"/>
          <w:szCs w:val="24"/>
        </w:rPr>
        <w:t>s</w:t>
      </w:r>
      <w:r w:rsidR="003009A8" w:rsidRPr="00AB5F67">
        <w:rPr>
          <w:b/>
          <w:color w:val="000000" w:themeColor="text1"/>
          <w:sz w:val="24"/>
          <w:szCs w:val="24"/>
        </w:rPr>
        <w:t>ize</w:t>
      </w:r>
      <w:bookmarkEnd w:id="69"/>
      <w:bookmarkEnd w:id="70"/>
    </w:p>
    <w:p w14:paraId="3E36BF48" w14:textId="4C417805" w:rsidR="007969B4" w:rsidRDefault="007969B4" w:rsidP="00BC222D">
      <w:pPr>
        <w:spacing w:after="60" w:line="276" w:lineRule="auto"/>
        <w:jc w:val="both"/>
        <w:rPr>
          <w:rFonts w:cstheme="minorHAnsi"/>
        </w:rPr>
      </w:pPr>
      <w:r w:rsidRPr="00BE3AF2">
        <w:rPr>
          <w:rFonts w:cstheme="minorHAnsi"/>
        </w:rPr>
        <w:t xml:space="preserve">Guarantees </w:t>
      </w:r>
      <w:r>
        <w:rPr>
          <w:rFonts w:cstheme="minorHAnsi"/>
        </w:rPr>
        <w:t>must be correctly sized to deliver impact efficiently</w:t>
      </w:r>
      <w:r w:rsidR="006F132B">
        <w:rPr>
          <w:rFonts w:cstheme="minorHAnsi"/>
        </w:rPr>
        <w:t>, and</w:t>
      </w:r>
      <w:r w:rsidR="006F132B" w:rsidRPr="006F132B">
        <w:rPr>
          <w:rFonts w:cstheme="minorHAnsi"/>
        </w:rPr>
        <w:t xml:space="preserve"> </w:t>
      </w:r>
      <w:r w:rsidR="006F132B">
        <w:rPr>
          <w:rFonts w:cstheme="minorHAnsi"/>
        </w:rPr>
        <w:t>sized based on capital requirements and size of projects expected to receive the guarantee</w:t>
      </w:r>
      <w:r>
        <w:rPr>
          <w:rFonts w:cstheme="minorHAnsi"/>
        </w:rPr>
        <w:t>. UNDP</w:t>
      </w:r>
      <w:r w:rsidRPr="009C268B">
        <w:rPr>
          <w:rFonts w:cstheme="minorHAnsi"/>
        </w:rPr>
        <w:t xml:space="preserve"> </w:t>
      </w:r>
      <w:r w:rsidR="009272E3">
        <w:rPr>
          <w:rFonts w:cstheme="minorHAnsi"/>
        </w:rPr>
        <w:t xml:space="preserve">may support </w:t>
      </w:r>
      <w:r w:rsidRPr="009C268B">
        <w:rPr>
          <w:rFonts w:cstheme="minorHAnsi"/>
        </w:rPr>
        <w:t>medium-sized guarantees with maximum amounts payable ranging from $1 million to $10 million per guarantee</w:t>
      </w:r>
      <w:r w:rsidR="00BF4829">
        <w:rPr>
          <w:rFonts w:cstheme="minorHAnsi"/>
        </w:rPr>
        <w:t xml:space="preserve"> to a given lender</w:t>
      </w:r>
      <w:r w:rsidR="00E029E2">
        <w:rPr>
          <w:rFonts w:cstheme="minorHAnsi"/>
        </w:rPr>
        <w:t xml:space="preserve">. This range </w:t>
      </w:r>
      <w:r w:rsidR="006A0257">
        <w:rPr>
          <w:rFonts w:cstheme="minorHAnsi"/>
        </w:rPr>
        <w:t xml:space="preserve">is above the level where </w:t>
      </w:r>
      <w:r w:rsidR="009F5F03" w:rsidRPr="003B0557">
        <w:rPr>
          <w:rFonts w:cstheme="minorHAnsi"/>
        </w:rPr>
        <w:t xml:space="preserve">a guarantee </w:t>
      </w:r>
      <w:r w:rsidR="006A0257">
        <w:rPr>
          <w:rFonts w:cstheme="minorHAnsi"/>
        </w:rPr>
        <w:t xml:space="preserve">is </w:t>
      </w:r>
      <w:r w:rsidR="009F5F03" w:rsidRPr="003B0557">
        <w:rPr>
          <w:rFonts w:cstheme="minorHAnsi"/>
        </w:rPr>
        <w:t xml:space="preserve">typically </w:t>
      </w:r>
      <w:r w:rsidR="006A0257">
        <w:rPr>
          <w:rFonts w:cstheme="minorHAnsi"/>
        </w:rPr>
        <w:t xml:space="preserve">not cost effective to utilize, and below the level of </w:t>
      </w:r>
      <w:r w:rsidRPr="009C268B">
        <w:rPr>
          <w:rFonts w:cstheme="minorHAnsi"/>
        </w:rPr>
        <w:t xml:space="preserve">larger development guarantees </w:t>
      </w:r>
      <w:r w:rsidR="002A0090">
        <w:rPr>
          <w:rFonts w:cstheme="minorHAnsi"/>
        </w:rPr>
        <w:t>typically</w:t>
      </w:r>
      <w:r w:rsidR="002A0090" w:rsidRPr="009C268B">
        <w:rPr>
          <w:rFonts w:cstheme="minorHAnsi"/>
        </w:rPr>
        <w:t xml:space="preserve"> </w:t>
      </w:r>
      <w:r w:rsidRPr="009C268B">
        <w:rPr>
          <w:rFonts w:cstheme="minorHAnsi"/>
        </w:rPr>
        <w:t>offered by multilateral development banks and other guarantors</w:t>
      </w:r>
      <w:r w:rsidR="00C71515">
        <w:rPr>
          <w:rFonts w:cstheme="minorHAnsi"/>
        </w:rPr>
        <w:t>.</w:t>
      </w:r>
    </w:p>
    <w:p w14:paraId="555514B5" w14:textId="77777777" w:rsidR="007969B4" w:rsidRPr="00166FB5" w:rsidRDefault="007969B4" w:rsidP="00BC222D">
      <w:pPr>
        <w:spacing w:after="60"/>
        <w:jc w:val="both"/>
        <w:rPr>
          <w:rFonts w:cstheme="minorHAnsi"/>
        </w:rPr>
      </w:pPr>
    </w:p>
    <w:p w14:paraId="3C083EA4" w14:textId="77777777" w:rsidR="007969B4" w:rsidRPr="00AB5F67" w:rsidRDefault="007969B4" w:rsidP="00993702">
      <w:pPr>
        <w:pStyle w:val="Heading2"/>
        <w:numPr>
          <w:ilvl w:val="0"/>
          <w:numId w:val="15"/>
        </w:numPr>
        <w:spacing w:before="0" w:after="160"/>
        <w:ind w:left="547" w:hanging="547"/>
        <w:rPr>
          <w:b/>
          <w:color w:val="000000" w:themeColor="text1"/>
          <w:sz w:val="24"/>
          <w:szCs w:val="24"/>
        </w:rPr>
      </w:pPr>
      <w:bookmarkStart w:id="71" w:name="_Toc2339918"/>
      <w:bookmarkStart w:id="72" w:name="_Toc121313777"/>
      <w:r w:rsidRPr="00AB5F67">
        <w:rPr>
          <w:b/>
          <w:color w:val="000000" w:themeColor="text1"/>
          <w:sz w:val="24"/>
          <w:szCs w:val="24"/>
        </w:rPr>
        <w:t xml:space="preserve">Guarantee </w:t>
      </w:r>
      <w:r w:rsidR="00BE6B10">
        <w:rPr>
          <w:b/>
          <w:color w:val="000000" w:themeColor="text1"/>
          <w:sz w:val="24"/>
          <w:szCs w:val="24"/>
        </w:rPr>
        <w:t>t</w:t>
      </w:r>
      <w:r w:rsidR="00BE6B10" w:rsidRPr="00AB5F67">
        <w:rPr>
          <w:b/>
          <w:color w:val="000000" w:themeColor="text1"/>
          <w:sz w:val="24"/>
          <w:szCs w:val="24"/>
        </w:rPr>
        <w:t>enor</w:t>
      </w:r>
      <w:bookmarkEnd w:id="71"/>
      <w:bookmarkEnd w:id="72"/>
    </w:p>
    <w:p w14:paraId="1D43BBC8" w14:textId="1F1A38D1" w:rsidR="00BD092A" w:rsidRDefault="007969B4" w:rsidP="00BA388E">
      <w:pPr>
        <w:spacing w:line="276" w:lineRule="auto"/>
        <w:jc w:val="both"/>
        <w:rPr>
          <w:rFonts w:cstheme="minorHAnsi"/>
          <w:color w:val="000000" w:themeColor="text1"/>
        </w:rPr>
      </w:pPr>
      <w:r w:rsidRPr="006F57FC">
        <w:rPr>
          <w:rFonts w:cstheme="minorHAnsi"/>
          <w:color w:val="000000" w:themeColor="text1"/>
        </w:rPr>
        <w:t xml:space="preserve">While the tenor of a guarantee may vary with each guarantee transaction, </w:t>
      </w:r>
      <w:r w:rsidR="00872F80" w:rsidRPr="00C07951">
        <w:rPr>
          <w:iCs/>
        </w:rPr>
        <w:t>UNDP</w:t>
      </w:r>
      <w:r w:rsidR="00EF1185">
        <w:rPr>
          <w:iCs/>
        </w:rPr>
        <w:t>-supported</w:t>
      </w:r>
      <w:r w:rsidR="00872F80" w:rsidRPr="00C07951">
        <w:rPr>
          <w:iCs/>
        </w:rPr>
        <w:t xml:space="preserve"> guarantees </w:t>
      </w:r>
      <w:r w:rsidR="00872F80">
        <w:rPr>
          <w:iCs/>
        </w:rPr>
        <w:t xml:space="preserve">must </w:t>
      </w:r>
      <w:r w:rsidR="00872F80" w:rsidRPr="00C07951">
        <w:rPr>
          <w:iCs/>
        </w:rPr>
        <w:t xml:space="preserve">not have a tenor </w:t>
      </w:r>
      <w:r w:rsidR="00872F80" w:rsidRPr="00C07951">
        <w:rPr>
          <w:iCs/>
          <w:color w:val="000000" w:themeColor="text1"/>
        </w:rPr>
        <w:t xml:space="preserve">exceeding </w:t>
      </w:r>
      <w:r w:rsidR="00872F80" w:rsidRPr="006D36AE">
        <w:rPr>
          <w:rFonts w:cstheme="minorHAnsi"/>
        </w:rPr>
        <w:t>the UNDP project period</w:t>
      </w:r>
      <w:r w:rsidR="00872F80">
        <w:rPr>
          <w:rFonts w:cstheme="minorHAnsi"/>
        </w:rPr>
        <w:t>.</w:t>
      </w:r>
      <w:r w:rsidR="00872F80" w:rsidRPr="00F41D38">
        <w:rPr>
          <w:iCs/>
          <w:color w:val="000000" w:themeColor="text1"/>
        </w:rPr>
        <w:t xml:space="preserve"> </w:t>
      </w:r>
      <w:r w:rsidR="00BA388E">
        <w:rPr>
          <w:rFonts w:cstheme="minorHAnsi"/>
          <w:color w:val="000000" w:themeColor="text1"/>
        </w:rPr>
        <w:t>I</w:t>
      </w:r>
      <w:r w:rsidR="00BA388E" w:rsidRPr="006F57FC">
        <w:rPr>
          <w:rFonts w:cstheme="minorHAnsi"/>
          <w:color w:val="000000" w:themeColor="text1"/>
        </w:rPr>
        <w:t xml:space="preserve">t </w:t>
      </w:r>
      <w:r w:rsidRPr="006F57FC">
        <w:rPr>
          <w:rFonts w:cstheme="minorHAnsi"/>
          <w:color w:val="000000" w:themeColor="text1"/>
        </w:rPr>
        <w:t xml:space="preserve">is recommended that the tenor of a </w:t>
      </w:r>
      <w:r w:rsidR="00EC05DA" w:rsidRPr="006F57FC">
        <w:rPr>
          <w:rFonts w:cstheme="minorHAnsi"/>
          <w:color w:val="000000" w:themeColor="text1"/>
        </w:rPr>
        <w:t>UNDP</w:t>
      </w:r>
      <w:r w:rsidR="00117389">
        <w:rPr>
          <w:rFonts w:cstheme="minorHAnsi"/>
          <w:color w:val="000000" w:themeColor="text1"/>
        </w:rPr>
        <w:t>-supported</w:t>
      </w:r>
      <w:r w:rsidR="00EC05DA" w:rsidRPr="006F57FC">
        <w:rPr>
          <w:rFonts w:cstheme="minorHAnsi"/>
          <w:color w:val="000000" w:themeColor="text1"/>
        </w:rPr>
        <w:t xml:space="preserve"> </w:t>
      </w:r>
      <w:r w:rsidRPr="006F57FC">
        <w:rPr>
          <w:rFonts w:cstheme="minorHAnsi"/>
          <w:color w:val="000000" w:themeColor="text1"/>
        </w:rPr>
        <w:t xml:space="preserve">guarantee </w:t>
      </w:r>
      <w:r w:rsidR="00752CD4" w:rsidRPr="006F57FC">
        <w:rPr>
          <w:rFonts w:cstheme="minorHAnsi"/>
          <w:color w:val="000000" w:themeColor="text1"/>
        </w:rPr>
        <w:t>typically range up to 5 years</w:t>
      </w:r>
      <w:r w:rsidRPr="006F57FC">
        <w:rPr>
          <w:rFonts w:cstheme="minorHAnsi"/>
          <w:color w:val="000000" w:themeColor="text1"/>
        </w:rPr>
        <w:t xml:space="preserve">. </w:t>
      </w:r>
      <w:r w:rsidR="00806D58" w:rsidRPr="006D36AE">
        <w:rPr>
          <w:rFonts w:cstheme="minorHAnsi"/>
        </w:rPr>
        <w:t xml:space="preserve">The </w:t>
      </w:r>
      <w:r w:rsidR="00EF1185">
        <w:rPr>
          <w:rFonts w:cstheme="minorHAnsi"/>
        </w:rPr>
        <w:t xml:space="preserve">UNDP-supported </w:t>
      </w:r>
      <w:r w:rsidR="00806D58" w:rsidRPr="006D36AE">
        <w:rPr>
          <w:rFonts w:cstheme="minorHAnsi"/>
        </w:rPr>
        <w:t xml:space="preserve">guarantee tenor must not exceed </w:t>
      </w:r>
      <w:r w:rsidR="00806D58" w:rsidRPr="00C07951">
        <w:rPr>
          <w:iCs/>
          <w:color w:val="000000" w:themeColor="text1"/>
        </w:rPr>
        <w:t>10 years</w:t>
      </w:r>
      <w:r w:rsidR="00806D58">
        <w:rPr>
          <w:iCs/>
          <w:color w:val="000000" w:themeColor="text1"/>
        </w:rPr>
        <w:t xml:space="preserve"> </w:t>
      </w:r>
      <w:r w:rsidR="00806D58" w:rsidRPr="006D36AE">
        <w:rPr>
          <w:rFonts w:cstheme="minorHAnsi"/>
        </w:rPr>
        <w:t>and will ideally be the same as the tenor of the underlying loans</w:t>
      </w:r>
      <w:r w:rsidR="00806D58">
        <w:rPr>
          <w:rFonts w:cstheme="minorHAnsi"/>
        </w:rPr>
        <w:t xml:space="preserve">. </w:t>
      </w:r>
      <w:r w:rsidR="00D64DCB" w:rsidRPr="006F57FC">
        <w:rPr>
          <w:rFonts w:cstheme="minorHAnsi"/>
          <w:color w:val="000000" w:themeColor="text1"/>
        </w:rPr>
        <w:t>However</w:t>
      </w:r>
      <w:r w:rsidRPr="006F57FC">
        <w:rPr>
          <w:rFonts w:cstheme="minorHAnsi"/>
          <w:color w:val="000000" w:themeColor="text1"/>
        </w:rPr>
        <w:t xml:space="preserve">, in some situations </w:t>
      </w:r>
      <w:r w:rsidR="00D64DCB" w:rsidRPr="006F57FC">
        <w:rPr>
          <w:rFonts w:cstheme="minorHAnsi"/>
          <w:color w:val="000000" w:themeColor="text1"/>
        </w:rPr>
        <w:t xml:space="preserve">depending on the specific risk to be mitigated, </w:t>
      </w:r>
      <w:r w:rsidRPr="006F57FC">
        <w:rPr>
          <w:rFonts w:cstheme="minorHAnsi"/>
          <w:color w:val="000000" w:themeColor="text1"/>
        </w:rPr>
        <w:t xml:space="preserve">the maturity of </w:t>
      </w:r>
      <w:r w:rsidR="002C45F9">
        <w:rPr>
          <w:rFonts w:cstheme="minorHAnsi"/>
          <w:color w:val="000000" w:themeColor="text1"/>
        </w:rPr>
        <w:t>UNDP</w:t>
      </w:r>
      <w:r w:rsidR="0026766E">
        <w:rPr>
          <w:rFonts w:cstheme="minorHAnsi"/>
          <w:color w:val="000000" w:themeColor="text1"/>
        </w:rPr>
        <w:t>-supported</w:t>
      </w:r>
      <w:r w:rsidR="002C45F9">
        <w:rPr>
          <w:rFonts w:cstheme="minorHAnsi"/>
          <w:color w:val="000000" w:themeColor="text1"/>
        </w:rPr>
        <w:t xml:space="preserve"> </w:t>
      </w:r>
      <w:r w:rsidRPr="006F57FC">
        <w:rPr>
          <w:rFonts w:cstheme="minorHAnsi"/>
          <w:color w:val="000000" w:themeColor="text1"/>
        </w:rPr>
        <w:t xml:space="preserve">guarantees can </w:t>
      </w:r>
      <w:r w:rsidR="0061452F" w:rsidRPr="006F57FC">
        <w:rPr>
          <w:rFonts w:cstheme="minorHAnsi"/>
          <w:color w:val="000000" w:themeColor="text1"/>
        </w:rPr>
        <w:t>be shorter than the tenor of the covered instrument or transaction</w:t>
      </w:r>
      <w:r w:rsidR="0006576B" w:rsidRPr="006F57FC">
        <w:rPr>
          <w:rFonts w:cstheme="minorHAnsi"/>
          <w:color w:val="000000" w:themeColor="text1"/>
        </w:rPr>
        <w:t>,</w:t>
      </w:r>
      <w:r w:rsidRPr="006F57FC">
        <w:rPr>
          <w:rFonts w:cstheme="minorHAnsi"/>
          <w:color w:val="000000" w:themeColor="text1"/>
        </w:rPr>
        <w:t xml:space="preserve"> thereby allowing capital to be recycled more quickly for similar projects</w:t>
      </w:r>
      <w:r w:rsidRPr="00014988">
        <w:rPr>
          <w:rFonts w:cstheme="minorHAnsi"/>
          <w:color w:val="000000" w:themeColor="text1"/>
        </w:rPr>
        <w:t>.</w:t>
      </w:r>
      <w:r w:rsidR="00DE505A">
        <w:rPr>
          <w:rFonts w:cstheme="minorHAnsi"/>
          <w:color w:val="000000" w:themeColor="text1"/>
        </w:rPr>
        <w:t xml:space="preserve"> </w:t>
      </w:r>
      <w:r w:rsidR="00E914D2">
        <w:rPr>
          <w:rFonts w:cstheme="minorHAnsi"/>
          <w:color w:val="000000" w:themeColor="text1"/>
        </w:rPr>
        <w:t xml:space="preserve">In </w:t>
      </w:r>
      <w:r w:rsidR="002C45F9">
        <w:rPr>
          <w:rFonts w:cstheme="minorHAnsi"/>
          <w:color w:val="000000" w:themeColor="text1"/>
        </w:rPr>
        <w:t>such</w:t>
      </w:r>
      <w:r w:rsidR="00E914D2">
        <w:rPr>
          <w:rFonts w:cstheme="minorHAnsi"/>
          <w:color w:val="000000" w:themeColor="text1"/>
        </w:rPr>
        <w:t xml:space="preserve"> cases, </w:t>
      </w:r>
      <w:r w:rsidR="00AD0766">
        <w:rPr>
          <w:rFonts w:cstheme="minorHAnsi"/>
          <w:color w:val="000000" w:themeColor="text1"/>
        </w:rPr>
        <w:t xml:space="preserve">there </w:t>
      </w:r>
      <w:r w:rsidR="002C45F9">
        <w:rPr>
          <w:rFonts w:cstheme="minorHAnsi"/>
          <w:color w:val="000000" w:themeColor="text1"/>
        </w:rPr>
        <w:t>could be</w:t>
      </w:r>
      <w:r w:rsidR="00AD0766">
        <w:rPr>
          <w:rFonts w:cstheme="minorHAnsi"/>
          <w:color w:val="000000" w:themeColor="text1"/>
        </w:rPr>
        <w:t xml:space="preserve"> multiple guarantors </w:t>
      </w:r>
      <w:r w:rsidR="002C45F9">
        <w:rPr>
          <w:rFonts w:cstheme="minorHAnsi"/>
          <w:color w:val="000000" w:themeColor="text1"/>
        </w:rPr>
        <w:t>where</w:t>
      </w:r>
      <w:r w:rsidR="00AD0766">
        <w:rPr>
          <w:rFonts w:cstheme="minorHAnsi"/>
          <w:color w:val="000000" w:themeColor="text1"/>
        </w:rPr>
        <w:t xml:space="preserve"> UNDP </w:t>
      </w:r>
      <w:r w:rsidR="002C45F9">
        <w:rPr>
          <w:rFonts w:cstheme="minorHAnsi"/>
          <w:color w:val="000000" w:themeColor="text1"/>
        </w:rPr>
        <w:t xml:space="preserve">could take </w:t>
      </w:r>
      <w:r w:rsidR="00845A07">
        <w:rPr>
          <w:rFonts w:cstheme="minorHAnsi"/>
          <w:color w:val="000000" w:themeColor="text1"/>
        </w:rPr>
        <w:t xml:space="preserve">a position </w:t>
      </w:r>
      <w:r w:rsidR="00212542">
        <w:rPr>
          <w:rFonts w:cstheme="minorHAnsi"/>
          <w:color w:val="000000" w:themeColor="text1"/>
        </w:rPr>
        <w:t xml:space="preserve">that </w:t>
      </w:r>
      <w:r w:rsidR="00845A07">
        <w:rPr>
          <w:rFonts w:cstheme="minorHAnsi"/>
          <w:color w:val="000000" w:themeColor="text1"/>
        </w:rPr>
        <w:t>it will partially guarantee</w:t>
      </w:r>
      <w:r w:rsidR="002C45F9">
        <w:rPr>
          <w:rFonts w:cstheme="minorHAnsi"/>
          <w:color w:val="000000" w:themeColor="text1"/>
        </w:rPr>
        <w:t xml:space="preserve"> the</w:t>
      </w:r>
      <w:r w:rsidR="00AD5465">
        <w:rPr>
          <w:rFonts w:cstheme="minorHAnsi"/>
          <w:color w:val="000000" w:themeColor="text1"/>
        </w:rPr>
        <w:t xml:space="preserve"> underlying</w:t>
      </w:r>
      <w:r w:rsidR="002C45F9">
        <w:rPr>
          <w:rFonts w:cstheme="minorHAnsi"/>
          <w:color w:val="000000" w:themeColor="text1"/>
        </w:rPr>
        <w:t xml:space="preserve"> transaction for a few years and the rest</w:t>
      </w:r>
      <w:r w:rsidR="00AD5465">
        <w:rPr>
          <w:rFonts w:cstheme="minorHAnsi"/>
          <w:color w:val="000000" w:themeColor="text1"/>
        </w:rPr>
        <w:t xml:space="preserve"> of the underlying transaction’s tenor</w:t>
      </w:r>
      <w:r w:rsidR="002C45F9">
        <w:rPr>
          <w:rFonts w:cstheme="minorHAnsi"/>
          <w:color w:val="000000" w:themeColor="text1"/>
        </w:rPr>
        <w:t xml:space="preserve"> is covered by other guarantors</w:t>
      </w:r>
      <w:r w:rsidR="002635D9">
        <w:rPr>
          <w:rFonts w:cstheme="minorHAnsi"/>
          <w:color w:val="000000" w:themeColor="text1"/>
        </w:rPr>
        <w:t>.</w:t>
      </w:r>
      <w:r w:rsidR="00AD5465">
        <w:rPr>
          <w:rFonts w:cstheme="minorHAnsi"/>
          <w:color w:val="000000" w:themeColor="text1"/>
        </w:rPr>
        <w:t xml:space="preserve"> </w:t>
      </w:r>
    </w:p>
    <w:p w14:paraId="0207EBB1" w14:textId="679B7535" w:rsidR="007969B4" w:rsidRDefault="007969B4" w:rsidP="00BA388E">
      <w:pPr>
        <w:spacing w:line="276" w:lineRule="auto"/>
        <w:jc w:val="both"/>
        <w:rPr>
          <w:rFonts w:cstheme="minorHAnsi"/>
        </w:rPr>
      </w:pPr>
      <w:r w:rsidRPr="00014988">
        <w:rPr>
          <w:rFonts w:cstheme="minorHAnsi"/>
          <w:color w:val="000000" w:themeColor="text1"/>
        </w:rPr>
        <w:lastRenderedPageBreak/>
        <w:t>In</w:t>
      </w:r>
      <w:r w:rsidRPr="006F57FC">
        <w:rPr>
          <w:rFonts w:cstheme="minorHAnsi"/>
          <w:color w:val="000000" w:themeColor="text1"/>
        </w:rPr>
        <w:t xml:space="preserve"> cases where </w:t>
      </w:r>
      <w:r w:rsidR="00431EBE" w:rsidRPr="006F57FC">
        <w:rPr>
          <w:rFonts w:cstheme="minorHAnsi"/>
          <w:color w:val="000000" w:themeColor="text1"/>
        </w:rPr>
        <w:t xml:space="preserve">the proposed tenor of </w:t>
      </w:r>
      <w:r w:rsidRPr="006F57FC">
        <w:rPr>
          <w:rFonts w:cstheme="minorHAnsi"/>
          <w:color w:val="000000" w:themeColor="text1"/>
        </w:rPr>
        <w:t xml:space="preserve">a </w:t>
      </w:r>
      <w:r w:rsidR="00EF1185">
        <w:rPr>
          <w:rFonts w:cstheme="minorHAnsi"/>
          <w:color w:val="000000" w:themeColor="text1"/>
        </w:rPr>
        <w:t xml:space="preserve">UNDP-supported </w:t>
      </w:r>
      <w:r w:rsidRPr="006F57FC">
        <w:rPr>
          <w:rFonts w:cstheme="minorHAnsi"/>
          <w:color w:val="000000" w:themeColor="text1"/>
        </w:rPr>
        <w:t>guarantee transaction exceeds 10 years</w:t>
      </w:r>
      <w:r>
        <w:rPr>
          <w:rFonts w:cstheme="minorHAnsi"/>
        </w:rPr>
        <w:t xml:space="preserve">, the transaction will need to be reviewed and approved by </w:t>
      </w:r>
      <w:r w:rsidR="00E1466A">
        <w:rPr>
          <w:rFonts w:cstheme="minorHAnsi"/>
        </w:rPr>
        <w:t xml:space="preserve">the </w:t>
      </w:r>
      <w:r w:rsidR="002F2EB1">
        <w:rPr>
          <w:rFonts w:cstheme="minorHAnsi"/>
          <w:color w:val="000000" w:themeColor="text1"/>
        </w:rPr>
        <w:t>Credit Risk Committee</w:t>
      </w:r>
      <w:r w:rsidR="00362AEF">
        <w:rPr>
          <w:rStyle w:val="FootnoteReference"/>
          <w:rFonts w:cstheme="minorHAnsi"/>
          <w:color w:val="000000" w:themeColor="text1"/>
        </w:rPr>
        <w:footnoteReference w:id="9"/>
      </w:r>
      <w:r>
        <w:rPr>
          <w:rFonts w:cstheme="minorHAnsi"/>
        </w:rPr>
        <w:t>.</w:t>
      </w:r>
    </w:p>
    <w:p w14:paraId="04E99269" w14:textId="77777777" w:rsidR="00BC222D" w:rsidRPr="0054717E" w:rsidRDefault="00BC222D" w:rsidP="00F571E2">
      <w:pPr>
        <w:spacing w:after="60" w:line="276" w:lineRule="auto"/>
        <w:jc w:val="both"/>
        <w:rPr>
          <w:rFonts w:cstheme="minorHAnsi"/>
        </w:rPr>
      </w:pPr>
    </w:p>
    <w:p w14:paraId="0FA286F7" w14:textId="77777777" w:rsidR="007969B4" w:rsidRPr="00F571E2" w:rsidRDefault="007969B4" w:rsidP="0085689C">
      <w:pPr>
        <w:pStyle w:val="Heading2"/>
        <w:numPr>
          <w:ilvl w:val="0"/>
          <w:numId w:val="15"/>
        </w:numPr>
        <w:spacing w:before="0" w:after="160"/>
        <w:ind w:left="547" w:hanging="547"/>
        <w:rPr>
          <w:b/>
          <w:color w:val="000000" w:themeColor="text1"/>
          <w:sz w:val="24"/>
          <w:szCs w:val="24"/>
        </w:rPr>
      </w:pPr>
      <w:bookmarkStart w:id="73" w:name="_Risk_sharing_(Pari"/>
      <w:bookmarkStart w:id="74" w:name="_Toc2339919"/>
      <w:bookmarkStart w:id="75" w:name="_Toc121313778"/>
      <w:bookmarkEnd w:id="73"/>
      <w:r w:rsidRPr="00F571E2">
        <w:rPr>
          <w:b/>
          <w:color w:val="000000" w:themeColor="text1"/>
          <w:sz w:val="24"/>
          <w:szCs w:val="24"/>
        </w:rPr>
        <w:t>Risk sharing (Pari passu)</w:t>
      </w:r>
      <w:bookmarkEnd w:id="74"/>
      <w:bookmarkEnd w:id="75"/>
    </w:p>
    <w:p w14:paraId="69205A68" w14:textId="2CE81704" w:rsidR="007969B4" w:rsidRPr="002A2B8C" w:rsidRDefault="00E70D07" w:rsidP="002E119F">
      <w:pPr>
        <w:spacing w:line="276" w:lineRule="auto"/>
        <w:jc w:val="both"/>
        <w:rPr>
          <w:iCs/>
        </w:rPr>
      </w:pPr>
      <w:r w:rsidRPr="004232B5">
        <w:rPr>
          <w:rFonts w:cstheme="minorHAnsi"/>
          <w:color w:val="000000" w:themeColor="text1"/>
        </w:rPr>
        <w:t xml:space="preserve">For credit guarantees, </w:t>
      </w:r>
      <w:r w:rsidR="007969B4" w:rsidRPr="002A2B8C">
        <w:rPr>
          <w:iCs/>
        </w:rPr>
        <w:t xml:space="preserve">UNDP </w:t>
      </w:r>
      <w:r>
        <w:rPr>
          <w:iCs/>
        </w:rPr>
        <w:t xml:space="preserve">may </w:t>
      </w:r>
      <w:r w:rsidR="00F675C3" w:rsidRPr="002A2B8C">
        <w:rPr>
          <w:iCs/>
        </w:rPr>
        <w:t xml:space="preserve">only </w:t>
      </w:r>
      <w:r w:rsidR="00F675C3">
        <w:rPr>
          <w:iCs/>
        </w:rPr>
        <w:t>support</w:t>
      </w:r>
      <w:r>
        <w:rPr>
          <w:iCs/>
        </w:rPr>
        <w:t xml:space="preserve"> </w:t>
      </w:r>
      <w:r w:rsidR="007969B4" w:rsidRPr="002A2B8C">
        <w:rPr>
          <w:iCs/>
        </w:rPr>
        <w:t xml:space="preserve">guarantees on </w:t>
      </w:r>
      <w:r w:rsidR="007B3AC1" w:rsidRPr="002A2B8C">
        <w:rPr>
          <w:iCs/>
        </w:rPr>
        <w:t xml:space="preserve">a </w:t>
      </w:r>
      <w:r w:rsidR="007969B4" w:rsidRPr="002A2B8C">
        <w:rPr>
          <w:iCs/>
        </w:rPr>
        <w:t xml:space="preserve">pari passu basis </w:t>
      </w:r>
      <w:r w:rsidR="00F86F82" w:rsidRPr="004232B5">
        <w:rPr>
          <w:rFonts w:cstheme="minorHAnsi"/>
          <w:color w:val="000000" w:themeColor="text1"/>
        </w:rPr>
        <w:t>(i.e. equal footing basis)</w:t>
      </w:r>
      <w:r w:rsidR="00F86F82">
        <w:rPr>
          <w:rFonts w:cstheme="minorHAnsi"/>
          <w:color w:val="000000" w:themeColor="text1"/>
        </w:rPr>
        <w:t xml:space="preserve"> with the lender, </w:t>
      </w:r>
      <w:r w:rsidR="007969B4" w:rsidRPr="002A2B8C">
        <w:rPr>
          <w:iCs/>
        </w:rPr>
        <w:t xml:space="preserve">with </w:t>
      </w:r>
      <w:r w:rsidR="0008114A" w:rsidRPr="002A2B8C">
        <w:rPr>
          <w:iCs/>
        </w:rPr>
        <w:t xml:space="preserve">respect </w:t>
      </w:r>
      <w:r w:rsidR="007969B4" w:rsidRPr="002A2B8C">
        <w:rPr>
          <w:iCs/>
        </w:rPr>
        <w:t xml:space="preserve">to </w:t>
      </w:r>
      <w:r w:rsidR="002A31CD" w:rsidRPr="002A2B8C">
        <w:rPr>
          <w:iCs/>
        </w:rPr>
        <w:t xml:space="preserve">the </w:t>
      </w:r>
      <w:r w:rsidR="007969B4" w:rsidRPr="002A2B8C">
        <w:rPr>
          <w:iCs/>
        </w:rPr>
        <w:t xml:space="preserve">rights and obligations arising from a default situation. </w:t>
      </w:r>
      <w:r w:rsidR="00D86F80" w:rsidRPr="004232B5">
        <w:rPr>
          <w:rFonts w:cstheme="minorHAnsi"/>
          <w:color w:val="000000" w:themeColor="text1"/>
        </w:rPr>
        <w:t xml:space="preserve">In the event of a default, </w:t>
      </w:r>
      <w:r w:rsidR="007969B4" w:rsidRPr="002A2B8C">
        <w:rPr>
          <w:iCs/>
        </w:rPr>
        <w:t>UNDP</w:t>
      </w:r>
      <w:r w:rsidR="00EF1185">
        <w:rPr>
          <w:iCs/>
        </w:rPr>
        <w:t>-supported</w:t>
      </w:r>
      <w:r w:rsidR="007969B4" w:rsidRPr="002A2B8C">
        <w:rPr>
          <w:iCs/>
        </w:rPr>
        <w:t xml:space="preserve"> guarantee</w:t>
      </w:r>
      <w:r w:rsidR="005769DB" w:rsidRPr="002A2B8C">
        <w:rPr>
          <w:iCs/>
        </w:rPr>
        <w:t>s</w:t>
      </w:r>
      <w:r w:rsidR="007969B4" w:rsidRPr="002A2B8C">
        <w:rPr>
          <w:iCs/>
        </w:rPr>
        <w:t xml:space="preserve"> </w:t>
      </w:r>
      <w:r w:rsidR="005769DB" w:rsidRPr="002A2B8C">
        <w:rPr>
          <w:iCs/>
        </w:rPr>
        <w:t xml:space="preserve">will cover risks only to the extent necessary to attract the required additional financing, up to a maximum of </w:t>
      </w:r>
      <w:r w:rsidR="007969B4" w:rsidRPr="002A2B8C">
        <w:rPr>
          <w:iCs/>
        </w:rPr>
        <w:t xml:space="preserve">50% </w:t>
      </w:r>
      <w:r w:rsidR="005769DB" w:rsidRPr="002A2B8C">
        <w:rPr>
          <w:iCs/>
        </w:rPr>
        <w:t>of the potential losses</w:t>
      </w:r>
      <w:r w:rsidR="00F923B2">
        <w:rPr>
          <w:iCs/>
        </w:rPr>
        <w:t>,</w:t>
      </w:r>
      <w:r w:rsidR="005769DB" w:rsidRPr="002A2B8C">
        <w:rPr>
          <w:iCs/>
        </w:rPr>
        <w:t xml:space="preserve"> </w:t>
      </w:r>
      <w:r w:rsidR="001A2689" w:rsidRPr="004232B5">
        <w:rPr>
          <w:rFonts w:cstheme="minorHAnsi"/>
          <w:color w:val="000000" w:themeColor="text1"/>
        </w:rPr>
        <w:t>with the coverage ratio being determined for each transaction based on its specific impact/risk assessment</w:t>
      </w:r>
      <w:r w:rsidR="001A2689">
        <w:rPr>
          <w:rFonts w:cstheme="minorHAnsi"/>
          <w:color w:val="000000" w:themeColor="text1"/>
        </w:rPr>
        <w:t>.</w:t>
      </w:r>
      <w:r w:rsidR="001A2689" w:rsidRPr="002A2B8C">
        <w:rPr>
          <w:iCs/>
        </w:rPr>
        <w:t xml:space="preserve"> </w:t>
      </w:r>
      <w:r w:rsidR="001A2689" w:rsidRPr="004232B5">
        <w:rPr>
          <w:rFonts w:cstheme="minorHAnsi"/>
          <w:color w:val="000000" w:themeColor="text1"/>
        </w:rPr>
        <w:t xml:space="preserve">In all scenarios, </w:t>
      </w:r>
      <w:r w:rsidR="004164B1" w:rsidRPr="004164B1">
        <w:rPr>
          <w:color w:val="000000" w:themeColor="text1"/>
          <w:lang w:val="en-GB"/>
        </w:rPr>
        <w:t>including those involving co-guarantors,</w:t>
      </w:r>
      <w:r w:rsidR="004164B1">
        <w:rPr>
          <w:color w:val="000000" w:themeColor="text1"/>
          <w:sz w:val="24"/>
          <w:szCs w:val="24"/>
          <w:lang w:val="en-GB"/>
        </w:rPr>
        <w:t xml:space="preserve"> </w:t>
      </w:r>
      <w:r w:rsidR="007969B4" w:rsidRPr="002A2B8C">
        <w:rPr>
          <w:iCs/>
        </w:rPr>
        <w:t xml:space="preserve">the guaranteed party </w:t>
      </w:r>
      <w:r w:rsidR="008E0B63" w:rsidRPr="002A2B8C">
        <w:rPr>
          <w:iCs/>
        </w:rPr>
        <w:t>(i.e.</w:t>
      </w:r>
      <w:r w:rsidR="00EF1185">
        <w:rPr>
          <w:iCs/>
        </w:rPr>
        <w:t>,</w:t>
      </w:r>
      <w:r w:rsidR="008E0B63" w:rsidRPr="002A2B8C">
        <w:rPr>
          <w:iCs/>
        </w:rPr>
        <w:t xml:space="preserve"> lender) </w:t>
      </w:r>
      <w:r w:rsidR="00394FA6">
        <w:rPr>
          <w:iCs/>
        </w:rPr>
        <w:t xml:space="preserve">must </w:t>
      </w:r>
      <w:r w:rsidR="00900638" w:rsidRPr="002A2B8C">
        <w:rPr>
          <w:iCs/>
        </w:rPr>
        <w:t>retain at least</w:t>
      </w:r>
      <w:r w:rsidR="007969B4" w:rsidRPr="002A2B8C">
        <w:rPr>
          <w:iCs/>
        </w:rPr>
        <w:t xml:space="preserve"> </w:t>
      </w:r>
      <w:r w:rsidR="00900638" w:rsidRPr="002A2B8C">
        <w:rPr>
          <w:iCs/>
        </w:rPr>
        <w:t>25</w:t>
      </w:r>
      <w:r w:rsidR="007969B4" w:rsidRPr="002A2B8C">
        <w:rPr>
          <w:iCs/>
        </w:rPr>
        <w:t>%</w:t>
      </w:r>
      <w:r w:rsidR="00900638" w:rsidRPr="002A2B8C">
        <w:rPr>
          <w:iCs/>
        </w:rPr>
        <w:t xml:space="preserve"> of the remaining risk of potential losses</w:t>
      </w:r>
      <w:r w:rsidR="007969B4" w:rsidRPr="002A2B8C">
        <w:rPr>
          <w:iCs/>
        </w:rPr>
        <w:t>.</w:t>
      </w:r>
      <w:r w:rsidR="00714C77" w:rsidRPr="002A2B8C">
        <w:rPr>
          <w:iCs/>
        </w:rPr>
        <w:t xml:space="preserve"> </w:t>
      </w:r>
      <w:r w:rsidR="00394FA6" w:rsidRPr="004232B5">
        <w:rPr>
          <w:rFonts w:cstheme="minorHAnsi"/>
          <w:color w:val="000000" w:themeColor="text1"/>
        </w:rPr>
        <w:t xml:space="preserve">If a default materializes, losses will be funded in the same ratio. </w:t>
      </w:r>
    </w:p>
    <w:p w14:paraId="19392A94" w14:textId="6A80EAF4" w:rsidR="00CB7EFE" w:rsidRDefault="007969B4" w:rsidP="00653487">
      <w:pPr>
        <w:spacing w:line="276" w:lineRule="auto"/>
        <w:jc w:val="both"/>
        <w:rPr>
          <w:rFonts w:cstheme="minorHAnsi"/>
          <w:color w:val="000000" w:themeColor="text1"/>
        </w:rPr>
      </w:pPr>
      <w:r>
        <w:rPr>
          <w:rFonts w:cstheme="minorHAnsi"/>
        </w:rPr>
        <w:t xml:space="preserve">UNDP </w:t>
      </w:r>
      <w:r w:rsidR="005912D6">
        <w:rPr>
          <w:rFonts w:cstheme="minorHAnsi"/>
        </w:rPr>
        <w:t xml:space="preserve">shall </w:t>
      </w:r>
      <w:r w:rsidR="006B1AE8">
        <w:rPr>
          <w:rFonts w:cstheme="minorHAnsi"/>
        </w:rPr>
        <w:t xml:space="preserve">offer </w:t>
      </w:r>
      <w:r>
        <w:rPr>
          <w:rFonts w:cstheme="minorHAnsi"/>
        </w:rPr>
        <w:t xml:space="preserve">guarantees only in cases where the lender continues to bear a portion of the </w:t>
      </w:r>
      <w:r w:rsidR="005912D6">
        <w:rPr>
          <w:rFonts w:cstheme="minorHAnsi"/>
        </w:rPr>
        <w:t xml:space="preserve">risk of </w:t>
      </w:r>
      <w:r>
        <w:rPr>
          <w:rFonts w:cstheme="minorHAnsi"/>
        </w:rPr>
        <w:t xml:space="preserve">default on a guaranteed transaction in order to promote sound and prudent credit management. Given that guarantees are </w:t>
      </w:r>
      <w:r w:rsidR="00402DCF">
        <w:rPr>
          <w:rFonts w:cstheme="minorHAnsi"/>
        </w:rPr>
        <w:t xml:space="preserve">often </w:t>
      </w:r>
      <w:r>
        <w:rPr>
          <w:rFonts w:cstheme="minorHAnsi"/>
        </w:rPr>
        <w:t xml:space="preserve">aimed at leveraging private financing and </w:t>
      </w:r>
      <w:r w:rsidR="00C96473">
        <w:rPr>
          <w:rFonts w:cstheme="minorHAnsi"/>
        </w:rPr>
        <w:t xml:space="preserve">in order </w:t>
      </w:r>
      <w:r>
        <w:rPr>
          <w:rFonts w:cstheme="minorHAnsi"/>
        </w:rPr>
        <w:t>to reduce moral hazard, UNDP</w:t>
      </w:r>
      <w:r w:rsidR="0026766E">
        <w:rPr>
          <w:rFonts w:cstheme="minorHAnsi"/>
        </w:rPr>
        <w:t>-supported</w:t>
      </w:r>
      <w:r>
        <w:rPr>
          <w:rFonts w:cstheme="minorHAnsi"/>
        </w:rPr>
        <w:t xml:space="preserve"> guarantees </w:t>
      </w:r>
      <w:r w:rsidR="00C96473">
        <w:rPr>
          <w:rFonts w:cstheme="minorHAnsi"/>
        </w:rPr>
        <w:t xml:space="preserve">shall </w:t>
      </w:r>
      <w:r>
        <w:rPr>
          <w:rFonts w:cstheme="minorHAnsi"/>
        </w:rPr>
        <w:t>remain partial in nature (less than 100 percent</w:t>
      </w:r>
      <w:r w:rsidR="00727494">
        <w:rPr>
          <w:rFonts w:cstheme="minorHAnsi"/>
        </w:rPr>
        <w:t xml:space="preserve"> and </w:t>
      </w:r>
      <w:r w:rsidR="00727494" w:rsidRPr="00446480">
        <w:rPr>
          <w:rFonts w:cstheme="minorHAnsi"/>
          <w:color w:val="000000" w:themeColor="text1"/>
        </w:rPr>
        <w:t>targeting 50% of a lender’s risk</w:t>
      </w:r>
      <w:r w:rsidRPr="00446480">
        <w:rPr>
          <w:rFonts w:cstheme="minorHAnsi"/>
          <w:color w:val="000000" w:themeColor="text1"/>
        </w:rPr>
        <w:t xml:space="preserve">) and </w:t>
      </w:r>
      <w:r w:rsidR="00C96473" w:rsidRPr="00446480">
        <w:rPr>
          <w:rFonts w:cstheme="minorHAnsi"/>
          <w:color w:val="000000" w:themeColor="text1"/>
        </w:rPr>
        <w:t xml:space="preserve">must </w:t>
      </w:r>
      <w:r w:rsidRPr="00446480">
        <w:rPr>
          <w:rFonts w:cstheme="minorHAnsi"/>
          <w:color w:val="000000" w:themeColor="text1"/>
        </w:rPr>
        <w:t>be on a pari passu (‘side by side’) basis</w:t>
      </w:r>
      <w:r w:rsidR="00277C94" w:rsidRPr="00653487">
        <w:rPr>
          <w:rStyle w:val="FootnoteReference"/>
          <w:rFonts w:cstheme="minorHAnsi"/>
        </w:rPr>
        <w:footnoteReference w:id="10"/>
      </w:r>
      <w:r w:rsidRPr="00446480">
        <w:rPr>
          <w:rFonts w:cstheme="minorHAnsi"/>
          <w:color w:val="000000" w:themeColor="text1"/>
        </w:rPr>
        <w:t>. Pari passu guarantees share the risk with the lender in an agreed proportion (for example, in a 50% pari passu guarantee, the guarantor covers half the loss and the lender the other half). UNDP</w:t>
      </w:r>
      <w:r w:rsidR="0026766E">
        <w:rPr>
          <w:rFonts w:cstheme="minorHAnsi"/>
          <w:color w:val="000000" w:themeColor="text1"/>
        </w:rPr>
        <w:t>-supported</w:t>
      </w:r>
      <w:r w:rsidRPr="00446480">
        <w:rPr>
          <w:rFonts w:cstheme="minorHAnsi"/>
          <w:color w:val="000000" w:themeColor="text1"/>
        </w:rPr>
        <w:t xml:space="preserve"> guarantees must allow for appropriate risk sharing where the proportion </w:t>
      </w:r>
      <w:r w:rsidR="000A0331" w:rsidRPr="00446480">
        <w:rPr>
          <w:rFonts w:cstheme="minorHAnsi"/>
          <w:color w:val="000000" w:themeColor="text1"/>
        </w:rPr>
        <w:t xml:space="preserve">of risk taken </w:t>
      </w:r>
      <w:r w:rsidRPr="00446480">
        <w:rPr>
          <w:rFonts w:cstheme="minorHAnsi"/>
          <w:color w:val="000000" w:themeColor="text1"/>
        </w:rPr>
        <w:t>provide</w:t>
      </w:r>
      <w:r w:rsidR="000A0331" w:rsidRPr="00446480">
        <w:rPr>
          <w:rFonts w:cstheme="minorHAnsi"/>
          <w:color w:val="000000" w:themeColor="text1"/>
        </w:rPr>
        <w:t>s</w:t>
      </w:r>
      <w:r w:rsidRPr="00446480">
        <w:rPr>
          <w:rFonts w:cstheme="minorHAnsi"/>
          <w:color w:val="000000" w:themeColor="text1"/>
        </w:rPr>
        <w:t xml:space="preserve"> an incentive to the lender to </w:t>
      </w:r>
      <w:r w:rsidR="000A0331" w:rsidRPr="00446480">
        <w:rPr>
          <w:rFonts w:cstheme="minorHAnsi"/>
          <w:color w:val="000000" w:themeColor="text1"/>
        </w:rPr>
        <w:t xml:space="preserve">adequately structure and </w:t>
      </w:r>
      <w:r w:rsidRPr="00446480">
        <w:rPr>
          <w:rFonts w:cstheme="minorHAnsi"/>
          <w:color w:val="000000" w:themeColor="text1"/>
        </w:rPr>
        <w:t>monitor the loans. Lenders that have “skin in the game” are more likely to adopt sustainable lending approaches.</w:t>
      </w:r>
      <w:r w:rsidR="006A6136">
        <w:rPr>
          <w:rFonts w:cstheme="minorHAnsi"/>
          <w:color w:val="000000" w:themeColor="text1"/>
        </w:rPr>
        <w:t xml:space="preserve"> </w:t>
      </w:r>
      <w:r w:rsidR="006D1380" w:rsidRPr="00446480">
        <w:rPr>
          <w:rFonts w:cstheme="minorHAnsi"/>
          <w:color w:val="000000" w:themeColor="text1"/>
        </w:rPr>
        <w:t xml:space="preserve">In addition, </w:t>
      </w:r>
      <w:r w:rsidR="00CB7EFE" w:rsidRPr="00446480">
        <w:rPr>
          <w:rFonts w:cstheme="minorHAnsi"/>
          <w:color w:val="000000" w:themeColor="text1"/>
        </w:rPr>
        <w:t xml:space="preserve">UNDP </w:t>
      </w:r>
      <w:r w:rsidR="006D1380" w:rsidRPr="00446480">
        <w:rPr>
          <w:rFonts w:cstheme="minorHAnsi"/>
          <w:color w:val="000000" w:themeColor="text1"/>
        </w:rPr>
        <w:t xml:space="preserve">can </w:t>
      </w:r>
      <w:r w:rsidR="00CB7EFE" w:rsidRPr="00446480">
        <w:rPr>
          <w:rFonts w:cstheme="minorHAnsi"/>
          <w:color w:val="000000" w:themeColor="text1"/>
        </w:rPr>
        <w:t>also partner with co-guarantors</w:t>
      </w:r>
      <w:r w:rsidR="0063570B" w:rsidRPr="00446480">
        <w:rPr>
          <w:rFonts w:cstheme="minorHAnsi"/>
          <w:color w:val="000000" w:themeColor="text1"/>
        </w:rPr>
        <w:t>,</w:t>
      </w:r>
      <w:r w:rsidR="00CB7EFE" w:rsidRPr="00446480">
        <w:rPr>
          <w:rFonts w:cstheme="minorHAnsi"/>
          <w:color w:val="000000" w:themeColor="text1"/>
        </w:rPr>
        <w:t xml:space="preserve"> such as SIDA </w:t>
      </w:r>
      <w:r w:rsidR="0063570B" w:rsidRPr="00446480">
        <w:rPr>
          <w:rFonts w:cstheme="minorHAnsi"/>
          <w:color w:val="000000" w:themeColor="text1"/>
        </w:rPr>
        <w:t xml:space="preserve">or USAID, </w:t>
      </w:r>
      <w:r w:rsidR="00CB7EFE" w:rsidRPr="00446480">
        <w:rPr>
          <w:rFonts w:cstheme="minorHAnsi"/>
          <w:color w:val="000000" w:themeColor="text1"/>
        </w:rPr>
        <w:t>to share risk. This would help UNDP</w:t>
      </w:r>
      <w:r w:rsidR="0061452F" w:rsidRPr="00446480">
        <w:rPr>
          <w:rFonts w:cstheme="minorHAnsi"/>
          <w:color w:val="000000" w:themeColor="text1"/>
        </w:rPr>
        <w:t xml:space="preserve"> </w:t>
      </w:r>
      <w:r w:rsidR="00CB7EFE" w:rsidRPr="00446480">
        <w:rPr>
          <w:rFonts w:cstheme="minorHAnsi"/>
          <w:color w:val="000000" w:themeColor="text1"/>
        </w:rPr>
        <w:t>maximize impact.</w:t>
      </w:r>
    </w:p>
    <w:p w14:paraId="7C033394" w14:textId="24FE2687" w:rsidR="00506594" w:rsidRDefault="00051E2F" w:rsidP="00653487">
      <w:pPr>
        <w:spacing w:line="276" w:lineRule="auto"/>
        <w:jc w:val="both"/>
        <w:rPr>
          <w:rFonts w:cstheme="minorHAnsi"/>
          <w:color w:val="000000" w:themeColor="text1"/>
        </w:rPr>
      </w:pPr>
      <w:r w:rsidRPr="00446480">
        <w:rPr>
          <w:rFonts w:cstheme="minorHAnsi"/>
          <w:color w:val="000000" w:themeColor="text1"/>
        </w:rPr>
        <w:t>Please note that the guarantee to the lender</w:t>
      </w:r>
      <w:r w:rsidR="00AD25BB" w:rsidRPr="00446480">
        <w:rPr>
          <w:rFonts w:cstheme="minorHAnsi"/>
          <w:color w:val="000000" w:themeColor="text1"/>
        </w:rPr>
        <w:t>, say targeting 50% of a lender’s risk,</w:t>
      </w:r>
      <w:r w:rsidRPr="00446480">
        <w:rPr>
          <w:rFonts w:cstheme="minorHAnsi"/>
          <w:color w:val="000000" w:themeColor="text1"/>
        </w:rPr>
        <w:t xml:space="preserve"> does not mean that the borrower is only liable for </w:t>
      </w:r>
      <w:r w:rsidR="007E4568" w:rsidRPr="00446480">
        <w:rPr>
          <w:rFonts w:cstheme="minorHAnsi"/>
          <w:color w:val="000000" w:themeColor="text1"/>
        </w:rPr>
        <w:t>50</w:t>
      </w:r>
      <w:r w:rsidRPr="00446480">
        <w:rPr>
          <w:rFonts w:cstheme="minorHAnsi"/>
          <w:color w:val="000000" w:themeColor="text1"/>
        </w:rPr>
        <w:t xml:space="preserve">% of the debt. Where defaults occur, the lender is obliged to follow their standard commercial recovery procedures, including the </w:t>
      </w:r>
      <w:r w:rsidR="00A4082E" w:rsidRPr="00446480">
        <w:rPr>
          <w:rFonts w:cstheme="minorHAnsi"/>
          <w:color w:val="000000" w:themeColor="text1"/>
        </w:rPr>
        <w:t>realization</w:t>
      </w:r>
      <w:r w:rsidRPr="00446480">
        <w:rPr>
          <w:rFonts w:cstheme="minorHAnsi"/>
          <w:color w:val="000000" w:themeColor="text1"/>
        </w:rPr>
        <w:t xml:space="preserve"> of any security held and calling upon any personal guarantees which may have been provided, before they make a claim against the </w:t>
      </w:r>
      <w:r w:rsidR="00EF1185">
        <w:rPr>
          <w:rFonts w:cstheme="minorHAnsi"/>
          <w:color w:val="000000" w:themeColor="text1"/>
        </w:rPr>
        <w:t xml:space="preserve">UNDP-supported </w:t>
      </w:r>
      <w:r w:rsidRPr="00446480">
        <w:rPr>
          <w:rFonts w:cstheme="minorHAnsi"/>
          <w:color w:val="000000" w:themeColor="text1"/>
        </w:rPr>
        <w:t>guarantee.</w:t>
      </w:r>
      <w:r w:rsidR="00E74D26" w:rsidRPr="00446480">
        <w:rPr>
          <w:rFonts w:cstheme="minorHAnsi"/>
          <w:color w:val="000000" w:themeColor="text1"/>
        </w:rPr>
        <w:t xml:space="preserve"> The borrower always remains liable for repayment of the value of the outstan</w:t>
      </w:r>
      <w:r w:rsidR="00625241" w:rsidRPr="00446480">
        <w:rPr>
          <w:rFonts w:cstheme="minorHAnsi"/>
          <w:color w:val="000000" w:themeColor="text1"/>
        </w:rPr>
        <w:t>d</w:t>
      </w:r>
      <w:r w:rsidR="00E74D26" w:rsidRPr="00446480">
        <w:rPr>
          <w:rFonts w:cstheme="minorHAnsi"/>
          <w:color w:val="000000" w:themeColor="text1"/>
        </w:rPr>
        <w:t xml:space="preserve">ing loan and, in the event of a default, any remaining loss faced by the lender after recoveries will be borne between </w:t>
      </w:r>
      <w:r w:rsidR="00625241" w:rsidRPr="00446480">
        <w:rPr>
          <w:rFonts w:cstheme="minorHAnsi"/>
          <w:color w:val="000000" w:themeColor="text1"/>
        </w:rPr>
        <w:t xml:space="preserve">the </w:t>
      </w:r>
      <w:r w:rsidR="00EF1185">
        <w:rPr>
          <w:rFonts w:cstheme="minorHAnsi"/>
          <w:color w:val="000000" w:themeColor="text1"/>
        </w:rPr>
        <w:t xml:space="preserve">UNDP-supported </w:t>
      </w:r>
      <w:r w:rsidR="00625241" w:rsidRPr="00446480">
        <w:rPr>
          <w:rFonts w:cstheme="minorHAnsi"/>
          <w:color w:val="000000" w:themeColor="text1"/>
        </w:rPr>
        <w:t xml:space="preserve">guarantee </w:t>
      </w:r>
      <w:r w:rsidR="00E74D26" w:rsidRPr="00446480">
        <w:rPr>
          <w:rFonts w:cstheme="minorHAnsi"/>
          <w:color w:val="000000" w:themeColor="text1"/>
        </w:rPr>
        <w:t xml:space="preserve">and lender in the </w:t>
      </w:r>
      <w:r w:rsidR="00625241" w:rsidRPr="00446480">
        <w:rPr>
          <w:rFonts w:cstheme="minorHAnsi"/>
          <w:color w:val="000000" w:themeColor="text1"/>
        </w:rPr>
        <w:t xml:space="preserve">agreed </w:t>
      </w:r>
      <w:r w:rsidR="00E74D26" w:rsidRPr="00446480">
        <w:rPr>
          <w:rFonts w:cstheme="minorHAnsi"/>
          <w:color w:val="000000" w:themeColor="text1"/>
        </w:rPr>
        <w:t xml:space="preserve">ratio </w:t>
      </w:r>
      <w:r w:rsidR="00625241" w:rsidRPr="00446480">
        <w:rPr>
          <w:rFonts w:cstheme="minorHAnsi"/>
          <w:color w:val="000000" w:themeColor="text1"/>
        </w:rPr>
        <w:t>(50:50 in the above example)</w:t>
      </w:r>
      <w:r w:rsidR="00E74D26" w:rsidRPr="00446480">
        <w:rPr>
          <w:rFonts w:cstheme="minorHAnsi"/>
          <w:color w:val="000000" w:themeColor="text1"/>
        </w:rPr>
        <w:t>.</w:t>
      </w:r>
    </w:p>
    <w:p w14:paraId="799A6B59" w14:textId="43246F86" w:rsidR="00E14120" w:rsidRPr="00446480" w:rsidRDefault="00633DEB" w:rsidP="00653487">
      <w:pPr>
        <w:spacing w:line="276" w:lineRule="auto"/>
        <w:jc w:val="both"/>
        <w:rPr>
          <w:rFonts w:cstheme="minorHAnsi"/>
          <w:color w:val="000000" w:themeColor="text1"/>
        </w:rPr>
      </w:pPr>
      <w:r w:rsidRPr="00446480">
        <w:rPr>
          <w:rFonts w:cstheme="minorHAnsi"/>
          <w:color w:val="000000" w:themeColor="text1"/>
        </w:rPr>
        <w:lastRenderedPageBreak/>
        <w:t xml:space="preserve">The extent of any security or guarantee taken </w:t>
      </w:r>
      <w:r w:rsidR="00E74D26" w:rsidRPr="00446480">
        <w:rPr>
          <w:rFonts w:cstheme="minorHAnsi"/>
          <w:color w:val="000000" w:themeColor="text1"/>
        </w:rPr>
        <w:t xml:space="preserve">from the borrower </w:t>
      </w:r>
      <w:r w:rsidRPr="00446480">
        <w:rPr>
          <w:rFonts w:cstheme="minorHAnsi"/>
          <w:color w:val="000000" w:themeColor="text1"/>
        </w:rPr>
        <w:t xml:space="preserve">is a commercial matter for the lender. </w:t>
      </w:r>
      <w:r w:rsidR="009836B0" w:rsidRPr="00446480">
        <w:rPr>
          <w:rFonts w:cstheme="minorHAnsi"/>
          <w:color w:val="000000" w:themeColor="text1"/>
        </w:rPr>
        <w:t xml:space="preserve">In designing a </w:t>
      </w:r>
      <w:r w:rsidR="00F95DE7">
        <w:rPr>
          <w:rFonts w:cstheme="minorHAnsi"/>
          <w:color w:val="000000" w:themeColor="text1"/>
        </w:rPr>
        <w:t>guarantee scheme</w:t>
      </w:r>
      <w:r w:rsidR="009836B0" w:rsidRPr="00446480">
        <w:rPr>
          <w:rFonts w:cstheme="minorHAnsi"/>
          <w:color w:val="000000" w:themeColor="text1"/>
        </w:rPr>
        <w:t>, t</w:t>
      </w:r>
      <w:r w:rsidR="00E14120" w:rsidRPr="00446480">
        <w:rPr>
          <w:rFonts w:cstheme="minorHAnsi"/>
          <w:color w:val="000000" w:themeColor="text1"/>
        </w:rPr>
        <w:t xml:space="preserve">he only exception from </w:t>
      </w:r>
      <w:r w:rsidR="00CB0B0F" w:rsidRPr="00446480">
        <w:rPr>
          <w:rFonts w:cstheme="minorHAnsi"/>
          <w:color w:val="000000" w:themeColor="text1"/>
        </w:rPr>
        <w:t xml:space="preserve">what might be the lender’s </w:t>
      </w:r>
      <w:r w:rsidR="00E14120" w:rsidRPr="00446480">
        <w:rPr>
          <w:rFonts w:cstheme="minorHAnsi"/>
          <w:color w:val="000000" w:themeColor="text1"/>
        </w:rPr>
        <w:t xml:space="preserve">normal commercial practice is that </w:t>
      </w:r>
      <w:r w:rsidR="00E14120" w:rsidRPr="009358C0">
        <w:rPr>
          <w:rFonts w:cstheme="minorHAnsi"/>
          <w:b/>
          <w:bCs/>
          <w:color w:val="000000" w:themeColor="text1"/>
        </w:rPr>
        <w:t xml:space="preserve">lenders </w:t>
      </w:r>
      <w:r w:rsidR="00CB0B0F" w:rsidRPr="009358C0">
        <w:rPr>
          <w:rFonts w:cstheme="minorHAnsi"/>
          <w:b/>
          <w:bCs/>
          <w:color w:val="000000" w:themeColor="text1"/>
        </w:rPr>
        <w:t>participating in a UNDP</w:t>
      </w:r>
      <w:r w:rsidR="00FC5EC0">
        <w:rPr>
          <w:rFonts w:cstheme="minorHAnsi"/>
          <w:b/>
          <w:bCs/>
          <w:color w:val="000000" w:themeColor="text1"/>
        </w:rPr>
        <w:t>-supported</w:t>
      </w:r>
      <w:r w:rsidR="00CB0B0F" w:rsidRPr="009358C0">
        <w:rPr>
          <w:rFonts w:cstheme="minorHAnsi"/>
          <w:b/>
          <w:bCs/>
          <w:color w:val="000000" w:themeColor="text1"/>
        </w:rPr>
        <w:t xml:space="preserve"> guarantee scheme </w:t>
      </w:r>
      <w:r w:rsidR="00E14120" w:rsidRPr="009358C0">
        <w:rPr>
          <w:rFonts w:cstheme="minorHAnsi"/>
          <w:b/>
          <w:bCs/>
          <w:color w:val="000000" w:themeColor="text1"/>
        </w:rPr>
        <w:t>are prohibited from taking a charge over a principal private residence of a borrower or guarantor as security for a</w:t>
      </w:r>
      <w:r w:rsidR="00BB1DCE" w:rsidRPr="009358C0">
        <w:rPr>
          <w:rFonts w:cstheme="minorHAnsi"/>
          <w:b/>
          <w:bCs/>
          <w:color w:val="000000" w:themeColor="text1"/>
        </w:rPr>
        <w:t xml:space="preserve"> loan</w:t>
      </w:r>
      <w:r w:rsidR="00E14120" w:rsidRPr="009358C0">
        <w:rPr>
          <w:rFonts w:cstheme="minorHAnsi"/>
          <w:b/>
          <w:bCs/>
          <w:color w:val="000000" w:themeColor="text1"/>
        </w:rPr>
        <w:t>.</w:t>
      </w:r>
      <w:r w:rsidR="00E14120" w:rsidRPr="00446480">
        <w:rPr>
          <w:rFonts w:cstheme="minorHAnsi"/>
          <w:color w:val="000000" w:themeColor="text1"/>
        </w:rPr>
        <w:t xml:space="preserve"> </w:t>
      </w:r>
    </w:p>
    <w:p w14:paraId="2E43289E" w14:textId="708E2674" w:rsidR="003E60AB" w:rsidRDefault="003E60AB" w:rsidP="003E60AB">
      <w:pPr>
        <w:spacing w:after="60" w:line="276" w:lineRule="auto"/>
        <w:jc w:val="both"/>
        <w:rPr>
          <w:rFonts w:cstheme="minorHAnsi"/>
        </w:rPr>
      </w:pPr>
      <w:r>
        <w:rPr>
          <w:rFonts w:cstheme="minorHAnsi"/>
        </w:rPr>
        <w:t>When assessing how risk should be shared,</w:t>
      </w:r>
      <w:r w:rsidRPr="00197801">
        <w:rPr>
          <w:rFonts w:cstheme="minorHAnsi"/>
        </w:rPr>
        <w:t xml:space="preserve"> </w:t>
      </w:r>
      <w:r>
        <w:rPr>
          <w:rFonts w:cstheme="minorHAnsi"/>
        </w:rPr>
        <w:t xml:space="preserve">the </w:t>
      </w:r>
      <w:r w:rsidRPr="00197801">
        <w:rPr>
          <w:rFonts w:cstheme="minorHAnsi"/>
        </w:rPr>
        <w:t xml:space="preserve">lenders’ concerns should </w:t>
      </w:r>
      <w:r>
        <w:rPr>
          <w:rFonts w:cstheme="minorHAnsi"/>
        </w:rPr>
        <w:t xml:space="preserve">also be carefully considered. </w:t>
      </w:r>
      <w:r w:rsidRPr="00197801">
        <w:rPr>
          <w:rFonts w:cstheme="minorHAnsi"/>
        </w:rPr>
        <w:t>From a purely commercial perspective, lenders may not find guarantees attractive</w:t>
      </w:r>
      <w:r>
        <w:rPr>
          <w:rFonts w:cstheme="minorHAnsi"/>
        </w:rPr>
        <w:t xml:space="preserve"> enough to sustain their normal business operations.</w:t>
      </w:r>
      <w:r w:rsidRPr="00197801">
        <w:rPr>
          <w:rFonts w:cstheme="minorHAnsi"/>
        </w:rPr>
        <w:t xml:space="preserve"> For example, lenders may be concerned that guarantees provide </w:t>
      </w:r>
      <w:r w:rsidR="00BF1817">
        <w:rPr>
          <w:rFonts w:cstheme="minorHAnsi"/>
        </w:rPr>
        <w:t>‘</w:t>
      </w:r>
      <w:r w:rsidRPr="00197801">
        <w:rPr>
          <w:rFonts w:cstheme="minorHAnsi"/>
        </w:rPr>
        <w:t>too much assurance</w:t>
      </w:r>
      <w:r w:rsidR="00BF1817">
        <w:rPr>
          <w:rFonts w:cstheme="minorHAnsi"/>
        </w:rPr>
        <w:t>’</w:t>
      </w:r>
      <w:r w:rsidRPr="00197801">
        <w:rPr>
          <w:rFonts w:cstheme="minorHAnsi"/>
        </w:rPr>
        <w:t xml:space="preserve"> such that the lender</w:t>
      </w:r>
      <w:r>
        <w:rPr>
          <w:rFonts w:cstheme="minorHAnsi"/>
        </w:rPr>
        <w:t>s</w:t>
      </w:r>
      <w:r w:rsidRPr="00197801">
        <w:rPr>
          <w:rFonts w:cstheme="minorHAnsi"/>
        </w:rPr>
        <w:t xml:space="preserve"> would not be able to justify charging any risk premiums and</w:t>
      </w:r>
      <w:r>
        <w:rPr>
          <w:rFonts w:cstheme="minorHAnsi"/>
        </w:rPr>
        <w:t xml:space="preserve"> therefore</w:t>
      </w:r>
      <w:r w:rsidRPr="00197801">
        <w:rPr>
          <w:rFonts w:cstheme="minorHAnsi"/>
        </w:rPr>
        <w:t xml:space="preserve"> have to rely on administration fees as their source of income (a much lower revenue stream). </w:t>
      </w:r>
      <w:r w:rsidR="00BF1817">
        <w:rPr>
          <w:rFonts w:cstheme="minorHAnsi"/>
        </w:rPr>
        <w:t>T</w:t>
      </w:r>
      <w:r>
        <w:rPr>
          <w:rFonts w:cstheme="minorHAnsi"/>
        </w:rPr>
        <w:t xml:space="preserve">herefore, understanding the dynamic between lender’s interests and the risk coverage objectives of the guarantee is crucial. </w:t>
      </w:r>
    </w:p>
    <w:p w14:paraId="22D676D1" w14:textId="00341862" w:rsidR="003E28FD" w:rsidRPr="009358C0" w:rsidRDefault="00700FF6" w:rsidP="003E28FD">
      <w:pPr>
        <w:spacing w:line="276" w:lineRule="auto"/>
        <w:jc w:val="both"/>
        <w:rPr>
          <w:b/>
          <w:bCs/>
          <w:iCs/>
        </w:rPr>
      </w:pPr>
      <w:r w:rsidRPr="009358C0">
        <w:rPr>
          <w:rFonts w:cstheme="minorHAnsi"/>
          <w:b/>
          <w:bCs/>
        </w:rPr>
        <w:t xml:space="preserve">Any proposed exceptions </w:t>
      </w:r>
      <w:r w:rsidR="00923142" w:rsidRPr="009358C0">
        <w:rPr>
          <w:rFonts w:cstheme="minorHAnsi"/>
          <w:b/>
          <w:bCs/>
        </w:rPr>
        <w:t>to the sharing of risk on a pari passu basis must be fully justified and brought to the Chief Financ</w:t>
      </w:r>
      <w:r w:rsidR="00D05286" w:rsidRPr="009358C0">
        <w:rPr>
          <w:rFonts w:cstheme="minorHAnsi"/>
          <w:b/>
          <w:bCs/>
        </w:rPr>
        <w:t>ial</w:t>
      </w:r>
      <w:r w:rsidR="00923142" w:rsidRPr="009358C0">
        <w:rPr>
          <w:rFonts w:cstheme="minorHAnsi"/>
          <w:b/>
          <w:bCs/>
        </w:rPr>
        <w:t xml:space="preserve"> Officer for consideration.</w:t>
      </w:r>
      <w:r w:rsidR="003E28FD" w:rsidRPr="009358C0">
        <w:rPr>
          <w:rFonts w:cstheme="minorHAnsi"/>
          <w:b/>
          <w:bCs/>
        </w:rPr>
        <w:t xml:space="preserve"> </w:t>
      </w:r>
    </w:p>
    <w:p w14:paraId="6179F8FB" w14:textId="77777777" w:rsidR="003E60AB" w:rsidRDefault="003E60AB" w:rsidP="00834823">
      <w:pPr>
        <w:spacing w:after="60" w:line="276" w:lineRule="auto"/>
        <w:jc w:val="both"/>
        <w:rPr>
          <w:rFonts w:cstheme="minorHAnsi"/>
        </w:rPr>
      </w:pPr>
    </w:p>
    <w:p w14:paraId="1F51AF3E" w14:textId="77777777" w:rsidR="0067724B" w:rsidRPr="001E2884" w:rsidRDefault="00B865E4" w:rsidP="0085689C">
      <w:pPr>
        <w:pStyle w:val="Heading2"/>
        <w:numPr>
          <w:ilvl w:val="0"/>
          <w:numId w:val="15"/>
        </w:numPr>
        <w:spacing w:before="0" w:after="160"/>
        <w:ind w:left="547" w:hanging="547"/>
        <w:rPr>
          <w:rFonts w:cstheme="minorHAnsi"/>
          <w:b/>
          <w:color w:val="000000" w:themeColor="text1"/>
          <w:sz w:val="24"/>
          <w:szCs w:val="24"/>
        </w:rPr>
      </w:pPr>
      <w:bookmarkStart w:id="76" w:name="_Ensure_full_cost"/>
      <w:bookmarkStart w:id="77" w:name="_Toc2339920"/>
      <w:bookmarkStart w:id="78" w:name="_Toc121313779"/>
      <w:bookmarkEnd w:id="76"/>
      <w:r w:rsidRPr="0067724B">
        <w:rPr>
          <w:b/>
          <w:color w:val="000000" w:themeColor="text1"/>
          <w:sz w:val="24"/>
          <w:szCs w:val="24"/>
        </w:rPr>
        <w:t>Ensur</w:t>
      </w:r>
      <w:r>
        <w:rPr>
          <w:b/>
          <w:color w:val="000000" w:themeColor="text1"/>
          <w:sz w:val="24"/>
          <w:szCs w:val="24"/>
        </w:rPr>
        <w:t>ing</w:t>
      </w:r>
      <w:r w:rsidRPr="0067724B">
        <w:rPr>
          <w:b/>
          <w:color w:val="000000" w:themeColor="text1"/>
          <w:sz w:val="24"/>
          <w:szCs w:val="24"/>
        </w:rPr>
        <w:t xml:space="preserve"> </w:t>
      </w:r>
      <w:r w:rsidR="0067724B" w:rsidRPr="0067724B">
        <w:rPr>
          <w:b/>
          <w:color w:val="000000" w:themeColor="text1"/>
          <w:sz w:val="24"/>
          <w:szCs w:val="24"/>
        </w:rPr>
        <w:t>full cost recovery</w:t>
      </w:r>
      <w:bookmarkEnd w:id="77"/>
      <w:bookmarkEnd w:id="78"/>
      <w:r w:rsidR="0067724B" w:rsidRPr="001E2884">
        <w:rPr>
          <w:rFonts w:cstheme="minorHAnsi"/>
          <w:b/>
          <w:color w:val="000000" w:themeColor="text1"/>
          <w:sz w:val="24"/>
          <w:szCs w:val="24"/>
        </w:rPr>
        <w:t xml:space="preserve"> </w:t>
      </w:r>
    </w:p>
    <w:p w14:paraId="1BBCB33E" w14:textId="5E840DC6" w:rsidR="0067724B" w:rsidRPr="00D911A9" w:rsidRDefault="00FC5EC0" w:rsidP="001A6851">
      <w:pPr>
        <w:spacing w:after="120" w:line="276" w:lineRule="auto"/>
        <w:jc w:val="both"/>
        <w:rPr>
          <w:rFonts w:cstheme="minorHAnsi"/>
          <w:iCs/>
        </w:rPr>
      </w:pPr>
      <w:r>
        <w:rPr>
          <w:rFonts w:cstheme="minorHAnsi"/>
          <w:iCs/>
        </w:rPr>
        <w:t>UNDP-supported g</w:t>
      </w:r>
      <w:r w:rsidR="0067724B" w:rsidRPr="00810AC2">
        <w:rPr>
          <w:rFonts w:cstheme="minorHAnsi"/>
          <w:iCs/>
        </w:rPr>
        <w:t xml:space="preserve">uarantees may only </w:t>
      </w:r>
      <w:r w:rsidR="00365BB8">
        <w:rPr>
          <w:rFonts w:cstheme="minorHAnsi"/>
          <w:iCs/>
        </w:rPr>
        <w:t xml:space="preserve">be offered through </w:t>
      </w:r>
      <w:r w:rsidR="0067724B" w:rsidRPr="00D911A9">
        <w:rPr>
          <w:rFonts w:cstheme="minorHAnsi"/>
          <w:iCs/>
        </w:rPr>
        <w:t xml:space="preserve">a </w:t>
      </w:r>
      <w:r w:rsidR="002D008E" w:rsidRPr="00D911A9">
        <w:rPr>
          <w:rFonts w:cstheme="minorHAnsi"/>
          <w:iCs/>
        </w:rPr>
        <w:t xml:space="preserve">UNDP </w:t>
      </w:r>
      <w:r w:rsidR="0067724B" w:rsidRPr="00D911A9">
        <w:rPr>
          <w:rFonts w:cstheme="minorHAnsi"/>
          <w:iCs/>
        </w:rPr>
        <w:t>pro</w:t>
      </w:r>
      <w:r w:rsidR="00B96CC0" w:rsidRPr="00D911A9">
        <w:rPr>
          <w:rFonts w:cstheme="minorHAnsi"/>
          <w:iCs/>
        </w:rPr>
        <w:t>ject</w:t>
      </w:r>
      <w:r w:rsidR="0067724B" w:rsidRPr="00D911A9">
        <w:rPr>
          <w:rFonts w:cstheme="minorHAnsi"/>
          <w:iCs/>
        </w:rPr>
        <w:t xml:space="preserve"> on the basis of full cost recovery. </w:t>
      </w:r>
      <w:r w:rsidR="00D911A9" w:rsidRPr="00025097">
        <w:rPr>
          <w:rFonts w:cstheme="minorHAnsi"/>
        </w:rPr>
        <w:t xml:space="preserve">The budget for the overall project will be subject to GMS on expenses, per UNDP’s cost recovery policy. </w:t>
      </w:r>
      <w:r w:rsidR="0067724B" w:rsidRPr="00D911A9">
        <w:rPr>
          <w:rFonts w:cstheme="minorHAnsi"/>
          <w:iCs/>
        </w:rPr>
        <w:t xml:space="preserve">To ensure full cost recovery, costs related to the design, issuance and management of </w:t>
      </w:r>
      <w:r>
        <w:rPr>
          <w:rFonts w:cstheme="minorHAnsi"/>
          <w:iCs/>
        </w:rPr>
        <w:t xml:space="preserve">UNDP-supported </w:t>
      </w:r>
      <w:r w:rsidR="0067724B" w:rsidRPr="00D911A9">
        <w:rPr>
          <w:rFonts w:cstheme="minorHAnsi"/>
          <w:iCs/>
        </w:rPr>
        <w:t>guarantees will be recovered through the following means</w:t>
      </w:r>
      <w:r w:rsidR="00041D12" w:rsidRPr="00D911A9">
        <w:rPr>
          <w:rFonts w:cstheme="minorHAnsi"/>
          <w:iCs/>
        </w:rPr>
        <w:t>:</w:t>
      </w:r>
    </w:p>
    <w:p w14:paraId="31352392" w14:textId="0B113F39" w:rsidR="0067724B" w:rsidRPr="00C035A2" w:rsidRDefault="00853B6B" w:rsidP="0085689C">
      <w:pPr>
        <w:pStyle w:val="ListParagraph"/>
        <w:numPr>
          <w:ilvl w:val="0"/>
          <w:numId w:val="20"/>
        </w:numPr>
        <w:spacing w:after="120" w:line="276" w:lineRule="auto"/>
        <w:contextualSpacing w:val="0"/>
        <w:jc w:val="both"/>
        <w:rPr>
          <w:rFonts w:cstheme="minorHAnsi"/>
          <w:iCs/>
        </w:rPr>
      </w:pPr>
      <w:bookmarkStart w:id="79" w:name="_Hlk9267681"/>
      <w:r w:rsidRPr="00D911A9">
        <w:rPr>
          <w:rFonts w:cstheme="minorHAnsi"/>
          <w:iCs/>
        </w:rPr>
        <w:t xml:space="preserve">i) </w:t>
      </w:r>
      <w:r w:rsidR="0067724B" w:rsidRPr="00D911A9">
        <w:rPr>
          <w:rFonts w:cstheme="minorHAnsi"/>
          <w:iCs/>
        </w:rPr>
        <w:t xml:space="preserve">Charging guarantee fees </w:t>
      </w:r>
      <w:r w:rsidR="00F96A04" w:rsidRPr="00D911A9">
        <w:rPr>
          <w:rFonts w:cstheme="minorHAnsi"/>
          <w:iCs/>
        </w:rPr>
        <w:t>to</w:t>
      </w:r>
      <w:r w:rsidR="00912F7B" w:rsidRPr="00D911A9">
        <w:rPr>
          <w:rFonts w:cstheme="minorHAnsi"/>
          <w:iCs/>
        </w:rPr>
        <w:t xml:space="preserve"> funding partner</w:t>
      </w:r>
      <w:r w:rsidR="005D1606">
        <w:rPr>
          <w:rFonts w:cstheme="minorHAnsi"/>
          <w:iCs/>
        </w:rPr>
        <w:t>(s)</w:t>
      </w:r>
      <w:r w:rsidR="00912F7B" w:rsidRPr="00D911A9">
        <w:rPr>
          <w:rFonts w:cstheme="minorHAnsi"/>
          <w:iCs/>
        </w:rPr>
        <w:t xml:space="preserve"> </w:t>
      </w:r>
      <w:r w:rsidR="0067724B" w:rsidRPr="00D911A9">
        <w:rPr>
          <w:rFonts w:cstheme="minorHAnsi"/>
          <w:iCs/>
        </w:rPr>
        <w:t>to cover UNDP’s administrative costs</w:t>
      </w:r>
      <w:r w:rsidR="005D1606" w:rsidRPr="00025097">
        <w:rPr>
          <w:rFonts w:cstheme="minorHAnsi"/>
        </w:rPr>
        <w:t xml:space="preserve">, set at the rate of 2% of the </w:t>
      </w:r>
      <w:r w:rsidR="00FC5EC0">
        <w:rPr>
          <w:rFonts w:cstheme="minorHAnsi"/>
        </w:rPr>
        <w:t xml:space="preserve">outstanding </w:t>
      </w:r>
      <w:r w:rsidR="005D1606" w:rsidRPr="00025097">
        <w:rPr>
          <w:rFonts w:cstheme="minorHAnsi"/>
        </w:rPr>
        <w:t>guaranteed</w:t>
      </w:r>
      <w:r w:rsidR="00FC5EC0">
        <w:rPr>
          <w:rFonts w:cstheme="minorHAnsi"/>
        </w:rPr>
        <w:t xml:space="preserve"> amount</w:t>
      </w:r>
      <w:r w:rsidR="001D76DF" w:rsidRPr="00D911A9">
        <w:rPr>
          <w:rFonts w:cstheme="minorHAnsi"/>
          <w:iCs/>
        </w:rPr>
        <w:t>;</w:t>
      </w:r>
      <w:r w:rsidR="00537DEE" w:rsidRPr="00D911A9">
        <w:rPr>
          <w:rFonts w:cstheme="minorHAnsi"/>
          <w:iCs/>
        </w:rPr>
        <w:t xml:space="preserve"> </w:t>
      </w:r>
      <w:bookmarkStart w:id="80" w:name="_Hlk9267739"/>
      <w:r w:rsidR="004D0C2F" w:rsidRPr="00D911A9">
        <w:rPr>
          <w:rFonts w:cstheme="minorHAnsi"/>
          <w:iCs/>
        </w:rPr>
        <w:t>or</w:t>
      </w:r>
      <w:bookmarkEnd w:id="80"/>
      <w:r w:rsidRPr="00C035A2">
        <w:rPr>
          <w:rStyle w:val="FootnoteReference"/>
          <w:rFonts w:cstheme="minorHAnsi"/>
          <w:iCs/>
        </w:rPr>
        <w:footnoteReference w:id="11"/>
      </w:r>
      <w:r w:rsidR="004D0C2F" w:rsidRPr="00C035A2">
        <w:rPr>
          <w:rFonts w:cstheme="minorHAnsi"/>
          <w:iCs/>
        </w:rPr>
        <w:t xml:space="preserve"> </w:t>
      </w:r>
      <w:r w:rsidR="0067724B" w:rsidRPr="00C035A2">
        <w:rPr>
          <w:rFonts w:cstheme="minorHAnsi"/>
          <w:iCs/>
        </w:rPr>
        <w:t xml:space="preserve"> </w:t>
      </w:r>
    </w:p>
    <w:p w14:paraId="5EA26DE8" w14:textId="6D05AEAC" w:rsidR="004D0C2F" w:rsidRPr="00C035A2" w:rsidRDefault="00041D12" w:rsidP="00041D12">
      <w:pPr>
        <w:pStyle w:val="ListParagraph"/>
        <w:spacing w:line="276" w:lineRule="auto"/>
        <w:contextualSpacing w:val="0"/>
        <w:jc w:val="both"/>
        <w:rPr>
          <w:rFonts w:cstheme="minorHAnsi"/>
          <w:iCs/>
        </w:rPr>
      </w:pPr>
      <w:r w:rsidRPr="00C035A2">
        <w:rPr>
          <w:rFonts w:cstheme="minorHAnsi"/>
          <w:iCs/>
        </w:rPr>
        <w:t xml:space="preserve">ii) </w:t>
      </w:r>
      <w:r w:rsidR="004D0C2F" w:rsidRPr="00C035A2">
        <w:rPr>
          <w:rFonts w:cstheme="minorHAnsi"/>
          <w:iCs/>
        </w:rPr>
        <w:t xml:space="preserve">Recovery of bank fees within the lending </w:t>
      </w:r>
      <w:r w:rsidR="00F95DE7" w:rsidRPr="00C035A2">
        <w:rPr>
          <w:rFonts w:cstheme="minorHAnsi"/>
          <w:iCs/>
        </w:rPr>
        <w:t>scheme</w:t>
      </w:r>
      <w:r w:rsidR="004D0C2F" w:rsidRPr="00C035A2">
        <w:rPr>
          <w:rFonts w:cstheme="minorHAnsi"/>
          <w:iCs/>
        </w:rPr>
        <w:t xml:space="preserve">; and </w:t>
      </w:r>
    </w:p>
    <w:bookmarkEnd w:id="79"/>
    <w:p w14:paraId="185F3D44" w14:textId="77777777" w:rsidR="0067724B" w:rsidRPr="00C035A2" w:rsidRDefault="0067724B" w:rsidP="0085689C">
      <w:pPr>
        <w:pStyle w:val="ListParagraph"/>
        <w:numPr>
          <w:ilvl w:val="0"/>
          <w:numId w:val="20"/>
        </w:numPr>
        <w:spacing w:after="120" w:line="276" w:lineRule="auto"/>
        <w:contextualSpacing w:val="0"/>
        <w:jc w:val="both"/>
        <w:rPr>
          <w:rFonts w:cstheme="minorHAnsi"/>
          <w:iCs/>
        </w:rPr>
      </w:pPr>
      <w:r w:rsidRPr="00C035A2">
        <w:rPr>
          <w:rFonts w:cstheme="minorHAnsi"/>
          <w:iCs/>
        </w:rPr>
        <w:t>Recovery of costs though project budgets</w:t>
      </w:r>
      <w:r w:rsidR="001D76DF" w:rsidRPr="00C035A2">
        <w:rPr>
          <w:rFonts w:cstheme="minorHAnsi"/>
          <w:iCs/>
        </w:rPr>
        <w:t xml:space="preserve">; </w:t>
      </w:r>
      <w:r w:rsidR="004D0C2F" w:rsidRPr="00C035A2">
        <w:rPr>
          <w:rFonts w:cstheme="minorHAnsi"/>
          <w:iCs/>
        </w:rPr>
        <w:t>and</w:t>
      </w:r>
    </w:p>
    <w:p w14:paraId="18BE2755" w14:textId="77777777" w:rsidR="005B763F" w:rsidRPr="00C035A2" w:rsidRDefault="0067724B" w:rsidP="0085689C">
      <w:pPr>
        <w:pStyle w:val="ListParagraph"/>
        <w:numPr>
          <w:ilvl w:val="0"/>
          <w:numId w:val="20"/>
        </w:numPr>
        <w:spacing w:line="276" w:lineRule="auto"/>
        <w:contextualSpacing w:val="0"/>
        <w:jc w:val="both"/>
        <w:rPr>
          <w:rFonts w:cstheme="minorHAnsi"/>
          <w:iCs/>
        </w:rPr>
      </w:pPr>
      <w:r w:rsidRPr="00C035A2">
        <w:rPr>
          <w:rFonts w:cstheme="minorHAnsi"/>
          <w:iCs/>
        </w:rPr>
        <w:t xml:space="preserve">Normal method of GMS charged on project costs though project budgets. </w:t>
      </w:r>
    </w:p>
    <w:p w14:paraId="51F7A23F" w14:textId="77777777" w:rsidR="00171EBC" w:rsidRDefault="00E46D5D" w:rsidP="00C568BA">
      <w:pPr>
        <w:spacing w:after="120" w:line="276" w:lineRule="auto"/>
        <w:jc w:val="both"/>
        <w:rPr>
          <w:rFonts w:cstheme="minorHAnsi"/>
        </w:rPr>
      </w:pPr>
      <w:r>
        <w:rPr>
          <w:rFonts w:cstheme="minorHAnsi"/>
        </w:rPr>
        <w:t>Please see a</w:t>
      </w:r>
      <w:r w:rsidR="00BB673B">
        <w:rPr>
          <w:rFonts w:cstheme="minorHAnsi"/>
        </w:rPr>
        <w:t xml:space="preserve">dditional details in </w:t>
      </w:r>
      <w:hyperlink w:anchor="_Guarantee_Pricing_and" w:history="1">
        <w:r w:rsidR="00BB673B" w:rsidRPr="003273F3">
          <w:rPr>
            <w:rStyle w:val="Hyperlink"/>
            <w:rFonts w:cstheme="minorHAnsi"/>
          </w:rPr>
          <w:t xml:space="preserve">Section </w:t>
        </w:r>
        <w:r w:rsidR="003273F3" w:rsidRPr="003273F3">
          <w:rPr>
            <w:rStyle w:val="Hyperlink"/>
            <w:rFonts w:cstheme="minorHAnsi"/>
          </w:rPr>
          <w:t>6</w:t>
        </w:r>
      </w:hyperlink>
      <w:r w:rsidR="003273F3">
        <w:rPr>
          <w:rFonts w:cstheme="minorHAnsi"/>
        </w:rPr>
        <w:t>.</w:t>
      </w:r>
    </w:p>
    <w:p w14:paraId="241837D6" w14:textId="778FB7E8" w:rsidR="003273F3" w:rsidRDefault="003273F3" w:rsidP="00025097">
      <w:pPr>
        <w:spacing w:after="120" w:line="276" w:lineRule="auto"/>
        <w:jc w:val="both"/>
        <w:rPr>
          <w:rFonts w:cstheme="minorHAnsi"/>
        </w:rPr>
      </w:pPr>
    </w:p>
    <w:p w14:paraId="5022C443" w14:textId="18B70CE1" w:rsidR="007969B4" w:rsidRPr="006B654E" w:rsidRDefault="007969B4" w:rsidP="00DA5CA4">
      <w:pPr>
        <w:pStyle w:val="Heading2"/>
        <w:numPr>
          <w:ilvl w:val="0"/>
          <w:numId w:val="15"/>
        </w:numPr>
        <w:spacing w:before="0" w:after="160" w:line="276" w:lineRule="auto"/>
        <w:ind w:left="547" w:hanging="547"/>
        <w:jc w:val="both"/>
        <w:rPr>
          <w:b/>
          <w:color w:val="000000" w:themeColor="text1"/>
          <w:sz w:val="24"/>
          <w:szCs w:val="24"/>
        </w:rPr>
      </w:pPr>
      <w:bookmarkStart w:id="82" w:name="_Partnering_with_financial"/>
      <w:bookmarkStart w:id="83" w:name="_Partnering_with_and/or"/>
      <w:bookmarkStart w:id="84" w:name="_Toc2339921"/>
      <w:bookmarkStart w:id="85" w:name="_Toc121313780"/>
      <w:bookmarkEnd w:id="82"/>
      <w:bookmarkEnd w:id="83"/>
      <w:r w:rsidRPr="006B654E">
        <w:rPr>
          <w:b/>
          <w:color w:val="000000" w:themeColor="text1"/>
          <w:sz w:val="24"/>
          <w:szCs w:val="24"/>
        </w:rPr>
        <w:lastRenderedPageBreak/>
        <w:t xml:space="preserve">Partnering with </w:t>
      </w:r>
      <w:r w:rsidR="0094300D">
        <w:rPr>
          <w:b/>
          <w:color w:val="000000" w:themeColor="text1"/>
          <w:sz w:val="24"/>
          <w:szCs w:val="24"/>
        </w:rPr>
        <w:t xml:space="preserve">and/or </w:t>
      </w:r>
      <w:r w:rsidR="006B1AE8">
        <w:rPr>
          <w:b/>
          <w:color w:val="000000" w:themeColor="text1"/>
          <w:sz w:val="24"/>
          <w:szCs w:val="24"/>
        </w:rPr>
        <w:t xml:space="preserve">engaging </w:t>
      </w:r>
      <w:r w:rsidRPr="006B654E">
        <w:rPr>
          <w:b/>
          <w:color w:val="000000" w:themeColor="text1"/>
          <w:sz w:val="24"/>
          <w:szCs w:val="24"/>
        </w:rPr>
        <w:t xml:space="preserve">financial institutions for the issuance and management of </w:t>
      </w:r>
      <w:r w:rsidR="00B55C04">
        <w:rPr>
          <w:b/>
          <w:color w:val="000000" w:themeColor="text1"/>
          <w:sz w:val="24"/>
          <w:szCs w:val="24"/>
        </w:rPr>
        <w:t>UNDP</w:t>
      </w:r>
      <w:r w:rsidR="006D72EA">
        <w:rPr>
          <w:b/>
          <w:color w:val="000000" w:themeColor="text1"/>
          <w:sz w:val="24"/>
          <w:szCs w:val="24"/>
        </w:rPr>
        <w:t>-supported</w:t>
      </w:r>
      <w:r w:rsidR="00B55C04">
        <w:rPr>
          <w:b/>
          <w:color w:val="000000" w:themeColor="text1"/>
          <w:sz w:val="24"/>
          <w:szCs w:val="24"/>
        </w:rPr>
        <w:t xml:space="preserve"> </w:t>
      </w:r>
      <w:r w:rsidRPr="006B654E">
        <w:rPr>
          <w:b/>
          <w:color w:val="000000" w:themeColor="text1"/>
          <w:sz w:val="24"/>
          <w:szCs w:val="24"/>
        </w:rPr>
        <w:t>guarantees</w:t>
      </w:r>
      <w:bookmarkEnd w:id="84"/>
      <w:bookmarkEnd w:id="85"/>
    </w:p>
    <w:p w14:paraId="60D02F08" w14:textId="4F0C25F7" w:rsidR="00EE1056" w:rsidRPr="000230B6" w:rsidRDefault="007969B4" w:rsidP="00007834">
      <w:pPr>
        <w:spacing w:after="120" w:line="276" w:lineRule="auto"/>
        <w:jc w:val="both"/>
        <w:rPr>
          <w:iCs/>
        </w:rPr>
      </w:pPr>
      <w:r w:rsidRPr="00917D41">
        <w:rPr>
          <w:iCs/>
        </w:rPr>
        <w:t xml:space="preserve">UNDP </w:t>
      </w:r>
      <w:r w:rsidR="00536BCE" w:rsidRPr="00917D41">
        <w:rPr>
          <w:iCs/>
        </w:rPr>
        <w:t xml:space="preserve">will engage </w:t>
      </w:r>
      <w:r w:rsidRPr="00917D41">
        <w:rPr>
          <w:iCs/>
        </w:rPr>
        <w:t>qualified financial institutions</w:t>
      </w:r>
      <w:r w:rsidR="00FC5EC0">
        <w:rPr>
          <w:iCs/>
        </w:rPr>
        <w:t xml:space="preserve"> (i.e. those with a banking license)</w:t>
      </w:r>
      <w:r w:rsidRPr="00917D41">
        <w:rPr>
          <w:iCs/>
        </w:rPr>
        <w:t xml:space="preserve"> to issue and administer guarantees</w:t>
      </w:r>
      <w:r w:rsidR="00C8723B" w:rsidRPr="00917D41">
        <w:rPr>
          <w:iCs/>
        </w:rPr>
        <w:t xml:space="preserve"> required as part of a UNDP pro</w:t>
      </w:r>
      <w:r w:rsidR="00B96CC0" w:rsidRPr="00917D41">
        <w:rPr>
          <w:iCs/>
        </w:rPr>
        <w:t>ject</w:t>
      </w:r>
      <w:r w:rsidR="004A687C" w:rsidRPr="00917D41">
        <w:rPr>
          <w:iCs/>
        </w:rPr>
        <w:t>,</w:t>
      </w:r>
      <w:r w:rsidRPr="00917D41">
        <w:rPr>
          <w:iCs/>
        </w:rPr>
        <w:t xml:space="preserve"> on the </w:t>
      </w:r>
      <w:r w:rsidR="004A687C" w:rsidRPr="00917D41">
        <w:rPr>
          <w:iCs/>
        </w:rPr>
        <w:t xml:space="preserve">basis of </w:t>
      </w:r>
      <w:r w:rsidR="005D107E" w:rsidRPr="00917D41">
        <w:rPr>
          <w:iCs/>
        </w:rPr>
        <w:t xml:space="preserve">the </w:t>
      </w:r>
      <w:r w:rsidR="002D2A72" w:rsidRPr="00917D41">
        <w:rPr>
          <w:iCs/>
        </w:rPr>
        <w:t>UNDP</w:t>
      </w:r>
      <w:r w:rsidR="00FC5EC0">
        <w:rPr>
          <w:iCs/>
        </w:rPr>
        <w:t>-supported</w:t>
      </w:r>
      <w:r w:rsidR="002D2A72" w:rsidRPr="00917D41">
        <w:rPr>
          <w:iCs/>
        </w:rPr>
        <w:t xml:space="preserve"> Guarantees </w:t>
      </w:r>
      <w:r w:rsidR="00452D6D" w:rsidRPr="00917D41">
        <w:rPr>
          <w:iCs/>
        </w:rPr>
        <w:t>Polic</w:t>
      </w:r>
      <w:r w:rsidR="005D107E" w:rsidRPr="00917D41">
        <w:rPr>
          <w:iCs/>
        </w:rPr>
        <w:t>y</w:t>
      </w:r>
      <w:r w:rsidR="000A3F97">
        <w:rPr>
          <w:iCs/>
        </w:rPr>
        <w:t>,</w:t>
      </w:r>
      <w:r w:rsidR="00452D6D" w:rsidRPr="00DA5CA4">
        <w:rPr>
          <w:iCs/>
        </w:rPr>
        <w:t xml:space="preserve"> and </w:t>
      </w:r>
      <w:r w:rsidR="00BB3471" w:rsidRPr="00DA5CA4">
        <w:rPr>
          <w:iCs/>
        </w:rPr>
        <w:t xml:space="preserve">in accordance with the procedure </w:t>
      </w:r>
      <w:r w:rsidR="008366AB" w:rsidRPr="00DA5CA4">
        <w:rPr>
          <w:iCs/>
        </w:rPr>
        <w:t xml:space="preserve">provided for in this </w:t>
      </w:r>
      <w:r w:rsidRPr="00DA5CA4">
        <w:rPr>
          <w:iCs/>
        </w:rPr>
        <w:t>Operational Manual</w:t>
      </w:r>
      <w:r w:rsidR="00191DE9" w:rsidRPr="00DA5CA4">
        <w:rPr>
          <w:iCs/>
        </w:rPr>
        <w:t xml:space="preserve"> and guidance from the </w:t>
      </w:r>
      <w:r w:rsidR="00FC5EC0">
        <w:rPr>
          <w:iCs/>
        </w:rPr>
        <w:t>BMS/OFM</w:t>
      </w:r>
      <w:r w:rsidR="00191DE9" w:rsidRPr="00DA5CA4">
        <w:rPr>
          <w:iCs/>
        </w:rPr>
        <w:t xml:space="preserve"> Treasury unit</w:t>
      </w:r>
      <w:r w:rsidRPr="00DA5CA4">
        <w:rPr>
          <w:iCs/>
        </w:rPr>
        <w:t>. The financial institution (“</w:t>
      </w:r>
      <w:r w:rsidR="007126BC" w:rsidRPr="00DA5CA4">
        <w:rPr>
          <w:iCs/>
        </w:rPr>
        <w:t>Guarantee Issuer</w:t>
      </w:r>
      <w:r w:rsidRPr="00DA5CA4">
        <w:rPr>
          <w:iCs/>
        </w:rPr>
        <w:t>”) issues the guarantee</w:t>
      </w:r>
      <w:r w:rsidR="007308FF">
        <w:rPr>
          <w:iCs/>
        </w:rPr>
        <w:t xml:space="preserve"> in its name</w:t>
      </w:r>
      <w:r w:rsidR="00B52831" w:rsidRPr="000230B6">
        <w:rPr>
          <w:iCs/>
        </w:rPr>
        <w:t>,</w:t>
      </w:r>
      <w:r w:rsidRPr="000230B6">
        <w:rPr>
          <w:iCs/>
        </w:rPr>
        <w:t xml:space="preserve"> </w:t>
      </w:r>
      <w:r w:rsidR="00B52831" w:rsidRPr="000230B6">
        <w:rPr>
          <w:iCs/>
        </w:rPr>
        <w:t>up</w:t>
      </w:r>
      <w:r w:rsidRPr="000230B6">
        <w:rPr>
          <w:iCs/>
        </w:rPr>
        <w:t>on UNDP</w:t>
      </w:r>
      <w:r w:rsidR="00B52831" w:rsidRPr="000230B6">
        <w:rPr>
          <w:iCs/>
        </w:rPr>
        <w:t>’s request,</w:t>
      </w:r>
      <w:r w:rsidRPr="000230B6">
        <w:rPr>
          <w:iCs/>
        </w:rPr>
        <w:t xml:space="preserve"> and takes on the obligation to guarantee the payment of specific amounts in the event of default or non-performance of contractual commitments. </w:t>
      </w:r>
      <w:r w:rsidR="0061452F" w:rsidRPr="000230B6">
        <w:rPr>
          <w:iCs/>
        </w:rPr>
        <w:t>Whilst UNDP will still be responsible for providing the funding for the guarantees to cover any potential pay-outs and providing technical expertise in the design phase of guarantees, all UNDP</w:t>
      </w:r>
      <w:r w:rsidR="00EA3F62">
        <w:rPr>
          <w:iCs/>
        </w:rPr>
        <w:t>-supported</w:t>
      </w:r>
      <w:r w:rsidR="0061452F" w:rsidRPr="000230B6">
        <w:rPr>
          <w:iCs/>
        </w:rPr>
        <w:t xml:space="preserve"> guarantees will be issued, managed and monitored by the Guarantee Issuer(s)</w:t>
      </w:r>
      <w:r w:rsidRPr="000230B6">
        <w:rPr>
          <w:iCs/>
        </w:rPr>
        <w:t>.</w:t>
      </w:r>
      <w:r w:rsidR="00EC2F9E" w:rsidRPr="000230B6">
        <w:rPr>
          <w:iCs/>
        </w:rPr>
        <w:t xml:space="preserve"> UNDP will not be involved in actual lending decisions</w:t>
      </w:r>
      <w:r w:rsidR="00126310" w:rsidRPr="00126310">
        <w:rPr>
          <w:iCs/>
        </w:rPr>
        <w:t xml:space="preserve"> </w:t>
      </w:r>
      <w:r w:rsidR="00126310" w:rsidRPr="00A3391E">
        <w:rPr>
          <w:iCs/>
        </w:rPr>
        <w:t>beyond identifying target beneficiaries as part of the project document and the Guarantee Issuer Agreement, nor will the guarantee be issued in its name</w:t>
      </w:r>
      <w:r w:rsidR="00EC2F9E" w:rsidRPr="000230B6">
        <w:rPr>
          <w:iCs/>
        </w:rPr>
        <w:t xml:space="preserve">. </w:t>
      </w:r>
      <w:r w:rsidR="003E1608" w:rsidRPr="00CC49CE">
        <w:rPr>
          <w:iCs/>
        </w:rPr>
        <w:t xml:space="preserve">The agreements with the financial institutions must specify the design elements from the programme, including specific sectors/beneficiaries being targeted, the risks being mitigated by the </w:t>
      </w:r>
      <w:r w:rsidR="00FC5EC0">
        <w:rPr>
          <w:iCs/>
        </w:rPr>
        <w:t xml:space="preserve">UNDP-supported </w:t>
      </w:r>
      <w:r w:rsidR="003E1608" w:rsidRPr="00CC49CE">
        <w:rPr>
          <w:iCs/>
        </w:rPr>
        <w:t>guarantee, and the basis for risk sharing and subsequent claims</w:t>
      </w:r>
      <w:r w:rsidR="003E1608" w:rsidRPr="003E1608">
        <w:rPr>
          <w:iCs/>
        </w:rPr>
        <w:t>.</w:t>
      </w:r>
      <w:r w:rsidR="002E7AF4">
        <w:rPr>
          <w:iCs/>
        </w:rPr>
        <w:t xml:space="preserve"> </w:t>
      </w:r>
    </w:p>
    <w:p w14:paraId="2DA926F1" w14:textId="77777777" w:rsidR="007969B4" w:rsidRPr="00152F9B" w:rsidRDefault="007969B4" w:rsidP="00DA5CA4">
      <w:pPr>
        <w:pStyle w:val="ListParagraph"/>
        <w:numPr>
          <w:ilvl w:val="1"/>
          <w:numId w:val="16"/>
        </w:numPr>
        <w:spacing w:after="120" w:line="276" w:lineRule="auto"/>
        <w:ind w:left="540"/>
        <w:contextualSpacing w:val="0"/>
        <w:jc w:val="both"/>
        <w:rPr>
          <w:rFonts w:cstheme="minorHAnsi"/>
          <w:i/>
          <w:color w:val="000000" w:themeColor="text1"/>
          <w:lang w:val="en-GB"/>
        </w:rPr>
      </w:pPr>
      <w:r w:rsidRPr="00207234">
        <w:rPr>
          <w:rFonts w:cstheme="minorHAnsi"/>
          <w:b/>
          <w:i/>
          <w:color w:val="000000" w:themeColor="text1"/>
          <w:lang w:val="en-GB"/>
        </w:rPr>
        <w:t xml:space="preserve">When to </w:t>
      </w:r>
      <w:r w:rsidR="0007605F">
        <w:rPr>
          <w:rFonts w:cstheme="minorHAnsi"/>
          <w:b/>
          <w:i/>
          <w:color w:val="000000" w:themeColor="text1"/>
          <w:lang w:val="en-GB"/>
        </w:rPr>
        <w:t>engage</w:t>
      </w:r>
      <w:r w:rsidRPr="00207234">
        <w:rPr>
          <w:rFonts w:cstheme="minorHAnsi"/>
          <w:b/>
          <w:i/>
          <w:color w:val="000000" w:themeColor="text1"/>
          <w:lang w:val="en-GB"/>
        </w:rPr>
        <w:t xml:space="preserve"> with financial institutions? </w:t>
      </w:r>
    </w:p>
    <w:p w14:paraId="4D47A7A5" w14:textId="6A403AA4" w:rsidR="007969B4" w:rsidRPr="00152F9B" w:rsidRDefault="007969B4" w:rsidP="00007834">
      <w:pPr>
        <w:pStyle w:val="ListParagraph"/>
        <w:spacing w:line="276" w:lineRule="auto"/>
        <w:ind w:left="540"/>
        <w:contextualSpacing w:val="0"/>
        <w:jc w:val="both"/>
        <w:rPr>
          <w:rFonts w:cstheme="minorHAnsi"/>
          <w:i/>
          <w:color w:val="000000" w:themeColor="text1"/>
          <w:lang w:val="en-GB"/>
        </w:rPr>
      </w:pPr>
      <w:r w:rsidRPr="00152F9B">
        <w:rPr>
          <w:rFonts w:cstheme="minorHAnsi"/>
          <w:color w:val="000000" w:themeColor="text1"/>
          <w:lang w:val="en-GB"/>
        </w:rPr>
        <w:t xml:space="preserve">UNDP will always </w:t>
      </w:r>
      <w:r w:rsidR="0007605F">
        <w:rPr>
          <w:rFonts w:cstheme="minorHAnsi"/>
          <w:color w:val="000000" w:themeColor="text1"/>
          <w:lang w:val="en-GB"/>
        </w:rPr>
        <w:t>engage</w:t>
      </w:r>
      <w:r w:rsidRPr="00152F9B">
        <w:rPr>
          <w:rFonts w:cstheme="minorHAnsi"/>
          <w:color w:val="000000" w:themeColor="text1"/>
          <w:lang w:val="en-GB"/>
        </w:rPr>
        <w:t xml:space="preserve"> </w:t>
      </w:r>
      <w:r w:rsidR="00875369">
        <w:rPr>
          <w:rFonts w:cstheme="minorHAnsi"/>
          <w:color w:val="000000" w:themeColor="text1"/>
          <w:lang w:val="en-GB"/>
        </w:rPr>
        <w:t xml:space="preserve">reputable </w:t>
      </w:r>
      <w:r w:rsidRPr="00152F9B">
        <w:rPr>
          <w:rFonts w:cstheme="minorHAnsi"/>
          <w:color w:val="000000" w:themeColor="text1"/>
          <w:lang w:val="en-GB"/>
        </w:rPr>
        <w:t xml:space="preserve">financial </w:t>
      </w:r>
      <w:r w:rsidRPr="006056A3">
        <w:rPr>
          <w:rFonts w:cstheme="minorHAnsi"/>
          <w:color w:val="000000" w:themeColor="text1"/>
          <w:lang w:val="en-GB"/>
        </w:rPr>
        <w:t xml:space="preserve">institutions </w:t>
      </w:r>
      <w:r w:rsidR="00C772A1">
        <w:rPr>
          <w:rFonts w:cstheme="minorHAnsi"/>
          <w:color w:val="000000" w:themeColor="text1"/>
          <w:lang w:val="en-GB"/>
        </w:rPr>
        <w:t>for the issuance and management of UNDP</w:t>
      </w:r>
      <w:r w:rsidR="009D173C">
        <w:rPr>
          <w:rFonts w:cstheme="minorHAnsi"/>
          <w:color w:val="000000" w:themeColor="text1"/>
          <w:lang w:val="en-GB"/>
        </w:rPr>
        <w:t>-supported</w:t>
      </w:r>
      <w:r w:rsidR="00C772A1">
        <w:rPr>
          <w:rFonts w:cstheme="minorHAnsi"/>
          <w:color w:val="000000" w:themeColor="text1"/>
          <w:lang w:val="en-GB"/>
        </w:rPr>
        <w:t xml:space="preserve"> guarantees</w:t>
      </w:r>
      <w:r w:rsidR="00FC5EC0">
        <w:rPr>
          <w:rFonts w:cstheme="minorHAnsi"/>
          <w:color w:val="000000" w:themeColor="text1"/>
          <w:lang w:val="en-GB"/>
        </w:rPr>
        <w:t>. In addition,</w:t>
      </w:r>
      <w:r w:rsidR="00133D10">
        <w:rPr>
          <w:rFonts w:cstheme="minorHAnsi"/>
          <w:color w:val="000000" w:themeColor="text1"/>
          <w:lang w:val="en-GB"/>
        </w:rPr>
        <w:t xml:space="preserve"> </w:t>
      </w:r>
      <w:r w:rsidR="0061452F" w:rsidRPr="006056A3">
        <w:rPr>
          <w:rFonts w:cstheme="minorHAnsi"/>
          <w:color w:val="000000" w:themeColor="text1"/>
          <w:lang w:val="en-GB"/>
        </w:rPr>
        <w:t xml:space="preserve">UNCDF </w:t>
      </w:r>
      <w:r w:rsidR="00FC5EC0">
        <w:rPr>
          <w:rFonts w:cstheme="minorHAnsi"/>
          <w:color w:val="000000" w:themeColor="text1"/>
          <w:lang w:val="en-GB"/>
        </w:rPr>
        <w:t xml:space="preserve">may also fulfil this role </w:t>
      </w:r>
      <w:r w:rsidR="00133D10" w:rsidRPr="006056A3">
        <w:rPr>
          <w:rFonts w:cstheme="minorHAnsi"/>
          <w:color w:val="000000" w:themeColor="text1"/>
          <w:lang w:val="en-GB"/>
        </w:rPr>
        <w:t xml:space="preserve">when </w:t>
      </w:r>
      <w:r w:rsidR="00133D10">
        <w:rPr>
          <w:rFonts w:cstheme="minorHAnsi"/>
          <w:color w:val="000000" w:themeColor="text1"/>
          <w:lang w:val="en-GB"/>
        </w:rPr>
        <w:t xml:space="preserve">it </w:t>
      </w:r>
      <w:r w:rsidR="0061452F" w:rsidRPr="006056A3">
        <w:rPr>
          <w:rFonts w:cstheme="minorHAnsi"/>
          <w:color w:val="000000" w:themeColor="text1"/>
          <w:lang w:val="en-GB"/>
        </w:rPr>
        <w:t xml:space="preserve">is acting as </w:t>
      </w:r>
      <w:r w:rsidR="0061452F">
        <w:rPr>
          <w:rFonts w:cstheme="minorHAnsi"/>
          <w:color w:val="000000" w:themeColor="text1"/>
          <w:lang w:val="en-GB"/>
        </w:rPr>
        <w:t>a</w:t>
      </w:r>
      <w:r w:rsidR="0061452F" w:rsidRPr="006056A3">
        <w:rPr>
          <w:rFonts w:cstheme="minorHAnsi"/>
          <w:color w:val="000000" w:themeColor="text1"/>
          <w:lang w:val="en-GB"/>
        </w:rPr>
        <w:t xml:space="preserve"> responsible party</w:t>
      </w:r>
      <w:r w:rsidR="0061452F">
        <w:rPr>
          <w:rFonts w:cstheme="minorHAnsi"/>
          <w:color w:val="000000" w:themeColor="text1"/>
          <w:lang w:val="en-GB"/>
        </w:rPr>
        <w:t xml:space="preserve"> for the relevant UNDP project component</w:t>
      </w:r>
      <w:r w:rsidR="0061452F" w:rsidRPr="006056A3">
        <w:rPr>
          <w:rFonts w:cstheme="minorHAnsi"/>
          <w:color w:val="000000" w:themeColor="text1"/>
          <w:lang w:val="en-GB"/>
        </w:rPr>
        <w:t>.</w:t>
      </w:r>
      <w:r w:rsidRPr="006056A3">
        <w:rPr>
          <w:rFonts w:cstheme="minorHAnsi"/>
          <w:color w:val="000000" w:themeColor="text1"/>
          <w:lang w:val="en-GB"/>
        </w:rPr>
        <w:t xml:space="preserve"> </w:t>
      </w:r>
    </w:p>
    <w:p w14:paraId="50F73257" w14:textId="13C8BA85" w:rsidR="007969B4" w:rsidRPr="00152F9B" w:rsidRDefault="007969B4" w:rsidP="00DA5CA4">
      <w:pPr>
        <w:pStyle w:val="ListParagraph"/>
        <w:numPr>
          <w:ilvl w:val="1"/>
          <w:numId w:val="16"/>
        </w:numPr>
        <w:spacing w:after="120" w:line="276" w:lineRule="auto"/>
        <w:ind w:left="540"/>
        <w:contextualSpacing w:val="0"/>
        <w:jc w:val="both"/>
        <w:rPr>
          <w:rFonts w:cstheme="minorHAnsi"/>
          <w:i/>
          <w:color w:val="000000" w:themeColor="text1"/>
          <w:lang w:val="en-GB"/>
        </w:rPr>
      </w:pPr>
      <w:r w:rsidRPr="006056A3">
        <w:rPr>
          <w:rFonts w:cstheme="minorHAnsi"/>
          <w:b/>
          <w:i/>
          <w:color w:val="000000" w:themeColor="text1"/>
          <w:lang w:val="en-GB"/>
        </w:rPr>
        <w:t xml:space="preserve">Why </w:t>
      </w:r>
      <w:r w:rsidR="0007605F">
        <w:rPr>
          <w:rFonts w:cstheme="minorHAnsi"/>
          <w:b/>
          <w:i/>
          <w:color w:val="000000" w:themeColor="text1"/>
          <w:lang w:val="en-GB"/>
        </w:rPr>
        <w:t>engage</w:t>
      </w:r>
      <w:r w:rsidRPr="006056A3">
        <w:rPr>
          <w:rFonts w:cstheme="minorHAnsi"/>
          <w:b/>
          <w:i/>
          <w:color w:val="000000" w:themeColor="text1"/>
          <w:lang w:val="en-GB"/>
        </w:rPr>
        <w:t xml:space="preserve"> with financial institutions? </w:t>
      </w:r>
    </w:p>
    <w:p w14:paraId="365325CC" w14:textId="3D1689FC" w:rsidR="007969B4" w:rsidRPr="00207234" w:rsidRDefault="007969B4" w:rsidP="00007834">
      <w:pPr>
        <w:pStyle w:val="ListParagraph"/>
        <w:spacing w:line="276" w:lineRule="auto"/>
        <w:ind w:left="540"/>
        <w:contextualSpacing w:val="0"/>
        <w:jc w:val="both"/>
        <w:rPr>
          <w:rFonts w:cstheme="minorHAnsi"/>
          <w:b/>
          <w:i/>
          <w:color w:val="000000" w:themeColor="text1"/>
          <w:lang w:val="en-GB"/>
        </w:rPr>
      </w:pPr>
      <w:r w:rsidRPr="00152F9B">
        <w:rPr>
          <w:rFonts w:cstheme="minorHAnsi"/>
        </w:rPr>
        <w:t xml:space="preserve">The </w:t>
      </w:r>
      <w:r w:rsidR="00F8528A">
        <w:rPr>
          <w:rFonts w:cstheme="minorHAnsi"/>
        </w:rPr>
        <w:t>engagement of</w:t>
      </w:r>
      <w:r w:rsidRPr="00152F9B">
        <w:rPr>
          <w:rFonts w:cstheme="minorHAnsi"/>
        </w:rPr>
        <w:t xml:space="preserve"> </w:t>
      </w:r>
      <w:r w:rsidR="007126BC">
        <w:rPr>
          <w:rFonts w:cstheme="minorHAnsi"/>
        </w:rPr>
        <w:t>Guarantee Issuer</w:t>
      </w:r>
      <w:r w:rsidRPr="00207234">
        <w:rPr>
          <w:rFonts w:cstheme="minorHAnsi"/>
        </w:rPr>
        <w:t xml:space="preserve">s is </w:t>
      </w:r>
      <w:r w:rsidR="002431E8">
        <w:rPr>
          <w:rFonts w:cstheme="minorHAnsi"/>
        </w:rPr>
        <w:t xml:space="preserve">to </w:t>
      </w:r>
      <w:r w:rsidR="00F4710C">
        <w:rPr>
          <w:rFonts w:cstheme="minorHAnsi"/>
        </w:rPr>
        <w:t xml:space="preserve">benefit from their financial expertise with guarantees, </w:t>
      </w:r>
      <w:r w:rsidR="00CF6655">
        <w:rPr>
          <w:rFonts w:cstheme="minorHAnsi"/>
        </w:rPr>
        <w:t xml:space="preserve">knowledge of the </w:t>
      </w:r>
      <w:r w:rsidR="009B1E77">
        <w:rPr>
          <w:rFonts w:cstheme="minorHAnsi"/>
        </w:rPr>
        <w:t xml:space="preserve">local </w:t>
      </w:r>
      <w:r w:rsidR="00CF6655">
        <w:rPr>
          <w:rFonts w:cstheme="minorHAnsi"/>
        </w:rPr>
        <w:t xml:space="preserve">context and legal frameworks, </w:t>
      </w:r>
      <w:r w:rsidR="00F4710C">
        <w:rPr>
          <w:rFonts w:cstheme="minorHAnsi"/>
        </w:rPr>
        <w:t xml:space="preserve">contain </w:t>
      </w:r>
      <w:r w:rsidR="00CF6655" w:rsidRPr="00207234">
        <w:rPr>
          <w:rFonts w:cstheme="minorHAnsi"/>
        </w:rPr>
        <w:t>set</w:t>
      </w:r>
      <w:r w:rsidR="00CF6655">
        <w:rPr>
          <w:rFonts w:cstheme="minorHAnsi"/>
        </w:rPr>
        <w:t>-</w:t>
      </w:r>
      <w:r w:rsidRPr="00207234">
        <w:rPr>
          <w:rFonts w:cstheme="minorHAnsi"/>
        </w:rPr>
        <w:t xml:space="preserve">up costs </w:t>
      </w:r>
      <w:r w:rsidR="00224935">
        <w:rPr>
          <w:rFonts w:cstheme="minorHAnsi"/>
        </w:rPr>
        <w:t>for the UNDP</w:t>
      </w:r>
      <w:r w:rsidR="00FC5EC0">
        <w:rPr>
          <w:rFonts w:cstheme="minorHAnsi"/>
        </w:rPr>
        <w:t xml:space="preserve">-supported </w:t>
      </w:r>
      <w:r w:rsidR="00224935">
        <w:rPr>
          <w:rFonts w:cstheme="minorHAnsi"/>
        </w:rPr>
        <w:t>guarantees portfolio</w:t>
      </w:r>
      <w:r w:rsidR="00CF6655">
        <w:rPr>
          <w:rFonts w:cstheme="minorHAnsi"/>
        </w:rPr>
        <w:t>,</w:t>
      </w:r>
      <w:r w:rsidR="00224935">
        <w:rPr>
          <w:rFonts w:cstheme="minorHAnsi"/>
        </w:rPr>
        <w:t xml:space="preserve"> </w:t>
      </w:r>
      <w:r w:rsidRPr="00207234">
        <w:rPr>
          <w:rFonts w:cstheme="minorHAnsi"/>
        </w:rPr>
        <w:t xml:space="preserve">and help improve the quality of the risk decisions that UNDP has to make. </w:t>
      </w:r>
    </w:p>
    <w:p w14:paraId="2EDDD60E" w14:textId="77777777" w:rsidR="007969B4" w:rsidRPr="00753DF0" w:rsidRDefault="007969B4" w:rsidP="00DA5CA4">
      <w:pPr>
        <w:pStyle w:val="ListParagraph"/>
        <w:numPr>
          <w:ilvl w:val="1"/>
          <w:numId w:val="16"/>
        </w:numPr>
        <w:spacing w:after="120" w:line="276" w:lineRule="auto"/>
        <w:ind w:left="540"/>
        <w:contextualSpacing w:val="0"/>
        <w:jc w:val="both"/>
        <w:rPr>
          <w:rFonts w:cstheme="minorHAnsi"/>
          <w:i/>
          <w:color w:val="000000" w:themeColor="text1"/>
          <w:lang w:val="en-GB"/>
        </w:rPr>
      </w:pPr>
      <w:r w:rsidRPr="00753DF0">
        <w:rPr>
          <w:rFonts w:cstheme="minorHAnsi"/>
          <w:b/>
          <w:i/>
          <w:color w:val="000000" w:themeColor="text1"/>
          <w:lang w:val="en-GB"/>
        </w:rPr>
        <w:t xml:space="preserve">Which financial institutions should UNDP </w:t>
      </w:r>
      <w:r w:rsidR="00F20395">
        <w:rPr>
          <w:rFonts w:cstheme="minorHAnsi"/>
          <w:b/>
          <w:i/>
          <w:color w:val="000000" w:themeColor="text1"/>
          <w:lang w:val="en-GB"/>
        </w:rPr>
        <w:t xml:space="preserve">engage </w:t>
      </w:r>
      <w:r w:rsidRPr="00753DF0">
        <w:rPr>
          <w:rFonts w:cstheme="minorHAnsi"/>
          <w:b/>
          <w:i/>
          <w:color w:val="000000" w:themeColor="text1"/>
          <w:lang w:val="en-GB"/>
        </w:rPr>
        <w:t>with?</w:t>
      </w:r>
      <w:r w:rsidRPr="00753DF0">
        <w:rPr>
          <w:rFonts w:cstheme="minorHAnsi"/>
          <w:i/>
          <w:color w:val="000000" w:themeColor="text1"/>
          <w:lang w:val="en-GB"/>
        </w:rPr>
        <w:t xml:space="preserve"> </w:t>
      </w:r>
    </w:p>
    <w:p w14:paraId="0F69B3DA" w14:textId="24B84B4F" w:rsidR="007969B4" w:rsidRDefault="007969B4" w:rsidP="00EC6C91">
      <w:pPr>
        <w:pStyle w:val="ListParagraph"/>
        <w:spacing w:line="276" w:lineRule="auto"/>
        <w:ind w:left="540"/>
        <w:contextualSpacing w:val="0"/>
        <w:jc w:val="both"/>
        <w:rPr>
          <w:rFonts w:cstheme="minorHAnsi"/>
        </w:rPr>
      </w:pPr>
      <w:r>
        <w:rPr>
          <w:rFonts w:cstheme="minorHAnsi"/>
        </w:rPr>
        <w:t xml:space="preserve">UNDP </w:t>
      </w:r>
      <w:r w:rsidR="00C57A3D">
        <w:rPr>
          <w:rFonts w:cstheme="minorHAnsi"/>
        </w:rPr>
        <w:t>must</w:t>
      </w:r>
      <w:r w:rsidRPr="00F730D3">
        <w:rPr>
          <w:rFonts w:cstheme="minorHAnsi"/>
        </w:rPr>
        <w:t xml:space="preserve"> </w:t>
      </w:r>
      <w:r w:rsidR="006C5149">
        <w:rPr>
          <w:rFonts w:cstheme="minorHAnsi"/>
        </w:rPr>
        <w:t xml:space="preserve">engage </w:t>
      </w:r>
      <w:r w:rsidRPr="00F730D3">
        <w:rPr>
          <w:rFonts w:cstheme="minorHAnsi"/>
        </w:rPr>
        <w:t xml:space="preserve">reputable commercial </w:t>
      </w:r>
      <w:r w:rsidR="00991794">
        <w:rPr>
          <w:rFonts w:cstheme="minorHAnsi"/>
        </w:rPr>
        <w:t xml:space="preserve">or development </w:t>
      </w:r>
      <w:r w:rsidRPr="00F730D3">
        <w:rPr>
          <w:rFonts w:cstheme="minorHAnsi"/>
        </w:rPr>
        <w:t xml:space="preserve">banks or multinational financial institutions with skilled staff and capacities </w:t>
      </w:r>
      <w:r w:rsidR="00FD15D8">
        <w:rPr>
          <w:rFonts w:cstheme="minorHAnsi"/>
        </w:rPr>
        <w:t xml:space="preserve">for the </w:t>
      </w:r>
      <w:r w:rsidRPr="00F730D3">
        <w:rPr>
          <w:rFonts w:cstheme="minorHAnsi"/>
        </w:rPr>
        <w:t>manage</w:t>
      </w:r>
      <w:r w:rsidR="00FD15D8">
        <w:rPr>
          <w:rFonts w:cstheme="minorHAnsi"/>
        </w:rPr>
        <w:t>ment of</w:t>
      </w:r>
      <w:r w:rsidRPr="00F730D3">
        <w:rPr>
          <w:rFonts w:cstheme="minorHAnsi"/>
        </w:rPr>
        <w:t xml:space="preserve"> credit portfolios to issue and administer </w:t>
      </w:r>
      <w:r w:rsidR="006A3E01">
        <w:rPr>
          <w:rFonts w:cstheme="minorHAnsi"/>
        </w:rPr>
        <w:t xml:space="preserve">UNDP-supported </w:t>
      </w:r>
      <w:r w:rsidRPr="00F730D3">
        <w:rPr>
          <w:rFonts w:cstheme="minorHAnsi"/>
        </w:rPr>
        <w:t>guarantees.</w:t>
      </w:r>
      <w:r w:rsidR="00DC3183">
        <w:rPr>
          <w:rFonts w:cstheme="minorHAnsi"/>
        </w:rPr>
        <w:t xml:space="preserve"> </w:t>
      </w:r>
      <w:r w:rsidR="00FC5EC0">
        <w:rPr>
          <w:rFonts w:cstheme="minorHAnsi"/>
        </w:rPr>
        <w:t xml:space="preserve">BMS/OFM </w:t>
      </w:r>
      <w:r w:rsidR="00DC3183">
        <w:rPr>
          <w:rFonts w:cstheme="minorHAnsi"/>
        </w:rPr>
        <w:t xml:space="preserve">Treasury will support all Country </w:t>
      </w:r>
      <w:r w:rsidR="00326437">
        <w:rPr>
          <w:rFonts w:cstheme="minorHAnsi"/>
        </w:rPr>
        <w:t>O</w:t>
      </w:r>
      <w:r w:rsidR="00DC3183">
        <w:rPr>
          <w:rFonts w:cstheme="minorHAnsi"/>
        </w:rPr>
        <w:t xml:space="preserve">ffices </w:t>
      </w:r>
      <w:r w:rsidR="00326437">
        <w:rPr>
          <w:rFonts w:cstheme="minorHAnsi"/>
        </w:rPr>
        <w:t xml:space="preserve">with </w:t>
      </w:r>
      <w:r w:rsidR="00DC3183">
        <w:rPr>
          <w:rFonts w:cstheme="minorHAnsi"/>
        </w:rPr>
        <w:t xml:space="preserve">the identification and selection of the </w:t>
      </w:r>
      <w:r w:rsidR="0044530C">
        <w:rPr>
          <w:rFonts w:cstheme="minorHAnsi"/>
        </w:rPr>
        <w:t>Guarantee Issuer</w:t>
      </w:r>
      <w:r w:rsidR="00DC3183">
        <w:rPr>
          <w:rFonts w:cstheme="minorHAnsi"/>
        </w:rPr>
        <w:t>.</w:t>
      </w:r>
      <w:r>
        <w:rPr>
          <w:rFonts w:cstheme="minorHAnsi"/>
        </w:rPr>
        <w:t xml:space="preserve"> </w:t>
      </w:r>
      <w:r w:rsidR="005E4D73">
        <w:rPr>
          <w:rFonts w:cstheme="minorHAnsi"/>
        </w:rPr>
        <w:t>In most cases this will likely be a</w:t>
      </w:r>
      <w:r w:rsidR="00AE1A03">
        <w:rPr>
          <w:rFonts w:cstheme="minorHAnsi"/>
        </w:rPr>
        <w:t xml:space="preserve">n existing </w:t>
      </w:r>
      <w:r w:rsidR="007756DB">
        <w:rPr>
          <w:rFonts w:cstheme="minorHAnsi"/>
        </w:rPr>
        <w:t>bank</w:t>
      </w:r>
      <w:r w:rsidR="00FE343D">
        <w:rPr>
          <w:rFonts w:cstheme="minorHAnsi"/>
        </w:rPr>
        <w:t xml:space="preserve">ing partner of </w:t>
      </w:r>
      <w:r w:rsidR="007756DB">
        <w:rPr>
          <w:rFonts w:cstheme="minorHAnsi"/>
        </w:rPr>
        <w:t xml:space="preserve">UNDP. </w:t>
      </w:r>
      <w:r w:rsidR="00356C78">
        <w:rPr>
          <w:rFonts w:cstheme="minorHAnsi"/>
        </w:rPr>
        <w:t xml:space="preserve">In addition, the choice </w:t>
      </w:r>
      <w:r w:rsidR="00AE1A03">
        <w:rPr>
          <w:rFonts w:cstheme="minorHAnsi"/>
        </w:rPr>
        <w:t xml:space="preserve">of financial institutions can also extend to local in-country financial institutions who have proven and demonstrated </w:t>
      </w:r>
      <w:r w:rsidR="00C61768">
        <w:rPr>
          <w:rFonts w:cstheme="minorHAnsi"/>
        </w:rPr>
        <w:t xml:space="preserve">technical, managerial, financial and fiduciary capabilities to administer guarantees </w:t>
      </w:r>
      <w:r w:rsidR="00FE343D">
        <w:rPr>
          <w:rFonts w:cstheme="minorHAnsi"/>
        </w:rPr>
        <w:t xml:space="preserve">and other </w:t>
      </w:r>
      <w:r w:rsidR="00AE1A03">
        <w:rPr>
          <w:rFonts w:cstheme="minorHAnsi"/>
        </w:rPr>
        <w:t xml:space="preserve">credit </w:t>
      </w:r>
      <w:r w:rsidR="00FE343D">
        <w:rPr>
          <w:rFonts w:cstheme="minorHAnsi"/>
        </w:rPr>
        <w:t>instrument</w:t>
      </w:r>
      <w:r w:rsidR="00482D3F">
        <w:rPr>
          <w:rFonts w:cstheme="minorHAnsi"/>
        </w:rPr>
        <w:t>s</w:t>
      </w:r>
      <w:r w:rsidR="00AE1A03">
        <w:rPr>
          <w:rFonts w:cstheme="minorHAnsi"/>
        </w:rPr>
        <w:t xml:space="preserve">. </w:t>
      </w:r>
      <w:r>
        <w:rPr>
          <w:rFonts w:cstheme="minorHAnsi"/>
        </w:rPr>
        <w:t>In addition to issuing and managing the UNDP</w:t>
      </w:r>
      <w:r w:rsidR="00001EEF">
        <w:rPr>
          <w:rFonts w:cstheme="minorHAnsi"/>
        </w:rPr>
        <w:t>-supported</w:t>
      </w:r>
      <w:r>
        <w:rPr>
          <w:rFonts w:cstheme="minorHAnsi"/>
        </w:rPr>
        <w:t xml:space="preserve"> guarantee, </w:t>
      </w:r>
      <w:r w:rsidR="0061452F">
        <w:rPr>
          <w:rFonts w:cstheme="minorHAnsi"/>
        </w:rPr>
        <w:t>the selected financial institutions will also be entrusted with holding an advance deposit escrow account</w:t>
      </w:r>
      <w:r>
        <w:rPr>
          <w:rFonts w:cstheme="minorHAnsi"/>
        </w:rPr>
        <w:t xml:space="preserve"> for </w:t>
      </w:r>
      <w:r w:rsidR="001F35D7">
        <w:rPr>
          <w:rFonts w:cstheme="minorHAnsi"/>
        </w:rPr>
        <w:t xml:space="preserve">the </w:t>
      </w:r>
      <w:r>
        <w:rPr>
          <w:rFonts w:cstheme="minorHAnsi"/>
        </w:rPr>
        <w:t xml:space="preserve">guarantee. </w:t>
      </w:r>
      <w:r w:rsidR="000852F7">
        <w:rPr>
          <w:rFonts w:cstheme="minorHAnsi"/>
        </w:rPr>
        <w:t xml:space="preserve">Based on the terms </w:t>
      </w:r>
      <w:r w:rsidR="000852F7">
        <w:rPr>
          <w:rFonts w:cstheme="minorHAnsi"/>
        </w:rPr>
        <w:lastRenderedPageBreak/>
        <w:t xml:space="preserve">of the </w:t>
      </w:r>
      <w:r w:rsidR="007126BC">
        <w:rPr>
          <w:rFonts w:cstheme="minorHAnsi"/>
        </w:rPr>
        <w:t>Guarantee Issuer</w:t>
      </w:r>
      <w:r w:rsidR="000852F7">
        <w:rPr>
          <w:rFonts w:cstheme="minorHAnsi"/>
        </w:rPr>
        <w:t xml:space="preserve"> agreement with </w:t>
      </w:r>
      <w:r>
        <w:rPr>
          <w:rFonts w:cstheme="minorHAnsi"/>
        </w:rPr>
        <w:t xml:space="preserve">UNDP, the </w:t>
      </w:r>
      <w:r w:rsidR="007126BC">
        <w:rPr>
          <w:rFonts w:cstheme="minorHAnsi"/>
        </w:rPr>
        <w:t>Guarantee Issuer</w:t>
      </w:r>
      <w:r>
        <w:rPr>
          <w:rFonts w:cstheme="minorHAnsi"/>
        </w:rPr>
        <w:t xml:space="preserve"> will manage </w:t>
      </w:r>
      <w:r w:rsidR="000F6BD9">
        <w:rPr>
          <w:rFonts w:cstheme="minorHAnsi"/>
        </w:rPr>
        <w:t xml:space="preserve">guarantee related </w:t>
      </w:r>
      <w:r>
        <w:rPr>
          <w:rFonts w:cstheme="minorHAnsi"/>
        </w:rPr>
        <w:t xml:space="preserve">cash flows which may include </w:t>
      </w:r>
      <w:r w:rsidR="00114837">
        <w:rPr>
          <w:rFonts w:cstheme="minorHAnsi"/>
        </w:rPr>
        <w:t xml:space="preserve">collection of guarantee fees, </w:t>
      </w:r>
      <w:r>
        <w:rPr>
          <w:rFonts w:cstheme="minorHAnsi"/>
        </w:rPr>
        <w:t>guarantee pay</w:t>
      </w:r>
      <w:r w:rsidR="00202D49">
        <w:rPr>
          <w:rFonts w:cstheme="minorHAnsi"/>
        </w:rPr>
        <w:t>-</w:t>
      </w:r>
      <w:r>
        <w:rPr>
          <w:rFonts w:cstheme="minorHAnsi"/>
        </w:rPr>
        <w:t>outs</w:t>
      </w:r>
      <w:r w:rsidR="00114837">
        <w:rPr>
          <w:rFonts w:cstheme="minorHAnsi"/>
        </w:rPr>
        <w:t>, etc</w:t>
      </w:r>
      <w:r>
        <w:rPr>
          <w:rFonts w:cstheme="minorHAnsi"/>
        </w:rPr>
        <w:t xml:space="preserve">. </w:t>
      </w:r>
    </w:p>
    <w:p w14:paraId="652560B9" w14:textId="75627D47" w:rsidR="007969B4" w:rsidRPr="00705A32" w:rsidRDefault="00FC5EC0" w:rsidP="00F32780">
      <w:pPr>
        <w:pStyle w:val="ListParagraph"/>
        <w:spacing w:after="120" w:line="276" w:lineRule="auto"/>
        <w:ind w:left="547"/>
        <w:contextualSpacing w:val="0"/>
        <w:jc w:val="both"/>
        <w:rPr>
          <w:rFonts w:cstheme="minorHAnsi"/>
        </w:rPr>
      </w:pPr>
      <w:r>
        <w:rPr>
          <w:rFonts w:cstheme="minorHAnsi"/>
        </w:rPr>
        <w:t xml:space="preserve">BMs/OFM </w:t>
      </w:r>
      <w:r w:rsidR="00CC7B96" w:rsidRPr="00302085">
        <w:rPr>
          <w:rFonts w:cstheme="minorHAnsi"/>
        </w:rPr>
        <w:t xml:space="preserve">Treasury will </w:t>
      </w:r>
      <w:r w:rsidR="00F0680C" w:rsidRPr="00446480">
        <w:rPr>
          <w:rFonts w:cstheme="minorHAnsi"/>
        </w:rPr>
        <w:t xml:space="preserve">obtain competitive bid pricing from at least two </w:t>
      </w:r>
      <w:r w:rsidR="00DA0DE8">
        <w:rPr>
          <w:rFonts w:cstheme="minorHAnsi"/>
        </w:rPr>
        <w:t xml:space="preserve">potential </w:t>
      </w:r>
      <w:r w:rsidR="00F0680C" w:rsidRPr="00446480">
        <w:rPr>
          <w:rFonts w:cstheme="minorHAnsi"/>
        </w:rPr>
        <w:t>guarantee issuers, in addition to</w:t>
      </w:r>
      <w:r w:rsidR="00F0680C" w:rsidRPr="00302085">
        <w:rPr>
          <w:rFonts w:cstheme="minorHAnsi"/>
        </w:rPr>
        <w:t xml:space="preserve"> </w:t>
      </w:r>
      <w:r w:rsidR="00CC7B96" w:rsidRPr="00302085">
        <w:rPr>
          <w:rFonts w:cstheme="minorHAnsi"/>
        </w:rPr>
        <w:t>review</w:t>
      </w:r>
      <w:r w:rsidR="00C41682">
        <w:rPr>
          <w:rFonts w:cstheme="minorHAnsi"/>
        </w:rPr>
        <w:t>ing</w:t>
      </w:r>
      <w:r w:rsidR="00CC7B96">
        <w:rPr>
          <w:rFonts w:cstheme="minorHAnsi"/>
        </w:rPr>
        <w:t xml:space="preserve"> </w:t>
      </w:r>
      <w:r w:rsidR="00222F48">
        <w:rPr>
          <w:rFonts w:cstheme="minorHAnsi"/>
        </w:rPr>
        <w:t>several</w:t>
      </w:r>
      <w:r w:rsidR="00CC7B96">
        <w:rPr>
          <w:rFonts w:cstheme="minorHAnsi"/>
        </w:rPr>
        <w:t xml:space="preserve"> c</w:t>
      </w:r>
      <w:r w:rsidR="00CC7B96" w:rsidRPr="00705A32">
        <w:rPr>
          <w:rFonts w:cstheme="minorHAnsi"/>
        </w:rPr>
        <w:t xml:space="preserve">riteria </w:t>
      </w:r>
      <w:r w:rsidR="007969B4" w:rsidRPr="00705A32">
        <w:rPr>
          <w:rFonts w:cstheme="minorHAnsi"/>
        </w:rPr>
        <w:t xml:space="preserve">to assess the suitability of financial institutions to partner </w:t>
      </w:r>
      <w:r w:rsidR="002F7F9D">
        <w:rPr>
          <w:rFonts w:cstheme="minorHAnsi"/>
        </w:rPr>
        <w:t xml:space="preserve">with UNDP </w:t>
      </w:r>
      <w:r w:rsidR="007969B4" w:rsidRPr="00705A32">
        <w:rPr>
          <w:rFonts w:cstheme="minorHAnsi"/>
        </w:rPr>
        <w:t xml:space="preserve">as </w:t>
      </w:r>
      <w:r w:rsidR="00484A39">
        <w:rPr>
          <w:rFonts w:cstheme="minorHAnsi"/>
        </w:rPr>
        <w:t>Guarantee</w:t>
      </w:r>
      <w:r w:rsidR="009E06DE">
        <w:rPr>
          <w:rFonts w:cstheme="minorHAnsi"/>
        </w:rPr>
        <w:t xml:space="preserve"> Issuers</w:t>
      </w:r>
      <w:r w:rsidR="002F7F9D">
        <w:rPr>
          <w:rFonts w:cstheme="minorHAnsi"/>
        </w:rPr>
        <w:t>.</w:t>
      </w:r>
      <w:r w:rsidR="00CC7B96">
        <w:rPr>
          <w:rFonts w:cstheme="minorHAnsi"/>
        </w:rPr>
        <w:t xml:space="preserve"> </w:t>
      </w:r>
      <w:r w:rsidR="002F7F9D">
        <w:rPr>
          <w:rFonts w:cstheme="minorHAnsi"/>
        </w:rPr>
        <w:t>Some of the c</w:t>
      </w:r>
      <w:r w:rsidR="00930492">
        <w:rPr>
          <w:rFonts w:cstheme="minorHAnsi"/>
        </w:rPr>
        <w:t xml:space="preserve">riteria is </w:t>
      </w:r>
      <w:r w:rsidR="007969B4">
        <w:rPr>
          <w:rFonts w:cstheme="minorHAnsi"/>
        </w:rPr>
        <w:t>listed below:</w:t>
      </w:r>
    </w:p>
    <w:p w14:paraId="65FC91B1" w14:textId="51DF9A20" w:rsidR="007969B4" w:rsidRDefault="007969B4" w:rsidP="00DA5CA4">
      <w:pPr>
        <w:pStyle w:val="ListParagraph"/>
        <w:numPr>
          <w:ilvl w:val="0"/>
          <w:numId w:val="9"/>
        </w:numPr>
        <w:spacing w:after="200" w:line="276" w:lineRule="auto"/>
        <w:ind w:left="1080"/>
        <w:jc w:val="both"/>
        <w:rPr>
          <w:rFonts w:cstheme="minorHAnsi"/>
        </w:rPr>
      </w:pPr>
      <w:r w:rsidRPr="00F16AA8">
        <w:rPr>
          <w:rFonts w:cstheme="minorHAnsi"/>
        </w:rPr>
        <w:t>Solvency</w:t>
      </w:r>
      <w:r w:rsidR="00326F6D">
        <w:rPr>
          <w:rFonts w:cstheme="minorHAnsi"/>
        </w:rPr>
        <w:t>, credit rating</w:t>
      </w:r>
      <w:r w:rsidRPr="00F16AA8">
        <w:rPr>
          <w:rFonts w:cstheme="minorHAnsi"/>
        </w:rPr>
        <w:t xml:space="preserve"> and liquidity situation of the </w:t>
      </w:r>
      <w:r w:rsidR="00EF36AF">
        <w:rPr>
          <w:rFonts w:cstheme="minorHAnsi"/>
        </w:rPr>
        <w:t>institution</w:t>
      </w:r>
    </w:p>
    <w:p w14:paraId="256E1024" w14:textId="77777777" w:rsidR="007969B4" w:rsidRDefault="007969B4" w:rsidP="00DA5CA4">
      <w:pPr>
        <w:pStyle w:val="ListParagraph"/>
        <w:numPr>
          <w:ilvl w:val="0"/>
          <w:numId w:val="9"/>
        </w:numPr>
        <w:spacing w:after="200" w:line="276" w:lineRule="auto"/>
        <w:ind w:left="1080"/>
        <w:jc w:val="both"/>
        <w:rPr>
          <w:rFonts w:cstheme="minorHAnsi"/>
        </w:rPr>
      </w:pPr>
      <w:r w:rsidRPr="00F16AA8">
        <w:rPr>
          <w:rFonts w:cstheme="minorHAnsi"/>
        </w:rPr>
        <w:t xml:space="preserve">Previous experience </w:t>
      </w:r>
      <w:r>
        <w:rPr>
          <w:rFonts w:cstheme="minorHAnsi"/>
        </w:rPr>
        <w:t xml:space="preserve">and track record </w:t>
      </w:r>
      <w:r w:rsidRPr="00F16AA8">
        <w:rPr>
          <w:rFonts w:cstheme="minorHAnsi"/>
        </w:rPr>
        <w:t>with guarantee instruments and lending</w:t>
      </w:r>
      <w:r w:rsidR="006F2DD4">
        <w:rPr>
          <w:rFonts w:cstheme="minorHAnsi"/>
        </w:rPr>
        <w:t>, preferably in the target geography</w:t>
      </w:r>
      <w:r w:rsidR="00D9069D">
        <w:rPr>
          <w:rFonts w:cstheme="minorHAnsi"/>
        </w:rPr>
        <w:t>/sector</w:t>
      </w:r>
    </w:p>
    <w:p w14:paraId="0A6DEA95" w14:textId="77777777" w:rsidR="007969B4" w:rsidRDefault="007969B4" w:rsidP="00DA5CA4">
      <w:pPr>
        <w:pStyle w:val="ListParagraph"/>
        <w:numPr>
          <w:ilvl w:val="0"/>
          <w:numId w:val="9"/>
        </w:numPr>
        <w:spacing w:after="200" w:line="276" w:lineRule="auto"/>
        <w:ind w:left="1080"/>
        <w:jc w:val="both"/>
        <w:rPr>
          <w:rFonts w:cstheme="minorHAnsi"/>
        </w:rPr>
      </w:pPr>
      <w:r>
        <w:rPr>
          <w:rFonts w:cstheme="minorHAnsi"/>
        </w:rPr>
        <w:t xml:space="preserve">Key personnel </w:t>
      </w:r>
    </w:p>
    <w:p w14:paraId="35CCFDC4" w14:textId="77777777" w:rsidR="006F2DD4" w:rsidRDefault="006F2DD4" w:rsidP="00DA5CA4">
      <w:pPr>
        <w:pStyle w:val="ListParagraph"/>
        <w:numPr>
          <w:ilvl w:val="0"/>
          <w:numId w:val="9"/>
        </w:numPr>
        <w:spacing w:after="200" w:line="276" w:lineRule="auto"/>
        <w:ind w:left="1080"/>
        <w:jc w:val="both"/>
        <w:rPr>
          <w:rFonts w:cstheme="minorHAnsi"/>
        </w:rPr>
      </w:pPr>
      <w:r>
        <w:rPr>
          <w:rFonts w:cstheme="minorHAnsi"/>
        </w:rPr>
        <w:t xml:space="preserve">Policies and procedures related to fiduciary, financial and </w:t>
      </w:r>
      <w:r w:rsidR="00D9069D">
        <w:rPr>
          <w:rFonts w:cstheme="minorHAnsi"/>
        </w:rPr>
        <w:t>administrative matters related to guarantees</w:t>
      </w:r>
    </w:p>
    <w:p w14:paraId="1430256B" w14:textId="77777777" w:rsidR="009A53A8" w:rsidRDefault="009A53A8" w:rsidP="00DA5CA4">
      <w:pPr>
        <w:pStyle w:val="ListParagraph"/>
        <w:numPr>
          <w:ilvl w:val="0"/>
          <w:numId w:val="9"/>
        </w:numPr>
        <w:spacing w:after="200" w:line="276" w:lineRule="auto"/>
        <w:ind w:left="1080"/>
        <w:jc w:val="both"/>
        <w:rPr>
          <w:rFonts w:cstheme="minorHAnsi"/>
        </w:rPr>
      </w:pPr>
      <w:r>
        <w:rPr>
          <w:rFonts w:cstheme="minorHAnsi"/>
        </w:rPr>
        <w:t>Risk management</w:t>
      </w:r>
    </w:p>
    <w:p w14:paraId="16182BDA" w14:textId="0A28AB40" w:rsidR="007969B4" w:rsidRDefault="007969B4" w:rsidP="00DA5CA4">
      <w:pPr>
        <w:pStyle w:val="ListParagraph"/>
        <w:numPr>
          <w:ilvl w:val="0"/>
          <w:numId w:val="9"/>
        </w:numPr>
        <w:spacing w:after="200" w:line="276" w:lineRule="auto"/>
        <w:ind w:left="1080"/>
        <w:jc w:val="both"/>
        <w:rPr>
          <w:rFonts w:cstheme="minorHAnsi"/>
        </w:rPr>
      </w:pPr>
      <w:r>
        <w:rPr>
          <w:rFonts w:cstheme="minorHAnsi"/>
        </w:rPr>
        <w:t>Relationships with lenders</w:t>
      </w:r>
      <w:r w:rsidR="00905E96">
        <w:rPr>
          <w:rFonts w:cstheme="minorHAnsi"/>
        </w:rPr>
        <w:t xml:space="preserve"> and </w:t>
      </w:r>
      <w:r>
        <w:rPr>
          <w:rFonts w:cstheme="minorHAnsi"/>
        </w:rPr>
        <w:t>borrowers</w:t>
      </w:r>
    </w:p>
    <w:p w14:paraId="7D3196F0" w14:textId="77777777" w:rsidR="00862C53" w:rsidRPr="00862C53" w:rsidRDefault="00862C53" w:rsidP="00DA5CA4">
      <w:pPr>
        <w:pStyle w:val="ListParagraph"/>
        <w:numPr>
          <w:ilvl w:val="0"/>
          <w:numId w:val="9"/>
        </w:numPr>
        <w:spacing w:after="200" w:line="276" w:lineRule="auto"/>
        <w:ind w:left="1080"/>
        <w:jc w:val="both"/>
        <w:rPr>
          <w:rFonts w:cstheme="minorHAnsi"/>
        </w:rPr>
      </w:pPr>
      <w:r w:rsidRPr="00862C53">
        <w:rPr>
          <w:rFonts w:cstheme="minorHAnsi"/>
        </w:rPr>
        <w:t>Geographical coverage and presence</w:t>
      </w:r>
    </w:p>
    <w:p w14:paraId="72786248" w14:textId="68A6F143" w:rsidR="00862C53" w:rsidRPr="00862C53" w:rsidRDefault="00862C53" w:rsidP="00DA5CA4">
      <w:pPr>
        <w:pStyle w:val="ListParagraph"/>
        <w:numPr>
          <w:ilvl w:val="0"/>
          <w:numId w:val="9"/>
        </w:numPr>
        <w:spacing w:after="200" w:line="276" w:lineRule="auto"/>
        <w:ind w:left="1080"/>
        <w:jc w:val="both"/>
        <w:rPr>
          <w:rFonts w:cstheme="minorHAnsi"/>
        </w:rPr>
      </w:pPr>
      <w:r w:rsidRPr="00862C53">
        <w:rPr>
          <w:rFonts w:cstheme="minorHAnsi"/>
        </w:rPr>
        <w:t xml:space="preserve">Electronic Banking and </w:t>
      </w:r>
      <w:r w:rsidR="00AE3894">
        <w:rPr>
          <w:rFonts w:cstheme="minorHAnsi"/>
        </w:rPr>
        <w:t xml:space="preserve">ability to </w:t>
      </w:r>
      <w:r w:rsidRPr="00862C53">
        <w:rPr>
          <w:rFonts w:cstheme="minorHAnsi"/>
        </w:rPr>
        <w:t xml:space="preserve">interface with </w:t>
      </w:r>
      <w:r w:rsidR="00AE3894">
        <w:rPr>
          <w:rFonts w:cstheme="minorHAnsi"/>
        </w:rPr>
        <w:t xml:space="preserve">UNDP’s </w:t>
      </w:r>
      <w:r w:rsidRPr="00862C53">
        <w:rPr>
          <w:rFonts w:cstheme="minorHAnsi"/>
        </w:rPr>
        <w:t>ERP System</w:t>
      </w:r>
    </w:p>
    <w:p w14:paraId="0F5F4FFB" w14:textId="77777777" w:rsidR="00862C53" w:rsidRPr="00862C53" w:rsidRDefault="00862C53" w:rsidP="00DA5CA4">
      <w:pPr>
        <w:pStyle w:val="ListParagraph"/>
        <w:numPr>
          <w:ilvl w:val="0"/>
          <w:numId w:val="9"/>
        </w:numPr>
        <w:spacing w:after="200" w:line="276" w:lineRule="auto"/>
        <w:ind w:left="1080"/>
        <w:jc w:val="both"/>
        <w:rPr>
          <w:rFonts w:cstheme="minorHAnsi"/>
        </w:rPr>
      </w:pPr>
      <w:r w:rsidRPr="00862C53">
        <w:rPr>
          <w:rFonts w:cstheme="minorHAnsi"/>
        </w:rPr>
        <w:t>Customer Service</w:t>
      </w:r>
    </w:p>
    <w:p w14:paraId="56A8A2B8" w14:textId="77777777" w:rsidR="00862C53" w:rsidRDefault="00862C53" w:rsidP="00862C53">
      <w:pPr>
        <w:pStyle w:val="ListParagraph"/>
        <w:spacing w:after="200" w:line="276" w:lineRule="auto"/>
        <w:ind w:left="1080"/>
        <w:jc w:val="both"/>
        <w:rPr>
          <w:rFonts w:cstheme="minorHAnsi"/>
        </w:rPr>
      </w:pPr>
    </w:p>
    <w:p w14:paraId="1E774423" w14:textId="77777777" w:rsidR="007969B4" w:rsidRPr="00963463" w:rsidRDefault="007969B4" w:rsidP="00DA5CA4">
      <w:pPr>
        <w:pStyle w:val="ListParagraph"/>
        <w:numPr>
          <w:ilvl w:val="1"/>
          <w:numId w:val="16"/>
        </w:numPr>
        <w:spacing w:after="120" w:line="276" w:lineRule="auto"/>
        <w:ind w:left="540"/>
        <w:contextualSpacing w:val="0"/>
        <w:jc w:val="both"/>
        <w:rPr>
          <w:rFonts w:cstheme="minorHAnsi"/>
          <w:i/>
          <w:color w:val="000000" w:themeColor="text1"/>
          <w:lang w:val="en-GB"/>
        </w:rPr>
      </w:pPr>
      <w:r w:rsidRPr="0010038D">
        <w:rPr>
          <w:rFonts w:cstheme="minorHAnsi"/>
          <w:b/>
          <w:i/>
          <w:color w:val="000000" w:themeColor="text1"/>
          <w:lang w:val="en-GB"/>
        </w:rPr>
        <w:t xml:space="preserve">How to </w:t>
      </w:r>
      <w:r w:rsidR="00F62C87">
        <w:rPr>
          <w:rFonts w:cstheme="minorHAnsi"/>
          <w:b/>
          <w:i/>
          <w:color w:val="000000" w:themeColor="text1"/>
          <w:lang w:val="en-GB"/>
        </w:rPr>
        <w:t xml:space="preserve">engage </w:t>
      </w:r>
      <w:r w:rsidRPr="0010038D">
        <w:rPr>
          <w:rFonts w:cstheme="minorHAnsi"/>
          <w:b/>
          <w:i/>
          <w:color w:val="000000" w:themeColor="text1"/>
          <w:lang w:val="en-GB"/>
        </w:rPr>
        <w:t>with financial in</w:t>
      </w:r>
      <w:r>
        <w:rPr>
          <w:rFonts w:cstheme="minorHAnsi"/>
          <w:b/>
          <w:i/>
          <w:color w:val="000000" w:themeColor="text1"/>
          <w:lang w:val="en-GB"/>
        </w:rPr>
        <w:t>stitu</w:t>
      </w:r>
      <w:r w:rsidRPr="0010038D">
        <w:rPr>
          <w:rFonts w:cstheme="minorHAnsi"/>
          <w:b/>
          <w:i/>
          <w:color w:val="000000" w:themeColor="text1"/>
          <w:lang w:val="en-GB"/>
        </w:rPr>
        <w:t>t</w:t>
      </w:r>
      <w:r>
        <w:rPr>
          <w:rFonts w:cstheme="minorHAnsi"/>
          <w:b/>
          <w:i/>
          <w:color w:val="000000" w:themeColor="text1"/>
          <w:lang w:val="en-GB"/>
        </w:rPr>
        <w:t>i</w:t>
      </w:r>
      <w:r w:rsidRPr="0010038D">
        <w:rPr>
          <w:rFonts w:cstheme="minorHAnsi"/>
          <w:b/>
          <w:i/>
          <w:color w:val="000000" w:themeColor="text1"/>
          <w:lang w:val="en-GB"/>
        </w:rPr>
        <w:t xml:space="preserve">ons? </w:t>
      </w:r>
    </w:p>
    <w:p w14:paraId="607DBDA4" w14:textId="5E6D0115" w:rsidR="007969B4" w:rsidRDefault="007126BC" w:rsidP="00963463">
      <w:pPr>
        <w:pStyle w:val="ListParagraph"/>
        <w:spacing w:line="276" w:lineRule="auto"/>
        <w:ind w:left="540"/>
        <w:contextualSpacing w:val="0"/>
        <w:jc w:val="both"/>
        <w:rPr>
          <w:color w:val="000000" w:themeColor="text1"/>
          <w:lang w:val="en-GB"/>
        </w:rPr>
      </w:pPr>
      <w:r>
        <w:rPr>
          <w:rFonts w:cstheme="minorHAnsi"/>
        </w:rPr>
        <w:t>Guarantee Issuer</w:t>
      </w:r>
      <w:r w:rsidR="007969B4">
        <w:rPr>
          <w:rFonts w:cstheme="minorHAnsi"/>
        </w:rPr>
        <w:t xml:space="preserve">s who are selected </w:t>
      </w:r>
      <w:r w:rsidR="00BA7DA9">
        <w:rPr>
          <w:rFonts w:cstheme="minorHAnsi"/>
        </w:rPr>
        <w:t xml:space="preserve">will </w:t>
      </w:r>
      <w:r w:rsidR="00E351C0">
        <w:rPr>
          <w:rFonts w:cstheme="minorHAnsi"/>
        </w:rPr>
        <w:t xml:space="preserve">have been vetted and </w:t>
      </w:r>
      <w:r w:rsidR="007969B4">
        <w:rPr>
          <w:rFonts w:cstheme="minorHAnsi"/>
        </w:rPr>
        <w:t xml:space="preserve">previously gone through a credit rating agency review to obtain an opinion of their financial strength. </w:t>
      </w:r>
      <w:r w:rsidR="007969B4" w:rsidRPr="003D4088">
        <w:rPr>
          <w:color w:val="000000" w:themeColor="text1"/>
          <w:lang w:val="en-GB"/>
        </w:rPr>
        <w:t xml:space="preserve">The selection process for the </w:t>
      </w:r>
      <w:r w:rsidR="007969B4">
        <w:rPr>
          <w:color w:val="000000" w:themeColor="text1"/>
          <w:lang w:val="en-GB"/>
        </w:rPr>
        <w:t xml:space="preserve">local </w:t>
      </w:r>
      <w:r w:rsidR="007969B4" w:rsidRPr="003D4088">
        <w:rPr>
          <w:color w:val="000000" w:themeColor="text1"/>
          <w:lang w:val="en-GB"/>
        </w:rPr>
        <w:t>financial i</w:t>
      </w:r>
      <w:r w:rsidR="007969B4">
        <w:rPr>
          <w:color w:val="000000" w:themeColor="text1"/>
          <w:lang w:val="en-GB"/>
        </w:rPr>
        <w:t>nstitutions will always follow a</w:t>
      </w:r>
      <w:r w:rsidR="00C27120">
        <w:rPr>
          <w:color w:val="000000" w:themeColor="text1"/>
          <w:lang w:val="en-GB"/>
        </w:rPr>
        <w:t>n open and international</w:t>
      </w:r>
      <w:r w:rsidR="007969B4">
        <w:rPr>
          <w:color w:val="000000" w:themeColor="text1"/>
          <w:lang w:val="en-GB"/>
        </w:rPr>
        <w:t xml:space="preserve"> competitive bidding process. The </w:t>
      </w:r>
      <w:r>
        <w:rPr>
          <w:color w:val="000000" w:themeColor="text1"/>
          <w:lang w:val="en-GB"/>
        </w:rPr>
        <w:t>Guarantee Issuer</w:t>
      </w:r>
      <w:r w:rsidR="007969B4">
        <w:rPr>
          <w:color w:val="000000" w:themeColor="text1"/>
          <w:lang w:val="en-GB"/>
        </w:rPr>
        <w:t xml:space="preserve"> will be engaged by </w:t>
      </w:r>
      <w:r w:rsidR="00FC5EC0">
        <w:rPr>
          <w:color w:val="000000" w:themeColor="text1"/>
          <w:lang w:val="en-GB"/>
        </w:rPr>
        <w:t xml:space="preserve">BMS/OFM </w:t>
      </w:r>
      <w:r w:rsidR="007969B4">
        <w:rPr>
          <w:color w:val="000000" w:themeColor="text1"/>
          <w:lang w:val="en-GB"/>
        </w:rPr>
        <w:t xml:space="preserve">Treasury </w:t>
      </w:r>
      <w:r w:rsidR="000015F9">
        <w:rPr>
          <w:color w:val="000000" w:themeColor="text1"/>
          <w:lang w:val="en-GB"/>
        </w:rPr>
        <w:t xml:space="preserve">based on </w:t>
      </w:r>
      <w:hyperlink w:anchor="_Annex_2:_Key" w:history="1">
        <w:r w:rsidR="000015F9" w:rsidRPr="003B32E8">
          <w:rPr>
            <w:rStyle w:val="Hyperlink"/>
            <w:lang w:val="en-GB"/>
          </w:rPr>
          <w:t>Annex 2</w:t>
        </w:r>
        <w:r w:rsidR="00A3674E">
          <w:rPr>
            <w:rStyle w:val="Hyperlink"/>
            <w:lang w:val="en-GB"/>
          </w:rPr>
          <w:t xml:space="preserve">: </w:t>
        </w:r>
        <w:r w:rsidR="009E7712" w:rsidRPr="003B32E8">
          <w:rPr>
            <w:rStyle w:val="Hyperlink"/>
            <w:lang w:val="en-GB"/>
          </w:rPr>
          <w:t>Key Principles to be Included in Guarantee Issuer Agreements and Guarantee Agreements</w:t>
        </w:r>
      </w:hyperlink>
      <w:r w:rsidR="00023A4C" w:rsidRPr="00BA7DA9">
        <w:rPr>
          <w:color w:val="000000" w:themeColor="text1"/>
          <w:lang w:val="en-GB"/>
        </w:rPr>
        <w:t>.</w:t>
      </w:r>
    </w:p>
    <w:p w14:paraId="52E12EFE" w14:textId="77777777" w:rsidR="00E8042D" w:rsidRPr="00963463" w:rsidRDefault="00FA73BF" w:rsidP="00DA5CA4">
      <w:pPr>
        <w:pStyle w:val="ListParagraph"/>
        <w:keepNext/>
        <w:numPr>
          <w:ilvl w:val="1"/>
          <w:numId w:val="16"/>
        </w:numPr>
        <w:spacing w:after="120" w:line="276" w:lineRule="auto"/>
        <w:ind w:left="547"/>
        <w:contextualSpacing w:val="0"/>
        <w:jc w:val="both"/>
        <w:rPr>
          <w:rFonts w:cstheme="minorHAnsi"/>
          <w:i/>
          <w:color w:val="000000" w:themeColor="text1"/>
          <w:lang w:val="en-GB"/>
        </w:rPr>
      </w:pPr>
      <w:r>
        <w:rPr>
          <w:rFonts w:cstheme="minorHAnsi"/>
          <w:b/>
          <w:i/>
          <w:color w:val="000000" w:themeColor="text1"/>
          <w:lang w:val="en-GB"/>
        </w:rPr>
        <w:t>What are</w:t>
      </w:r>
      <w:r w:rsidR="00E8042D" w:rsidRPr="00E8042D">
        <w:rPr>
          <w:rFonts w:cstheme="minorHAnsi"/>
          <w:b/>
          <w:i/>
          <w:color w:val="000000" w:themeColor="text1"/>
          <w:lang w:val="en-GB"/>
        </w:rPr>
        <w:t xml:space="preserve"> the responsibilities of the financial institutions </w:t>
      </w:r>
      <w:r>
        <w:rPr>
          <w:rFonts w:cstheme="minorHAnsi"/>
          <w:b/>
          <w:i/>
          <w:color w:val="000000" w:themeColor="text1"/>
          <w:lang w:val="en-GB"/>
        </w:rPr>
        <w:t xml:space="preserve">selected </w:t>
      </w:r>
      <w:r w:rsidR="00E8042D" w:rsidRPr="00E8042D">
        <w:rPr>
          <w:rFonts w:cstheme="minorHAnsi"/>
          <w:b/>
          <w:i/>
          <w:color w:val="000000" w:themeColor="text1"/>
          <w:lang w:val="en-GB"/>
        </w:rPr>
        <w:t xml:space="preserve">as </w:t>
      </w:r>
      <w:r w:rsidR="007126BC">
        <w:rPr>
          <w:rFonts w:cstheme="minorHAnsi"/>
          <w:b/>
          <w:i/>
          <w:color w:val="000000" w:themeColor="text1"/>
          <w:lang w:val="en-GB"/>
        </w:rPr>
        <w:t>Guarantee Issuer</w:t>
      </w:r>
      <w:r w:rsidR="00E8042D" w:rsidRPr="00E8042D">
        <w:rPr>
          <w:rFonts w:cstheme="minorHAnsi"/>
          <w:b/>
          <w:i/>
          <w:color w:val="000000" w:themeColor="text1"/>
          <w:lang w:val="en-GB"/>
        </w:rPr>
        <w:t>s</w:t>
      </w:r>
      <w:r w:rsidR="00E8042D">
        <w:rPr>
          <w:rFonts w:cstheme="minorHAnsi"/>
          <w:b/>
          <w:i/>
          <w:color w:val="000000" w:themeColor="text1"/>
          <w:lang w:val="en-GB"/>
        </w:rPr>
        <w:t>?</w:t>
      </w:r>
    </w:p>
    <w:p w14:paraId="23D4AE20" w14:textId="400B171D" w:rsidR="00524D8A" w:rsidRPr="00963463" w:rsidRDefault="00524D8A" w:rsidP="006500CD">
      <w:pPr>
        <w:pStyle w:val="ListParagraph"/>
        <w:keepNext/>
        <w:spacing w:after="60" w:line="276" w:lineRule="auto"/>
        <w:ind w:left="547"/>
        <w:contextualSpacing w:val="0"/>
        <w:jc w:val="both"/>
        <w:rPr>
          <w:color w:val="000000" w:themeColor="text1"/>
          <w:lang w:val="en-GB"/>
        </w:rPr>
      </w:pPr>
      <w:r w:rsidRPr="00963463">
        <w:rPr>
          <w:color w:val="000000" w:themeColor="text1"/>
          <w:lang w:val="en-GB"/>
        </w:rPr>
        <w:t xml:space="preserve">Financial </w:t>
      </w:r>
      <w:r w:rsidR="00C1004B" w:rsidRPr="00963463">
        <w:rPr>
          <w:rFonts w:cstheme="minorHAnsi"/>
        </w:rPr>
        <w:t>institutions</w:t>
      </w:r>
      <w:r w:rsidRPr="00963463">
        <w:rPr>
          <w:color w:val="000000" w:themeColor="text1"/>
          <w:lang w:val="en-GB"/>
        </w:rPr>
        <w:t xml:space="preserve"> selected to </w:t>
      </w:r>
      <w:r w:rsidR="007D37F6">
        <w:rPr>
          <w:color w:val="000000" w:themeColor="text1"/>
          <w:lang w:val="en-GB"/>
        </w:rPr>
        <w:t xml:space="preserve">act as </w:t>
      </w:r>
      <w:r w:rsidR="007126BC">
        <w:rPr>
          <w:color w:val="000000" w:themeColor="text1"/>
          <w:lang w:val="en-GB"/>
        </w:rPr>
        <w:t>Guarantee Issuer</w:t>
      </w:r>
      <w:r w:rsidR="00E06B32">
        <w:rPr>
          <w:color w:val="000000" w:themeColor="text1"/>
          <w:lang w:val="en-GB"/>
        </w:rPr>
        <w:t>s</w:t>
      </w:r>
      <w:r w:rsidRPr="00963463">
        <w:rPr>
          <w:color w:val="000000" w:themeColor="text1"/>
          <w:lang w:val="en-GB"/>
        </w:rPr>
        <w:t xml:space="preserve"> will be responsible for:</w:t>
      </w:r>
    </w:p>
    <w:p w14:paraId="3128D206" w14:textId="52DF86E6" w:rsidR="0075633B" w:rsidRDefault="0075633B" w:rsidP="00DA5CA4">
      <w:pPr>
        <w:pStyle w:val="ListParagraph"/>
        <w:numPr>
          <w:ilvl w:val="0"/>
          <w:numId w:val="12"/>
        </w:numPr>
        <w:spacing w:after="200" w:line="276" w:lineRule="auto"/>
        <w:ind w:left="1170"/>
        <w:jc w:val="both"/>
        <w:rPr>
          <w:color w:val="000000" w:themeColor="text1"/>
          <w:lang w:val="en-GB"/>
        </w:rPr>
      </w:pPr>
      <w:r>
        <w:rPr>
          <w:color w:val="000000" w:themeColor="text1"/>
          <w:lang w:val="en-GB"/>
        </w:rPr>
        <w:t xml:space="preserve">Conducting </w:t>
      </w:r>
      <w:r w:rsidR="00265678">
        <w:rPr>
          <w:color w:val="000000" w:themeColor="text1"/>
          <w:lang w:val="en-GB"/>
        </w:rPr>
        <w:t xml:space="preserve">pre-screening </w:t>
      </w:r>
      <w:r>
        <w:rPr>
          <w:color w:val="000000" w:themeColor="text1"/>
          <w:lang w:val="en-GB"/>
        </w:rPr>
        <w:t>and risk assessment (incl</w:t>
      </w:r>
      <w:r w:rsidR="00E9191E">
        <w:rPr>
          <w:color w:val="000000" w:themeColor="text1"/>
          <w:lang w:val="en-GB"/>
        </w:rPr>
        <w:t xml:space="preserve">uding </w:t>
      </w:r>
      <w:r>
        <w:rPr>
          <w:color w:val="000000" w:themeColor="text1"/>
          <w:lang w:val="en-GB"/>
        </w:rPr>
        <w:t>credit appraisal) of potential lenders</w:t>
      </w:r>
      <w:r w:rsidR="00265678">
        <w:rPr>
          <w:color w:val="000000" w:themeColor="text1"/>
          <w:lang w:val="en-GB"/>
        </w:rPr>
        <w:t xml:space="preserve">, </w:t>
      </w:r>
      <w:r w:rsidR="00265678" w:rsidRPr="00265678">
        <w:rPr>
          <w:color w:val="000000" w:themeColor="text1"/>
          <w:lang w:val="en-GB"/>
        </w:rPr>
        <w:t xml:space="preserve">as well as any additional </w:t>
      </w:r>
      <w:r w:rsidR="00265678">
        <w:rPr>
          <w:color w:val="000000" w:themeColor="text1"/>
          <w:lang w:val="en-GB"/>
        </w:rPr>
        <w:t xml:space="preserve">checks </w:t>
      </w:r>
      <w:r w:rsidR="00265678" w:rsidRPr="00265678">
        <w:rPr>
          <w:color w:val="000000" w:themeColor="text1"/>
          <w:lang w:val="en-GB"/>
        </w:rPr>
        <w:t xml:space="preserve">that are specific to the </w:t>
      </w:r>
      <w:r w:rsidR="00291A1A">
        <w:rPr>
          <w:color w:val="000000" w:themeColor="text1"/>
          <w:lang w:val="en-GB"/>
        </w:rPr>
        <w:t xml:space="preserve">lending </w:t>
      </w:r>
      <w:r w:rsidR="00F95DE7">
        <w:rPr>
          <w:color w:val="000000" w:themeColor="text1"/>
          <w:lang w:val="en-GB"/>
        </w:rPr>
        <w:t>facility</w:t>
      </w:r>
      <w:r>
        <w:rPr>
          <w:color w:val="000000" w:themeColor="text1"/>
          <w:lang w:val="en-GB"/>
        </w:rPr>
        <w:t xml:space="preserve"> </w:t>
      </w:r>
      <w:r w:rsidR="00265678">
        <w:rPr>
          <w:color w:val="000000" w:themeColor="text1"/>
          <w:lang w:val="en-GB"/>
        </w:rPr>
        <w:t xml:space="preserve">as </w:t>
      </w:r>
      <w:r w:rsidR="00265678" w:rsidRPr="00265678">
        <w:rPr>
          <w:color w:val="000000" w:themeColor="text1"/>
          <w:lang w:val="en-GB"/>
        </w:rPr>
        <w:t>requested by UNDP</w:t>
      </w:r>
    </w:p>
    <w:p w14:paraId="060E0634" w14:textId="77777777" w:rsidR="00E77929" w:rsidRDefault="00100A25" w:rsidP="00DA5CA4">
      <w:pPr>
        <w:pStyle w:val="ListParagraph"/>
        <w:numPr>
          <w:ilvl w:val="0"/>
          <w:numId w:val="12"/>
        </w:numPr>
        <w:spacing w:after="200" w:line="276" w:lineRule="auto"/>
        <w:ind w:left="1170"/>
        <w:jc w:val="both"/>
        <w:rPr>
          <w:color w:val="000000" w:themeColor="text1"/>
          <w:lang w:val="en-GB"/>
        </w:rPr>
      </w:pPr>
      <w:r>
        <w:rPr>
          <w:color w:val="000000" w:themeColor="text1"/>
          <w:lang w:val="en-GB"/>
        </w:rPr>
        <w:t>In consultation with UNDP, f</w:t>
      </w:r>
      <w:r w:rsidR="00E77929">
        <w:rPr>
          <w:color w:val="000000" w:themeColor="text1"/>
          <w:lang w:val="en-GB"/>
        </w:rPr>
        <w:t xml:space="preserve">inancial structuring of the guarantee, incorporating results of </w:t>
      </w:r>
      <w:r w:rsidR="00023A4C">
        <w:rPr>
          <w:color w:val="000000" w:themeColor="text1"/>
          <w:lang w:val="en-GB"/>
        </w:rPr>
        <w:t xml:space="preserve">the initial diagnostic </w:t>
      </w:r>
      <w:r w:rsidR="00A35EC9">
        <w:rPr>
          <w:color w:val="000000" w:themeColor="text1"/>
          <w:lang w:val="en-GB"/>
        </w:rPr>
        <w:t>conducted by UNDP</w:t>
      </w:r>
      <w:r w:rsidR="00E77929">
        <w:rPr>
          <w:color w:val="000000" w:themeColor="text1"/>
          <w:lang w:val="en-GB"/>
        </w:rPr>
        <w:t xml:space="preserve"> </w:t>
      </w:r>
    </w:p>
    <w:p w14:paraId="63109A15" w14:textId="6446F653" w:rsidR="00CC51A6" w:rsidRDefault="00EA0A6C" w:rsidP="00DA5CA4">
      <w:pPr>
        <w:pStyle w:val="ListParagraph"/>
        <w:numPr>
          <w:ilvl w:val="0"/>
          <w:numId w:val="12"/>
        </w:numPr>
        <w:spacing w:after="200" w:line="276" w:lineRule="auto"/>
        <w:ind w:left="1170"/>
        <w:jc w:val="both"/>
        <w:rPr>
          <w:color w:val="000000" w:themeColor="text1"/>
          <w:lang w:val="en-GB"/>
        </w:rPr>
      </w:pPr>
      <w:r>
        <w:rPr>
          <w:color w:val="000000" w:themeColor="text1"/>
          <w:lang w:val="en-GB"/>
        </w:rPr>
        <w:t>Drafting, n</w:t>
      </w:r>
      <w:r w:rsidR="006500CD">
        <w:rPr>
          <w:color w:val="000000" w:themeColor="text1"/>
          <w:lang w:val="en-GB"/>
        </w:rPr>
        <w:t xml:space="preserve">egotiating and </w:t>
      </w:r>
      <w:r w:rsidR="00952B1E">
        <w:rPr>
          <w:color w:val="000000" w:themeColor="text1"/>
          <w:lang w:val="en-GB"/>
        </w:rPr>
        <w:t xml:space="preserve">- </w:t>
      </w:r>
      <w:r w:rsidR="005B0ACD">
        <w:rPr>
          <w:color w:val="000000" w:themeColor="text1"/>
          <w:lang w:val="en-GB"/>
        </w:rPr>
        <w:t xml:space="preserve">upon authorisation by UNDP </w:t>
      </w:r>
      <w:r w:rsidR="00952B1E">
        <w:rPr>
          <w:color w:val="000000" w:themeColor="text1"/>
          <w:lang w:val="en-GB"/>
        </w:rPr>
        <w:t xml:space="preserve">- </w:t>
      </w:r>
      <w:r w:rsidR="006500CD">
        <w:rPr>
          <w:color w:val="000000" w:themeColor="text1"/>
          <w:lang w:val="en-GB"/>
        </w:rPr>
        <w:t xml:space="preserve">signing </w:t>
      </w:r>
      <w:r w:rsidR="00CC51A6">
        <w:rPr>
          <w:color w:val="000000" w:themeColor="text1"/>
          <w:lang w:val="en-GB"/>
        </w:rPr>
        <w:t xml:space="preserve">guarantee </w:t>
      </w:r>
      <w:r w:rsidR="006500CD">
        <w:rPr>
          <w:color w:val="000000" w:themeColor="text1"/>
          <w:lang w:val="en-GB"/>
        </w:rPr>
        <w:t>agreement</w:t>
      </w:r>
      <w:r>
        <w:rPr>
          <w:color w:val="000000" w:themeColor="text1"/>
          <w:lang w:val="en-GB"/>
        </w:rPr>
        <w:t>s</w:t>
      </w:r>
      <w:r w:rsidR="006500CD">
        <w:rPr>
          <w:color w:val="000000" w:themeColor="text1"/>
          <w:lang w:val="en-GB"/>
        </w:rPr>
        <w:t xml:space="preserve"> with </w:t>
      </w:r>
      <w:r w:rsidR="00CC51A6">
        <w:rPr>
          <w:color w:val="000000" w:themeColor="text1"/>
          <w:lang w:val="en-GB"/>
        </w:rPr>
        <w:t>lenders</w:t>
      </w:r>
    </w:p>
    <w:p w14:paraId="0EF40361" w14:textId="70443809" w:rsidR="00CC51A6" w:rsidRPr="006F57FC" w:rsidRDefault="00697867" w:rsidP="00DA5CA4">
      <w:pPr>
        <w:pStyle w:val="ListParagraph"/>
        <w:numPr>
          <w:ilvl w:val="0"/>
          <w:numId w:val="12"/>
        </w:numPr>
        <w:spacing w:after="200" w:line="276" w:lineRule="auto"/>
        <w:ind w:left="1170"/>
        <w:jc w:val="both"/>
        <w:rPr>
          <w:color w:val="000000" w:themeColor="text1"/>
          <w:lang w:val="en-GB"/>
        </w:rPr>
      </w:pPr>
      <w:r>
        <w:rPr>
          <w:color w:val="000000" w:themeColor="text1"/>
          <w:lang w:val="en-GB"/>
        </w:rPr>
        <w:t xml:space="preserve">Upon approval by UNDP, paying </w:t>
      </w:r>
      <w:r w:rsidR="00CC51A6">
        <w:rPr>
          <w:color w:val="000000" w:themeColor="text1"/>
          <w:lang w:val="en-GB"/>
        </w:rPr>
        <w:t xml:space="preserve">out </w:t>
      </w:r>
      <w:r w:rsidR="00EA0A6C">
        <w:rPr>
          <w:color w:val="000000" w:themeColor="text1"/>
          <w:lang w:val="en-GB"/>
        </w:rPr>
        <w:t xml:space="preserve">approved claims from </w:t>
      </w:r>
      <w:r w:rsidR="00B34B9D">
        <w:rPr>
          <w:color w:val="000000" w:themeColor="text1"/>
          <w:lang w:val="en-GB"/>
        </w:rPr>
        <w:t>funds</w:t>
      </w:r>
      <w:r w:rsidR="00CC51A6">
        <w:rPr>
          <w:color w:val="000000" w:themeColor="text1"/>
          <w:lang w:val="en-GB"/>
        </w:rPr>
        <w:t xml:space="preserve"> </w:t>
      </w:r>
      <w:r w:rsidR="00EA0A6C">
        <w:rPr>
          <w:color w:val="000000" w:themeColor="text1"/>
          <w:lang w:val="en-GB"/>
        </w:rPr>
        <w:t xml:space="preserve">held in </w:t>
      </w:r>
      <w:r w:rsidR="00CC51A6">
        <w:rPr>
          <w:color w:val="000000" w:themeColor="text1"/>
          <w:lang w:val="en-GB"/>
        </w:rPr>
        <w:t>escrow account</w:t>
      </w:r>
      <w:r w:rsidR="00EA0A6C">
        <w:rPr>
          <w:color w:val="000000" w:themeColor="text1"/>
          <w:lang w:val="en-GB"/>
        </w:rPr>
        <w:t xml:space="preserve"> </w:t>
      </w:r>
    </w:p>
    <w:p w14:paraId="20D25505" w14:textId="081D04C4" w:rsidR="00EC545D" w:rsidRDefault="00EC545D" w:rsidP="00DA5CA4">
      <w:pPr>
        <w:pStyle w:val="ListParagraph"/>
        <w:numPr>
          <w:ilvl w:val="0"/>
          <w:numId w:val="12"/>
        </w:numPr>
        <w:spacing w:after="200" w:line="276" w:lineRule="auto"/>
        <w:ind w:left="1170"/>
        <w:jc w:val="both"/>
        <w:rPr>
          <w:color w:val="000000" w:themeColor="text1"/>
          <w:lang w:val="en-GB"/>
        </w:rPr>
      </w:pPr>
      <w:r>
        <w:rPr>
          <w:color w:val="000000" w:themeColor="text1"/>
          <w:lang w:val="en-GB"/>
        </w:rPr>
        <w:lastRenderedPageBreak/>
        <w:t>Monitoring and reviewing the lending activities of the lender</w:t>
      </w:r>
      <w:r w:rsidR="005D584E">
        <w:rPr>
          <w:color w:val="000000" w:themeColor="text1"/>
          <w:lang w:val="en-GB"/>
        </w:rPr>
        <w:t>, including financial monitoring of guarantee covenants</w:t>
      </w:r>
      <w:r>
        <w:rPr>
          <w:color w:val="000000" w:themeColor="text1"/>
          <w:lang w:val="en-GB"/>
        </w:rPr>
        <w:t xml:space="preserve"> (see </w:t>
      </w:r>
      <w:hyperlink w:anchor="_Financial_monitoring_of" w:history="1">
        <w:r w:rsidR="00AE546D" w:rsidRPr="00AE546D">
          <w:rPr>
            <w:rStyle w:val="Hyperlink"/>
            <w:lang w:val="en-GB"/>
          </w:rPr>
          <w:t>Section 4.12</w:t>
        </w:r>
      </w:hyperlink>
      <w:r>
        <w:rPr>
          <w:color w:val="000000" w:themeColor="text1"/>
          <w:lang w:val="en-GB"/>
        </w:rPr>
        <w:t>)</w:t>
      </w:r>
    </w:p>
    <w:p w14:paraId="20E797F7" w14:textId="77777777" w:rsidR="00CC51A6" w:rsidRDefault="00CC51A6" w:rsidP="00DA5CA4">
      <w:pPr>
        <w:pStyle w:val="ListParagraph"/>
        <w:numPr>
          <w:ilvl w:val="0"/>
          <w:numId w:val="12"/>
        </w:numPr>
        <w:spacing w:after="200" w:line="276" w:lineRule="auto"/>
        <w:ind w:left="1170"/>
        <w:jc w:val="both"/>
        <w:rPr>
          <w:color w:val="000000" w:themeColor="text1"/>
          <w:lang w:val="en-GB"/>
        </w:rPr>
      </w:pPr>
      <w:r>
        <w:rPr>
          <w:color w:val="000000" w:themeColor="text1"/>
          <w:lang w:val="en-GB"/>
        </w:rPr>
        <w:t xml:space="preserve">Periodic </w:t>
      </w:r>
      <w:r w:rsidR="00EA0A6C">
        <w:rPr>
          <w:color w:val="000000" w:themeColor="text1"/>
          <w:lang w:val="en-GB"/>
        </w:rPr>
        <w:t xml:space="preserve">consolidated </w:t>
      </w:r>
      <w:r>
        <w:rPr>
          <w:color w:val="000000" w:themeColor="text1"/>
          <w:lang w:val="en-GB"/>
        </w:rPr>
        <w:t>reporting to UNDP</w:t>
      </w:r>
      <w:r w:rsidR="00EA0A6C">
        <w:rPr>
          <w:color w:val="000000" w:themeColor="text1"/>
          <w:lang w:val="en-GB"/>
        </w:rPr>
        <w:t xml:space="preserve"> based on terms of the </w:t>
      </w:r>
      <w:r w:rsidR="007126BC">
        <w:rPr>
          <w:color w:val="000000" w:themeColor="text1"/>
          <w:lang w:val="en-GB"/>
        </w:rPr>
        <w:t>Guarantee Issuer</w:t>
      </w:r>
      <w:r w:rsidR="00EA0A6C">
        <w:rPr>
          <w:color w:val="000000" w:themeColor="text1"/>
          <w:lang w:val="en-GB"/>
        </w:rPr>
        <w:t xml:space="preserve"> Agreement</w:t>
      </w:r>
    </w:p>
    <w:p w14:paraId="6FBD9367" w14:textId="0F626B90" w:rsidR="00CC51A6" w:rsidRPr="00F600AD" w:rsidRDefault="00CC51A6" w:rsidP="00AE546D">
      <w:pPr>
        <w:pStyle w:val="ListParagraph"/>
        <w:numPr>
          <w:ilvl w:val="0"/>
          <w:numId w:val="12"/>
        </w:numPr>
        <w:spacing w:line="276" w:lineRule="auto"/>
        <w:ind w:left="1166"/>
        <w:contextualSpacing w:val="0"/>
        <w:jc w:val="both"/>
        <w:rPr>
          <w:color w:val="000000" w:themeColor="text1"/>
          <w:lang w:val="en-GB"/>
        </w:rPr>
      </w:pPr>
      <w:r w:rsidRPr="00F01658">
        <w:rPr>
          <w:color w:val="000000" w:themeColor="text1"/>
          <w:lang w:val="en-GB"/>
        </w:rPr>
        <w:t xml:space="preserve">Following up </w:t>
      </w:r>
      <w:r w:rsidR="00EA0A6C" w:rsidRPr="00F01658">
        <w:rPr>
          <w:color w:val="000000" w:themeColor="text1"/>
          <w:lang w:val="en-GB"/>
        </w:rPr>
        <w:t xml:space="preserve">on </w:t>
      </w:r>
      <w:r w:rsidRPr="00F01658">
        <w:rPr>
          <w:color w:val="000000" w:themeColor="text1"/>
          <w:lang w:val="en-GB"/>
        </w:rPr>
        <w:t xml:space="preserve">recovery </w:t>
      </w:r>
      <w:r w:rsidR="00EA0A6C" w:rsidRPr="00F01658">
        <w:rPr>
          <w:color w:val="000000" w:themeColor="text1"/>
          <w:lang w:val="en-GB"/>
        </w:rPr>
        <w:t xml:space="preserve">of </w:t>
      </w:r>
      <w:r w:rsidRPr="00B96572">
        <w:rPr>
          <w:color w:val="000000" w:themeColor="text1"/>
          <w:lang w:val="en-GB"/>
        </w:rPr>
        <w:t>funds</w:t>
      </w:r>
      <w:r w:rsidR="002B5820" w:rsidRPr="00B96572">
        <w:rPr>
          <w:color w:val="000000" w:themeColor="text1"/>
          <w:lang w:val="en-GB"/>
        </w:rPr>
        <w:t xml:space="preserve">, where applicable </w:t>
      </w:r>
      <w:r w:rsidR="00EA0A6C" w:rsidRPr="00F600AD">
        <w:rPr>
          <w:color w:val="000000" w:themeColor="text1"/>
          <w:lang w:val="en-GB"/>
        </w:rPr>
        <w:t xml:space="preserve"> </w:t>
      </w:r>
    </w:p>
    <w:p w14:paraId="3DDCECEE" w14:textId="77777777" w:rsidR="00B85F1C" w:rsidRPr="00F01658" w:rsidRDefault="00B85F1C" w:rsidP="001949B5">
      <w:pPr>
        <w:spacing w:after="0" w:line="276" w:lineRule="auto"/>
        <w:jc w:val="both"/>
        <w:rPr>
          <w:color w:val="000000" w:themeColor="text1"/>
          <w:lang w:val="en-GB"/>
        </w:rPr>
      </w:pPr>
    </w:p>
    <w:p w14:paraId="098F17E4" w14:textId="0F781CFD" w:rsidR="007969B4" w:rsidRPr="00E74F58" w:rsidRDefault="007969B4" w:rsidP="00C71080">
      <w:pPr>
        <w:pStyle w:val="Heading2"/>
        <w:numPr>
          <w:ilvl w:val="0"/>
          <w:numId w:val="15"/>
        </w:numPr>
        <w:spacing w:before="0" w:after="160"/>
        <w:ind w:left="547" w:hanging="547"/>
        <w:rPr>
          <w:b/>
          <w:color w:val="000000" w:themeColor="text1"/>
          <w:sz w:val="24"/>
        </w:rPr>
      </w:pPr>
      <w:bookmarkStart w:id="86" w:name="_Partnering_with_UNCDF"/>
      <w:bookmarkStart w:id="87" w:name="_Toc2339922"/>
      <w:bookmarkStart w:id="88" w:name="_Toc121313781"/>
      <w:bookmarkEnd w:id="86"/>
      <w:r w:rsidRPr="00E74F58">
        <w:rPr>
          <w:b/>
          <w:color w:val="000000" w:themeColor="text1"/>
          <w:sz w:val="24"/>
        </w:rPr>
        <w:t xml:space="preserve">Partnering with UNCDF to issue and manage </w:t>
      </w:r>
      <w:r w:rsidR="00E87D9A" w:rsidRPr="00E74F58">
        <w:rPr>
          <w:b/>
          <w:color w:val="000000" w:themeColor="text1"/>
          <w:sz w:val="24"/>
        </w:rPr>
        <w:t>UNDP</w:t>
      </w:r>
      <w:r w:rsidR="007651CA">
        <w:rPr>
          <w:b/>
          <w:color w:val="000000" w:themeColor="text1"/>
          <w:sz w:val="24"/>
        </w:rPr>
        <w:t>-supported</w:t>
      </w:r>
      <w:r w:rsidR="00E87D9A" w:rsidRPr="00E74F58">
        <w:rPr>
          <w:b/>
          <w:color w:val="000000" w:themeColor="text1"/>
          <w:sz w:val="24"/>
        </w:rPr>
        <w:t xml:space="preserve"> </w:t>
      </w:r>
      <w:r w:rsidRPr="00E74F58">
        <w:rPr>
          <w:b/>
          <w:color w:val="000000" w:themeColor="text1"/>
          <w:sz w:val="24"/>
        </w:rPr>
        <w:t>guarantees</w:t>
      </w:r>
      <w:bookmarkEnd w:id="87"/>
      <w:bookmarkEnd w:id="88"/>
    </w:p>
    <w:p w14:paraId="19FDC238" w14:textId="661ED352" w:rsidR="00876C60" w:rsidRDefault="00765D85" w:rsidP="007969B4">
      <w:pPr>
        <w:spacing w:after="120" w:line="276" w:lineRule="auto"/>
        <w:jc w:val="both"/>
        <w:rPr>
          <w:iCs/>
        </w:rPr>
      </w:pPr>
      <w:r w:rsidRPr="00354828">
        <w:rPr>
          <w:iCs/>
          <w:color w:val="000000" w:themeColor="text1"/>
        </w:rPr>
        <w:t xml:space="preserve">Under </w:t>
      </w:r>
      <w:r w:rsidR="0015066E" w:rsidRPr="00354828">
        <w:rPr>
          <w:iCs/>
          <w:color w:val="000000" w:themeColor="text1"/>
        </w:rPr>
        <w:t>certain circumstances</w:t>
      </w:r>
      <w:r w:rsidR="00EB3C09" w:rsidRPr="0089675B">
        <w:rPr>
          <w:iCs/>
          <w:color w:val="000000" w:themeColor="text1"/>
        </w:rPr>
        <w:t>, UNDP may</w:t>
      </w:r>
      <w:r w:rsidR="0015066E" w:rsidRPr="0089675B">
        <w:rPr>
          <w:iCs/>
          <w:color w:val="000000" w:themeColor="text1"/>
        </w:rPr>
        <w:t xml:space="preserve"> </w:t>
      </w:r>
      <w:r w:rsidR="00EB3C09" w:rsidRPr="0089675B">
        <w:rPr>
          <w:iCs/>
          <w:color w:val="000000" w:themeColor="text1"/>
        </w:rPr>
        <w:t xml:space="preserve">leverage </w:t>
      </w:r>
      <w:r w:rsidR="0015066E" w:rsidRPr="0089675B">
        <w:rPr>
          <w:iCs/>
          <w:color w:val="000000" w:themeColor="text1"/>
        </w:rPr>
        <w:t>UNCDF’s experience with issuing and managing guarantees</w:t>
      </w:r>
      <w:r w:rsidR="00647C2F">
        <w:rPr>
          <w:iCs/>
          <w:color w:val="000000" w:themeColor="text1"/>
        </w:rPr>
        <w:t>,</w:t>
      </w:r>
      <w:r w:rsidR="0015066E" w:rsidRPr="0089675B">
        <w:rPr>
          <w:iCs/>
          <w:color w:val="000000" w:themeColor="text1"/>
        </w:rPr>
        <w:t xml:space="preserve"> </w:t>
      </w:r>
      <w:r w:rsidR="00EB3C09" w:rsidRPr="0089675B">
        <w:rPr>
          <w:iCs/>
          <w:color w:val="000000" w:themeColor="text1"/>
        </w:rPr>
        <w:t xml:space="preserve">for </w:t>
      </w:r>
      <w:r w:rsidR="00EB3C09" w:rsidRPr="0089675B">
        <w:rPr>
          <w:iCs/>
        </w:rPr>
        <w:t xml:space="preserve">the </w:t>
      </w:r>
      <w:r w:rsidR="0015066E" w:rsidRPr="0089675B">
        <w:rPr>
          <w:iCs/>
        </w:rPr>
        <w:t>design, structur</w:t>
      </w:r>
      <w:r w:rsidR="005C47F9" w:rsidRPr="0089675B">
        <w:rPr>
          <w:iCs/>
        </w:rPr>
        <w:t>ing</w:t>
      </w:r>
      <w:r w:rsidR="00647C2F">
        <w:rPr>
          <w:iCs/>
        </w:rPr>
        <w:t>, issuance</w:t>
      </w:r>
      <w:r w:rsidR="0015066E" w:rsidRPr="0089675B">
        <w:rPr>
          <w:iCs/>
        </w:rPr>
        <w:t xml:space="preserve"> and manage</w:t>
      </w:r>
      <w:r w:rsidR="005C47F9" w:rsidRPr="0089675B">
        <w:rPr>
          <w:iCs/>
        </w:rPr>
        <w:t>ment of UNDP</w:t>
      </w:r>
      <w:r w:rsidR="000A2B32">
        <w:rPr>
          <w:iCs/>
        </w:rPr>
        <w:t>-supported</w:t>
      </w:r>
      <w:r w:rsidR="0015066E" w:rsidRPr="0089675B">
        <w:rPr>
          <w:iCs/>
        </w:rPr>
        <w:t xml:space="preserve"> guarantees. This may be done in various ways –</w:t>
      </w:r>
      <w:r w:rsidR="002238B3" w:rsidRPr="0089675B">
        <w:rPr>
          <w:iCs/>
        </w:rPr>
        <w:t xml:space="preserve"> </w:t>
      </w:r>
      <w:r w:rsidR="0015066E" w:rsidRPr="0089675B">
        <w:rPr>
          <w:iCs/>
        </w:rPr>
        <w:t xml:space="preserve">as a responsible party or </w:t>
      </w:r>
      <w:r w:rsidR="000518B3">
        <w:rPr>
          <w:iCs/>
        </w:rPr>
        <w:t xml:space="preserve">as </w:t>
      </w:r>
      <w:r w:rsidR="002238B3" w:rsidRPr="0089675B">
        <w:rPr>
          <w:iCs/>
        </w:rPr>
        <w:t xml:space="preserve">a </w:t>
      </w:r>
      <w:r w:rsidR="0015066E" w:rsidRPr="0089675B">
        <w:rPr>
          <w:iCs/>
        </w:rPr>
        <w:t>technical service provider to UNDP</w:t>
      </w:r>
      <w:r w:rsidR="00B76D0F">
        <w:rPr>
          <w:iCs/>
        </w:rPr>
        <w:t xml:space="preserve"> </w:t>
      </w:r>
      <w:r w:rsidR="00B76D0F" w:rsidRPr="00B76D0F">
        <w:rPr>
          <w:iCs/>
        </w:rPr>
        <w:t>– as set forth in the Executive Group (EG) approved “</w:t>
      </w:r>
      <w:hyperlink w:anchor="_Annex_1:_UNDP-UNCDF_1" w:history="1">
        <w:r w:rsidR="00B76D0F" w:rsidRPr="00692D1F">
          <w:rPr>
            <w:rStyle w:val="Hyperlink"/>
            <w:iCs/>
          </w:rPr>
          <w:t>UNDP-UNCDF Collaboration Framework on Loans, Guarantees and Low-Value Grants</w:t>
        </w:r>
        <w:r w:rsidR="00692D1F" w:rsidRPr="00692D1F">
          <w:rPr>
            <w:rStyle w:val="Hyperlink"/>
            <w:iCs/>
          </w:rPr>
          <w:t>,</w:t>
        </w:r>
        <w:r w:rsidR="00B76D0F" w:rsidRPr="00692D1F">
          <w:rPr>
            <w:rStyle w:val="Hyperlink"/>
            <w:iCs/>
          </w:rPr>
          <w:t xml:space="preserve"> 2018</w:t>
        </w:r>
      </w:hyperlink>
      <w:r w:rsidR="00692D1F">
        <w:rPr>
          <w:iCs/>
        </w:rPr>
        <w:t>”</w:t>
      </w:r>
      <w:r w:rsidR="0015066E" w:rsidRPr="0089675B">
        <w:rPr>
          <w:iCs/>
        </w:rPr>
        <w:t xml:space="preserve">. </w:t>
      </w:r>
      <w:r w:rsidR="00AD2B7C" w:rsidRPr="0089675B">
        <w:rPr>
          <w:iCs/>
        </w:rPr>
        <w:t xml:space="preserve">In cases </w:t>
      </w:r>
      <w:r w:rsidR="00127036" w:rsidRPr="0089675B">
        <w:rPr>
          <w:iCs/>
        </w:rPr>
        <w:t xml:space="preserve">where UNCDF is engaged as a responsible party by UNDP, </w:t>
      </w:r>
      <w:r w:rsidR="00B4235F" w:rsidRPr="0089675B">
        <w:rPr>
          <w:iCs/>
        </w:rPr>
        <w:t xml:space="preserve">a </w:t>
      </w:r>
      <w:r w:rsidR="00AD2B7C" w:rsidRPr="0089675B">
        <w:rPr>
          <w:iCs/>
        </w:rPr>
        <w:t xml:space="preserve">UN-to-UN </w:t>
      </w:r>
      <w:r w:rsidR="00B4235F" w:rsidRPr="0089675B">
        <w:rPr>
          <w:iCs/>
        </w:rPr>
        <w:t xml:space="preserve">Agency Contribution </w:t>
      </w:r>
      <w:r w:rsidR="00AD2B7C" w:rsidRPr="0089675B">
        <w:rPr>
          <w:iCs/>
        </w:rPr>
        <w:t xml:space="preserve">Agreement  </w:t>
      </w:r>
      <w:r w:rsidR="00234A76">
        <w:rPr>
          <w:iCs/>
        </w:rPr>
        <w:t xml:space="preserve">must </w:t>
      </w:r>
      <w:r w:rsidR="00AD2B7C" w:rsidRPr="0089675B">
        <w:rPr>
          <w:iCs/>
        </w:rPr>
        <w:t>be signed with UNCDF</w:t>
      </w:r>
      <w:r w:rsidR="00234A76">
        <w:rPr>
          <w:iCs/>
        </w:rPr>
        <w:t>,</w:t>
      </w:r>
      <w:r w:rsidR="00127036" w:rsidRPr="0089675B">
        <w:rPr>
          <w:iCs/>
        </w:rPr>
        <w:t xml:space="preserve"> and UNCDF’s regulations, rules and policies will apply</w:t>
      </w:r>
      <w:r w:rsidR="00F410C3" w:rsidRPr="00F410C3">
        <w:t xml:space="preserve"> </w:t>
      </w:r>
      <w:r w:rsidR="00F410C3" w:rsidRPr="00F410C3">
        <w:rPr>
          <w:iCs/>
        </w:rPr>
        <w:t>to the extent that they do not contravene the principles of UNDP’s Financial Regulations and Rules</w:t>
      </w:r>
      <w:r w:rsidR="00127036" w:rsidRPr="0089675B">
        <w:rPr>
          <w:iCs/>
        </w:rPr>
        <w:t>.</w:t>
      </w:r>
      <w:r w:rsidR="00AD2B7C" w:rsidRPr="0089675B">
        <w:rPr>
          <w:iCs/>
        </w:rPr>
        <w:t xml:space="preserve"> </w:t>
      </w:r>
    </w:p>
    <w:p w14:paraId="5194419F" w14:textId="147587BE" w:rsidR="00DC7B04" w:rsidRPr="0089675B" w:rsidRDefault="006C62CF" w:rsidP="007969B4">
      <w:pPr>
        <w:spacing w:after="120" w:line="276" w:lineRule="auto"/>
        <w:jc w:val="both"/>
        <w:rPr>
          <w:iCs/>
        </w:rPr>
      </w:pPr>
      <w:r w:rsidRPr="006C62CF">
        <w:rPr>
          <w:iCs/>
        </w:rPr>
        <w:t xml:space="preserve">Additionally, if after review by the Credit Risk Committee, UNDP determines not to move forward with a </w:t>
      </w:r>
      <w:r w:rsidR="00222F48">
        <w:rPr>
          <w:iCs/>
        </w:rPr>
        <w:t xml:space="preserve">UNDP-supported </w:t>
      </w:r>
      <w:r w:rsidRPr="006C62CF">
        <w:rPr>
          <w:iCs/>
        </w:rPr>
        <w:t>guarantee due to exceptional case or material risks identified, UNDP shall consult with UNCDF to explore whether UNCDF may be able to support the guarantee.</w:t>
      </w:r>
    </w:p>
    <w:p w14:paraId="3FA648A7" w14:textId="14BDE8CE" w:rsidR="00344AE2" w:rsidRPr="0089675B" w:rsidRDefault="008A5B04" w:rsidP="007969B4">
      <w:pPr>
        <w:spacing w:after="120" w:line="276" w:lineRule="auto"/>
        <w:jc w:val="both"/>
        <w:rPr>
          <w:iCs/>
        </w:rPr>
      </w:pPr>
      <w:r w:rsidRPr="0089675B">
        <w:rPr>
          <w:iCs/>
        </w:rPr>
        <w:t xml:space="preserve">UNCDF </w:t>
      </w:r>
      <w:r w:rsidR="004E65E6" w:rsidRPr="0089675B">
        <w:rPr>
          <w:iCs/>
        </w:rPr>
        <w:t xml:space="preserve">may </w:t>
      </w:r>
      <w:r w:rsidRPr="0089675B">
        <w:rPr>
          <w:iCs/>
        </w:rPr>
        <w:t>also issue guarantees under a joint programme with UNDP, especially when the intervention requir</w:t>
      </w:r>
      <w:r w:rsidR="00055712" w:rsidRPr="0089675B">
        <w:rPr>
          <w:iCs/>
        </w:rPr>
        <w:t>ing the guarantee</w:t>
      </w:r>
      <w:r w:rsidRPr="0089675B">
        <w:rPr>
          <w:iCs/>
        </w:rPr>
        <w:t xml:space="preserve"> is not consistent with UNDP’s FRRs, e.g. when the guarantee is not funded or only partially funded by funding partner(s)</w:t>
      </w:r>
      <w:r w:rsidR="004E65E6" w:rsidRPr="0089675B">
        <w:rPr>
          <w:iCs/>
        </w:rPr>
        <w:t xml:space="preserve">. </w:t>
      </w:r>
      <w:r w:rsidR="00DC7B04" w:rsidRPr="0089675B">
        <w:rPr>
          <w:iCs/>
        </w:rPr>
        <w:t xml:space="preserve">In these cases, as with other joint programmes, UNCDF’s regulations, rules and policies will apply. Such cases are not covered under </w:t>
      </w:r>
      <w:r w:rsidR="006C2B2B">
        <w:rPr>
          <w:iCs/>
        </w:rPr>
        <w:t xml:space="preserve">the </w:t>
      </w:r>
      <w:r w:rsidR="00BB1BBC" w:rsidRPr="0089675B">
        <w:rPr>
          <w:iCs/>
        </w:rPr>
        <w:t>UNDP</w:t>
      </w:r>
      <w:r w:rsidR="00222F48">
        <w:rPr>
          <w:iCs/>
        </w:rPr>
        <w:t>-supported</w:t>
      </w:r>
      <w:r w:rsidR="00BB1BBC" w:rsidRPr="0089675B">
        <w:rPr>
          <w:iCs/>
        </w:rPr>
        <w:t xml:space="preserve"> Guarantees</w:t>
      </w:r>
      <w:r w:rsidR="00BB1BBC" w:rsidRPr="007F1022">
        <w:rPr>
          <w:iCs/>
          <w:color w:val="000000" w:themeColor="text1"/>
          <w:lang w:val="en-GB"/>
        </w:rPr>
        <w:t xml:space="preserve"> </w:t>
      </w:r>
      <w:r w:rsidR="006C2B2B">
        <w:rPr>
          <w:iCs/>
        </w:rPr>
        <w:t xml:space="preserve">Policy and this </w:t>
      </w:r>
      <w:r w:rsidR="00DC7B04" w:rsidRPr="0089675B">
        <w:rPr>
          <w:iCs/>
        </w:rPr>
        <w:t>Operational Manual.</w:t>
      </w:r>
      <w:r w:rsidR="004E65E6" w:rsidRPr="0089675B">
        <w:rPr>
          <w:iCs/>
        </w:rPr>
        <w:t xml:space="preserve"> </w:t>
      </w:r>
    </w:p>
    <w:p w14:paraId="693E0AFA" w14:textId="4B416C31" w:rsidR="0015066E" w:rsidRPr="0089675B" w:rsidRDefault="00344AE2" w:rsidP="006F0994">
      <w:pPr>
        <w:spacing w:after="120" w:line="276" w:lineRule="auto"/>
        <w:jc w:val="both"/>
        <w:rPr>
          <w:iCs/>
        </w:rPr>
      </w:pPr>
      <w:r w:rsidRPr="0089675B">
        <w:rPr>
          <w:iCs/>
        </w:rPr>
        <w:t xml:space="preserve">Further details are provided in </w:t>
      </w:r>
      <w:hyperlink w:anchor="_Annex_1:_UNDP-UNCDF_1" w:history="1">
        <w:r w:rsidR="0040419A" w:rsidRPr="00C57299">
          <w:rPr>
            <w:rStyle w:val="Hyperlink"/>
            <w:iCs/>
          </w:rPr>
          <w:t>Annex 1:</w:t>
        </w:r>
        <w:r w:rsidRPr="00C57299">
          <w:rPr>
            <w:rStyle w:val="Hyperlink"/>
            <w:iCs/>
          </w:rPr>
          <w:t xml:space="preserve"> </w:t>
        </w:r>
        <w:r w:rsidR="005B0ACD" w:rsidRPr="00C57299">
          <w:rPr>
            <w:rStyle w:val="Hyperlink"/>
            <w:iCs/>
          </w:rPr>
          <w:t xml:space="preserve">UNDP-UNCDF Collaboration Framework on </w:t>
        </w:r>
        <w:r w:rsidR="00A8383C" w:rsidRPr="00C57299">
          <w:rPr>
            <w:rStyle w:val="Hyperlink"/>
            <w:iCs/>
          </w:rPr>
          <w:t xml:space="preserve">Loans, </w:t>
        </w:r>
        <w:r w:rsidR="005B0ACD" w:rsidRPr="00C57299">
          <w:rPr>
            <w:rStyle w:val="Hyperlink"/>
            <w:iCs/>
          </w:rPr>
          <w:t>Guarantees</w:t>
        </w:r>
        <w:r w:rsidR="00A8383C" w:rsidRPr="00C57299">
          <w:rPr>
            <w:rStyle w:val="Hyperlink"/>
            <w:iCs/>
          </w:rPr>
          <w:t xml:space="preserve"> and Low-Value Grants</w:t>
        </w:r>
      </w:hyperlink>
      <w:r w:rsidRPr="0089675B">
        <w:rPr>
          <w:iCs/>
        </w:rPr>
        <w:t>.</w:t>
      </w:r>
    </w:p>
    <w:p w14:paraId="0C3810A2" w14:textId="6277706B" w:rsidR="00487C79" w:rsidRPr="00487C79" w:rsidRDefault="00487C79" w:rsidP="006F0994">
      <w:pPr>
        <w:spacing w:after="120" w:line="276" w:lineRule="auto"/>
        <w:jc w:val="both"/>
      </w:pPr>
    </w:p>
    <w:p w14:paraId="5DE2DB56" w14:textId="77777777" w:rsidR="007969B4" w:rsidRPr="00E653B6" w:rsidRDefault="007969B4" w:rsidP="00BF2A50">
      <w:pPr>
        <w:pStyle w:val="Heading2"/>
        <w:numPr>
          <w:ilvl w:val="0"/>
          <w:numId w:val="15"/>
        </w:numPr>
        <w:spacing w:before="0" w:after="160"/>
        <w:ind w:left="547" w:hanging="547"/>
        <w:rPr>
          <w:b/>
          <w:color w:val="000000" w:themeColor="text1"/>
          <w:sz w:val="24"/>
          <w:szCs w:val="24"/>
        </w:rPr>
      </w:pPr>
      <w:bookmarkStart w:id="89" w:name="_Escrow_account"/>
      <w:bookmarkStart w:id="90" w:name="_Toc2339923"/>
      <w:bookmarkStart w:id="91" w:name="_Toc121313782"/>
      <w:bookmarkEnd w:id="89"/>
      <w:r w:rsidRPr="00E653B6">
        <w:rPr>
          <w:b/>
          <w:color w:val="000000" w:themeColor="text1"/>
          <w:sz w:val="24"/>
          <w:szCs w:val="24"/>
        </w:rPr>
        <w:t xml:space="preserve">Escrow </w:t>
      </w:r>
      <w:r w:rsidR="007A675B">
        <w:rPr>
          <w:b/>
          <w:color w:val="000000" w:themeColor="text1"/>
          <w:sz w:val="24"/>
          <w:szCs w:val="24"/>
        </w:rPr>
        <w:t>a</w:t>
      </w:r>
      <w:r w:rsidR="007A675B" w:rsidRPr="00E653B6">
        <w:rPr>
          <w:b/>
          <w:color w:val="000000" w:themeColor="text1"/>
          <w:sz w:val="24"/>
          <w:szCs w:val="24"/>
        </w:rPr>
        <w:t>ccount</w:t>
      </w:r>
      <w:bookmarkEnd w:id="90"/>
      <w:bookmarkEnd w:id="91"/>
    </w:p>
    <w:p w14:paraId="63054CD4" w14:textId="16CF58E0" w:rsidR="00946D56" w:rsidRPr="0002073C" w:rsidRDefault="008B491A" w:rsidP="00545691">
      <w:pPr>
        <w:spacing w:after="120" w:line="276" w:lineRule="auto"/>
        <w:jc w:val="both"/>
        <w:rPr>
          <w:iCs/>
        </w:rPr>
      </w:pPr>
      <w:r w:rsidRPr="00BF2A50">
        <w:rPr>
          <w:iCs/>
        </w:rPr>
        <w:t>F</w:t>
      </w:r>
      <w:r w:rsidR="007969B4" w:rsidRPr="00BF2A50">
        <w:rPr>
          <w:iCs/>
        </w:rPr>
        <w:t>unds</w:t>
      </w:r>
      <w:r w:rsidRPr="00BF2A50">
        <w:rPr>
          <w:iCs/>
        </w:rPr>
        <w:t xml:space="preserve"> to cover potential </w:t>
      </w:r>
      <w:r w:rsidR="00222F48">
        <w:rPr>
          <w:iCs/>
        </w:rPr>
        <w:t xml:space="preserve">UNDP-supported </w:t>
      </w:r>
      <w:r w:rsidRPr="00BF2A50">
        <w:rPr>
          <w:iCs/>
        </w:rPr>
        <w:t>guarantee pay-outs</w:t>
      </w:r>
      <w:r w:rsidR="007969B4" w:rsidRPr="00BF2A50">
        <w:rPr>
          <w:iCs/>
        </w:rPr>
        <w:t xml:space="preserve"> will be deposited </w:t>
      </w:r>
      <w:r w:rsidRPr="00BF2A50">
        <w:rPr>
          <w:iCs/>
        </w:rPr>
        <w:t xml:space="preserve">by </w:t>
      </w:r>
      <w:r w:rsidR="00222F48">
        <w:rPr>
          <w:iCs/>
        </w:rPr>
        <w:t>BMS/OFM</w:t>
      </w:r>
      <w:r w:rsidRPr="00BF2A50">
        <w:rPr>
          <w:iCs/>
        </w:rPr>
        <w:t xml:space="preserve"> </w:t>
      </w:r>
      <w:r w:rsidR="007431EE" w:rsidRPr="00BF2A50">
        <w:rPr>
          <w:iCs/>
        </w:rPr>
        <w:t xml:space="preserve">Treasury </w:t>
      </w:r>
      <w:r w:rsidR="007969B4" w:rsidRPr="00BF2A50">
        <w:rPr>
          <w:iCs/>
        </w:rPr>
        <w:t xml:space="preserve">into an escrow account held by the </w:t>
      </w:r>
      <w:r w:rsidR="007126BC" w:rsidRPr="00BF2A50">
        <w:rPr>
          <w:iCs/>
        </w:rPr>
        <w:t>Guarantee Issuer</w:t>
      </w:r>
      <w:r w:rsidR="00545691" w:rsidRPr="008171BC">
        <w:rPr>
          <w:rFonts w:cstheme="minorHAnsi"/>
          <w:color w:val="000000" w:themeColor="text1"/>
        </w:rPr>
        <w:t>, using funds provided by the funding partner(s) and denominated in US dollars</w:t>
      </w:r>
      <w:r w:rsidR="007969B4" w:rsidRPr="0002073C">
        <w:rPr>
          <w:iCs/>
        </w:rPr>
        <w:t xml:space="preserve">. </w:t>
      </w:r>
    </w:p>
    <w:p w14:paraId="46B1E221" w14:textId="7E3CE456" w:rsidR="00917488" w:rsidRDefault="007969B4" w:rsidP="00545691">
      <w:pPr>
        <w:spacing w:line="276" w:lineRule="auto"/>
        <w:jc w:val="both"/>
        <w:rPr>
          <w:rFonts w:cstheme="minorHAnsi"/>
          <w:color w:val="000000" w:themeColor="text1"/>
        </w:rPr>
      </w:pPr>
      <w:r w:rsidRPr="00C44670">
        <w:rPr>
          <w:rFonts w:cstheme="minorHAnsi"/>
          <w:color w:val="000000" w:themeColor="text1"/>
        </w:rPr>
        <w:t xml:space="preserve">Escrow accounts </w:t>
      </w:r>
      <w:r w:rsidR="00347D83">
        <w:rPr>
          <w:rFonts w:cstheme="minorHAnsi"/>
          <w:color w:val="000000" w:themeColor="text1"/>
        </w:rPr>
        <w:t>ensure</w:t>
      </w:r>
      <w:r w:rsidRPr="00C44670">
        <w:rPr>
          <w:rFonts w:cstheme="minorHAnsi"/>
          <w:color w:val="000000" w:themeColor="text1"/>
        </w:rPr>
        <w:t xml:space="preserve"> that money will be available for claim payments </w:t>
      </w:r>
      <w:r w:rsidR="00C0744A" w:rsidRPr="00C44670">
        <w:rPr>
          <w:rFonts w:cstheme="minorHAnsi"/>
          <w:color w:val="000000" w:themeColor="text1"/>
        </w:rPr>
        <w:t>if/</w:t>
      </w:r>
      <w:r w:rsidRPr="00C44670">
        <w:rPr>
          <w:rFonts w:cstheme="minorHAnsi"/>
          <w:color w:val="000000" w:themeColor="text1"/>
        </w:rPr>
        <w:t xml:space="preserve">when the guarantee is called. The escrow account will be opened </w:t>
      </w:r>
      <w:r w:rsidR="009D42BD" w:rsidRPr="00C44670">
        <w:rPr>
          <w:rFonts w:cstheme="minorHAnsi"/>
          <w:color w:val="000000" w:themeColor="text1"/>
        </w:rPr>
        <w:t xml:space="preserve">based on the signed </w:t>
      </w:r>
      <w:r w:rsidR="007126BC">
        <w:rPr>
          <w:rFonts w:cstheme="minorHAnsi"/>
          <w:color w:val="000000" w:themeColor="text1"/>
        </w:rPr>
        <w:t>Guarantee Issuer</w:t>
      </w:r>
      <w:r w:rsidR="009D42BD" w:rsidRPr="00C44670">
        <w:rPr>
          <w:rFonts w:cstheme="minorHAnsi"/>
          <w:color w:val="000000" w:themeColor="text1"/>
        </w:rPr>
        <w:t xml:space="preserve"> Agreement and the Guarantee Agreement </w:t>
      </w:r>
      <w:r w:rsidRPr="00C44670">
        <w:rPr>
          <w:rFonts w:cstheme="minorHAnsi"/>
          <w:color w:val="000000" w:themeColor="text1"/>
        </w:rPr>
        <w:t xml:space="preserve">and </w:t>
      </w:r>
      <w:r w:rsidR="009D42BD" w:rsidRPr="00C44670">
        <w:rPr>
          <w:rFonts w:cstheme="minorHAnsi"/>
          <w:color w:val="000000" w:themeColor="text1"/>
        </w:rPr>
        <w:t xml:space="preserve">will be </w:t>
      </w:r>
      <w:r w:rsidRPr="00C44670">
        <w:rPr>
          <w:rFonts w:cstheme="minorHAnsi"/>
          <w:color w:val="000000" w:themeColor="text1"/>
        </w:rPr>
        <w:t>managed</w:t>
      </w:r>
      <w:r w:rsidR="00E46645" w:rsidRPr="00C44670">
        <w:rPr>
          <w:rFonts w:cstheme="minorHAnsi"/>
          <w:color w:val="000000" w:themeColor="text1"/>
        </w:rPr>
        <w:t xml:space="preserve"> by</w:t>
      </w:r>
      <w:r w:rsidRPr="00C44670">
        <w:rPr>
          <w:rFonts w:cstheme="minorHAnsi"/>
          <w:color w:val="000000" w:themeColor="text1"/>
        </w:rPr>
        <w:t xml:space="preserve"> </w:t>
      </w:r>
      <w:r w:rsidR="00222F48">
        <w:rPr>
          <w:rFonts w:cstheme="minorHAnsi"/>
          <w:color w:val="000000" w:themeColor="text1"/>
        </w:rPr>
        <w:t xml:space="preserve">the BMS/OFM </w:t>
      </w:r>
      <w:r w:rsidR="00607012" w:rsidRPr="00C44670">
        <w:rPr>
          <w:rFonts w:cstheme="minorHAnsi"/>
          <w:color w:val="000000" w:themeColor="text1"/>
        </w:rPr>
        <w:t xml:space="preserve">Treasury </w:t>
      </w:r>
      <w:r w:rsidR="00FC0F2C">
        <w:rPr>
          <w:rFonts w:cstheme="minorHAnsi"/>
          <w:color w:val="000000" w:themeColor="text1"/>
        </w:rPr>
        <w:t>u</w:t>
      </w:r>
      <w:r w:rsidR="00FC0F2C" w:rsidRPr="00C44670">
        <w:rPr>
          <w:rFonts w:cstheme="minorHAnsi"/>
          <w:color w:val="000000" w:themeColor="text1"/>
        </w:rPr>
        <w:t>nit</w:t>
      </w:r>
      <w:r w:rsidRPr="00C44670">
        <w:rPr>
          <w:rFonts w:cstheme="minorHAnsi"/>
          <w:color w:val="000000" w:themeColor="text1"/>
        </w:rPr>
        <w:t xml:space="preserve">. UNDP and the financial institution will sign </w:t>
      </w:r>
      <w:r w:rsidR="005B0ACD" w:rsidRPr="00C44670">
        <w:rPr>
          <w:rFonts w:cstheme="minorHAnsi"/>
          <w:color w:val="000000" w:themeColor="text1"/>
        </w:rPr>
        <w:t xml:space="preserve">an </w:t>
      </w:r>
      <w:r w:rsidR="005B0ACD" w:rsidRPr="008A4BA0">
        <w:rPr>
          <w:rFonts w:cstheme="minorHAnsi"/>
          <w:color w:val="000000" w:themeColor="text1"/>
        </w:rPr>
        <w:t xml:space="preserve">Escrow </w:t>
      </w:r>
      <w:hyperlink r:id="rId13" w:history="1">
        <w:r w:rsidR="005B0ACD" w:rsidRPr="008A4BA0">
          <w:rPr>
            <w:rStyle w:val="Hyperlink"/>
            <w:rFonts w:cstheme="minorHAnsi"/>
            <w:color w:val="000000" w:themeColor="text1"/>
            <w:u w:val="none"/>
          </w:rPr>
          <w:t>Agreement</w:t>
        </w:r>
      </w:hyperlink>
      <w:r w:rsidR="005B0ACD" w:rsidRPr="00C44670">
        <w:rPr>
          <w:rFonts w:cstheme="minorHAnsi"/>
          <w:color w:val="000000" w:themeColor="text1"/>
        </w:rPr>
        <w:t xml:space="preserve"> </w:t>
      </w:r>
      <w:r w:rsidRPr="00C44670">
        <w:rPr>
          <w:rFonts w:cstheme="minorHAnsi"/>
          <w:color w:val="000000" w:themeColor="text1"/>
        </w:rPr>
        <w:t xml:space="preserve">which will detail the covenants that govern the opening, management, and </w:t>
      </w:r>
      <w:r w:rsidRPr="00C44670">
        <w:rPr>
          <w:rFonts w:cstheme="minorHAnsi"/>
          <w:color w:val="000000" w:themeColor="text1"/>
        </w:rPr>
        <w:lastRenderedPageBreak/>
        <w:t xml:space="preserve">closing of the escrow account. Funds can only be disbursed from the escrow account when UNDP authorizes the release of funds. </w:t>
      </w:r>
    </w:p>
    <w:p w14:paraId="4828D026" w14:textId="77777777" w:rsidR="00C30ED7" w:rsidRDefault="00917488" w:rsidP="00545691">
      <w:pPr>
        <w:spacing w:line="276" w:lineRule="auto"/>
        <w:jc w:val="both"/>
        <w:rPr>
          <w:rFonts w:cstheme="minorHAnsi"/>
          <w:color w:val="000000" w:themeColor="text1"/>
        </w:rPr>
      </w:pPr>
      <w:r w:rsidRPr="00917488">
        <w:rPr>
          <w:rFonts w:cstheme="minorHAnsi"/>
          <w:color w:val="000000" w:themeColor="text1"/>
        </w:rPr>
        <w:t>The only time that the UNDP-supported guarantee may be paid out is when appropriately called in accordance with (i) the terms of the guarantee issued by the Guarantee Issuer, and (ii) the terms of the Guarantee Issuer Agreement or, in the case of UNCDF, the UN-to-UN Agency Contribution Agreement. The funding partner will be informed when a UNDP-supported guarantee is paid out.</w:t>
      </w:r>
      <w:r>
        <w:rPr>
          <w:rFonts w:cstheme="minorHAnsi"/>
          <w:color w:val="000000" w:themeColor="text1"/>
        </w:rPr>
        <w:t xml:space="preserve"> </w:t>
      </w:r>
    </w:p>
    <w:p w14:paraId="5D615202" w14:textId="610895AF" w:rsidR="007969B4" w:rsidRPr="00C44670" w:rsidRDefault="007969B4" w:rsidP="00545691">
      <w:pPr>
        <w:spacing w:line="276" w:lineRule="auto"/>
        <w:jc w:val="both"/>
        <w:rPr>
          <w:rFonts w:cstheme="minorHAnsi"/>
          <w:color w:val="000000" w:themeColor="text1"/>
        </w:rPr>
      </w:pPr>
      <w:r w:rsidRPr="00C44670">
        <w:rPr>
          <w:rFonts w:cstheme="minorHAnsi"/>
          <w:color w:val="000000" w:themeColor="text1"/>
        </w:rPr>
        <w:t xml:space="preserve">When a guarantee payment is triggered due to default or non-performance on a contract, the </w:t>
      </w:r>
      <w:r w:rsidR="007126BC">
        <w:rPr>
          <w:rFonts w:cstheme="minorHAnsi"/>
          <w:color w:val="000000" w:themeColor="text1"/>
        </w:rPr>
        <w:t>Guarantee Issuer</w:t>
      </w:r>
      <w:r w:rsidRPr="00C44670">
        <w:rPr>
          <w:rFonts w:cstheme="minorHAnsi"/>
          <w:color w:val="000000" w:themeColor="text1"/>
        </w:rPr>
        <w:t xml:space="preserve"> will follow its normal procedures to verify that a pay</w:t>
      </w:r>
      <w:r w:rsidR="008571D2">
        <w:rPr>
          <w:rFonts w:cstheme="minorHAnsi"/>
          <w:color w:val="000000" w:themeColor="text1"/>
        </w:rPr>
        <w:t>-</w:t>
      </w:r>
      <w:r w:rsidRPr="00C44670">
        <w:rPr>
          <w:rFonts w:cstheme="minorHAnsi"/>
          <w:color w:val="000000" w:themeColor="text1"/>
        </w:rPr>
        <w:t>out is indeed due</w:t>
      </w:r>
      <w:r w:rsidR="006816B4" w:rsidRPr="00C44670">
        <w:rPr>
          <w:rFonts w:cstheme="minorHAnsi"/>
          <w:color w:val="000000" w:themeColor="text1"/>
        </w:rPr>
        <w:t>,</w:t>
      </w:r>
      <w:r w:rsidRPr="00C44670">
        <w:rPr>
          <w:rFonts w:cstheme="minorHAnsi"/>
          <w:color w:val="000000" w:themeColor="text1"/>
        </w:rPr>
        <w:t xml:space="preserve"> then submit a completed </w:t>
      </w:r>
      <w:r w:rsidR="008571D2" w:rsidRPr="00070019">
        <w:rPr>
          <w:rFonts w:cstheme="minorHAnsi"/>
          <w:u w:val="single"/>
        </w:rPr>
        <w:t>Request for Payment of Claim form</w:t>
      </w:r>
      <w:r w:rsidRPr="00C44670">
        <w:rPr>
          <w:rFonts w:cstheme="minorHAnsi"/>
          <w:color w:val="000000" w:themeColor="text1"/>
        </w:rPr>
        <w:t xml:space="preserve"> to UNDP for payment. Upon approval, UNDP will then authorize the release of funds from the escrow account to pay the </w:t>
      </w:r>
      <w:r w:rsidR="00A36D71">
        <w:rPr>
          <w:rFonts w:cstheme="minorHAnsi"/>
          <w:color w:val="000000" w:themeColor="text1"/>
        </w:rPr>
        <w:t xml:space="preserve">guaranteed party (i.e. </w:t>
      </w:r>
      <w:r w:rsidR="00732CA8">
        <w:rPr>
          <w:rFonts w:cstheme="minorHAnsi"/>
          <w:color w:val="000000" w:themeColor="text1"/>
        </w:rPr>
        <w:t xml:space="preserve">the </w:t>
      </w:r>
      <w:r w:rsidR="00A36D71">
        <w:rPr>
          <w:rFonts w:cstheme="minorHAnsi"/>
          <w:color w:val="000000" w:themeColor="text1"/>
        </w:rPr>
        <w:t>lender)</w:t>
      </w:r>
      <w:r w:rsidRPr="00C44670">
        <w:rPr>
          <w:rFonts w:cstheme="minorHAnsi"/>
          <w:color w:val="000000" w:themeColor="text1"/>
        </w:rPr>
        <w:t>.</w:t>
      </w:r>
    </w:p>
    <w:p w14:paraId="7993ED44" w14:textId="0AA0F64A" w:rsidR="007969B4" w:rsidRDefault="007969B4" w:rsidP="00052B7C">
      <w:pPr>
        <w:spacing w:line="276" w:lineRule="auto"/>
        <w:jc w:val="both"/>
        <w:rPr>
          <w:rFonts w:cstheme="minorHAnsi"/>
          <w:color w:val="000000" w:themeColor="text1"/>
        </w:rPr>
      </w:pPr>
      <w:r w:rsidRPr="00C44670">
        <w:rPr>
          <w:rFonts w:cstheme="minorHAnsi"/>
          <w:color w:val="000000" w:themeColor="text1"/>
        </w:rPr>
        <w:t xml:space="preserve">Proper escrow account management </w:t>
      </w:r>
      <w:r w:rsidR="00F17CEF">
        <w:rPr>
          <w:rFonts w:cstheme="minorHAnsi"/>
          <w:color w:val="000000" w:themeColor="text1"/>
        </w:rPr>
        <w:t>must</w:t>
      </w:r>
      <w:r w:rsidR="00F17CEF" w:rsidRPr="00C44670">
        <w:rPr>
          <w:rFonts w:cstheme="minorHAnsi"/>
          <w:color w:val="000000" w:themeColor="text1"/>
        </w:rPr>
        <w:t xml:space="preserve"> </w:t>
      </w:r>
      <w:r w:rsidRPr="00C44670">
        <w:rPr>
          <w:rFonts w:cstheme="minorHAnsi"/>
          <w:color w:val="000000" w:themeColor="text1"/>
        </w:rPr>
        <w:t xml:space="preserve">avoid commingling of UNDP regular deposits with </w:t>
      </w:r>
      <w:r w:rsidR="00222F48">
        <w:rPr>
          <w:rFonts w:cstheme="minorHAnsi"/>
          <w:color w:val="000000" w:themeColor="text1"/>
        </w:rPr>
        <w:t xml:space="preserve">UNDP-supported </w:t>
      </w:r>
      <w:r w:rsidRPr="00C44670">
        <w:rPr>
          <w:rFonts w:cstheme="minorHAnsi"/>
          <w:color w:val="000000" w:themeColor="text1"/>
        </w:rPr>
        <w:t xml:space="preserve">guarantee funds. </w:t>
      </w:r>
      <w:r w:rsidR="005B0ACD" w:rsidRPr="00C44670">
        <w:rPr>
          <w:rFonts w:cstheme="minorHAnsi"/>
          <w:color w:val="000000" w:themeColor="text1"/>
        </w:rPr>
        <w:t xml:space="preserve">The </w:t>
      </w:r>
      <w:r w:rsidR="005B0ACD">
        <w:rPr>
          <w:rFonts w:cstheme="minorHAnsi"/>
          <w:color w:val="000000" w:themeColor="text1"/>
        </w:rPr>
        <w:t>Guarantee Issuer</w:t>
      </w:r>
      <w:r w:rsidR="005B0ACD" w:rsidRPr="00C44670">
        <w:rPr>
          <w:rFonts w:cstheme="minorHAnsi"/>
          <w:color w:val="000000" w:themeColor="text1"/>
        </w:rPr>
        <w:t xml:space="preserve"> must protect </w:t>
      </w:r>
      <w:r w:rsidR="009F1324">
        <w:rPr>
          <w:rFonts w:cstheme="minorHAnsi"/>
          <w:color w:val="000000" w:themeColor="text1"/>
        </w:rPr>
        <w:t>the</w:t>
      </w:r>
      <w:r w:rsidR="009F1324" w:rsidRPr="00C44670">
        <w:rPr>
          <w:rFonts w:cstheme="minorHAnsi"/>
          <w:color w:val="000000" w:themeColor="text1"/>
        </w:rPr>
        <w:t xml:space="preserve"> </w:t>
      </w:r>
      <w:r w:rsidR="005B0ACD" w:rsidRPr="00C44670">
        <w:rPr>
          <w:rFonts w:cstheme="minorHAnsi"/>
          <w:color w:val="000000" w:themeColor="text1"/>
        </w:rPr>
        <w:t xml:space="preserve">guarantee funds by ensuring </w:t>
      </w:r>
      <w:r w:rsidR="007D707E">
        <w:rPr>
          <w:rFonts w:cstheme="minorHAnsi"/>
          <w:color w:val="000000" w:themeColor="text1"/>
        </w:rPr>
        <w:t xml:space="preserve">that </w:t>
      </w:r>
      <w:r w:rsidR="005B0ACD" w:rsidRPr="00C44670">
        <w:rPr>
          <w:rFonts w:cstheme="minorHAnsi"/>
          <w:color w:val="000000" w:themeColor="text1"/>
        </w:rPr>
        <w:t>the full amount remains untouched until instructions to disburse are received from UNDP</w:t>
      </w:r>
      <w:r w:rsidR="00D67239" w:rsidRPr="00C44670">
        <w:rPr>
          <w:rFonts w:cstheme="minorHAnsi"/>
          <w:color w:val="000000" w:themeColor="text1"/>
        </w:rPr>
        <w:t xml:space="preserve">. </w:t>
      </w:r>
      <w:r w:rsidR="00D67239" w:rsidRPr="009358C0">
        <w:rPr>
          <w:rFonts w:cstheme="minorHAnsi"/>
          <w:b/>
          <w:bCs/>
          <w:color w:val="000000" w:themeColor="text1"/>
        </w:rPr>
        <w:t xml:space="preserve">Escrow accounts </w:t>
      </w:r>
      <w:r w:rsidR="00FA52B6" w:rsidRPr="009358C0">
        <w:rPr>
          <w:rFonts w:cstheme="minorHAnsi"/>
          <w:b/>
          <w:bCs/>
          <w:color w:val="000000" w:themeColor="text1"/>
        </w:rPr>
        <w:t>must</w:t>
      </w:r>
      <w:r w:rsidR="00D67239" w:rsidRPr="009358C0">
        <w:rPr>
          <w:rFonts w:cstheme="minorHAnsi"/>
          <w:b/>
          <w:bCs/>
          <w:color w:val="000000" w:themeColor="text1"/>
        </w:rPr>
        <w:t xml:space="preserve"> be interest bearing accounts</w:t>
      </w:r>
      <w:r w:rsidR="002B6609" w:rsidRPr="009358C0">
        <w:rPr>
          <w:rFonts w:cstheme="minorHAnsi"/>
          <w:b/>
          <w:bCs/>
          <w:color w:val="000000" w:themeColor="text1"/>
        </w:rPr>
        <w:t>,</w:t>
      </w:r>
      <w:r w:rsidR="00D67239" w:rsidRPr="009358C0">
        <w:rPr>
          <w:rFonts w:cstheme="minorHAnsi"/>
          <w:b/>
          <w:bCs/>
          <w:color w:val="000000" w:themeColor="text1"/>
        </w:rPr>
        <w:t xml:space="preserve"> </w:t>
      </w:r>
      <w:r w:rsidR="00FA52B6" w:rsidRPr="009358C0">
        <w:rPr>
          <w:rFonts w:cstheme="minorHAnsi"/>
          <w:b/>
          <w:bCs/>
          <w:color w:val="000000" w:themeColor="text1"/>
        </w:rPr>
        <w:t xml:space="preserve">to </w:t>
      </w:r>
      <w:r w:rsidR="00D67239" w:rsidRPr="009358C0">
        <w:rPr>
          <w:rFonts w:cstheme="minorHAnsi"/>
          <w:b/>
          <w:bCs/>
          <w:color w:val="000000" w:themeColor="text1"/>
        </w:rPr>
        <w:t>ensure investment income is earned on unused funds</w:t>
      </w:r>
      <w:r w:rsidR="00FA52B6" w:rsidRPr="009358C0">
        <w:rPr>
          <w:rFonts w:cstheme="minorHAnsi"/>
          <w:b/>
          <w:bCs/>
          <w:color w:val="000000" w:themeColor="text1"/>
        </w:rPr>
        <w:t xml:space="preserve"> for the benefit of UNDP</w:t>
      </w:r>
      <w:r w:rsidR="00D67239" w:rsidRPr="009358C0">
        <w:rPr>
          <w:rFonts w:cstheme="minorHAnsi"/>
          <w:b/>
          <w:bCs/>
          <w:color w:val="000000" w:themeColor="text1"/>
        </w:rPr>
        <w:t>.</w:t>
      </w:r>
      <w:r w:rsidR="00775D47" w:rsidRPr="009358C0">
        <w:rPr>
          <w:rFonts w:cstheme="minorHAnsi"/>
          <w:b/>
          <w:bCs/>
          <w:color w:val="000000" w:themeColor="text1"/>
        </w:rPr>
        <w:t xml:space="preserve">  </w:t>
      </w:r>
    </w:p>
    <w:p w14:paraId="136DDBA0" w14:textId="77777777" w:rsidR="007969B4" w:rsidRPr="002344C7" w:rsidRDefault="007969B4" w:rsidP="002344C7">
      <w:pPr>
        <w:pStyle w:val="ListParagraph"/>
        <w:jc w:val="both"/>
      </w:pPr>
      <w:r>
        <w:rPr>
          <w:b/>
          <w:color w:val="FF0000"/>
          <w:sz w:val="24"/>
          <w:szCs w:val="24"/>
        </w:rPr>
        <w:t xml:space="preserve">  </w:t>
      </w:r>
    </w:p>
    <w:p w14:paraId="788F47C3" w14:textId="7E6323CE" w:rsidR="00DB0BF1" w:rsidRPr="0009728D" w:rsidRDefault="00256DAD" w:rsidP="00BD536D">
      <w:pPr>
        <w:pStyle w:val="Heading2"/>
        <w:numPr>
          <w:ilvl w:val="0"/>
          <w:numId w:val="15"/>
        </w:numPr>
        <w:spacing w:before="0" w:after="160"/>
        <w:ind w:left="547" w:hanging="547"/>
        <w:rPr>
          <w:b/>
          <w:color w:val="000000" w:themeColor="text1"/>
          <w:sz w:val="24"/>
          <w:szCs w:val="24"/>
        </w:rPr>
      </w:pPr>
      <w:bookmarkStart w:id="92" w:name="_Financial_monitoring_of"/>
      <w:bookmarkStart w:id="93" w:name="_Toc2339925"/>
      <w:bookmarkStart w:id="94" w:name="_Toc121313783"/>
      <w:bookmarkEnd w:id="92"/>
      <w:r>
        <w:rPr>
          <w:b/>
          <w:color w:val="000000" w:themeColor="text1"/>
          <w:sz w:val="24"/>
          <w:szCs w:val="24"/>
        </w:rPr>
        <w:t>M</w:t>
      </w:r>
      <w:r w:rsidR="007A675B" w:rsidRPr="0009728D">
        <w:rPr>
          <w:b/>
          <w:color w:val="000000" w:themeColor="text1"/>
          <w:sz w:val="24"/>
          <w:szCs w:val="24"/>
        </w:rPr>
        <w:t xml:space="preserve">onitoring </w:t>
      </w:r>
      <w:r w:rsidR="00DB0BF1" w:rsidRPr="0009728D">
        <w:rPr>
          <w:b/>
          <w:color w:val="000000" w:themeColor="text1"/>
          <w:sz w:val="24"/>
          <w:szCs w:val="24"/>
        </w:rPr>
        <w:t xml:space="preserve">of </w:t>
      </w:r>
      <w:r w:rsidR="007A675B">
        <w:rPr>
          <w:b/>
          <w:color w:val="000000" w:themeColor="text1"/>
          <w:sz w:val="24"/>
          <w:szCs w:val="24"/>
        </w:rPr>
        <w:t>g</w:t>
      </w:r>
      <w:r w:rsidR="007A675B" w:rsidRPr="0009728D">
        <w:rPr>
          <w:b/>
          <w:color w:val="000000" w:themeColor="text1"/>
          <w:sz w:val="24"/>
          <w:szCs w:val="24"/>
        </w:rPr>
        <w:t>uarantees</w:t>
      </w:r>
      <w:bookmarkEnd w:id="93"/>
      <w:r>
        <w:rPr>
          <w:b/>
          <w:color w:val="000000" w:themeColor="text1"/>
          <w:sz w:val="24"/>
          <w:szCs w:val="24"/>
        </w:rPr>
        <w:t xml:space="preserve"> and lending activities of the Lender</w:t>
      </w:r>
      <w:bookmarkEnd w:id="94"/>
    </w:p>
    <w:p w14:paraId="4953DDFD" w14:textId="7AAAB2F4" w:rsidR="00AE546D" w:rsidRDefault="0054648C" w:rsidP="00B878E1">
      <w:pPr>
        <w:spacing w:after="0" w:line="276" w:lineRule="auto"/>
        <w:jc w:val="both"/>
        <w:rPr>
          <w:color w:val="000000" w:themeColor="text1"/>
          <w:lang w:val="en-GB"/>
        </w:rPr>
      </w:pPr>
      <w:r>
        <w:rPr>
          <w:color w:val="000000" w:themeColor="text1"/>
          <w:lang w:val="en-GB"/>
        </w:rPr>
        <w:t xml:space="preserve">In line with UNDP’s monitoring policies and procedures, </w:t>
      </w:r>
      <w:r w:rsidR="00222F48">
        <w:rPr>
          <w:color w:val="000000" w:themeColor="text1"/>
          <w:lang w:val="en-GB"/>
        </w:rPr>
        <w:t xml:space="preserve">UNDP-supported </w:t>
      </w:r>
      <w:r>
        <w:rPr>
          <w:color w:val="000000" w:themeColor="text1"/>
          <w:lang w:val="en-GB"/>
        </w:rPr>
        <w:t xml:space="preserve">guarantee schemes are subject to monitoring to ensure they are on track to meet their objectives. </w:t>
      </w:r>
      <w:r w:rsidR="00007847" w:rsidRPr="00256DAD">
        <w:rPr>
          <w:iCs/>
        </w:rPr>
        <w:t xml:space="preserve">UNDP and the Guarantee </w:t>
      </w:r>
      <w:r w:rsidR="000436D0" w:rsidRPr="00256DAD">
        <w:rPr>
          <w:iCs/>
        </w:rPr>
        <w:t>Issuer</w:t>
      </w:r>
      <w:r w:rsidR="00007847" w:rsidRPr="00256DAD">
        <w:rPr>
          <w:iCs/>
        </w:rPr>
        <w:t xml:space="preserve"> need to </w:t>
      </w:r>
      <w:r w:rsidR="00222F48">
        <w:rPr>
          <w:iCs/>
        </w:rPr>
        <w:t xml:space="preserve">regularly </w:t>
      </w:r>
      <w:r w:rsidR="00007847" w:rsidRPr="00256DAD">
        <w:rPr>
          <w:iCs/>
        </w:rPr>
        <w:t>monitor</w:t>
      </w:r>
      <w:r w:rsidR="000261FA" w:rsidRPr="00256DAD">
        <w:rPr>
          <w:iCs/>
        </w:rPr>
        <w:t xml:space="preserve"> </w:t>
      </w:r>
      <w:r w:rsidR="00007847" w:rsidRPr="00256DAD">
        <w:rPr>
          <w:iCs/>
        </w:rPr>
        <w:t>the performance of participating lenders and the</w:t>
      </w:r>
      <w:r w:rsidR="00222F48">
        <w:rPr>
          <w:iCs/>
        </w:rPr>
        <w:t xml:space="preserve"> UNDP-supported</w:t>
      </w:r>
      <w:r w:rsidR="00007847" w:rsidRPr="00256DAD">
        <w:rPr>
          <w:iCs/>
        </w:rPr>
        <w:t xml:space="preserve"> </w:t>
      </w:r>
      <w:r w:rsidR="005B0ACD" w:rsidRPr="00256DAD">
        <w:rPr>
          <w:iCs/>
        </w:rPr>
        <w:t xml:space="preserve">guarantee instrument </w:t>
      </w:r>
      <w:r w:rsidR="00007847" w:rsidRPr="00256DAD">
        <w:rPr>
          <w:iCs/>
        </w:rPr>
        <w:t xml:space="preserve">to ensure the guarantee is on track to achieve its objectives. Timely examination of the data is useful to identify deviations and suggest corrective measures. </w:t>
      </w:r>
      <w:r w:rsidR="00AE546D">
        <w:rPr>
          <w:color w:val="000000" w:themeColor="text1"/>
          <w:lang w:val="en-GB"/>
        </w:rPr>
        <w:t>The monitoring of the</w:t>
      </w:r>
      <w:r w:rsidR="00222F48">
        <w:rPr>
          <w:color w:val="000000" w:themeColor="text1"/>
          <w:lang w:val="en-GB"/>
        </w:rPr>
        <w:t xml:space="preserve"> UNDP-supported</w:t>
      </w:r>
      <w:r w:rsidR="00AE546D">
        <w:rPr>
          <w:color w:val="000000" w:themeColor="text1"/>
          <w:lang w:val="en-GB"/>
        </w:rPr>
        <w:t xml:space="preserve"> guarantee scheme may be undertaken through (i) monitoring by the Guarantee Issuer of the lending portfolio</w:t>
      </w:r>
      <w:r w:rsidR="00E40352">
        <w:rPr>
          <w:color w:val="000000" w:themeColor="text1"/>
          <w:lang w:val="en-GB"/>
        </w:rPr>
        <w:t xml:space="preserve">; </w:t>
      </w:r>
      <w:r w:rsidR="00620CD9">
        <w:rPr>
          <w:color w:val="000000" w:themeColor="text1"/>
          <w:lang w:val="en-GB"/>
        </w:rPr>
        <w:t>(ii) monitoring by UNDP</w:t>
      </w:r>
      <w:r w:rsidR="003154A0">
        <w:rPr>
          <w:color w:val="000000" w:themeColor="text1"/>
          <w:lang w:val="en-GB"/>
        </w:rPr>
        <w:t xml:space="preserve"> and/or the Guarantee Issuer</w:t>
      </w:r>
      <w:r w:rsidR="00620CD9">
        <w:rPr>
          <w:color w:val="000000" w:themeColor="text1"/>
          <w:lang w:val="en-GB"/>
        </w:rPr>
        <w:t xml:space="preserve"> of the achievements of the lending facility; </w:t>
      </w:r>
      <w:r w:rsidR="00E40352">
        <w:rPr>
          <w:color w:val="000000" w:themeColor="text1"/>
          <w:lang w:val="en-GB"/>
        </w:rPr>
        <w:t>and (iii)</w:t>
      </w:r>
      <w:r w:rsidR="007F4027">
        <w:rPr>
          <w:color w:val="000000" w:themeColor="text1"/>
          <w:lang w:val="en-GB"/>
        </w:rPr>
        <w:t xml:space="preserve"> financial monitoring </w:t>
      </w:r>
      <w:r w:rsidR="00D44B26">
        <w:rPr>
          <w:color w:val="000000" w:themeColor="text1"/>
          <w:lang w:val="en-GB"/>
        </w:rPr>
        <w:t xml:space="preserve">by UNDP </w:t>
      </w:r>
      <w:r w:rsidR="009368E0">
        <w:rPr>
          <w:color w:val="000000" w:themeColor="text1"/>
          <w:lang w:val="en-GB"/>
        </w:rPr>
        <w:t xml:space="preserve">and the Guarantee </w:t>
      </w:r>
      <w:r w:rsidR="00EC4AE8">
        <w:rPr>
          <w:color w:val="000000" w:themeColor="text1"/>
          <w:lang w:val="en-GB"/>
        </w:rPr>
        <w:t xml:space="preserve">Issuer </w:t>
      </w:r>
      <w:r w:rsidR="00D44B26">
        <w:rPr>
          <w:color w:val="000000" w:themeColor="text1"/>
          <w:lang w:val="en-GB"/>
        </w:rPr>
        <w:t>of the guarantee instrument</w:t>
      </w:r>
      <w:r w:rsidR="00AE546D">
        <w:rPr>
          <w:color w:val="000000" w:themeColor="text1"/>
          <w:lang w:val="en-GB"/>
        </w:rPr>
        <w:t xml:space="preserve">. </w:t>
      </w:r>
    </w:p>
    <w:p w14:paraId="78C107A7" w14:textId="77777777" w:rsidR="00856049" w:rsidRDefault="00856049" w:rsidP="00B878E1">
      <w:pPr>
        <w:spacing w:after="0" w:line="276" w:lineRule="auto"/>
        <w:jc w:val="both"/>
        <w:rPr>
          <w:color w:val="000000" w:themeColor="text1"/>
          <w:lang w:val="en-GB"/>
        </w:rPr>
      </w:pPr>
    </w:p>
    <w:p w14:paraId="3177FEF7" w14:textId="5A3D6023" w:rsidR="00AE546D" w:rsidRPr="0085689C" w:rsidRDefault="002C707D" w:rsidP="0085689C">
      <w:pPr>
        <w:pStyle w:val="ListParagraph"/>
        <w:numPr>
          <w:ilvl w:val="1"/>
          <w:numId w:val="19"/>
        </w:numPr>
        <w:spacing w:after="120" w:line="276" w:lineRule="auto"/>
        <w:ind w:left="540"/>
        <w:jc w:val="both"/>
        <w:rPr>
          <w:b/>
          <w:bCs/>
          <w:color w:val="000000" w:themeColor="text1"/>
          <w:lang w:val="en-GB"/>
        </w:rPr>
      </w:pPr>
      <w:r w:rsidRPr="0085689C">
        <w:rPr>
          <w:b/>
          <w:bCs/>
          <w:color w:val="000000" w:themeColor="text1"/>
          <w:lang w:val="en-GB"/>
        </w:rPr>
        <w:t>Monitoring and reviewing the lending activities of the Lender</w:t>
      </w:r>
    </w:p>
    <w:p w14:paraId="2967A823" w14:textId="0E5C79DD" w:rsidR="009920DB" w:rsidRDefault="00AE546D" w:rsidP="00014E8C">
      <w:pPr>
        <w:spacing w:after="120" w:line="276" w:lineRule="auto"/>
        <w:ind w:left="540"/>
        <w:jc w:val="both"/>
        <w:rPr>
          <w:color w:val="000000" w:themeColor="text1"/>
          <w:lang w:val="en-GB"/>
        </w:rPr>
      </w:pPr>
      <w:r w:rsidRPr="00F600AD">
        <w:rPr>
          <w:color w:val="000000" w:themeColor="text1"/>
          <w:lang w:val="en-GB"/>
        </w:rPr>
        <w:t xml:space="preserve">UNDP defines the key monitoring activities that the Guarantee Issuer must routinely conduct on the Lender to ensure proper operational control of the </w:t>
      </w:r>
      <w:r w:rsidR="00F5534F">
        <w:rPr>
          <w:color w:val="000000" w:themeColor="text1"/>
          <w:lang w:val="en-GB"/>
        </w:rPr>
        <w:t xml:space="preserve">UNDP-supported </w:t>
      </w:r>
      <w:r w:rsidRPr="00F600AD">
        <w:rPr>
          <w:color w:val="000000" w:themeColor="text1"/>
          <w:lang w:val="en-GB"/>
        </w:rPr>
        <w:t>guarantee</w:t>
      </w:r>
      <w:r>
        <w:rPr>
          <w:color w:val="000000" w:themeColor="text1"/>
          <w:lang w:val="en-GB"/>
        </w:rPr>
        <w:t>d</w:t>
      </w:r>
      <w:r w:rsidRPr="00F600AD">
        <w:rPr>
          <w:color w:val="000000" w:themeColor="text1"/>
          <w:lang w:val="en-GB"/>
        </w:rPr>
        <w:t xml:space="preserve"> loan portfolio. The Guarantee Issuer should monitor the critical parameters </w:t>
      </w:r>
      <w:r>
        <w:rPr>
          <w:color w:val="000000" w:themeColor="text1"/>
          <w:lang w:val="en-GB"/>
        </w:rPr>
        <w:t xml:space="preserve">established for the lending portfolio (i.e. the lending </w:t>
      </w:r>
      <w:r>
        <w:rPr>
          <w:lang w:val="en-GB"/>
        </w:rPr>
        <w:t xml:space="preserve">criteria and eligibility requirements, see </w:t>
      </w:r>
      <w:hyperlink w:anchor="_Annex_2:_Key" w:history="1">
        <w:r w:rsidRPr="00E30A10">
          <w:rPr>
            <w:rStyle w:val="Hyperlink"/>
            <w:lang w:val="en-GB"/>
          </w:rPr>
          <w:t>Annex 2</w:t>
        </w:r>
      </w:hyperlink>
      <w:r>
        <w:rPr>
          <w:lang w:val="en-GB"/>
        </w:rPr>
        <w:t xml:space="preserve"> for more details)</w:t>
      </w:r>
      <w:r w:rsidRPr="00F600AD">
        <w:rPr>
          <w:color w:val="000000" w:themeColor="text1"/>
          <w:lang w:val="en-GB"/>
        </w:rPr>
        <w:t xml:space="preserve"> to ensure the Lender is executing strategies in line with the agreed lending portfolio objectives and UNDP’s </w:t>
      </w:r>
      <w:r>
        <w:rPr>
          <w:color w:val="000000" w:themeColor="text1"/>
          <w:lang w:val="en-GB"/>
        </w:rPr>
        <w:t xml:space="preserve">project design and </w:t>
      </w:r>
      <w:r w:rsidR="00F5534F">
        <w:rPr>
          <w:color w:val="000000" w:themeColor="text1"/>
          <w:lang w:val="en-GB"/>
        </w:rPr>
        <w:t xml:space="preserve">UNDP-supported </w:t>
      </w:r>
      <w:r w:rsidRPr="00F600AD">
        <w:rPr>
          <w:color w:val="000000" w:themeColor="text1"/>
          <w:lang w:val="en-GB"/>
        </w:rPr>
        <w:t xml:space="preserve">guarantees </w:t>
      </w:r>
      <w:r>
        <w:rPr>
          <w:color w:val="000000" w:themeColor="text1"/>
          <w:lang w:val="en-GB"/>
        </w:rPr>
        <w:t>guidelines</w:t>
      </w:r>
      <w:r w:rsidRPr="00F600AD">
        <w:rPr>
          <w:color w:val="000000" w:themeColor="text1"/>
          <w:lang w:val="en-GB"/>
        </w:rPr>
        <w:t xml:space="preserve">. </w:t>
      </w:r>
      <w:r w:rsidR="0034321E" w:rsidRPr="00F600AD">
        <w:rPr>
          <w:color w:val="000000" w:themeColor="text1"/>
          <w:lang w:val="en-GB"/>
        </w:rPr>
        <w:t>The requirements of what the Guarantee Issuer will monitor should be clearly specified in the project documentation and agreement(s) that UNDP</w:t>
      </w:r>
      <w:r w:rsidR="0034321E">
        <w:rPr>
          <w:color w:val="000000" w:themeColor="text1"/>
          <w:lang w:val="en-GB"/>
        </w:rPr>
        <w:t xml:space="preserve"> signs </w:t>
      </w:r>
      <w:r w:rsidR="0034321E">
        <w:rPr>
          <w:color w:val="000000" w:themeColor="text1"/>
          <w:lang w:val="en-GB"/>
        </w:rPr>
        <w:lastRenderedPageBreak/>
        <w:t>with the Lender</w:t>
      </w:r>
      <w:r w:rsidR="0034321E" w:rsidRPr="00F600AD">
        <w:rPr>
          <w:color w:val="000000" w:themeColor="text1"/>
          <w:lang w:val="en-GB"/>
        </w:rPr>
        <w:t xml:space="preserve"> (e.g. Responsible Party Agreement</w:t>
      </w:r>
      <w:r w:rsidR="0034321E">
        <w:rPr>
          <w:color w:val="000000" w:themeColor="text1"/>
          <w:lang w:val="en-GB"/>
        </w:rPr>
        <w:t>)</w:t>
      </w:r>
      <w:r w:rsidR="0034321E" w:rsidRPr="00F600AD">
        <w:rPr>
          <w:color w:val="000000" w:themeColor="text1"/>
          <w:lang w:val="en-GB"/>
        </w:rPr>
        <w:t xml:space="preserve"> and the Guarantee Issuer </w:t>
      </w:r>
      <w:r w:rsidR="0034321E">
        <w:rPr>
          <w:color w:val="000000" w:themeColor="text1"/>
          <w:lang w:val="en-GB"/>
        </w:rPr>
        <w:t xml:space="preserve">(i.e. </w:t>
      </w:r>
      <w:r w:rsidR="0034321E" w:rsidRPr="00F600AD">
        <w:rPr>
          <w:color w:val="000000" w:themeColor="text1"/>
          <w:lang w:val="en-GB"/>
        </w:rPr>
        <w:t>Guarantee Issuer Agreement).</w:t>
      </w:r>
    </w:p>
    <w:p w14:paraId="637D0B37" w14:textId="62C667B6" w:rsidR="00AE546D" w:rsidRDefault="00AE546D" w:rsidP="00014E8C">
      <w:pPr>
        <w:spacing w:after="120" w:line="276" w:lineRule="auto"/>
        <w:ind w:left="540"/>
        <w:jc w:val="both"/>
        <w:rPr>
          <w:color w:val="000000" w:themeColor="text1"/>
          <w:lang w:val="en-GB"/>
        </w:rPr>
      </w:pPr>
      <w:r w:rsidRPr="00F600AD">
        <w:rPr>
          <w:color w:val="000000" w:themeColor="text1"/>
          <w:lang w:val="en-GB"/>
        </w:rPr>
        <w:t xml:space="preserve">The loan portfolio is monitored based on the information contained in progress reports received from lenders and by routine oversight exercises conducted by the Guarantee Issuer. </w:t>
      </w:r>
      <w:r>
        <w:rPr>
          <w:color w:val="000000" w:themeColor="text1"/>
          <w:lang w:val="en-GB"/>
        </w:rPr>
        <w:t xml:space="preserve">The Guarantee Issuer must submit the monitoring report(s) </w:t>
      </w:r>
      <w:r w:rsidR="00FF03A8">
        <w:rPr>
          <w:color w:val="000000" w:themeColor="text1"/>
          <w:lang w:val="en-GB"/>
        </w:rPr>
        <w:t xml:space="preserve">to UNDP </w:t>
      </w:r>
      <w:r>
        <w:rPr>
          <w:color w:val="000000" w:themeColor="text1"/>
          <w:lang w:val="en-GB"/>
        </w:rPr>
        <w:t xml:space="preserve">at the pre-agreed timing as defined in the agreement(s) between UNDP and the Guarantee Issuer in form and substance satisfactory to UNDP.  </w:t>
      </w:r>
    </w:p>
    <w:p w14:paraId="3AE1D60B" w14:textId="77777777" w:rsidR="00AE546D" w:rsidRDefault="00AE546D" w:rsidP="00014E8C">
      <w:pPr>
        <w:spacing w:after="120" w:line="276" w:lineRule="auto"/>
        <w:ind w:left="540"/>
        <w:jc w:val="both"/>
        <w:rPr>
          <w:color w:val="000000" w:themeColor="text1"/>
          <w:lang w:val="en-GB"/>
        </w:rPr>
      </w:pPr>
      <w:r w:rsidRPr="00F600AD">
        <w:rPr>
          <w:color w:val="000000" w:themeColor="text1"/>
          <w:lang w:val="en-GB"/>
        </w:rPr>
        <w:t xml:space="preserve">The Guarantee Issuer’s monitoring </w:t>
      </w:r>
      <w:r>
        <w:rPr>
          <w:color w:val="000000" w:themeColor="text1"/>
          <w:lang w:val="en-GB"/>
        </w:rPr>
        <w:t>may</w:t>
      </w:r>
      <w:r w:rsidRPr="008A449B">
        <w:rPr>
          <w:color w:val="000000" w:themeColor="text1"/>
          <w:lang w:val="en-GB"/>
        </w:rPr>
        <w:t xml:space="preserve"> b</w:t>
      </w:r>
      <w:r w:rsidRPr="00F600AD">
        <w:rPr>
          <w:color w:val="000000" w:themeColor="text1"/>
          <w:lang w:val="en-GB"/>
        </w:rPr>
        <w:t xml:space="preserve">e in the </w:t>
      </w:r>
      <w:r>
        <w:rPr>
          <w:color w:val="000000" w:themeColor="text1"/>
          <w:lang w:val="en-GB"/>
        </w:rPr>
        <w:t xml:space="preserve">following </w:t>
      </w:r>
      <w:r w:rsidRPr="00F600AD">
        <w:rPr>
          <w:color w:val="000000" w:themeColor="text1"/>
          <w:lang w:val="en-GB"/>
        </w:rPr>
        <w:t>form</w:t>
      </w:r>
      <w:r>
        <w:rPr>
          <w:color w:val="000000" w:themeColor="text1"/>
          <w:lang w:val="en-GB"/>
        </w:rPr>
        <w:t>s</w:t>
      </w:r>
      <w:r w:rsidRPr="00F600AD">
        <w:rPr>
          <w:color w:val="000000" w:themeColor="text1"/>
          <w:lang w:val="en-GB"/>
        </w:rPr>
        <w:t>:</w:t>
      </w:r>
    </w:p>
    <w:p w14:paraId="04DD2B8E" w14:textId="13A0C72B" w:rsidR="00AE546D" w:rsidRDefault="00AE546D" w:rsidP="00914FB4">
      <w:pPr>
        <w:pStyle w:val="ListParagraph"/>
        <w:numPr>
          <w:ilvl w:val="0"/>
          <w:numId w:val="52"/>
        </w:numPr>
        <w:spacing w:after="120" w:line="276" w:lineRule="auto"/>
        <w:ind w:left="1080"/>
        <w:contextualSpacing w:val="0"/>
        <w:jc w:val="both"/>
        <w:rPr>
          <w:color w:val="000000" w:themeColor="text1"/>
          <w:lang w:val="en-GB"/>
        </w:rPr>
      </w:pPr>
      <w:r w:rsidRPr="000E6D54">
        <w:rPr>
          <w:color w:val="000000" w:themeColor="text1"/>
          <w:u w:val="single"/>
          <w:lang w:val="en-GB"/>
        </w:rPr>
        <w:t>Compliance</w:t>
      </w:r>
      <w:r w:rsidRPr="00CC1E3A">
        <w:rPr>
          <w:color w:val="000000" w:themeColor="text1"/>
          <w:u w:val="single"/>
          <w:lang w:val="en-GB"/>
        </w:rPr>
        <w:t xml:space="preserve"> Monitoring</w:t>
      </w:r>
      <w:r>
        <w:rPr>
          <w:color w:val="000000" w:themeColor="text1"/>
          <w:u w:val="single"/>
          <w:lang w:val="en-GB"/>
        </w:rPr>
        <w:t>:</w:t>
      </w:r>
      <w:r w:rsidRPr="00CC1E3A">
        <w:rPr>
          <w:color w:val="000000" w:themeColor="text1"/>
          <w:lang w:val="en-GB"/>
        </w:rPr>
        <w:t xml:space="preserve"> This kind of monitoring by the Guarantee Issuer entails reviewing the Lender’s compliance with any contractual obligations that are pre-defined by UNDP for the purpose of targeting eligible lending portfolios. For example, as part of the project design, UNDP should have identified target population/sectors/characteristics that the lending portfolio needs to focus on to be eligible for the UNDP</w:t>
      </w:r>
      <w:r w:rsidR="00F5534F">
        <w:rPr>
          <w:color w:val="000000" w:themeColor="text1"/>
          <w:lang w:val="en-GB"/>
        </w:rPr>
        <w:t>-supported</w:t>
      </w:r>
      <w:r w:rsidRPr="00CC1E3A">
        <w:rPr>
          <w:color w:val="000000" w:themeColor="text1"/>
          <w:lang w:val="en-GB"/>
        </w:rPr>
        <w:t xml:space="preserve"> guarantee coverage</w:t>
      </w:r>
      <w:r>
        <w:rPr>
          <w:color w:val="000000" w:themeColor="text1"/>
          <w:lang w:val="en-GB"/>
        </w:rPr>
        <w:t>,</w:t>
      </w:r>
      <w:r w:rsidRPr="00CC1E3A">
        <w:rPr>
          <w:color w:val="000000" w:themeColor="text1"/>
          <w:lang w:val="en-GB"/>
        </w:rPr>
        <w:t xml:space="preserve"> which should also </w:t>
      </w:r>
      <w:r>
        <w:rPr>
          <w:color w:val="000000" w:themeColor="text1"/>
          <w:lang w:val="en-GB"/>
        </w:rPr>
        <w:t xml:space="preserve">be </w:t>
      </w:r>
      <w:r w:rsidRPr="00CC1E3A">
        <w:rPr>
          <w:color w:val="000000" w:themeColor="text1"/>
          <w:lang w:val="en-GB"/>
        </w:rPr>
        <w:t>indicated a</w:t>
      </w:r>
      <w:r>
        <w:rPr>
          <w:color w:val="000000" w:themeColor="text1"/>
          <w:lang w:val="en-GB"/>
        </w:rPr>
        <w:t>s</w:t>
      </w:r>
      <w:r w:rsidRPr="00CC1E3A">
        <w:rPr>
          <w:color w:val="000000" w:themeColor="text1"/>
          <w:lang w:val="en-GB"/>
        </w:rPr>
        <w:t xml:space="preserve"> part of the requirements for loan applications. The Guarantee Issuer must periodically review and check that lenders are complying with these </w:t>
      </w:r>
      <w:r>
        <w:rPr>
          <w:color w:val="000000" w:themeColor="text1"/>
          <w:lang w:val="en-GB"/>
        </w:rPr>
        <w:t>lending</w:t>
      </w:r>
      <w:r w:rsidRPr="00CC1E3A">
        <w:rPr>
          <w:color w:val="000000" w:themeColor="text1"/>
          <w:lang w:val="en-GB"/>
        </w:rPr>
        <w:t xml:space="preserve"> requirements and only issuing loans to populations fitting the criteria specified by UNDP. </w:t>
      </w:r>
    </w:p>
    <w:p w14:paraId="33DCABF8" w14:textId="77777777" w:rsidR="00AE546D" w:rsidRPr="00F600AD" w:rsidRDefault="00AE546D" w:rsidP="00914FB4">
      <w:pPr>
        <w:spacing w:after="60" w:line="276" w:lineRule="auto"/>
        <w:ind w:left="1080"/>
        <w:jc w:val="both"/>
        <w:rPr>
          <w:color w:val="000000" w:themeColor="text1"/>
          <w:lang w:val="en-GB"/>
        </w:rPr>
      </w:pPr>
      <w:r w:rsidRPr="00F600AD">
        <w:rPr>
          <w:color w:val="000000" w:themeColor="text1"/>
          <w:lang w:val="en-GB"/>
        </w:rPr>
        <w:t xml:space="preserve">Compliance monitoring also includes monitoring the </w:t>
      </w:r>
      <w:r>
        <w:rPr>
          <w:color w:val="000000" w:themeColor="text1"/>
          <w:lang w:val="en-GB"/>
        </w:rPr>
        <w:t>borrower</w:t>
      </w:r>
      <w:r w:rsidRPr="00F600AD">
        <w:rPr>
          <w:color w:val="000000" w:themeColor="text1"/>
          <w:lang w:val="en-GB"/>
        </w:rPr>
        <w:t>’s compliance to environmental, social standards to encourage sustainable and socially responsible business development</w:t>
      </w:r>
      <w:r>
        <w:rPr>
          <w:color w:val="000000" w:themeColor="text1"/>
          <w:lang w:val="en-GB"/>
        </w:rPr>
        <w:t>, as defined in the lending criteria</w:t>
      </w:r>
      <w:r w:rsidRPr="00F600AD">
        <w:rPr>
          <w:color w:val="000000" w:themeColor="text1"/>
          <w:lang w:val="en-GB"/>
        </w:rPr>
        <w:t>. The extent of this monitoring should be commensurate with the project’s environmental and social risks and impacts and with any compliance requirements</w:t>
      </w:r>
      <w:r>
        <w:rPr>
          <w:color w:val="000000" w:themeColor="text1"/>
          <w:lang w:val="en-GB"/>
        </w:rPr>
        <w:t xml:space="preserve"> such as labour and working conditions, pollution prevention, community health, safety and security, biodiversity conservation among others</w:t>
      </w:r>
      <w:r w:rsidRPr="00F600AD">
        <w:rPr>
          <w:color w:val="000000" w:themeColor="text1"/>
          <w:lang w:val="en-GB"/>
        </w:rPr>
        <w:t>. The</w:t>
      </w:r>
      <w:r>
        <w:rPr>
          <w:color w:val="000000" w:themeColor="text1"/>
          <w:lang w:val="en-GB"/>
        </w:rPr>
        <w:t xml:space="preserve"> Lender and in turn the</w:t>
      </w:r>
      <w:r w:rsidRPr="00F600AD">
        <w:rPr>
          <w:color w:val="000000" w:themeColor="text1"/>
          <w:lang w:val="en-GB"/>
        </w:rPr>
        <w:t xml:space="preserve"> Guarantee Issuer </w:t>
      </w:r>
      <w:r>
        <w:rPr>
          <w:color w:val="000000" w:themeColor="text1"/>
          <w:lang w:val="en-GB"/>
        </w:rPr>
        <w:t>should</w:t>
      </w:r>
      <w:r w:rsidRPr="00F600AD">
        <w:rPr>
          <w:color w:val="000000" w:themeColor="text1"/>
          <w:lang w:val="en-GB"/>
        </w:rPr>
        <w:t xml:space="preserve"> submit </w:t>
      </w:r>
      <w:r>
        <w:rPr>
          <w:color w:val="000000" w:themeColor="text1"/>
          <w:lang w:val="en-GB"/>
        </w:rPr>
        <w:t xml:space="preserve">to UNDP </w:t>
      </w:r>
      <w:r w:rsidRPr="00F600AD">
        <w:rPr>
          <w:color w:val="000000" w:themeColor="text1"/>
          <w:lang w:val="en-GB"/>
        </w:rPr>
        <w:t xml:space="preserve">an annual monitoring report - which is an annual environmental and social monitoring report: </w:t>
      </w:r>
    </w:p>
    <w:p w14:paraId="33BE2A94" w14:textId="77777777" w:rsidR="00AE546D" w:rsidRPr="00F600AD" w:rsidRDefault="00AE546D" w:rsidP="009338FE">
      <w:pPr>
        <w:pStyle w:val="ListParagraph"/>
        <w:numPr>
          <w:ilvl w:val="1"/>
          <w:numId w:val="52"/>
        </w:numPr>
        <w:spacing w:after="120" w:line="276" w:lineRule="auto"/>
        <w:jc w:val="both"/>
        <w:rPr>
          <w:color w:val="000000" w:themeColor="text1"/>
          <w:lang w:val="en-GB"/>
        </w:rPr>
      </w:pPr>
      <w:r>
        <w:rPr>
          <w:color w:val="000000" w:themeColor="text1"/>
          <w:lang w:val="en-GB"/>
        </w:rPr>
        <w:t>C</w:t>
      </w:r>
      <w:r w:rsidRPr="00F600AD">
        <w:rPr>
          <w:color w:val="000000" w:themeColor="text1"/>
          <w:lang w:val="en-GB"/>
        </w:rPr>
        <w:t xml:space="preserve">onfirming compliance by the </w:t>
      </w:r>
      <w:r>
        <w:rPr>
          <w:color w:val="000000" w:themeColor="text1"/>
          <w:lang w:val="en-GB"/>
        </w:rPr>
        <w:t>borrower</w:t>
      </w:r>
      <w:r w:rsidRPr="00F600AD">
        <w:rPr>
          <w:color w:val="000000" w:themeColor="text1"/>
          <w:lang w:val="en-GB"/>
        </w:rPr>
        <w:t xml:space="preserve">s with the applicable </w:t>
      </w:r>
      <w:r>
        <w:rPr>
          <w:color w:val="000000" w:themeColor="text1"/>
          <w:lang w:val="en-GB"/>
        </w:rPr>
        <w:t>environmental and social</w:t>
      </w:r>
      <w:r w:rsidRPr="00F600AD">
        <w:rPr>
          <w:color w:val="000000" w:themeColor="text1"/>
          <w:lang w:val="en-GB"/>
        </w:rPr>
        <w:t xml:space="preserve"> standards and laws</w:t>
      </w:r>
    </w:p>
    <w:p w14:paraId="21742F4F" w14:textId="243335A3" w:rsidR="00AE546D" w:rsidRDefault="00AE546D" w:rsidP="00566913">
      <w:pPr>
        <w:pStyle w:val="ListParagraph"/>
        <w:numPr>
          <w:ilvl w:val="1"/>
          <w:numId w:val="52"/>
        </w:numPr>
        <w:spacing w:after="120" w:line="276" w:lineRule="auto"/>
        <w:ind w:left="1526"/>
        <w:contextualSpacing w:val="0"/>
        <w:jc w:val="both"/>
        <w:rPr>
          <w:color w:val="000000" w:themeColor="text1"/>
          <w:lang w:val="en-GB"/>
        </w:rPr>
      </w:pPr>
      <w:r>
        <w:rPr>
          <w:color w:val="000000" w:themeColor="text1"/>
          <w:lang w:val="en-GB"/>
        </w:rPr>
        <w:t>I</w:t>
      </w:r>
      <w:r w:rsidRPr="00F600AD">
        <w:rPr>
          <w:color w:val="000000" w:themeColor="text1"/>
          <w:lang w:val="en-GB"/>
        </w:rPr>
        <w:t>dentifying any material non-compliance or failure and the actions being taken to remedy any such deficiency</w:t>
      </w:r>
    </w:p>
    <w:p w14:paraId="5B9D64E9" w14:textId="77777777" w:rsidR="00566913" w:rsidRPr="00F600AD" w:rsidRDefault="00566913" w:rsidP="007E480F">
      <w:pPr>
        <w:pStyle w:val="ListParagraph"/>
        <w:spacing w:after="120" w:line="276" w:lineRule="auto"/>
        <w:ind w:left="1526"/>
        <w:contextualSpacing w:val="0"/>
        <w:jc w:val="both"/>
        <w:rPr>
          <w:color w:val="000000" w:themeColor="text1"/>
          <w:lang w:val="en-GB"/>
        </w:rPr>
      </w:pPr>
    </w:p>
    <w:p w14:paraId="339396F4" w14:textId="77777777" w:rsidR="00AE546D" w:rsidRPr="00F600AD" w:rsidRDefault="00AE546D" w:rsidP="007E480F">
      <w:pPr>
        <w:pStyle w:val="ListParagraph"/>
        <w:numPr>
          <w:ilvl w:val="0"/>
          <w:numId w:val="52"/>
        </w:numPr>
        <w:spacing w:after="60" w:line="276" w:lineRule="auto"/>
        <w:ind w:left="1080"/>
        <w:contextualSpacing w:val="0"/>
        <w:jc w:val="both"/>
        <w:rPr>
          <w:color w:val="000000" w:themeColor="text1"/>
          <w:lang w:val="en-GB"/>
        </w:rPr>
      </w:pPr>
      <w:r w:rsidRPr="007A71A9">
        <w:rPr>
          <w:color w:val="000000" w:themeColor="text1"/>
          <w:u w:val="single"/>
          <w:lang w:val="en-GB"/>
        </w:rPr>
        <w:t>Covenant monitoring</w:t>
      </w:r>
      <w:r w:rsidRPr="00F600AD">
        <w:rPr>
          <w:color w:val="000000" w:themeColor="text1"/>
          <w:lang w:val="en-GB"/>
        </w:rPr>
        <w:t xml:space="preserve"> </w:t>
      </w:r>
      <w:r w:rsidRPr="004A0A7E">
        <w:rPr>
          <w:color w:val="000000" w:themeColor="text1"/>
          <w:lang w:val="en-GB"/>
        </w:rPr>
        <w:t>must</w:t>
      </w:r>
      <w:r w:rsidRPr="008A449B">
        <w:rPr>
          <w:color w:val="000000" w:themeColor="text1"/>
          <w:lang w:val="en-GB"/>
        </w:rPr>
        <w:t xml:space="preserve"> also include assessing whether the Lender is complying with the clauses as stated in the guarantee agreement, some of which </w:t>
      </w:r>
      <w:r w:rsidRPr="004A0A7E">
        <w:rPr>
          <w:color w:val="000000" w:themeColor="text1"/>
          <w:lang w:val="en-GB"/>
        </w:rPr>
        <w:t>may</w:t>
      </w:r>
      <w:r w:rsidRPr="008A449B">
        <w:rPr>
          <w:color w:val="000000" w:themeColor="text1"/>
          <w:lang w:val="en-GB"/>
        </w:rPr>
        <w:t xml:space="preserve"> include</w:t>
      </w:r>
      <w:r w:rsidRPr="00F600AD">
        <w:rPr>
          <w:color w:val="000000" w:themeColor="text1"/>
          <w:lang w:val="en-GB"/>
        </w:rPr>
        <w:t>:</w:t>
      </w:r>
    </w:p>
    <w:p w14:paraId="4012CC75" w14:textId="77777777" w:rsidR="00AE546D" w:rsidRPr="00E0287F" w:rsidRDefault="00AE546D" w:rsidP="007E480F">
      <w:pPr>
        <w:pStyle w:val="ListParagraph"/>
        <w:numPr>
          <w:ilvl w:val="1"/>
          <w:numId w:val="52"/>
        </w:numPr>
        <w:spacing w:after="120" w:line="276" w:lineRule="auto"/>
        <w:jc w:val="both"/>
        <w:rPr>
          <w:color w:val="000000" w:themeColor="text1"/>
          <w:lang w:val="en-GB"/>
        </w:rPr>
      </w:pPr>
      <w:r w:rsidRPr="00E0287F">
        <w:rPr>
          <w:color w:val="000000" w:themeColor="text1"/>
          <w:lang w:val="en-GB"/>
        </w:rPr>
        <w:t xml:space="preserve">Submitting any executed loan documents covered under the guarantee to the Guarantee Issuer within a specified timeframe </w:t>
      </w:r>
    </w:p>
    <w:p w14:paraId="2C3A843A" w14:textId="77777777" w:rsidR="00AE546D" w:rsidRPr="00F600AD" w:rsidRDefault="00AE546D" w:rsidP="007E480F">
      <w:pPr>
        <w:pStyle w:val="ListParagraph"/>
        <w:numPr>
          <w:ilvl w:val="1"/>
          <w:numId w:val="52"/>
        </w:numPr>
        <w:spacing w:after="120" w:line="276" w:lineRule="auto"/>
        <w:jc w:val="both"/>
        <w:rPr>
          <w:color w:val="000000" w:themeColor="text1"/>
          <w:lang w:val="en-GB"/>
        </w:rPr>
      </w:pPr>
      <w:r w:rsidRPr="00F600AD">
        <w:rPr>
          <w:color w:val="000000" w:themeColor="text1"/>
          <w:lang w:val="en-GB"/>
        </w:rPr>
        <w:lastRenderedPageBreak/>
        <w:t xml:space="preserve">Submitting </w:t>
      </w:r>
      <w:r>
        <w:rPr>
          <w:color w:val="000000" w:themeColor="text1"/>
          <w:lang w:val="en-GB"/>
        </w:rPr>
        <w:t>duly completed p</w:t>
      </w:r>
      <w:r w:rsidRPr="00F600AD">
        <w:rPr>
          <w:color w:val="000000" w:themeColor="text1"/>
          <w:lang w:val="en-GB"/>
        </w:rPr>
        <w:t xml:space="preserve">ayment </w:t>
      </w:r>
      <w:r>
        <w:rPr>
          <w:color w:val="000000" w:themeColor="text1"/>
          <w:lang w:val="en-GB"/>
        </w:rPr>
        <w:t>d</w:t>
      </w:r>
      <w:r w:rsidRPr="00F600AD">
        <w:rPr>
          <w:color w:val="000000" w:themeColor="text1"/>
          <w:lang w:val="en-GB"/>
        </w:rPr>
        <w:t>emand statements requesting payment when a call is made on the guarantee after a borrower default</w:t>
      </w:r>
      <w:r>
        <w:rPr>
          <w:color w:val="000000" w:themeColor="text1"/>
          <w:lang w:val="en-GB"/>
        </w:rPr>
        <w:t>s</w:t>
      </w:r>
      <w:r w:rsidRPr="00F600AD">
        <w:rPr>
          <w:color w:val="000000" w:themeColor="text1"/>
          <w:lang w:val="en-GB"/>
        </w:rPr>
        <w:t xml:space="preserve"> </w:t>
      </w:r>
      <w:r>
        <w:rPr>
          <w:color w:val="000000" w:themeColor="text1"/>
          <w:lang w:val="en-GB"/>
        </w:rPr>
        <w:t>and the Lender’s recovery efforts fail, together with the supporting documentation required in a timely manner</w:t>
      </w:r>
    </w:p>
    <w:p w14:paraId="5BEF6D73" w14:textId="7AB056CE" w:rsidR="00AE546D" w:rsidRDefault="00AE546D" w:rsidP="007E480F">
      <w:pPr>
        <w:spacing w:after="120" w:line="276" w:lineRule="auto"/>
        <w:ind w:left="1080"/>
        <w:jc w:val="both"/>
        <w:rPr>
          <w:color w:val="000000" w:themeColor="text1"/>
          <w:lang w:val="en-GB"/>
        </w:rPr>
      </w:pPr>
      <w:r>
        <w:rPr>
          <w:color w:val="000000" w:themeColor="text1"/>
          <w:lang w:val="en-GB"/>
        </w:rPr>
        <w:t xml:space="preserve">A sample list detailing the Guarantee Issuer’s responsibilities in monitoring the Lender </w:t>
      </w:r>
      <w:r w:rsidR="00D2417F">
        <w:rPr>
          <w:color w:val="000000" w:themeColor="text1"/>
          <w:lang w:val="en-GB"/>
        </w:rPr>
        <w:t>is</w:t>
      </w:r>
      <w:r>
        <w:rPr>
          <w:color w:val="000000" w:themeColor="text1"/>
          <w:lang w:val="en-GB"/>
        </w:rPr>
        <w:t xml:space="preserve"> included in </w:t>
      </w:r>
      <w:hyperlink w:anchor="_Annex_2:_Key" w:history="1">
        <w:r w:rsidRPr="00733FC5">
          <w:rPr>
            <w:rStyle w:val="Hyperlink"/>
            <w:lang w:val="en-GB"/>
          </w:rPr>
          <w:t>Annex 2</w:t>
        </w:r>
      </w:hyperlink>
      <w:r>
        <w:rPr>
          <w:color w:val="000000" w:themeColor="text1"/>
          <w:lang w:val="en-GB"/>
        </w:rPr>
        <w:t>.</w:t>
      </w:r>
    </w:p>
    <w:p w14:paraId="0B46C074" w14:textId="77777777" w:rsidR="00AE546D" w:rsidRDefault="00AE546D" w:rsidP="00AE546D">
      <w:pPr>
        <w:spacing w:after="0" w:line="276" w:lineRule="auto"/>
        <w:ind w:left="720"/>
        <w:jc w:val="both"/>
        <w:rPr>
          <w:color w:val="000000" w:themeColor="text1"/>
          <w:lang w:val="en-GB"/>
        </w:rPr>
      </w:pPr>
    </w:p>
    <w:p w14:paraId="3451D64B" w14:textId="0F4CA53E" w:rsidR="00AE546D" w:rsidRDefault="00AE546D" w:rsidP="002540B8">
      <w:pPr>
        <w:pStyle w:val="ListParagraph"/>
        <w:numPr>
          <w:ilvl w:val="0"/>
          <w:numId w:val="52"/>
        </w:numPr>
        <w:spacing w:after="0" w:line="276" w:lineRule="auto"/>
        <w:ind w:left="1080"/>
        <w:contextualSpacing w:val="0"/>
        <w:jc w:val="both"/>
        <w:rPr>
          <w:color w:val="000000" w:themeColor="text1"/>
          <w:lang w:val="en-GB"/>
        </w:rPr>
      </w:pPr>
      <w:r w:rsidRPr="001C1B1E">
        <w:rPr>
          <w:color w:val="000000" w:themeColor="text1"/>
          <w:u w:val="single"/>
          <w:lang w:val="en-GB"/>
        </w:rPr>
        <w:t>Performance Monitoring</w:t>
      </w:r>
      <w:r>
        <w:rPr>
          <w:color w:val="000000" w:themeColor="text1"/>
          <w:u w:val="single"/>
          <w:lang w:val="en-GB"/>
        </w:rPr>
        <w:t>:</w:t>
      </w:r>
      <w:r w:rsidRPr="00F600AD">
        <w:rPr>
          <w:color w:val="000000" w:themeColor="text1"/>
          <w:lang w:val="en-GB"/>
        </w:rPr>
        <w:t xml:space="preserve"> This includes measuring the effectiveness of the loan portfolio</w:t>
      </w:r>
      <w:r>
        <w:rPr>
          <w:color w:val="000000" w:themeColor="text1"/>
          <w:lang w:val="en-GB"/>
        </w:rPr>
        <w:t>,</w:t>
      </w:r>
      <w:r w:rsidRPr="00F600AD">
        <w:rPr>
          <w:color w:val="000000" w:themeColor="text1"/>
          <w:lang w:val="en-GB"/>
        </w:rPr>
        <w:t xml:space="preserve"> recording information to track performance and comparing this against the previously established benchmarks or requirements </w:t>
      </w:r>
      <w:r>
        <w:rPr>
          <w:color w:val="000000" w:themeColor="text1"/>
          <w:lang w:val="en-GB"/>
        </w:rPr>
        <w:t>of</w:t>
      </w:r>
      <w:r w:rsidRPr="00F600AD">
        <w:rPr>
          <w:color w:val="000000" w:themeColor="text1"/>
          <w:lang w:val="en-GB"/>
        </w:rPr>
        <w:t xml:space="preserve"> the loan facility</w:t>
      </w:r>
      <w:r>
        <w:rPr>
          <w:color w:val="000000" w:themeColor="text1"/>
          <w:lang w:val="en-GB" w:eastAsia="ja-JP"/>
        </w:rPr>
        <w:t xml:space="preserve"> as set out in the project documentation and agreement</w:t>
      </w:r>
      <w:r w:rsidRPr="00F600AD">
        <w:rPr>
          <w:color w:val="000000" w:themeColor="text1"/>
          <w:lang w:val="en-GB"/>
        </w:rPr>
        <w:t xml:space="preserve">(s) </w:t>
      </w:r>
      <w:r>
        <w:rPr>
          <w:color w:val="000000" w:themeColor="text1"/>
          <w:lang w:val="en-GB"/>
        </w:rPr>
        <w:t xml:space="preserve">between </w:t>
      </w:r>
      <w:r w:rsidRPr="00F600AD">
        <w:rPr>
          <w:color w:val="000000" w:themeColor="text1"/>
          <w:lang w:val="en-GB"/>
        </w:rPr>
        <w:t xml:space="preserve">UNDP and the </w:t>
      </w:r>
      <w:r>
        <w:rPr>
          <w:color w:val="000000" w:themeColor="text1"/>
          <w:lang w:val="en-GB"/>
        </w:rPr>
        <w:t xml:space="preserve">Lender. Tracking performance is important to ensure the effectiveness of guarantees as a part of broader development project. </w:t>
      </w:r>
      <w:r w:rsidRPr="00F600AD">
        <w:rPr>
          <w:color w:val="000000" w:themeColor="text1"/>
          <w:lang w:val="en-GB"/>
        </w:rPr>
        <w:t xml:space="preserve">The loan portfolio performance should be measured and evaluated along the dimensions of outreach, </w:t>
      </w:r>
      <w:r>
        <w:rPr>
          <w:color w:val="000000" w:themeColor="text1"/>
          <w:lang w:val="en-GB"/>
        </w:rPr>
        <w:t>effectiveness</w:t>
      </w:r>
      <w:r w:rsidRPr="00F600AD">
        <w:rPr>
          <w:color w:val="000000" w:themeColor="text1"/>
          <w:lang w:val="en-GB"/>
        </w:rPr>
        <w:t>, and financial sustainability, which correspond to the expected outcomes of the</w:t>
      </w:r>
      <w:r w:rsidR="005A37E0">
        <w:rPr>
          <w:color w:val="000000" w:themeColor="text1"/>
          <w:lang w:val="en-GB"/>
        </w:rPr>
        <w:t xml:space="preserve"> UNDP-supported</w:t>
      </w:r>
      <w:r w:rsidRPr="00F600AD">
        <w:rPr>
          <w:color w:val="000000" w:themeColor="text1"/>
          <w:lang w:val="en-GB"/>
        </w:rPr>
        <w:t xml:space="preserve"> guarantee. </w:t>
      </w:r>
      <w:r w:rsidR="00743CF5" w:rsidRPr="00256DAD" w:rsidDel="00D437D5">
        <w:rPr>
          <w:iCs/>
        </w:rPr>
        <w:t xml:space="preserve">Financial </w:t>
      </w:r>
      <w:r w:rsidR="00743CF5">
        <w:rPr>
          <w:iCs/>
        </w:rPr>
        <w:t>p</w:t>
      </w:r>
      <w:r w:rsidR="00743CF5" w:rsidRPr="00256DAD" w:rsidDel="00D437D5">
        <w:rPr>
          <w:iCs/>
        </w:rPr>
        <w:t xml:space="preserve">erformance </w:t>
      </w:r>
      <w:r w:rsidR="00743CF5">
        <w:rPr>
          <w:iCs/>
        </w:rPr>
        <w:t>i</w:t>
      </w:r>
      <w:r w:rsidR="00743CF5" w:rsidRPr="00256DAD" w:rsidDel="00D437D5">
        <w:rPr>
          <w:iCs/>
        </w:rPr>
        <w:t xml:space="preserve">ndicators can help demonstrate portfolio quality and efficiency, e.g. number of clients that have been able to access loans due to the </w:t>
      </w:r>
      <w:r w:rsidR="005A37E0">
        <w:rPr>
          <w:iCs/>
        </w:rPr>
        <w:t xml:space="preserve">UNDP-supported </w:t>
      </w:r>
      <w:r w:rsidR="00743CF5" w:rsidRPr="00256DAD" w:rsidDel="00D437D5">
        <w:rPr>
          <w:iCs/>
        </w:rPr>
        <w:t xml:space="preserve">guarantee. </w:t>
      </w:r>
      <w:r w:rsidRPr="00F600AD">
        <w:rPr>
          <w:color w:val="000000" w:themeColor="text1"/>
          <w:lang w:val="en-GB"/>
        </w:rPr>
        <w:t>Lenders should periodically report their performance and evaluate the achievement of the loan portfolio objectives.</w:t>
      </w:r>
      <w:r w:rsidRPr="00AE1AE5">
        <w:rPr>
          <w:color w:val="000000" w:themeColor="text1"/>
          <w:lang w:val="en-GB"/>
        </w:rPr>
        <w:t xml:space="preserve"> </w:t>
      </w:r>
      <w:r>
        <w:rPr>
          <w:color w:val="000000" w:themeColor="text1"/>
          <w:lang w:val="en-GB"/>
        </w:rPr>
        <w:t xml:space="preserve">The extent to which the </w:t>
      </w:r>
      <w:r w:rsidRPr="00F600AD">
        <w:rPr>
          <w:color w:val="000000" w:themeColor="text1"/>
          <w:lang w:val="en-GB"/>
        </w:rPr>
        <w:t xml:space="preserve">Guarantee Issuer </w:t>
      </w:r>
      <w:r>
        <w:rPr>
          <w:color w:val="000000" w:themeColor="text1"/>
          <w:lang w:val="en-GB"/>
        </w:rPr>
        <w:t xml:space="preserve">may support performance monitoring should be set out in its signed agreement with UNDP </w:t>
      </w:r>
      <w:r w:rsidRPr="00F600AD">
        <w:rPr>
          <w:color w:val="000000" w:themeColor="text1"/>
          <w:lang w:val="en-GB"/>
        </w:rPr>
        <w:t>(the Guarantee Issuer Agreement</w:t>
      </w:r>
      <w:r>
        <w:rPr>
          <w:color w:val="000000" w:themeColor="text1"/>
          <w:lang w:val="en-GB"/>
        </w:rPr>
        <w:t>)</w:t>
      </w:r>
      <w:r w:rsidRPr="00F600AD">
        <w:rPr>
          <w:color w:val="000000" w:themeColor="text1"/>
          <w:lang w:val="en-GB"/>
        </w:rPr>
        <w:t>.</w:t>
      </w:r>
    </w:p>
    <w:p w14:paraId="4296BEE8" w14:textId="77777777" w:rsidR="00AE546D" w:rsidRDefault="00AE546D" w:rsidP="00AE546D">
      <w:pPr>
        <w:spacing w:after="0" w:line="276" w:lineRule="auto"/>
        <w:ind w:left="720"/>
        <w:jc w:val="both"/>
        <w:rPr>
          <w:color w:val="000000" w:themeColor="text1"/>
          <w:lang w:val="en-GB"/>
        </w:rPr>
      </w:pPr>
      <w:r>
        <w:rPr>
          <w:color w:val="000000" w:themeColor="text1"/>
          <w:lang w:val="en-GB"/>
        </w:rPr>
        <w:t xml:space="preserve"> </w:t>
      </w:r>
    </w:p>
    <w:p w14:paraId="06399302" w14:textId="77777777" w:rsidR="00CB5DED" w:rsidRDefault="00AE546D" w:rsidP="002540B8">
      <w:pPr>
        <w:spacing w:after="0" w:line="276" w:lineRule="auto"/>
        <w:ind w:left="547"/>
        <w:jc w:val="both"/>
        <w:rPr>
          <w:color w:val="000000" w:themeColor="text1"/>
          <w:lang w:val="en-GB"/>
        </w:rPr>
      </w:pPr>
      <w:r w:rsidRPr="001C38AF">
        <w:rPr>
          <w:color w:val="000000" w:themeColor="text1"/>
          <w:lang w:val="en-GB"/>
        </w:rPr>
        <w:t xml:space="preserve">Whilst every Guarantee Issuer must be able to monitor the </w:t>
      </w:r>
      <w:r w:rsidR="00E90D1B">
        <w:rPr>
          <w:color w:val="000000" w:themeColor="text1"/>
          <w:lang w:val="en-GB"/>
        </w:rPr>
        <w:t xml:space="preserve">technical </w:t>
      </w:r>
      <w:r w:rsidR="00E90D1B" w:rsidRPr="00E46768">
        <w:rPr>
          <w:color w:val="000000" w:themeColor="text1"/>
          <w:lang w:val="en-GB"/>
        </w:rPr>
        <w:t>and financial</w:t>
      </w:r>
      <w:r w:rsidR="00E90D1B">
        <w:rPr>
          <w:color w:val="000000" w:themeColor="text1"/>
          <w:lang w:val="en-GB"/>
        </w:rPr>
        <w:t xml:space="preserve"> </w:t>
      </w:r>
      <w:r w:rsidRPr="001C38AF">
        <w:rPr>
          <w:color w:val="000000" w:themeColor="text1"/>
          <w:lang w:val="en-GB"/>
        </w:rPr>
        <w:t>aspects (</w:t>
      </w:r>
      <w:r w:rsidR="00E90D1B">
        <w:rPr>
          <w:color w:val="000000" w:themeColor="text1"/>
          <w:lang w:val="en-GB"/>
        </w:rPr>
        <w:t>e.g</w:t>
      </w:r>
      <w:r w:rsidR="009B06A1">
        <w:rPr>
          <w:color w:val="000000" w:themeColor="text1"/>
          <w:lang w:val="en-GB"/>
        </w:rPr>
        <w:t>.</w:t>
      </w:r>
      <w:r w:rsidR="00E90D1B">
        <w:rPr>
          <w:color w:val="000000" w:themeColor="text1"/>
          <w:lang w:val="en-GB"/>
        </w:rPr>
        <w:t xml:space="preserve"> </w:t>
      </w:r>
      <w:r w:rsidRPr="001C38AF">
        <w:rPr>
          <w:color w:val="000000" w:themeColor="text1"/>
          <w:lang w:val="en-GB"/>
        </w:rPr>
        <w:t>covenant monitoring</w:t>
      </w:r>
      <w:r w:rsidR="009B06A1">
        <w:rPr>
          <w:color w:val="000000" w:themeColor="text1"/>
          <w:lang w:val="en-GB"/>
        </w:rPr>
        <w:t xml:space="preserve">, </w:t>
      </w:r>
      <w:r w:rsidR="009B06A1" w:rsidRPr="00E46768">
        <w:rPr>
          <w:color w:val="000000" w:themeColor="text1"/>
          <w:lang w:val="en-GB"/>
        </w:rPr>
        <w:t>financial sustaina</w:t>
      </w:r>
      <w:r w:rsidR="007055C9" w:rsidRPr="00E46768">
        <w:rPr>
          <w:color w:val="000000" w:themeColor="text1"/>
          <w:lang w:val="en-GB"/>
        </w:rPr>
        <w:t xml:space="preserve">bility </w:t>
      </w:r>
      <w:r w:rsidR="00D4047C" w:rsidRPr="00E46768">
        <w:rPr>
          <w:color w:val="000000" w:themeColor="text1"/>
          <w:lang w:val="en-GB"/>
        </w:rPr>
        <w:t>monitoring</w:t>
      </w:r>
      <w:r w:rsidR="009B06A1" w:rsidRPr="00E46768">
        <w:rPr>
          <w:color w:val="000000" w:themeColor="text1"/>
          <w:lang w:val="en-GB"/>
        </w:rPr>
        <w:t>,</w:t>
      </w:r>
      <w:r w:rsidR="009B06A1">
        <w:rPr>
          <w:color w:val="000000" w:themeColor="text1"/>
          <w:lang w:val="en-GB"/>
        </w:rPr>
        <w:t xml:space="preserve"> etc.</w:t>
      </w:r>
      <w:r w:rsidRPr="001C38AF">
        <w:rPr>
          <w:color w:val="000000" w:themeColor="text1"/>
          <w:lang w:val="en-GB"/>
        </w:rPr>
        <w:t xml:space="preserve">) of the loan portfolio, the extent to which the Guarantee Issuer can </w:t>
      </w:r>
      <w:r>
        <w:rPr>
          <w:color w:val="000000" w:themeColor="text1"/>
          <w:lang w:val="en-GB"/>
        </w:rPr>
        <w:t xml:space="preserve">also </w:t>
      </w:r>
      <w:r w:rsidRPr="001C38AF">
        <w:rPr>
          <w:color w:val="000000" w:themeColor="text1"/>
          <w:lang w:val="en-GB"/>
        </w:rPr>
        <w:t>undertake the</w:t>
      </w:r>
      <w:r w:rsidR="00D4047C">
        <w:rPr>
          <w:color w:val="000000" w:themeColor="text1"/>
          <w:lang w:val="en-GB"/>
        </w:rPr>
        <w:t xml:space="preserve"> </w:t>
      </w:r>
      <w:r w:rsidR="00D4047C" w:rsidRPr="00E46768">
        <w:rPr>
          <w:color w:val="000000" w:themeColor="text1"/>
          <w:lang w:val="en-GB"/>
        </w:rPr>
        <w:t>non-financial</w:t>
      </w:r>
      <w:r w:rsidR="00D4047C">
        <w:rPr>
          <w:color w:val="000000" w:themeColor="text1"/>
          <w:lang w:val="en-GB"/>
        </w:rPr>
        <w:t xml:space="preserve"> </w:t>
      </w:r>
      <w:r w:rsidRPr="001C38AF">
        <w:rPr>
          <w:color w:val="000000" w:themeColor="text1"/>
          <w:lang w:val="en-GB"/>
        </w:rPr>
        <w:t xml:space="preserve">performance </w:t>
      </w:r>
      <w:r>
        <w:rPr>
          <w:color w:val="000000" w:themeColor="text1"/>
          <w:lang w:val="en-GB"/>
        </w:rPr>
        <w:t xml:space="preserve">monitoring </w:t>
      </w:r>
      <w:r w:rsidRPr="001C38AF">
        <w:rPr>
          <w:color w:val="000000" w:themeColor="text1"/>
          <w:lang w:val="en-GB"/>
        </w:rPr>
        <w:t>and all of the compliance monitoring activities depends upon their capa</w:t>
      </w:r>
      <w:r>
        <w:rPr>
          <w:color w:val="000000" w:themeColor="text1"/>
          <w:lang w:val="en-GB"/>
        </w:rPr>
        <w:t>bilities</w:t>
      </w:r>
      <w:r w:rsidRPr="001C38AF">
        <w:rPr>
          <w:color w:val="000000" w:themeColor="text1"/>
          <w:lang w:val="en-GB"/>
        </w:rPr>
        <w:t>. For example, development finance institutions performing the Guarantee Issuer role may be more able to address the non-financial compliance monitoring (e.g. on ESG requirements,</w:t>
      </w:r>
      <w:r w:rsidR="007A7117">
        <w:rPr>
          <w:color w:val="000000" w:themeColor="text1"/>
          <w:lang w:val="en-GB"/>
        </w:rPr>
        <w:t xml:space="preserve"> etc.</w:t>
      </w:r>
      <w:r w:rsidRPr="001C38AF">
        <w:rPr>
          <w:color w:val="000000" w:themeColor="text1"/>
          <w:lang w:val="en-GB"/>
        </w:rPr>
        <w:t>) or performance monitoring</w:t>
      </w:r>
      <w:r w:rsidR="007A7117" w:rsidRPr="007A7117">
        <w:rPr>
          <w:color w:val="000000" w:themeColor="text1"/>
          <w:lang w:val="en-GB"/>
        </w:rPr>
        <w:t xml:space="preserve"> </w:t>
      </w:r>
      <w:r w:rsidR="007A7117">
        <w:rPr>
          <w:color w:val="000000" w:themeColor="text1"/>
          <w:lang w:val="en-GB"/>
        </w:rPr>
        <w:t xml:space="preserve">(e.g. </w:t>
      </w:r>
      <w:r w:rsidR="003521F9">
        <w:rPr>
          <w:color w:val="000000" w:themeColor="text1"/>
          <w:lang w:val="en-GB"/>
        </w:rPr>
        <w:t xml:space="preserve">on </w:t>
      </w:r>
      <w:r w:rsidR="007A7117" w:rsidRPr="001C38AF">
        <w:rPr>
          <w:color w:val="000000" w:themeColor="text1"/>
          <w:lang w:val="en-GB"/>
        </w:rPr>
        <w:t>development impact</w:t>
      </w:r>
      <w:r w:rsidRPr="001C38AF">
        <w:rPr>
          <w:color w:val="000000" w:themeColor="text1"/>
          <w:lang w:val="en-GB"/>
        </w:rPr>
        <w:t>,</w:t>
      </w:r>
      <w:r w:rsidR="007A7117">
        <w:rPr>
          <w:color w:val="000000" w:themeColor="text1"/>
          <w:lang w:val="en-GB"/>
        </w:rPr>
        <w:t xml:space="preserve"> etc.) </w:t>
      </w:r>
      <w:r w:rsidR="007A7117" w:rsidRPr="001C38AF">
        <w:rPr>
          <w:color w:val="000000" w:themeColor="text1"/>
          <w:lang w:val="en-GB"/>
        </w:rPr>
        <w:t>referred to above</w:t>
      </w:r>
      <w:r w:rsidRPr="001C38AF">
        <w:rPr>
          <w:color w:val="000000" w:themeColor="text1"/>
          <w:lang w:val="en-GB"/>
        </w:rPr>
        <w:t xml:space="preserve"> than commercial financial institutions with less </w:t>
      </w:r>
      <w:r>
        <w:rPr>
          <w:color w:val="000000" w:themeColor="text1"/>
          <w:lang w:val="en-GB"/>
        </w:rPr>
        <w:t>expertise in monitoring development</w:t>
      </w:r>
      <w:r w:rsidRPr="001C38AF">
        <w:rPr>
          <w:color w:val="000000" w:themeColor="text1"/>
          <w:lang w:val="en-GB"/>
        </w:rPr>
        <w:t xml:space="preserve">. UNDP’s monitoring plan will thus need to cover the full spectrum of its monitoring requirements, clearly articulating those to be performed by UNDP and those to be performed by the Guarantee Issuer </w:t>
      </w:r>
      <w:r>
        <w:rPr>
          <w:color w:val="000000" w:themeColor="text1"/>
          <w:lang w:val="en-GB"/>
        </w:rPr>
        <w:t>up</w:t>
      </w:r>
      <w:r w:rsidRPr="001C38AF">
        <w:rPr>
          <w:color w:val="000000" w:themeColor="text1"/>
          <w:lang w:val="en-GB"/>
        </w:rPr>
        <w:t>on UNDP</w:t>
      </w:r>
      <w:r>
        <w:rPr>
          <w:color w:val="000000" w:themeColor="text1"/>
          <w:lang w:val="en-GB"/>
        </w:rPr>
        <w:t>’s request</w:t>
      </w:r>
      <w:r w:rsidRPr="001C38AF">
        <w:rPr>
          <w:color w:val="000000" w:themeColor="text1"/>
          <w:lang w:val="en-GB"/>
        </w:rPr>
        <w:t>.</w:t>
      </w:r>
    </w:p>
    <w:p w14:paraId="2C26A4F2" w14:textId="7497FFB4" w:rsidR="00AE546D" w:rsidRDefault="00AE546D" w:rsidP="002540B8">
      <w:pPr>
        <w:spacing w:after="0" w:line="276" w:lineRule="auto"/>
        <w:ind w:left="547"/>
        <w:jc w:val="both"/>
        <w:rPr>
          <w:color w:val="000000" w:themeColor="text1"/>
          <w:lang w:val="en-GB"/>
        </w:rPr>
      </w:pPr>
      <w:r>
        <w:rPr>
          <w:color w:val="000000" w:themeColor="text1"/>
          <w:lang w:val="en-GB"/>
        </w:rPr>
        <w:t xml:space="preserve"> </w:t>
      </w:r>
    </w:p>
    <w:p w14:paraId="4D23F1FD" w14:textId="008DADD1" w:rsidR="00AE546D" w:rsidRPr="00842D4C" w:rsidRDefault="00CB5DED" w:rsidP="00842D4C">
      <w:pPr>
        <w:pStyle w:val="ListParagraph"/>
        <w:numPr>
          <w:ilvl w:val="1"/>
          <w:numId w:val="19"/>
        </w:numPr>
        <w:spacing w:after="120" w:line="276" w:lineRule="auto"/>
        <w:ind w:left="540"/>
        <w:jc w:val="both"/>
        <w:rPr>
          <w:b/>
          <w:bCs/>
        </w:rPr>
      </w:pPr>
      <w:r w:rsidRPr="00842D4C">
        <w:rPr>
          <w:b/>
          <w:bCs/>
        </w:rPr>
        <w:t xml:space="preserve">Financial monitoring of the </w:t>
      </w:r>
      <w:r w:rsidR="005A37E0">
        <w:rPr>
          <w:b/>
          <w:bCs/>
        </w:rPr>
        <w:t xml:space="preserve">UNDP-supported </w:t>
      </w:r>
      <w:r w:rsidRPr="00842D4C">
        <w:rPr>
          <w:b/>
          <w:bCs/>
        </w:rPr>
        <w:t>guarantee instrument</w:t>
      </w:r>
    </w:p>
    <w:p w14:paraId="25EA7593" w14:textId="6E1F94A5" w:rsidR="00252CC5" w:rsidRDefault="00606F42" w:rsidP="00D74628">
      <w:pPr>
        <w:ind w:left="540"/>
        <w:jc w:val="both"/>
      </w:pPr>
      <w:r>
        <w:t>Financial m</w:t>
      </w:r>
      <w:r w:rsidRPr="00606F42">
        <w:t xml:space="preserve">onitoring activities </w:t>
      </w:r>
      <w:r w:rsidR="00845498">
        <w:t xml:space="preserve">for the </w:t>
      </w:r>
      <w:r w:rsidR="005A37E0">
        <w:t xml:space="preserve">UNDP-supported </w:t>
      </w:r>
      <w:r w:rsidR="00845498">
        <w:t xml:space="preserve">guarantee instrument </w:t>
      </w:r>
      <w:r w:rsidRPr="00606F42">
        <w:t xml:space="preserve">include </w:t>
      </w:r>
      <w:r w:rsidR="00F06658" w:rsidRPr="00256DAD" w:rsidDel="00D437D5">
        <w:rPr>
          <w:iCs/>
        </w:rPr>
        <w:t xml:space="preserve">monitoring and reporting on the financial </w:t>
      </w:r>
      <w:r w:rsidR="00F06658">
        <w:rPr>
          <w:iCs/>
        </w:rPr>
        <w:t xml:space="preserve">performance </w:t>
      </w:r>
      <w:r w:rsidR="00F06658" w:rsidRPr="00256DAD" w:rsidDel="00D437D5">
        <w:rPr>
          <w:iCs/>
        </w:rPr>
        <w:t>indicators</w:t>
      </w:r>
      <w:r w:rsidR="00F06658">
        <w:rPr>
          <w:iCs/>
        </w:rPr>
        <w:t xml:space="preserve"> of the guarantee</w:t>
      </w:r>
      <w:r w:rsidR="00F06658" w:rsidRPr="00606F42">
        <w:t xml:space="preserve"> </w:t>
      </w:r>
      <w:r w:rsidR="00C0138A">
        <w:t xml:space="preserve">portfolio </w:t>
      </w:r>
      <w:r w:rsidR="002B0EF7">
        <w:t xml:space="preserve">to assess its effectiveness and efficiency </w:t>
      </w:r>
      <w:r w:rsidR="00F06658">
        <w:t>(</w:t>
      </w:r>
      <w:r w:rsidR="00C0138A">
        <w:t xml:space="preserve">see </w:t>
      </w:r>
      <w:r w:rsidR="002B0EF7">
        <w:t xml:space="preserve">examples in the </w:t>
      </w:r>
      <w:r w:rsidR="00C0138A">
        <w:t xml:space="preserve">table below) as well as </w:t>
      </w:r>
      <w:r w:rsidRPr="00606F42">
        <w:t>ensuring that fees are paid, reporting requirements are met, completion of conditions precedent (when applicable)</w:t>
      </w:r>
      <w:r w:rsidR="002B0EF7">
        <w:t xml:space="preserve"> is </w:t>
      </w:r>
      <w:r w:rsidR="002B0EF7">
        <w:lastRenderedPageBreak/>
        <w:t>documented</w:t>
      </w:r>
      <w:r w:rsidRPr="00606F42">
        <w:t xml:space="preserve">, </w:t>
      </w:r>
      <w:r w:rsidR="005B0ACD">
        <w:t>making site visits</w:t>
      </w:r>
      <w:r w:rsidRPr="00606F42">
        <w:t xml:space="preserve">, and closing out the </w:t>
      </w:r>
      <w:r w:rsidR="006E1A9C">
        <w:t xml:space="preserve">guarantee </w:t>
      </w:r>
      <w:r w:rsidRPr="00606F42">
        <w:t xml:space="preserve">facility upon expiration. </w:t>
      </w:r>
      <w:r w:rsidR="00845498" w:rsidRPr="00256DAD" w:rsidDel="00D437D5">
        <w:rPr>
          <w:iCs/>
        </w:rPr>
        <w:t>The Guarantee Issuer will be responsible for monitoring and reporting on the financial indicators</w:t>
      </w:r>
      <w:r w:rsidR="00842D4C">
        <w:rPr>
          <w:iCs/>
        </w:rPr>
        <w:t xml:space="preserve"> of the </w:t>
      </w:r>
      <w:r w:rsidR="005A37E0">
        <w:rPr>
          <w:iCs/>
        </w:rPr>
        <w:t xml:space="preserve">UNDP-supported </w:t>
      </w:r>
      <w:r w:rsidR="00842D4C">
        <w:rPr>
          <w:iCs/>
        </w:rPr>
        <w:t>guarantee</w:t>
      </w:r>
      <w:r w:rsidR="00845498" w:rsidRPr="00256DAD" w:rsidDel="00D437D5">
        <w:rPr>
          <w:iCs/>
        </w:rPr>
        <w:t>.</w:t>
      </w:r>
    </w:p>
    <w:p w14:paraId="2EAD48B1" w14:textId="77777777" w:rsidR="00007847" w:rsidRDefault="00007847" w:rsidP="00D74628">
      <w:pPr>
        <w:ind w:left="540"/>
        <w:jc w:val="both"/>
      </w:pPr>
      <w:r>
        <w:t>The indicators to evaluate the financial performance of a guarantee may include:</w:t>
      </w:r>
    </w:p>
    <w:tbl>
      <w:tblPr>
        <w:tblStyle w:val="ListTable3-Accent5"/>
        <w:tblW w:w="9355" w:type="dxa"/>
        <w:tblLook w:val="04A0" w:firstRow="1" w:lastRow="0" w:firstColumn="1" w:lastColumn="0" w:noHBand="0" w:noVBand="1"/>
      </w:tblPr>
      <w:tblGrid>
        <w:gridCol w:w="3032"/>
        <w:gridCol w:w="3283"/>
        <w:gridCol w:w="3040"/>
      </w:tblGrid>
      <w:tr w:rsidR="00007847" w14:paraId="60E9947C" w14:textId="77777777" w:rsidTr="009358C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48CA824C" w14:textId="77777777" w:rsidR="00007847" w:rsidRDefault="00007847" w:rsidP="00D27490">
            <w:pPr>
              <w:jc w:val="both"/>
            </w:pPr>
            <w:r>
              <w:t>Financial Indicator</w:t>
            </w:r>
          </w:p>
        </w:tc>
        <w:tc>
          <w:tcPr>
            <w:tcW w:w="0" w:type="dxa"/>
          </w:tcPr>
          <w:p w14:paraId="1BF568D7" w14:textId="77777777" w:rsidR="00007847" w:rsidRDefault="00007847" w:rsidP="00D27490">
            <w:pPr>
              <w:jc w:val="both"/>
              <w:cnfStyle w:val="100000000000" w:firstRow="1" w:lastRow="0" w:firstColumn="0" w:lastColumn="0" w:oddVBand="0" w:evenVBand="0" w:oddHBand="0" w:evenHBand="0" w:firstRowFirstColumn="0" w:firstRowLastColumn="0" w:lastRowFirstColumn="0" w:lastRowLastColumn="0"/>
            </w:pPr>
            <w:r>
              <w:t>What it measures</w:t>
            </w:r>
          </w:p>
        </w:tc>
        <w:tc>
          <w:tcPr>
            <w:tcW w:w="0" w:type="dxa"/>
          </w:tcPr>
          <w:p w14:paraId="30C3C1AB" w14:textId="77777777" w:rsidR="00007847" w:rsidRDefault="00007847" w:rsidP="00D27490">
            <w:pPr>
              <w:jc w:val="both"/>
              <w:cnfStyle w:val="100000000000" w:firstRow="1" w:lastRow="0" w:firstColumn="0" w:lastColumn="0" w:oddVBand="0" w:evenVBand="0" w:oddHBand="0" w:evenHBand="0" w:firstRowFirstColumn="0" w:firstRowLastColumn="0" w:lastRowFirstColumn="0" w:lastRowLastColumn="0"/>
            </w:pPr>
            <w:r>
              <w:t>How it’s calculated</w:t>
            </w:r>
          </w:p>
        </w:tc>
      </w:tr>
      <w:tr w:rsidR="00007847" w14:paraId="49C9C45B" w14:textId="77777777" w:rsidTr="00935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BF2514E" w14:textId="77777777" w:rsidR="00007847" w:rsidRDefault="00007847" w:rsidP="00D27490">
            <w:r>
              <w:t>Leverage</w:t>
            </w:r>
          </w:p>
        </w:tc>
        <w:tc>
          <w:tcPr>
            <w:tcW w:w="0" w:type="dxa"/>
          </w:tcPr>
          <w:p w14:paraId="1A260BA2" w14:textId="77777777" w:rsidR="00007847" w:rsidRDefault="00007847" w:rsidP="00D27490">
            <w:pPr>
              <w:jc w:val="both"/>
              <w:cnfStyle w:val="000000100000" w:firstRow="0" w:lastRow="0" w:firstColumn="0" w:lastColumn="0" w:oddVBand="0" w:evenVBand="0" w:oddHBand="1" w:evenHBand="0" w:firstRowFirstColumn="0" w:firstRowLastColumn="0" w:lastRowFirstColumn="0" w:lastRowLastColumn="0"/>
            </w:pPr>
            <w:r>
              <w:t>Effectiveness</w:t>
            </w:r>
          </w:p>
        </w:tc>
        <w:tc>
          <w:tcPr>
            <w:tcW w:w="0" w:type="dxa"/>
          </w:tcPr>
          <w:p w14:paraId="409907B7" w14:textId="77A89416" w:rsidR="00007847" w:rsidRPr="004438E8" w:rsidRDefault="00007847" w:rsidP="009358C0">
            <w:pPr>
              <w:cnfStyle w:val="000000100000" w:firstRow="0" w:lastRow="0" w:firstColumn="0" w:lastColumn="0" w:oddVBand="0" w:evenVBand="0" w:oddHBand="1" w:evenHBand="0" w:firstRowFirstColumn="0" w:firstRowLastColumn="0" w:lastRowFirstColumn="0" w:lastRowLastColumn="0"/>
            </w:pPr>
            <w:r w:rsidRPr="004438E8">
              <w:rPr>
                <w:rFonts w:cstheme="minorHAnsi"/>
              </w:rPr>
              <w:t>Amount mobiliz</w:t>
            </w:r>
            <w:r w:rsidR="005A37E0">
              <w:rPr>
                <w:rFonts w:cstheme="minorHAnsi"/>
              </w:rPr>
              <w:t>ed</w:t>
            </w:r>
            <w:r w:rsidRPr="004438E8">
              <w:rPr>
                <w:rStyle w:val="FootnoteReference"/>
                <w:rFonts w:cstheme="minorHAnsi"/>
              </w:rPr>
              <w:footnoteReference w:id="12"/>
            </w:r>
            <w:r w:rsidRPr="004438E8">
              <w:rPr>
                <w:rFonts w:cstheme="minorHAnsi"/>
              </w:rPr>
              <w:t xml:space="preserve"> by </w:t>
            </w:r>
            <w:r>
              <w:rPr>
                <w:rFonts w:cstheme="minorHAnsi"/>
              </w:rPr>
              <w:t>the guarantee (e.g.</w:t>
            </w:r>
            <w:r w:rsidR="005A37E0">
              <w:rPr>
                <w:rFonts w:cstheme="minorHAnsi"/>
              </w:rPr>
              <w:t xml:space="preserve">, </w:t>
            </w:r>
            <w:r>
              <w:rPr>
                <w:rFonts w:cstheme="minorHAnsi"/>
              </w:rPr>
              <w:t>amount of guarantee loans extended)</w:t>
            </w:r>
            <w:r w:rsidRPr="004438E8">
              <w:rPr>
                <w:rFonts w:cstheme="minorHAnsi"/>
              </w:rPr>
              <w:t xml:space="preserve"> </w:t>
            </w:r>
            <w:r>
              <w:rPr>
                <w:rFonts w:cstheme="minorHAnsi"/>
              </w:rPr>
              <w:t>divided by</w:t>
            </w:r>
            <w:r w:rsidRPr="004438E8">
              <w:rPr>
                <w:rFonts w:cstheme="minorHAnsi"/>
              </w:rPr>
              <w:t xml:space="preserve"> the maximum amount that may have to be paid out in relation to the </w:t>
            </w:r>
            <w:r>
              <w:rPr>
                <w:rFonts w:cstheme="minorHAnsi"/>
              </w:rPr>
              <w:t>guarantee</w:t>
            </w:r>
            <w:r w:rsidRPr="004438E8">
              <w:rPr>
                <w:rFonts w:cstheme="minorHAnsi"/>
              </w:rPr>
              <w:t>.</w:t>
            </w:r>
          </w:p>
        </w:tc>
      </w:tr>
      <w:tr w:rsidR="00007847" w14:paraId="19DEA5CF" w14:textId="77777777" w:rsidTr="009358C0">
        <w:tc>
          <w:tcPr>
            <w:cnfStyle w:val="001000000000" w:firstRow="0" w:lastRow="0" w:firstColumn="1" w:lastColumn="0" w:oddVBand="0" w:evenVBand="0" w:oddHBand="0" w:evenHBand="0" w:firstRowFirstColumn="0" w:firstRowLastColumn="0" w:lastRowFirstColumn="0" w:lastRowLastColumn="0"/>
            <w:tcW w:w="0" w:type="dxa"/>
          </w:tcPr>
          <w:p w14:paraId="5C7EBED5" w14:textId="77777777" w:rsidR="00007847" w:rsidRDefault="00007847" w:rsidP="009358C0">
            <w:r>
              <w:t>Transaction costs per guarantee issued</w:t>
            </w:r>
          </w:p>
        </w:tc>
        <w:tc>
          <w:tcPr>
            <w:tcW w:w="0" w:type="dxa"/>
          </w:tcPr>
          <w:p w14:paraId="056BE12D" w14:textId="77777777" w:rsidR="00007847" w:rsidRDefault="00007847" w:rsidP="009358C0">
            <w:pPr>
              <w:cnfStyle w:val="000000000000" w:firstRow="0" w:lastRow="0" w:firstColumn="0" w:lastColumn="0" w:oddVBand="0" w:evenVBand="0" w:oddHBand="0" w:evenHBand="0" w:firstRowFirstColumn="0" w:firstRowLastColumn="0" w:lastRowFirstColumn="0" w:lastRowLastColumn="0"/>
            </w:pPr>
            <w:r>
              <w:t>Operational efficiency</w:t>
            </w:r>
          </w:p>
        </w:tc>
        <w:tc>
          <w:tcPr>
            <w:tcW w:w="0" w:type="dxa"/>
          </w:tcPr>
          <w:p w14:paraId="16AA2F20" w14:textId="77777777" w:rsidR="00007847" w:rsidRDefault="00007847" w:rsidP="009358C0">
            <w:pPr>
              <w:cnfStyle w:val="000000000000" w:firstRow="0" w:lastRow="0" w:firstColumn="0" w:lastColumn="0" w:oddVBand="0" w:evenVBand="0" w:oddHBand="0" w:evenHBand="0" w:firstRowFirstColumn="0" w:firstRowLastColumn="0" w:lastRowFirstColumn="0" w:lastRowLastColumn="0"/>
            </w:pPr>
            <w:r>
              <w:t>Operating costs over a certain period divided by the total amount of the guarantee issued over that period.</w:t>
            </w:r>
          </w:p>
        </w:tc>
      </w:tr>
      <w:tr w:rsidR="00007847" w14:paraId="5B4F4DF8" w14:textId="77777777" w:rsidTr="00935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D8BBF1C" w14:textId="77777777" w:rsidR="00007847" w:rsidRDefault="00007847" w:rsidP="009358C0">
            <w:r>
              <w:t>Average number of days to pay out a claim</w:t>
            </w:r>
          </w:p>
        </w:tc>
        <w:tc>
          <w:tcPr>
            <w:tcW w:w="0" w:type="dxa"/>
          </w:tcPr>
          <w:p w14:paraId="452F3E88" w14:textId="77777777" w:rsidR="00007847" w:rsidRDefault="00007847" w:rsidP="009358C0">
            <w:pPr>
              <w:cnfStyle w:val="000000100000" w:firstRow="0" w:lastRow="0" w:firstColumn="0" w:lastColumn="0" w:oddVBand="0" w:evenVBand="0" w:oddHBand="1" w:evenHBand="0" w:firstRowFirstColumn="0" w:firstRowLastColumn="0" w:lastRowFirstColumn="0" w:lastRowLastColumn="0"/>
            </w:pPr>
            <w:r>
              <w:t>Operational efficiency</w:t>
            </w:r>
          </w:p>
        </w:tc>
        <w:tc>
          <w:tcPr>
            <w:tcW w:w="0" w:type="dxa"/>
          </w:tcPr>
          <w:p w14:paraId="407ECB70" w14:textId="77777777" w:rsidR="00007847" w:rsidRDefault="00007847" w:rsidP="009358C0">
            <w:pPr>
              <w:cnfStyle w:val="000000100000" w:firstRow="0" w:lastRow="0" w:firstColumn="0" w:lastColumn="0" w:oddVBand="0" w:evenVBand="0" w:oddHBand="1" w:evenHBand="0" w:firstRowFirstColumn="0" w:firstRowLastColumn="0" w:lastRowFirstColumn="0" w:lastRowLastColumn="0"/>
            </w:pPr>
            <w:r>
              <w:t xml:space="preserve">Number of days from the moment a guarantee claim is submitted to the Guarantee </w:t>
            </w:r>
            <w:r w:rsidR="006831D6">
              <w:t>Issuer</w:t>
            </w:r>
            <w:r>
              <w:t xml:space="preserve"> to the moment the guarantee claim is settled.</w:t>
            </w:r>
          </w:p>
        </w:tc>
      </w:tr>
      <w:tr w:rsidR="00007847" w14:paraId="76C4AB9A" w14:textId="77777777" w:rsidTr="009358C0">
        <w:tc>
          <w:tcPr>
            <w:cnfStyle w:val="001000000000" w:firstRow="0" w:lastRow="0" w:firstColumn="1" w:lastColumn="0" w:oddVBand="0" w:evenVBand="0" w:oddHBand="0" w:evenHBand="0" w:firstRowFirstColumn="0" w:firstRowLastColumn="0" w:lastRowFirstColumn="0" w:lastRowLastColumn="0"/>
            <w:tcW w:w="0" w:type="dxa"/>
          </w:tcPr>
          <w:p w14:paraId="0C6F0B79" w14:textId="77777777" w:rsidR="00007847" w:rsidRDefault="00007847" w:rsidP="009358C0">
            <w:r>
              <w:t>Net loss rate</w:t>
            </w:r>
          </w:p>
        </w:tc>
        <w:tc>
          <w:tcPr>
            <w:tcW w:w="0" w:type="dxa"/>
          </w:tcPr>
          <w:p w14:paraId="1B17D569" w14:textId="77777777" w:rsidR="00007847" w:rsidRDefault="00007847" w:rsidP="009358C0">
            <w:pPr>
              <w:cnfStyle w:val="000000000000" w:firstRow="0" w:lastRow="0" w:firstColumn="0" w:lastColumn="0" w:oddVBand="0" w:evenVBand="0" w:oddHBand="0" w:evenHBand="0" w:firstRowFirstColumn="0" w:firstRowLastColumn="0" w:lastRowFirstColumn="0" w:lastRowLastColumn="0"/>
            </w:pPr>
            <w:r>
              <w:t>Net losses incurred</w:t>
            </w:r>
          </w:p>
        </w:tc>
        <w:tc>
          <w:tcPr>
            <w:tcW w:w="0" w:type="dxa"/>
          </w:tcPr>
          <w:p w14:paraId="7C62D650" w14:textId="77777777" w:rsidR="00007847" w:rsidRDefault="00007847" w:rsidP="009358C0">
            <w:pPr>
              <w:cnfStyle w:val="000000000000" w:firstRow="0" w:lastRow="0" w:firstColumn="0" w:lastColumn="0" w:oddVBand="0" w:evenVBand="0" w:oddHBand="0" w:evenHBand="0" w:firstRowFirstColumn="0" w:firstRowLastColumn="0" w:lastRowFirstColumn="0" w:lastRowLastColumn="0"/>
            </w:pPr>
            <w:r>
              <w:t xml:space="preserve">Pay-outs minus </w:t>
            </w:r>
            <w:r w:rsidR="00E15711">
              <w:t xml:space="preserve">the </w:t>
            </w:r>
            <w:r>
              <w:t>proceeds from recovery over a year, divided by the average outstanding guarantee amount over that year. Good ratios are generally below 2%</w:t>
            </w:r>
            <w:r w:rsidR="001B4DE6">
              <w:rPr>
                <w:rStyle w:val="FootnoteReference"/>
              </w:rPr>
              <w:footnoteReference w:id="13"/>
            </w:r>
            <w:r>
              <w:t>.</w:t>
            </w:r>
          </w:p>
        </w:tc>
      </w:tr>
      <w:tr w:rsidR="00007847" w14:paraId="345BA343" w14:textId="77777777" w:rsidTr="00935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F82C8D" w14:textId="77777777" w:rsidR="00007847" w:rsidRDefault="00007847" w:rsidP="009358C0">
            <w:r>
              <w:t xml:space="preserve">Pay-out rate </w:t>
            </w:r>
          </w:p>
        </w:tc>
        <w:tc>
          <w:tcPr>
            <w:tcW w:w="0" w:type="dxa"/>
          </w:tcPr>
          <w:p w14:paraId="58D215EE" w14:textId="77777777" w:rsidR="00007847" w:rsidRDefault="00007847" w:rsidP="009358C0">
            <w:pPr>
              <w:cnfStyle w:val="000000100000" w:firstRow="0" w:lastRow="0" w:firstColumn="0" w:lastColumn="0" w:oddVBand="0" w:evenVBand="0" w:oddHBand="1" w:evenHBand="0" w:firstRowFirstColumn="0" w:firstRowLastColumn="0" w:lastRowFirstColumn="0" w:lastRowLastColumn="0"/>
            </w:pPr>
            <w:r>
              <w:t>Losses incurred</w:t>
            </w:r>
          </w:p>
        </w:tc>
        <w:tc>
          <w:tcPr>
            <w:tcW w:w="0" w:type="dxa"/>
          </w:tcPr>
          <w:p w14:paraId="0EA03D48" w14:textId="77777777" w:rsidR="00007847" w:rsidRDefault="00007847" w:rsidP="009358C0">
            <w:pPr>
              <w:cnfStyle w:val="000000100000" w:firstRow="0" w:lastRow="0" w:firstColumn="0" w:lastColumn="0" w:oddVBand="0" w:evenVBand="0" w:oddHBand="1" w:evenHBand="0" w:firstRowFirstColumn="0" w:firstRowLastColumn="0" w:lastRowFirstColumn="0" w:lastRowLastColumn="0"/>
            </w:pPr>
            <w:r>
              <w:t>Value of pay-outs over a year divided by the average outstanding guarantee amount over that year. The pay-out rate is calculated for each lender and should generally be below 3% and not exceed 7%.</w:t>
            </w:r>
          </w:p>
        </w:tc>
      </w:tr>
    </w:tbl>
    <w:p w14:paraId="364D5EFD" w14:textId="77777777" w:rsidR="009F7524" w:rsidRDefault="009F7524" w:rsidP="009F7524"/>
    <w:p w14:paraId="5141F3A4" w14:textId="139F0AC7" w:rsidR="007969B4" w:rsidRPr="00052B7C" w:rsidRDefault="007969B4" w:rsidP="00EA0403">
      <w:pPr>
        <w:pStyle w:val="Heading2"/>
        <w:numPr>
          <w:ilvl w:val="0"/>
          <w:numId w:val="15"/>
        </w:numPr>
        <w:spacing w:before="0" w:after="160"/>
        <w:ind w:left="547" w:hanging="547"/>
        <w:rPr>
          <w:b/>
          <w:color w:val="000000" w:themeColor="text1"/>
          <w:sz w:val="24"/>
          <w:szCs w:val="24"/>
        </w:rPr>
      </w:pPr>
      <w:bookmarkStart w:id="95" w:name="_Toc2339926"/>
      <w:bookmarkStart w:id="96" w:name="_Toc121313784"/>
      <w:r w:rsidRPr="00052B7C">
        <w:rPr>
          <w:b/>
          <w:color w:val="000000" w:themeColor="text1"/>
          <w:sz w:val="24"/>
          <w:szCs w:val="24"/>
        </w:rPr>
        <w:lastRenderedPageBreak/>
        <w:t>Periodic financial and programmatic</w:t>
      </w:r>
      <w:r w:rsidR="00B100AC">
        <w:rPr>
          <w:b/>
          <w:color w:val="000000" w:themeColor="text1"/>
          <w:sz w:val="24"/>
          <w:szCs w:val="24"/>
        </w:rPr>
        <w:t>/impact</w:t>
      </w:r>
      <w:r w:rsidRPr="00052B7C">
        <w:rPr>
          <w:b/>
          <w:color w:val="000000" w:themeColor="text1"/>
          <w:sz w:val="24"/>
          <w:szCs w:val="24"/>
        </w:rPr>
        <w:t xml:space="preserve"> reporting to funding partner(s)</w:t>
      </w:r>
      <w:bookmarkEnd w:id="95"/>
      <w:bookmarkEnd w:id="96"/>
    </w:p>
    <w:p w14:paraId="4EB66E31" w14:textId="1B5BDA55" w:rsidR="007969B4" w:rsidRDefault="007969B4" w:rsidP="00812631">
      <w:pPr>
        <w:spacing w:after="120" w:line="276" w:lineRule="auto"/>
        <w:jc w:val="both"/>
        <w:rPr>
          <w:rFonts w:cstheme="minorHAnsi"/>
          <w:color w:val="000000" w:themeColor="text1"/>
        </w:rPr>
      </w:pPr>
      <w:r w:rsidRPr="00812631">
        <w:rPr>
          <w:iCs/>
        </w:rPr>
        <w:t xml:space="preserve">UNDP </w:t>
      </w:r>
      <w:r w:rsidR="00D46217">
        <w:rPr>
          <w:iCs/>
        </w:rPr>
        <w:t xml:space="preserve">will </w:t>
      </w:r>
      <w:r w:rsidRPr="003A650C">
        <w:rPr>
          <w:iCs/>
        </w:rPr>
        <w:t xml:space="preserve">provide regular reporting to its funding partners on the </w:t>
      </w:r>
      <w:r w:rsidR="005A37E0">
        <w:rPr>
          <w:iCs/>
        </w:rPr>
        <w:t xml:space="preserve">UNDP-supported </w:t>
      </w:r>
      <w:r w:rsidRPr="003A650C">
        <w:rPr>
          <w:iCs/>
        </w:rPr>
        <w:t xml:space="preserve">guarantee </w:t>
      </w:r>
      <w:r w:rsidR="007D70BB" w:rsidRPr="003A650C">
        <w:rPr>
          <w:iCs/>
        </w:rPr>
        <w:t xml:space="preserve">performance </w:t>
      </w:r>
      <w:r w:rsidRPr="003A650C">
        <w:rPr>
          <w:iCs/>
        </w:rPr>
        <w:t xml:space="preserve">as set out in the </w:t>
      </w:r>
      <w:r w:rsidR="003A650C">
        <w:rPr>
          <w:iCs/>
        </w:rPr>
        <w:t xml:space="preserve">respective </w:t>
      </w:r>
      <w:r w:rsidR="009670A8">
        <w:rPr>
          <w:iCs/>
        </w:rPr>
        <w:t>f</w:t>
      </w:r>
      <w:r w:rsidR="00167568" w:rsidRPr="003A650C">
        <w:rPr>
          <w:iCs/>
        </w:rPr>
        <w:t>inancing</w:t>
      </w:r>
      <w:r w:rsidR="005B0ACD" w:rsidRPr="003A650C">
        <w:rPr>
          <w:iCs/>
        </w:rPr>
        <w:t xml:space="preserve"> </w:t>
      </w:r>
      <w:r w:rsidR="009670A8">
        <w:rPr>
          <w:iCs/>
        </w:rPr>
        <w:t>a</w:t>
      </w:r>
      <w:r w:rsidR="005B0ACD" w:rsidRPr="003A650C">
        <w:rPr>
          <w:iCs/>
        </w:rPr>
        <w:t>greement</w:t>
      </w:r>
      <w:r w:rsidR="000D37CE" w:rsidRPr="003A650C">
        <w:rPr>
          <w:iCs/>
        </w:rPr>
        <w:t>s</w:t>
      </w:r>
      <w:r w:rsidRPr="003A650C">
        <w:rPr>
          <w:iCs/>
        </w:rPr>
        <w:t>.</w:t>
      </w:r>
      <w:r w:rsidRPr="003A650C">
        <w:rPr>
          <w:b/>
          <w:iCs/>
        </w:rPr>
        <w:t xml:space="preserve"> </w:t>
      </w:r>
      <w:r>
        <w:rPr>
          <w:rFonts w:cstheme="minorHAnsi"/>
          <w:color w:val="000000" w:themeColor="text1"/>
        </w:rPr>
        <w:t xml:space="preserve">Using consolidated reporting from </w:t>
      </w:r>
      <w:r w:rsidR="007126BC">
        <w:rPr>
          <w:rFonts w:cstheme="minorHAnsi"/>
          <w:color w:val="000000" w:themeColor="text1"/>
        </w:rPr>
        <w:t>Guarantee Issuer</w:t>
      </w:r>
      <w:r>
        <w:rPr>
          <w:rFonts w:cstheme="minorHAnsi"/>
          <w:color w:val="000000" w:themeColor="text1"/>
        </w:rPr>
        <w:t xml:space="preserve">s, </w:t>
      </w:r>
      <w:r w:rsidR="004C7061">
        <w:rPr>
          <w:rFonts w:cstheme="minorHAnsi"/>
          <w:color w:val="000000" w:themeColor="text1"/>
        </w:rPr>
        <w:t xml:space="preserve">this may include </w:t>
      </w:r>
      <w:r>
        <w:rPr>
          <w:rFonts w:cstheme="minorHAnsi"/>
          <w:color w:val="000000" w:themeColor="text1"/>
        </w:rPr>
        <w:t xml:space="preserve">information on </w:t>
      </w:r>
      <w:r w:rsidR="00693C92">
        <w:rPr>
          <w:rFonts w:cstheme="minorHAnsi"/>
          <w:color w:val="000000" w:themeColor="text1"/>
        </w:rPr>
        <w:t xml:space="preserve">topics such as </w:t>
      </w:r>
      <w:r w:rsidR="00C258A3">
        <w:rPr>
          <w:rFonts w:cstheme="minorHAnsi"/>
          <w:color w:val="000000" w:themeColor="text1"/>
        </w:rPr>
        <w:t>additionality generated by the guarantee</w:t>
      </w:r>
      <w:r w:rsidR="00693C92">
        <w:rPr>
          <w:rFonts w:cstheme="minorHAnsi"/>
          <w:color w:val="000000" w:themeColor="text1"/>
        </w:rPr>
        <w:t>;</w:t>
      </w:r>
      <w:r w:rsidR="00C258A3">
        <w:rPr>
          <w:rFonts w:cstheme="minorHAnsi"/>
          <w:color w:val="000000" w:themeColor="text1"/>
        </w:rPr>
        <w:t xml:space="preserve"> </w:t>
      </w:r>
      <w:r w:rsidR="00693C92">
        <w:rPr>
          <w:rFonts w:cstheme="minorHAnsi"/>
          <w:color w:val="000000" w:themeColor="text1"/>
        </w:rPr>
        <w:t>claims submitted, approved and paid out; outstanding guarantee balance;</w:t>
      </w:r>
      <w:r w:rsidR="000E70C3">
        <w:rPr>
          <w:rFonts w:cstheme="minorHAnsi"/>
          <w:color w:val="000000" w:themeColor="text1"/>
        </w:rPr>
        <w:t xml:space="preserve"> etc</w:t>
      </w:r>
      <w:r>
        <w:rPr>
          <w:rFonts w:cstheme="minorHAnsi"/>
          <w:color w:val="000000" w:themeColor="text1"/>
        </w:rPr>
        <w:t>.</w:t>
      </w:r>
      <w:r w:rsidR="0014107B">
        <w:rPr>
          <w:rFonts w:cstheme="minorHAnsi"/>
          <w:color w:val="000000" w:themeColor="text1"/>
        </w:rPr>
        <w:t xml:space="preserve"> </w:t>
      </w:r>
    </w:p>
    <w:p w14:paraId="370EFD88" w14:textId="09295A69" w:rsidR="00812631" w:rsidRPr="00EA0403" w:rsidRDefault="00812631" w:rsidP="00812631">
      <w:pPr>
        <w:spacing w:after="120" w:line="276" w:lineRule="auto"/>
        <w:jc w:val="both"/>
        <w:rPr>
          <w:b/>
          <w:iCs/>
        </w:rPr>
      </w:pPr>
      <w:r w:rsidRPr="00D46217">
        <w:rPr>
          <w:color w:val="000000" w:themeColor="text1"/>
          <w:lang w:val="en-GB"/>
        </w:rPr>
        <w:t xml:space="preserve">Following normal materiality considerations, </w:t>
      </w:r>
      <w:r w:rsidR="005A37E0">
        <w:rPr>
          <w:color w:val="000000" w:themeColor="text1"/>
          <w:lang w:val="en-GB"/>
        </w:rPr>
        <w:t xml:space="preserve">UNDP-supported </w:t>
      </w:r>
      <w:r w:rsidRPr="00D46217">
        <w:rPr>
          <w:color w:val="000000" w:themeColor="text1"/>
          <w:lang w:val="en-GB"/>
        </w:rPr>
        <w:t>guarantees shall also be disclosed in the notes to the financial statements.</w:t>
      </w:r>
      <w:r w:rsidRPr="00EA0403" w:rsidDel="009670A8">
        <w:rPr>
          <w:rStyle w:val="CommentReference"/>
          <w:iCs/>
        </w:rPr>
        <w:t xml:space="preserve"> </w:t>
      </w:r>
    </w:p>
    <w:p w14:paraId="47AE271D" w14:textId="263D1096" w:rsidR="00CD2F9F" w:rsidRPr="00C664CC" w:rsidRDefault="00BB4EA8" w:rsidP="00D46217">
      <w:pPr>
        <w:jc w:val="both"/>
        <w:rPr>
          <w:rFonts w:cstheme="minorHAnsi"/>
          <w:color w:val="000000" w:themeColor="text1"/>
        </w:rPr>
      </w:pPr>
      <w:r w:rsidRPr="00446480">
        <w:rPr>
          <w:color w:val="000000" w:themeColor="text1"/>
          <w:lang w:val="en-GB"/>
        </w:rPr>
        <w:t xml:space="preserve">The </w:t>
      </w:r>
      <w:r w:rsidR="005A37E0">
        <w:rPr>
          <w:color w:val="000000" w:themeColor="text1"/>
          <w:lang w:val="en-GB"/>
        </w:rPr>
        <w:t xml:space="preserve">UNDP-supported </w:t>
      </w:r>
      <w:r w:rsidRPr="00446480">
        <w:rPr>
          <w:color w:val="000000" w:themeColor="text1"/>
          <w:lang w:val="en-GB"/>
        </w:rPr>
        <w:t xml:space="preserve">guarantee </w:t>
      </w:r>
      <w:r w:rsidR="00F95DE7">
        <w:rPr>
          <w:color w:val="000000" w:themeColor="text1"/>
          <w:lang w:val="en-GB"/>
        </w:rPr>
        <w:t>scheme</w:t>
      </w:r>
      <w:r w:rsidRPr="00446480">
        <w:rPr>
          <w:color w:val="000000" w:themeColor="text1"/>
          <w:lang w:val="en-GB"/>
        </w:rPr>
        <w:t xml:space="preserve"> </w:t>
      </w:r>
      <w:r w:rsidR="00C57A3D">
        <w:rPr>
          <w:color w:val="000000" w:themeColor="text1"/>
          <w:lang w:val="en-GB"/>
        </w:rPr>
        <w:t>must</w:t>
      </w:r>
      <w:r w:rsidR="00C57A3D" w:rsidRPr="00446480">
        <w:rPr>
          <w:color w:val="000000" w:themeColor="text1"/>
          <w:lang w:val="en-GB"/>
        </w:rPr>
        <w:t xml:space="preserve"> </w:t>
      </w:r>
      <w:r w:rsidRPr="00446480">
        <w:rPr>
          <w:color w:val="000000" w:themeColor="text1"/>
          <w:lang w:val="en-GB"/>
        </w:rPr>
        <w:t xml:space="preserve">include reporting mechanisms to generate data to allow potential problems to be identified and corrected before the guarantee is triggered. This reduces the probability of paying out the guarantee. </w:t>
      </w:r>
    </w:p>
    <w:p w14:paraId="7F1F7127" w14:textId="77777777" w:rsidR="00292CC2" w:rsidRPr="00DA4FCF" w:rsidRDefault="00292CC2" w:rsidP="00292CC2">
      <w:pPr>
        <w:spacing w:after="0"/>
        <w:rPr>
          <w:rFonts w:cstheme="minorHAnsi"/>
          <w:color w:val="FF0000"/>
        </w:rPr>
      </w:pPr>
    </w:p>
    <w:p w14:paraId="7444DB67" w14:textId="77777777" w:rsidR="007969B4" w:rsidRPr="0009728D" w:rsidRDefault="007969B4" w:rsidP="006745CF">
      <w:pPr>
        <w:pStyle w:val="Heading2"/>
        <w:numPr>
          <w:ilvl w:val="0"/>
          <w:numId w:val="15"/>
        </w:numPr>
        <w:spacing w:before="0" w:after="160"/>
        <w:ind w:left="547" w:hanging="547"/>
        <w:rPr>
          <w:b/>
          <w:color w:val="000000" w:themeColor="text1"/>
          <w:sz w:val="24"/>
          <w:szCs w:val="24"/>
        </w:rPr>
      </w:pPr>
      <w:bookmarkStart w:id="97" w:name="_Toc2339927"/>
      <w:bookmarkStart w:id="98" w:name="_Toc121313785"/>
      <w:r w:rsidRPr="0009728D">
        <w:rPr>
          <w:b/>
          <w:color w:val="000000" w:themeColor="text1"/>
          <w:sz w:val="24"/>
          <w:szCs w:val="24"/>
        </w:rPr>
        <w:t>Treatment of recoveries post claim payouts</w:t>
      </w:r>
      <w:bookmarkEnd w:id="97"/>
      <w:bookmarkEnd w:id="98"/>
    </w:p>
    <w:p w14:paraId="10A1F089" w14:textId="74DA73DA" w:rsidR="00104F0D" w:rsidRPr="005B71A0" w:rsidRDefault="00104F0D" w:rsidP="00A6286B">
      <w:pPr>
        <w:spacing w:after="120" w:line="276" w:lineRule="auto"/>
        <w:jc w:val="both"/>
        <w:rPr>
          <w:iCs/>
        </w:rPr>
      </w:pPr>
      <w:r w:rsidRPr="005B71A0">
        <w:rPr>
          <w:iCs/>
        </w:rPr>
        <w:t xml:space="preserve">The </w:t>
      </w:r>
      <w:r w:rsidR="007126BC" w:rsidRPr="005B71A0">
        <w:rPr>
          <w:iCs/>
        </w:rPr>
        <w:t>Guarantee Issuer</w:t>
      </w:r>
      <w:r w:rsidRPr="005B71A0">
        <w:rPr>
          <w:iCs/>
        </w:rPr>
        <w:t xml:space="preserve"> must </w:t>
      </w:r>
      <w:r w:rsidR="00B77A41" w:rsidRPr="005B71A0">
        <w:rPr>
          <w:iCs/>
        </w:rPr>
        <w:t xml:space="preserve">establish </w:t>
      </w:r>
      <w:r w:rsidRPr="005B71A0">
        <w:rPr>
          <w:iCs/>
        </w:rPr>
        <w:t>a process for the identification and reimbursement of “Recovered Funds”</w:t>
      </w:r>
      <w:r w:rsidR="00B77A41" w:rsidRPr="005B71A0">
        <w:rPr>
          <w:iCs/>
        </w:rPr>
        <w:t xml:space="preserve"> (defined below) to UNDP</w:t>
      </w:r>
      <w:r w:rsidRPr="005B71A0">
        <w:rPr>
          <w:iCs/>
        </w:rPr>
        <w:t>.</w:t>
      </w:r>
    </w:p>
    <w:p w14:paraId="2F9583D3" w14:textId="7B9B6103" w:rsidR="007969B4" w:rsidRDefault="007969B4" w:rsidP="00190B29">
      <w:pPr>
        <w:spacing w:line="276" w:lineRule="auto"/>
        <w:jc w:val="both"/>
        <w:rPr>
          <w:rFonts w:cstheme="minorHAnsi"/>
          <w:color w:val="FF0000"/>
        </w:rPr>
      </w:pPr>
      <w:r>
        <w:rPr>
          <w:rFonts w:cstheme="minorHAnsi"/>
          <w:color w:val="000000" w:themeColor="text1"/>
        </w:rPr>
        <w:t>If a claim has been paid out with respect to a default on a loan or non-performance on a contract</w:t>
      </w:r>
      <w:r w:rsidR="00C31DEB">
        <w:rPr>
          <w:rFonts w:cstheme="minorHAnsi"/>
          <w:color w:val="000000" w:themeColor="text1"/>
        </w:rPr>
        <w:t>,</w:t>
      </w:r>
      <w:r>
        <w:rPr>
          <w:rFonts w:cstheme="minorHAnsi"/>
          <w:color w:val="000000" w:themeColor="text1"/>
        </w:rPr>
        <w:t xml:space="preserve"> and funds (defined here as “Recovered Funds”) are subsequently recovered directly by the lender, collateral agent or any other party, funds should be promptly reimbursed </w:t>
      </w:r>
      <w:r w:rsidR="00AF6999">
        <w:rPr>
          <w:rFonts w:cstheme="minorHAnsi"/>
          <w:color w:val="000000" w:themeColor="text1"/>
        </w:rPr>
        <w:t xml:space="preserve">by the </w:t>
      </w:r>
      <w:r w:rsidR="007126BC">
        <w:rPr>
          <w:rFonts w:cstheme="minorHAnsi"/>
          <w:color w:val="000000" w:themeColor="text1"/>
        </w:rPr>
        <w:t>Guarantee Issuer</w:t>
      </w:r>
      <w:r w:rsidR="00AF6999">
        <w:rPr>
          <w:rFonts w:cstheme="minorHAnsi"/>
          <w:color w:val="000000" w:themeColor="text1"/>
        </w:rPr>
        <w:t xml:space="preserve"> </w:t>
      </w:r>
      <w:r>
        <w:rPr>
          <w:rFonts w:cstheme="minorHAnsi"/>
          <w:color w:val="000000" w:themeColor="text1"/>
        </w:rPr>
        <w:t xml:space="preserve">to UNDP </w:t>
      </w:r>
      <w:r w:rsidR="0016755A">
        <w:rPr>
          <w:rFonts w:cstheme="minorHAnsi"/>
          <w:color w:val="000000" w:themeColor="text1"/>
        </w:rPr>
        <w:t>on a pro-rata basis</w:t>
      </w:r>
      <w:r>
        <w:rPr>
          <w:rFonts w:cstheme="minorHAnsi"/>
          <w:color w:val="000000" w:themeColor="text1"/>
        </w:rPr>
        <w:t xml:space="preserve">. </w:t>
      </w:r>
    </w:p>
    <w:p w14:paraId="15EEF724" w14:textId="77777777" w:rsidR="008F5F98" w:rsidRPr="00DA4FCF" w:rsidRDefault="008F5F98" w:rsidP="008F5F98">
      <w:pPr>
        <w:spacing w:after="0"/>
        <w:rPr>
          <w:rFonts w:cstheme="minorHAnsi"/>
          <w:color w:val="FF0000"/>
        </w:rPr>
      </w:pPr>
    </w:p>
    <w:p w14:paraId="0B8BF07B" w14:textId="77777777" w:rsidR="001F0B88" w:rsidRPr="0009728D" w:rsidRDefault="001F0B88" w:rsidP="006745CF">
      <w:pPr>
        <w:pStyle w:val="Heading2"/>
        <w:numPr>
          <w:ilvl w:val="0"/>
          <w:numId w:val="15"/>
        </w:numPr>
        <w:spacing w:before="0" w:after="160"/>
        <w:ind w:left="547" w:hanging="547"/>
        <w:rPr>
          <w:b/>
          <w:color w:val="000000" w:themeColor="text1"/>
          <w:sz w:val="24"/>
          <w:szCs w:val="24"/>
        </w:rPr>
      </w:pPr>
      <w:bookmarkStart w:id="99" w:name="_Toc2339928"/>
      <w:bookmarkStart w:id="100" w:name="_Toc121313786"/>
      <w:r>
        <w:rPr>
          <w:b/>
          <w:color w:val="000000" w:themeColor="text1"/>
          <w:sz w:val="24"/>
          <w:szCs w:val="24"/>
        </w:rPr>
        <w:t xml:space="preserve">Guarantee </w:t>
      </w:r>
      <w:r w:rsidR="007A675B">
        <w:rPr>
          <w:b/>
          <w:color w:val="000000" w:themeColor="text1"/>
          <w:sz w:val="24"/>
          <w:szCs w:val="24"/>
        </w:rPr>
        <w:t xml:space="preserve">closeout </w:t>
      </w:r>
      <w:r w:rsidR="00552CE1">
        <w:rPr>
          <w:b/>
          <w:color w:val="000000" w:themeColor="text1"/>
          <w:sz w:val="24"/>
          <w:szCs w:val="24"/>
        </w:rPr>
        <w:t xml:space="preserve">and </w:t>
      </w:r>
      <w:r w:rsidR="00D7359C">
        <w:rPr>
          <w:b/>
          <w:color w:val="000000" w:themeColor="text1"/>
          <w:sz w:val="24"/>
          <w:szCs w:val="24"/>
        </w:rPr>
        <w:t xml:space="preserve">treatment </w:t>
      </w:r>
      <w:r w:rsidR="00456E1C">
        <w:rPr>
          <w:b/>
          <w:color w:val="000000" w:themeColor="text1"/>
          <w:sz w:val="24"/>
          <w:szCs w:val="24"/>
        </w:rPr>
        <w:t xml:space="preserve">of </w:t>
      </w:r>
      <w:r w:rsidR="007A675B">
        <w:rPr>
          <w:b/>
          <w:color w:val="000000" w:themeColor="text1"/>
          <w:sz w:val="24"/>
          <w:szCs w:val="24"/>
        </w:rPr>
        <w:t>undisbursed balances</w:t>
      </w:r>
      <w:bookmarkEnd w:id="99"/>
      <w:bookmarkEnd w:id="100"/>
    </w:p>
    <w:p w14:paraId="12954E57" w14:textId="0EA39646" w:rsidR="00007847" w:rsidRPr="00BF3092" w:rsidRDefault="00552CE1" w:rsidP="00FE767F">
      <w:pPr>
        <w:spacing w:after="120" w:line="276" w:lineRule="auto"/>
        <w:jc w:val="both"/>
        <w:rPr>
          <w:rFonts w:cstheme="minorHAnsi"/>
          <w:iCs/>
          <w:color w:val="000000" w:themeColor="text1"/>
        </w:rPr>
      </w:pPr>
      <w:r w:rsidRPr="00BF3092">
        <w:rPr>
          <w:iCs/>
        </w:rPr>
        <w:t>UNDP</w:t>
      </w:r>
      <w:r w:rsidR="006059AE" w:rsidRPr="00BF3092">
        <w:rPr>
          <w:iCs/>
        </w:rPr>
        <w:t>-supported</w:t>
      </w:r>
      <w:r w:rsidRPr="00BF3092">
        <w:rPr>
          <w:iCs/>
        </w:rPr>
        <w:t xml:space="preserve"> g</w:t>
      </w:r>
      <w:r w:rsidR="00007847" w:rsidRPr="00BF3092">
        <w:rPr>
          <w:iCs/>
        </w:rPr>
        <w:t xml:space="preserve">uarantees </w:t>
      </w:r>
      <w:r w:rsidR="006B6946" w:rsidRPr="00BF3092">
        <w:rPr>
          <w:iCs/>
        </w:rPr>
        <w:t xml:space="preserve">must adhere to the </w:t>
      </w:r>
      <w:r w:rsidR="00007847" w:rsidRPr="00BF3092">
        <w:rPr>
          <w:iCs/>
        </w:rPr>
        <w:t>exit strateg</w:t>
      </w:r>
      <w:r w:rsidR="006B6946" w:rsidRPr="00BF3092">
        <w:rPr>
          <w:iCs/>
        </w:rPr>
        <w:t>y</w:t>
      </w:r>
      <w:r w:rsidR="00007847" w:rsidRPr="00BF3092">
        <w:rPr>
          <w:iCs/>
        </w:rPr>
        <w:t xml:space="preserve"> </w:t>
      </w:r>
      <w:r w:rsidR="006B6946" w:rsidRPr="00BF3092">
        <w:rPr>
          <w:iCs/>
        </w:rPr>
        <w:t xml:space="preserve">identified as part of the initial diagnostic (See </w:t>
      </w:r>
      <w:hyperlink w:anchor="_Initial_diagnostic_of" w:history="1">
        <w:r w:rsidR="006B6946" w:rsidRPr="00BF3092">
          <w:rPr>
            <w:rStyle w:val="Hyperlink"/>
            <w:iCs/>
          </w:rPr>
          <w:t>Section 4.</w:t>
        </w:r>
      </w:hyperlink>
      <w:r w:rsidR="00CD2F9F" w:rsidRPr="00BF3092">
        <w:rPr>
          <w:rStyle w:val="Hyperlink"/>
          <w:iCs/>
        </w:rPr>
        <w:t>2</w:t>
      </w:r>
      <w:r w:rsidR="006B6946" w:rsidRPr="00BF3092">
        <w:rPr>
          <w:iCs/>
        </w:rPr>
        <w:t xml:space="preserve">) and specified in the relevant guarantee agreements. </w:t>
      </w:r>
      <w:r w:rsidR="00FE767F" w:rsidRPr="00BF3092">
        <w:rPr>
          <w:iCs/>
        </w:rPr>
        <w:t xml:space="preserve">This includes treatment of undisbursed balances as detailed below. </w:t>
      </w:r>
    </w:p>
    <w:p w14:paraId="04EB272A" w14:textId="564D6318" w:rsidR="00E36953" w:rsidRDefault="00E36953" w:rsidP="00E36953">
      <w:pPr>
        <w:spacing w:line="276" w:lineRule="auto"/>
        <w:jc w:val="both"/>
        <w:rPr>
          <w:rFonts w:cstheme="minorHAnsi"/>
          <w:color w:val="000000" w:themeColor="text1"/>
        </w:rPr>
      </w:pPr>
      <w:r w:rsidRPr="009C19F0">
        <w:rPr>
          <w:rFonts w:cstheme="minorHAnsi"/>
          <w:b/>
          <w:color w:val="000000" w:themeColor="text1"/>
        </w:rPr>
        <w:t>Closeout of guarantee and escrow account:</w:t>
      </w:r>
      <w:r>
        <w:rPr>
          <w:rFonts w:cstheme="minorHAnsi"/>
          <w:b/>
          <w:color w:val="000000" w:themeColor="text1"/>
        </w:rPr>
        <w:t xml:space="preserve"> </w:t>
      </w:r>
      <w:r>
        <w:rPr>
          <w:rFonts w:cstheme="minorHAnsi"/>
          <w:color w:val="000000" w:themeColor="text1"/>
        </w:rPr>
        <w:t xml:space="preserve">The process to closeout a </w:t>
      </w:r>
      <w:r w:rsidR="005A37E0">
        <w:rPr>
          <w:rFonts w:cstheme="minorHAnsi"/>
          <w:color w:val="000000" w:themeColor="text1"/>
        </w:rPr>
        <w:t xml:space="preserve">UNDP-supported </w:t>
      </w:r>
      <w:r>
        <w:rPr>
          <w:rFonts w:cstheme="minorHAnsi"/>
          <w:color w:val="000000" w:themeColor="text1"/>
        </w:rPr>
        <w:t>guarantee and the escrow account</w:t>
      </w:r>
      <w:r>
        <w:t xml:space="preserve"> should be initiated when it has been reasonably determined that all conditions and obligations of the guarantee have been satisfactorily completed. </w:t>
      </w:r>
      <w:r>
        <w:rPr>
          <w:rFonts w:cstheme="minorHAnsi"/>
          <w:color w:val="000000" w:themeColor="text1"/>
        </w:rPr>
        <w:t xml:space="preserve">Both the guarantee issuer and the lender </w:t>
      </w:r>
      <w:r w:rsidR="00C57A3D">
        <w:rPr>
          <w:rFonts w:cstheme="minorHAnsi"/>
          <w:color w:val="000000" w:themeColor="text1"/>
        </w:rPr>
        <w:t xml:space="preserve">must </w:t>
      </w:r>
      <w:r>
        <w:rPr>
          <w:rFonts w:cstheme="minorHAnsi"/>
          <w:color w:val="000000" w:themeColor="text1"/>
        </w:rPr>
        <w:t xml:space="preserve">verify that they have fulfilled their guarantee obligations and that all administrative actions have been accomplished. If any deficiencies are found as part of the closeout </w:t>
      </w:r>
      <w:r w:rsidR="00F7048D">
        <w:rPr>
          <w:rFonts w:cstheme="minorHAnsi"/>
          <w:color w:val="000000" w:themeColor="text1"/>
        </w:rPr>
        <w:t>process,</w:t>
      </w:r>
      <w:r>
        <w:rPr>
          <w:rFonts w:cstheme="minorHAnsi"/>
          <w:color w:val="000000" w:themeColor="text1"/>
        </w:rPr>
        <w:t xml:space="preserve"> they </w:t>
      </w:r>
      <w:r w:rsidR="00C57A3D">
        <w:rPr>
          <w:rFonts w:cstheme="minorHAnsi"/>
          <w:color w:val="000000" w:themeColor="text1"/>
        </w:rPr>
        <w:t xml:space="preserve">must </w:t>
      </w:r>
      <w:r>
        <w:rPr>
          <w:rFonts w:cstheme="minorHAnsi"/>
          <w:color w:val="000000" w:themeColor="text1"/>
        </w:rPr>
        <w:t xml:space="preserve">be documented and communicated to all parties. In the event that the parties cannot reach an agreed conclusion on any outstanding matter and if negotiation has failed, a formal arbitration process can be initiated by the parties at their own expense. Any dispute resolution process will be subject to the terms of </w:t>
      </w:r>
      <w:r w:rsidR="00CE63FE">
        <w:rPr>
          <w:rFonts w:cstheme="minorHAnsi"/>
          <w:color w:val="000000" w:themeColor="text1"/>
        </w:rPr>
        <w:t xml:space="preserve">the guarantee agreement </w:t>
      </w:r>
      <w:r>
        <w:rPr>
          <w:rFonts w:cstheme="minorHAnsi"/>
          <w:color w:val="000000" w:themeColor="text1"/>
        </w:rPr>
        <w:t>signed by both parties.</w:t>
      </w:r>
    </w:p>
    <w:p w14:paraId="4C4A3BA4" w14:textId="24BDF28E" w:rsidR="00E36953" w:rsidRDefault="00E36953" w:rsidP="00E36953">
      <w:pPr>
        <w:spacing w:line="276" w:lineRule="auto"/>
        <w:jc w:val="both"/>
        <w:rPr>
          <w:rFonts w:cstheme="minorHAnsi"/>
          <w:color w:val="000000" w:themeColor="text1"/>
        </w:rPr>
      </w:pPr>
      <w:r>
        <w:lastRenderedPageBreak/>
        <w:t xml:space="preserve">If all the </w:t>
      </w:r>
      <w:r w:rsidR="00494615">
        <w:t>pre-</w:t>
      </w:r>
      <w:r>
        <w:t xml:space="preserve">closeout activities have been completed, the guarantee issuer must immediately inform UNDP that it will begin the process to close the guarantee.  The UNDP project team </w:t>
      </w:r>
      <w:r w:rsidR="00C57A3D">
        <w:t>must</w:t>
      </w:r>
      <w:r>
        <w:t xml:space="preserve"> conduct its own assessment using</w:t>
      </w:r>
      <w:r>
        <w:rPr>
          <w:rFonts w:cstheme="minorHAnsi"/>
          <w:color w:val="000000" w:themeColor="text1"/>
        </w:rPr>
        <w:t xml:space="preserve"> the simple but not all-inclusive checklist below to </w:t>
      </w:r>
      <w:r w:rsidR="005E1048">
        <w:rPr>
          <w:rFonts w:cstheme="minorHAnsi"/>
          <w:color w:val="000000" w:themeColor="text1"/>
        </w:rPr>
        <w:t>e</w:t>
      </w:r>
      <w:r>
        <w:rPr>
          <w:rFonts w:cstheme="minorHAnsi"/>
          <w:color w:val="000000" w:themeColor="text1"/>
        </w:rPr>
        <w:t>nsure the required closeout activities are completed:</w:t>
      </w:r>
    </w:p>
    <w:p w14:paraId="56DEE40F" w14:textId="77777777" w:rsidR="00E36953" w:rsidRDefault="00E36953" w:rsidP="005B4C4F">
      <w:pPr>
        <w:pStyle w:val="ListParagraph"/>
        <w:numPr>
          <w:ilvl w:val="0"/>
          <w:numId w:val="74"/>
        </w:numPr>
        <w:spacing w:line="276" w:lineRule="auto"/>
        <w:jc w:val="both"/>
        <w:rPr>
          <w:rFonts w:cstheme="minorHAnsi"/>
          <w:color w:val="000000" w:themeColor="text1"/>
        </w:rPr>
      </w:pPr>
      <w:r>
        <w:rPr>
          <w:rFonts w:cstheme="minorHAnsi"/>
          <w:color w:val="000000" w:themeColor="text1"/>
        </w:rPr>
        <w:t>No claims are pending on the guarantee</w:t>
      </w:r>
    </w:p>
    <w:p w14:paraId="3FDFF95A" w14:textId="77777777" w:rsidR="00E36953" w:rsidRDefault="00E36953" w:rsidP="005B4C4F">
      <w:pPr>
        <w:pStyle w:val="ListParagraph"/>
        <w:numPr>
          <w:ilvl w:val="0"/>
          <w:numId w:val="74"/>
        </w:numPr>
        <w:spacing w:line="276" w:lineRule="auto"/>
        <w:jc w:val="both"/>
        <w:rPr>
          <w:rFonts w:cstheme="minorHAnsi"/>
          <w:color w:val="000000" w:themeColor="text1"/>
        </w:rPr>
      </w:pPr>
      <w:r>
        <w:rPr>
          <w:rFonts w:cstheme="minorHAnsi"/>
          <w:color w:val="000000" w:themeColor="text1"/>
        </w:rPr>
        <w:t xml:space="preserve">All financial matters have been resolved </w:t>
      </w:r>
    </w:p>
    <w:p w14:paraId="0E6DCCBD" w14:textId="77777777" w:rsidR="00E36953" w:rsidRDefault="00E36953" w:rsidP="005B4C4F">
      <w:pPr>
        <w:pStyle w:val="ListParagraph"/>
        <w:numPr>
          <w:ilvl w:val="0"/>
          <w:numId w:val="74"/>
        </w:numPr>
        <w:spacing w:line="276" w:lineRule="auto"/>
        <w:jc w:val="both"/>
        <w:rPr>
          <w:rFonts w:cstheme="minorHAnsi"/>
          <w:color w:val="000000" w:themeColor="text1"/>
        </w:rPr>
      </w:pPr>
      <w:r>
        <w:rPr>
          <w:rFonts w:cstheme="minorHAnsi"/>
          <w:color w:val="000000" w:themeColor="text1"/>
        </w:rPr>
        <w:t>Verification that any and all disputes have been settled</w:t>
      </w:r>
    </w:p>
    <w:p w14:paraId="25541660" w14:textId="77777777" w:rsidR="00E36953" w:rsidRDefault="00E36953" w:rsidP="005B4C4F">
      <w:pPr>
        <w:pStyle w:val="ListParagraph"/>
        <w:numPr>
          <w:ilvl w:val="0"/>
          <w:numId w:val="74"/>
        </w:numPr>
        <w:spacing w:line="276" w:lineRule="auto"/>
        <w:jc w:val="both"/>
        <w:rPr>
          <w:rFonts w:cstheme="minorHAnsi"/>
          <w:color w:val="000000" w:themeColor="text1"/>
        </w:rPr>
      </w:pPr>
      <w:r>
        <w:rPr>
          <w:rFonts w:cstheme="minorHAnsi"/>
          <w:color w:val="000000" w:themeColor="text1"/>
        </w:rPr>
        <w:t>Verification of escrow account balances</w:t>
      </w:r>
    </w:p>
    <w:p w14:paraId="25EB1EB1" w14:textId="77777777" w:rsidR="00E36953" w:rsidRDefault="00E36953" w:rsidP="005B4C4F">
      <w:pPr>
        <w:pStyle w:val="ListParagraph"/>
        <w:numPr>
          <w:ilvl w:val="0"/>
          <w:numId w:val="74"/>
        </w:numPr>
        <w:spacing w:line="276" w:lineRule="auto"/>
        <w:jc w:val="both"/>
        <w:rPr>
          <w:rFonts w:cstheme="minorHAnsi"/>
          <w:color w:val="000000" w:themeColor="text1"/>
        </w:rPr>
      </w:pPr>
      <w:r>
        <w:rPr>
          <w:rFonts w:cstheme="minorHAnsi"/>
          <w:color w:val="000000" w:themeColor="text1"/>
        </w:rPr>
        <w:t>Documentation adequately showing all contract obligations have been met</w:t>
      </w:r>
    </w:p>
    <w:p w14:paraId="48054085" w14:textId="77777777" w:rsidR="00E36953" w:rsidRPr="004916C9" w:rsidRDefault="00E36953" w:rsidP="005B4C4F">
      <w:pPr>
        <w:pStyle w:val="ListParagraph"/>
        <w:numPr>
          <w:ilvl w:val="0"/>
          <w:numId w:val="74"/>
        </w:numPr>
        <w:spacing w:line="276" w:lineRule="auto"/>
        <w:jc w:val="both"/>
        <w:rPr>
          <w:rFonts w:cstheme="minorHAnsi"/>
          <w:color w:val="000000" w:themeColor="text1"/>
        </w:rPr>
      </w:pPr>
      <w:r>
        <w:rPr>
          <w:rFonts w:cstheme="minorHAnsi"/>
          <w:color w:val="000000" w:themeColor="text1"/>
        </w:rPr>
        <w:t>Close out certification/letter issued by UNDP to the guarantee issuer with instructions to close the guarantee</w:t>
      </w:r>
    </w:p>
    <w:p w14:paraId="0C890E74" w14:textId="77777777" w:rsidR="00E36953" w:rsidRDefault="00E36953" w:rsidP="00E36953">
      <w:pPr>
        <w:spacing w:line="276" w:lineRule="auto"/>
        <w:jc w:val="both"/>
        <w:rPr>
          <w:i/>
        </w:rPr>
      </w:pPr>
      <w:r w:rsidRPr="009358C0">
        <w:rPr>
          <w:b/>
          <w:bCs/>
        </w:rPr>
        <w:t>Following the instruction by UNDP to proceed with closing the guarantee, the escrow account can be closed and the undisbursed escrow funds, including any interest if applicable, must be returned to UNDP.</w:t>
      </w:r>
      <w:r>
        <w:t xml:space="preserve"> UNDP should issue a Request Letter for the release </w:t>
      </w:r>
      <w:r w:rsidRPr="00611DF7">
        <w:t xml:space="preserve">of the guarantee </w:t>
      </w:r>
      <w:r>
        <w:t>escrow funds that authorizes the r</w:t>
      </w:r>
      <w:r w:rsidRPr="00611DF7">
        <w:t xml:space="preserve">eturn </w:t>
      </w:r>
      <w:r>
        <w:t xml:space="preserve">or </w:t>
      </w:r>
      <w:r w:rsidRPr="00611DF7">
        <w:t xml:space="preserve">discharge the funds to </w:t>
      </w:r>
      <w:r>
        <w:t>a specified bank</w:t>
      </w:r>
      <w:r w:rsidRPr="00611DF7">
        <w:t xml:space="preserve"> account. </w:t>
      </w:r>
      <w:r>
        <w:rPr>
          <w:i/>
        </w:rPr>
        <w:t xml:space="preserve"> </w:t>
      </w:r>
    </w:p>
    <w:p w14:paraId="00FC2D58" w14:textId="60ED0CD7" w:rsidR="00E36953" w:rsidRDefault="00E36953" w:rsidP="00E36953">
      <w:pPr>
        <w:spacing w:line="276" w:lineRule="auto"/>
        <w:jc w:val="both"/>
        <w:rPr>
          <w:rFonts w:cstheme="minorHAnsi"/>
          <w:color w:val="000000" w:themeColor="text1"/>
        </w:rPr>
      </w:pPr>
      <w:r>
        <w:rPr>
          <w:rFonts w:cstheme="minorHAnsi"/>
          <w:color w:val="000000" w:themeColor="text1"/>
        </w:rPr>
        <w:t xml:space="preserve">If the above steps have been completed, the financial closure of the </w:t>
      </w:r>
      <w:r w:rsidR="005A37E0">
        <w:rPr>
          <w:rFonts w:cstheme="minorHAnsi"/>
          <w:color w:val="000000" w:themeColor="text1"/>
        </w:rPr>
        <w:t xml:space="preserve">UNDP-supported </w:t>
      </w:r>
      <w:r>
        <w:rPr>
          <w:rFonts w:cstheme="minorHAnsi"/>
          <w:color w:val="000000" w:themeColor="text1"/>
        </w:rPr>
        <w:t>guarantee in the system should be triggered with clear documentation that the following have occurred:</w:t>
      </w:r>
    </w:p>
    <w:p w14:paraId="65643B18" w14:textId="77777777" w:rsidR="00E36953" w:rsidRDefault="00E36953" w:rsidP="005B4C4F">
      <w:pPr>
        <w:pStyle w:val="ListParagraph"/>
        <w:numPr>
          <w:ilvl w:val="0"/>
          <w:numId w:val="75"/>
        </w:numPr>
        <w:spacing w:line="276" w:lineRule="auto"/>
        <w:jc w:val="both"/>
        <w:rPr>
          <w:rFonts w:cstheme="minorHAnsi"/>
          <w:color w:val="000000" w:themeColor="text1"/>
        </w:rPr>
      </w:pPr>
      <w:r>
        <w:rPr>
          <w:rFonts w:cstheme="minorHAnsi"/>
          <w:color w:val="000000" w:themeColor="text1"/>
        </w:rPr>
        <w:t>E</w:t>
      </w:r>
      <w:r w:rsidRPr="000A06F6">
        <w:rPr>
          <w:rFonts w:cstheme="minorHAnsi"/>
          <w:color w:val="000000" w:themeColor="text1"/>
        </w:rPr>
        <w:t xml:space="preserve">xpiry of the guarantee as a consequence of its maturity </w:t>
      </w:r>
    </w:p>
    <w:p w14:paraId="513BF56A" w14:textId="77777777" w:rsidR="00E36953" w:rsidRDefault="00E36953" w:rsidP="005B4C4F">
      <w:pPr>
        <w:pStyle w:val="ListParagraph"/>
        <w:numPr>
          <w:ilvl w:val="0"/>
          <w:numId w:val="75"/>
        </w:numPr>
        <w:spacing w:line="276" w:lineRule="auto"/>
        <w:jc w:val="both"/>
        <w:rPr>
          <w:rFonts w:cstheme="minorHAnsi"/>
          <w:color w:val="000000" w:themeColor="text1"/>
        </w:rPr>
      </w:pPr>
      <w:r>
        <w:rPr>
          <w:rFonts w:cstheme="minorHAnsi"/>
          <w:color w:val="000000" w:themeColor="text1"/>
        </w:rPr>
        <w:t xml:space="preserve">Expiry and release of obligations of the parties </w:t>
      </w:r>
    </w:p>
    <w:p w14:paraId="0442C5D1" w14:textId="77777777" w:rsidR="00E36953" w:rsidRPr="000A06F6" w:rsidRDefault="00E36953" w:rsidP="005B4C4F">
      <w:pPr>
        <w:pStyle w:val="ListParagraph"/>
        <w:numPr>
          <w:ilvl w:val="0"/>
          <w:numId w:val="75"/>
        </w:numPr>
        <w:spacing w:line="276" w:lineRule="auto"/>
        <w:jc w:val="both"/>
        <w:rPr>
          <w:rFonts w:cstheme="minorHAnsi"/>
          <w:color w:val="000000" w:themeColor="text1"/>
        </w:rPr>
      </w:pPr>
      <w:r>
        <w:rPr>
          <w:rFonts w:cstheme="minorHAnsi"/>
          <w:color w:val="000000" w:themeColor="text1"/>
        </w:rPr>
        <w:t>Effecting of payment to UNDP from escrow account</w:t>
      </w:r>
    </w:p>
    <w:p w14:paraId="10ABA265" w14:textId="29EE4BF3" w:rsidR="00E36953" w:rsidRPr="004916C9" w:rsidRDefault="00E36953" w:rsidP="004D65BF">
      <w:pPr>
        <w:spacing w:line="276" w:lineRule="auto"/>
        <w:jc w:val="both"/>
        <w:rPr>
          <w:rFonts w:cstheme="minorHAnsi"/>
          <w:color w:val="000000" w:themeColor="text1"/>
        </w:rPr>
      </w:pPr>
    </w:p>
    <w:p w14:paraId="2381AA66" w14:textId="6C16A275" w:rsidR="00F014C8" w:rsidRPr="00141F52" w:rsidRDefault="00007847" w:rsidP="008A3F73">
      <w:pPr>
        <w:spacing w:line="276" w:lineRule="auto"/>
        <w:jc w:val="both"/>
        <w:rPr>
          <w:rFonts w:cstheme="minorHAnsi"/>
          <w:color w:val="000000" w:themeColor="text1"/>
        </w:rPr>
      </w:pPr>
      <w:r w:rsidRPr="00141F52">
        <w:rPr>
          <w:rFonts w:cstheme="minorHAnsi"/>
          <w:b/>
          <w:color w:val="000000" w:themeColor="text1"/>
        </w:rPr>
        <w:t>Refund of guarantee funds</w:t>
      </w:r>
      <w:r w:rsidR="00F014C8" w:rsidRPr="00141F52">
        <w:rPr>
          <w:rFonts w:cstheme="minorHAnsi"/>
          <w:b/>
          <w:color w:val="000000" w:themeColor="text1"/>
        </w:rPr>
        <w:t xml:space="preserve">:  </w:t>
      </w:r>
      <w:r w:rsidRPr="00141F52">
        <w:rPr>
          <w:rFonts w:cstheme="minorHAnsi"/>
          <w:color w:val="000000" w:themeColor="text1"/>
        </w:rPr>
        <w:t xml:space="preserve">When a guarantee coverage period lapses, the </w:t>
      </w:r>
      <w:r w:rsidR="001E17DC" w:rsidRPr="00141F52">
        <w:rPr>
          <w:rFonts w:cstheme="minorHAnsi"/>
          <w:color w:val="000000" w:themeColor="text1"/>
        </w:rPr>
        <w:t xml:space="preserve">undisbursed </w:t>
      </w:r>
      <w:r w:rsidRPr="00141F52">
        <w:rPr>
          <w:rFonts w:cstheme="minorHAnsi"/>
          <w:color w:val="000000" w:themeColor="text1"/>
        </w:rPr>
        <w:t xml:space="preserve">guarantee funds </w:t>
      </w:r>
      <w:r w:rsidR="001E17DC" w:rsidRPr="00141F52">
        <w:rPr>
          <w:rFonts w:cstheme="minorHAnsi"/>
          <w:color w:val="000000" w:themeColor="text1"/>
        </w:rPr>
        <w:t xml:space="preserve">must </w:t>
      </w:r>
      <w:r w:rsidRPr="00141F52">
        <w:rPr>
          <w:rFonts w:cstheme="minorHAnsi"/>
          <w:color w:val="000000" w:themeColor="text1"/>
        </w:rPr>
        <w:t xml:space="preserve">be handled </w:t>
      </w:r>
      <w:r w:rsidR="001E17DC" w:rsidRPr="00141F52">
        <w:rPr>
          <w:rFonts w:cstheme="minorHAnsi"/>
          <w:color w:val="000000" w:themeColor="text1"/>
        </w:rPr>
        <w:t xml:space="preserve">in accordance with </w:t>
      </w:r>
      <w:r w:rsidRPr="00141F52">
        <w:rPr>
          <w:rFonts w:cstheme="minorHAnsi"/>
          <w:color w:val="000000" w:themeColor="text1"/>
        </w:rPr>
        <w:t xml:space="preserve">the </w:t>
      </w:r>
      <w:r w:rsidR="00B643F3">
        <w:rPr>
          <w:rFonts w:cstheme="minorHAnsi"/>
          <w:color w:val="000000" w:themeColor="text1"/>
        </w:rPr>
        <w:t xml:space="preserve">terms of the </w:t>
      </w:r>
      <w:r w:rsidR="000D5635">
        <w:rPr>
          <w:rFonts w:cstheme="minorHAnsi"/>
          <w:color w:val="000000" w:themeColor="text1"/>
        </w:rPr>
        <w:t>financing</w:t>
      </w:r>
      <w:r w:rsidR="000D5635" w:rsidRPr="00141F52">
        <w:rPr>
          <w:rFonts w:cstheme="minorHAnsi"/>
          <w:color w:val="000000" w:themeColor="text1"/>
        </w:rPr>
        <w:t xml:space="preserve"> </w:t>
      </w:r>
      <w:r w:rsidR="000D5635">
        <w:rPr>
          <w:rFonts w:cstheme="minorHAnsi"/>
          <w:color w:val="000000" w:themeColor="text1"/>
        </w:rPr>
        <w:t>a</w:t>
      </w:r>
      <w:r w:rsidR="000D5635" w:rsidRPr="00141F52">
        <w:rPr>
          <w:rFonts w:cstheme="minorHAnsi"/>
          <w:color w:val="000000" w:themeColor="text1"/>
        </w:rPr>
        <w:t>greement</w:t>
      </w:r>
      <w:r w:rsidR="00B643F3">
        <w:rPr>
          <w:rFonts w:cstheme="minorHAnsi"/>
          <w:color w:val="000000" w:themeColor="text1"/>
        </w:rPr>
        <w:t>(s)</w:t>
      </w:r>
      <w:r w:rsidR="001E17DC" w:rsidRPr="00141F52">
        <w:rPr>
          <w:rFonts w:cstheme="minorHAnsi"/>
          <w:color w:val="000000" w:themeColor="text1"/>
        </w:rPr>
        <w:t xml:space="preserve"> with the funding partner(s)</w:t>
      </w:r>
      <w:r w:rsidRPr="00141F52">
        <w:rPr>
          <w:rFonts w:cstheme="minorHAnsi"/>
          <w:color w:val="000000" w:themeColor="text1"/>
        </w:rPr>
        <w:t xml:space="preserve">. If </w:t>
      </w:r>
      <w:r w:rsidR="001E17DC" w:rsidRPr="00141F52">
        <w:rPr>
          <w:rFonts w:cstheme="minorHAnsi"/>
          <w:color w:val="000000" w:themeColor="text1"/>
        </w:rPr>
        <w:t xml:space="preserve">the </w:t>
      </w:r>
      <w:r w:rsidR="000D5635">
        <w:rPr>
          <w:rFonts w:cstheme="minorHAnsi"/>
          <w:color w:val="000000" w:themeColor="text1"/>
        </w:rPr>
        <w:t>f</w:t>
      </w:r>
      <w:r w:rsidR="000D37CE">
        <w:rPr>
          <w:rFonts w:cstheme="minorHAnsi"/>
          <w:color w:val="000000" w:themeColor="text1"/>
        </w:rPr>
        <w:t>inancing</w:t>
      </w:r>
      <w:r w:rsidRPr="00141F52">
        <w:rPr>
          <w:rFonts w:cstheme="minorHAnsi"/>
          <w:color w:val="000000" w:themeColor="text1"/>
        </w:rPr>
        <w:t xml:space="preserve"> </w:t>
      </w:r>
      <w:r w:rsidR="000D5635">
        <w:rPr>
          <w:rFonts w:cstheme="minorHAnsi"/>
          <w:color w:val="000000" w:themeColor="text1"/>
        </w:rPr>
        <w:t>a</w:t>
      </w:r>
      <w:r w:rsidR="000D5635" w:rsidRPr="00141F52">
        <w:rPr>
          <w:rFonts w:cstheme="minorHAnsi"/>
          <w:color w:val="000000" w:themeColor="text1"/>
        </w:rPr>
        <w:t>greement</w:t>
      </w:r>
      <w:r w:rsidR="001E17DC" w:rsidRPr="00141F52">
        <w:rPr>
          <w:rFonts w:cstheme="minorHAnsi"/>
          <w:color w:val="000000" w:themeColor="text1"/>
        </w:rPr>
        <w:t>(s)</w:t>
      </w:r>
      <w:r w:rsidRPr="00141F52">
        <w:rPr>
          <w:rFonts w:cstheme="minorHAnsi"/>
          <w:color w:val="000000" w:themeColor="text1"/>
        </w:rPr>
        <w:t xml:space="preserve"> permit</w:t>
      </w:r>
      <w:r w:rsidR="00B643F3">
        <w:rPr>
          <w:rFonts w:cstheme="minorHAnsi"/>
          <w:color w:val="000000" w:themeColor="text1"/>
        </w:rPr>
        <w:t>s</w:t>
      </w:r>
      <w:r w:rsidRPr="00141F52">
        <w:rPr>
          <w:rFonts w:cstheme="minorHAnsi"/>
          <w:color w:val="000000" w:themeColor="text1"/>
        </w:rPr>
        <w:t xml:space="preserve">, </w:t>
      </w:r>
      <w:r w:rsidR="001E17DC" w:rsidRPr="00141F52">
        <w:rPr>
          <w:rFonts w:cstheme="minorHAnsi"/>
          <w:color w:val="000000" w:themeColor="text1"/>
        </w:rPr>
        <w:t xml:space="preserve">undisbursed balances </w:t>
      </w:r>
      <w:r w:rsidRPr="00141F52">
        <w:rPr>
          <w:rFonts w:cstheme="minorHAnsi"/>
          <w:color w:val="000000" w:themeColor="text1"/>
        </w:rPr>
        <w:t xml:space="preserve">may be </w:t>
      </w:r>
      <w:r w:rsidR="001F4E49" w:rsidRPr="00141F52">
        <w:rPr>
          <w:rFonts w:cstheme="minorHAnsi"/>
          <w:color w:val="000000" w:themeColor="text1"/>
        </w:rPr>
        <w:t xml:space="preserve">retained by UNDP within </w:t>
      </w:r>
      <w:r w:rsidRPr="00141F52">
        <w:rPr>
          <w:rFonts w:cstheme="minorHAnsi"/>
          <w:color w:val="000000" w:themeColor="text1"/>
        </w:rPr>
        <w:t xml:space="preserve">a centrally managed UNDP </w:t>
      </w:r>
      <w:r w:rsidR="00F81A08" w:rsidRPr="00141F52">
        <w:rPr>
          <w:rFonts w:cstheme="minorHAnsi"/>
          <w:color w:val="000000" w:themeColor="text1"/>
        </w:rPr>
        <w:t xml:space="preserve">Guarantee </w:t>
      </w:r>
      <w:r w:rsidR="00B643F3">
        <w:rPr>
          <w:rFonts w:cstheme="minorHAnsi"/>
          <w:color w:val="000000" w:themeColor="text1"/>
        </w:rPr>
        <w:t>Reserve</w:t>
      </w:r>
      <w:r w:rsidRPr="00141F52">
        <w:rPr>
          <w:rFonts w:cstheme="minorHAnsi"/>
          <w:color w:val="000000" w:themeColor="text1"/>
        </w:rPr>
        <w:t xml:space="preserve">, where </w:t>
      </w:r>
      <w:r w:rsidR="001F4E49" w:rsidRPr="00141F52">
        <w:rPr>
          <w:rFonts w:cstheme="minorHAnsi"/>
          <w:color w:val="000000" w:themeColor="text1"/>
        </w:rPr>
        <w:t xml:space="preserve">the </w:t>
      </w:r>
      <w:r w:rsidRPr="00141F52">
        <w:rPr>
          <w:rFonts w:cstheme="minorHAnsi"/>
          <w:color w:val="000000" w:themeColor="text1"/>
        </w:rPr>
        <w:t>funds will be commingled for re</w:t>
      </w:r>
      <w:r w:rsidR="004F2119" w:rsidRPr="00141F52">
        <w:rPr>
          <w:rFonts w:cstheme="minorHAnsi"/>
          <w:color w:val="000000" w:themeColor="text1"/>
        </w:rPr>
        <w:t>-</w:t>
      </w:r>
      <w:r w:rsidRPr="00141F52">
        <w:rPr>
          <w:rFonts w:cstheme="minorHAnsi"/>
          <w:color w:val="000000" w:themeColor="text1"/>
        </w:rPr>
        <w:t xml:space="preserve">use </w:t>
      </w:r>
      <w:r w:rsidR="004F2119" w:rsidRPr="00141F52">
        <w:rPr>
          <w:rFonts w:cstheme="minorHAnsi"/>
          <w:color w:val="000000" w:themeColor="text1"/>
        </w:rPr>
        <w:t xml:space="preserve">for </w:t>
      </w:r>
      <w:r w:rsidRPr="00141F52">
        <w:rPr>
          <w:rFonts w:cstheme="minorHAnsi"/>
          <w:color w:val="000000" w:themeColor="text1"/>
        </w:rPr>
        <w:t xml:space="preserve">other guarantee </w:t>
      </w:r>
      <w:r w:rsidR="004F2119" w:rsidRPr="00141F52">
        <w:rPr>
          <w:rFonts w:cstheme="minorHAnsi"/>
          <w:color w:val="000000" w:themeColor="text1"/>
        </w:rPr>
        <w:t>interventions</w:t>
      </w:r>
      <w:r w:rsidR="00B643F3">
        <w:rPr>
          <w:rFonts w:cstheme="minorHAnsi"/>
          <w:color w:val="000000" w:themeColor="text1"/>
        </w:rPr>
        <w:t xml:space="preserve"> or to pay for the costs related to UNDP’s guarantee program</w:t>
      </w:r>
      <w:r w:rsidRPr="00141F52">
        <w:rPr>
          <w:rFonts w:cstheme="minorHAnsi"/>
          <w:color w:val="000000" w:themeColor="text1"/>
        </w:rPr>
        <w:t xml:space="preserve">. </w:t>
      </w:r>
      <w:r w:rsidR="004F2119" w:rsidRPr="00141F52">
        <w:rPr>
          <w:rFonts w:cstheme="minorHAnsi"/>
          <w:color w:val="000000" w:themeColor="text1"/>
        </w:rPr>
        <w:t xml:space="preserve">Alternatively, funding partners </w:t>
      </w:r>
      <w:r w:rsidRPr="00141F52">
        <w:rPr>
          <w:rFonts w:cstheme="minorHAnsi"/>
          <w:color w:val="000000" w:themeColor="text1"/>
        </w:rPr>
        <w:t xml:space="preserve">may require that </w:t>
      </w:r>
      <w:r w:rsidR="004F2119" w:rsidRPr="00141F52">
        <w:rPr>
          <w:rFonts w:cstheme="minorHAnsi"/>
          <w:color w:val="000000" w:themeColor="text1"/>
        </w:rPr>
        <w:t xml:space="preserve">undisbursed </w:t>
      </w:r>
      <w:r w:rsidRPr="00141F52">
        <w:rPr>
          <w:rFonts w:cstheme="minorHAnsi"/>
          <w:color w:val="000000" w:themeColor="text1"/>
        </w:rPr>
        <w:t xml:space="preserve">guarantee funds </w:t>
      </w:r>
      <w:r w:rsidR="004F2119" w:rsidRPr="00141F52">
        <w:rPr>
          <w:rFonts w:cstheme="minorHAnsi"/>
          <w:color w:val="000000" w:themeColor="text1"/>
        </w:rPr>
        <w:t xml:space="preserve">are </w:t>
      </w:r>
      <w:r w:rsidRPr="00141F52">
        <w:rPr>
          <w:rFonts w:cstheme="minorHAnsi"/>
          <w:color w:val="000000" w:themeColor="text1"/>
        </w:rPr>
        <w:t>refunded back to them</w:t>
      </w:r>
      <w:r w:rsidR="001E1D13">
        <w:rPr>
          <w:rFonts w:cstheme="minorHAnsi"/>
          <w:color w:val="000000" w:themeColor="text1"/>
        </w:rPr>
        <w:t>,</w:t>
      </w:r>
      <w:r w:rsidR="009A3E07" w:rsidRPr="00141F52">
        <w:rPr>
          <w:rFonts w:cstheme="minorHAnsi"/>
          <w:color w:val="000000" w:themeColor="text1"/>
        </w:rPr>
        <w:t xml:space="preserve"> or </w:t>
      </w:r>
      <w:r w:rsidR="0058226B">
        <w:rPr>
          <w:rFonts w:cstheme="minorHAnsi"/>
          <w:color w:val="000000" w:themeColor="text1"/>
        </w:rPr>
        <w:t xml:space="preserve">transferred to the host government or </w:t>
      </w:r>
      <w:r w:rsidR="00124622">
        <w:rPr>
          <w:rFonts w:cstheme="minorHAnsi"/>
          <w:color w:val="000000" w:themeColor="text1"/>
        </w:rPr>
        <w:t xml:space="preserve">to </w:t>
      </w:r>
      <w:r w:rsidR="0058226B">
        <w:rPr>
          <w:rFonts w:cstheme="minorHAnsi"/>
          <w:color w:val="000000" w:themeColor="text1"/>
        </w:rPr>
        <w:t>an implementing partner</w:t>
      </w:r>
      <w:r w:rsidRPr="00141F52">
        <w:rPr>
          <w:rFonts w:cstheme="minorHAnsi"/>
          <w:color w:val="000000" w:themeColor="text1"/>
        </w:rPr>
        <w:t xml:space="preserve">. </w:t>
      </w:r>
      <w:r w:rsidR="0058226B">
        <w:rPr>
          <w:rFonts w:cstheme="minorHAnsi"/>
          <w:color w:val="000000" w:themeColor="text1"/>
        </w:rPr>
        <w:t xml:space="preserve">Undisbursed funds </w:t>
      </w:r>
      <w:r w:rsidR="00C57A3D">
        <w:rPr>
          <w:rFonts w:cstheme="minorHAnsi"/>
          <w:color w:val="000000" w:themeColor="text1"/>
        </w:rPr>
        <w:t>must</w:t>
      </w:r>
      <w:r w:rsidR="0058226B">
        <w:rPr>
          <w:rFonts w:cstheme="minorHAnsi"/>
          <w:color w:val="000000" w:themeColor="text1"/>
        </w:rPr>
        <w:t xml:space="preserve"> not be transferred to the lending bank.</w:t>
      </w:r>
    </w:p>
    <w:p w14:paraId="4072DD40" w14:textId="77777777" w:rsidR="007969B4" w:rsidRDefault="007969B4" w:rsidP="009315F3">
      <w:pPr>
        <w:spacing w:after="60" w:line="276" w:lineRule="auto"/>
        <w:rPr>
          <w:b/>
          <w:sz w:val="24"/>
          <w:szCs w:val="24"/>
        </w:rPr>
      </w:pPr>
    </w:p>
    <w:p w14:paraId="119EC40F" w14:textId="77777777" w:rsidR="00BF25B4" w:rsidRPr="00BF25B4" w:rsidRDefault="00FA36CD" w:rsidP="00BB3975">
      <w:pPr>
        <w:pStyle w:val="Heading2"/>
        <w:numPr>
          <w:ilvl w:val="0"/>
          <w:numId w:val="15"/>
        </w:numPr>
        <w:spacing w:before="0" w:after="160"/>
        <w:ind w:left="547" w:hanging="547"/>
        <w:rPr>
          <w:b/>
          <w:color w:val="000000" w:themeColor="text1"/>
          <w:sz w:val="24"/>
          <w:szCs w:val="24"/>
        </w:rPr>
      </w:pPr>
      <w:bookmarkStart w:id="101" w:name="_Toc2339929"/>
      <w:bookmarkStart w:id="102" w:name="_Toc121313787"/>
      <w:r>
        <w:rPr>
          <w:b/>
          <w:color w:val="000000" w:themeColor="text1"/>
          <w:sz w:val="24"/>
          <w:szCs w:val="24"/>
        </w:rPr>
        <w:lastRenderedPageBreak/>
        <w:t xml:space="preserve">Administration of </w:t>
      </w:r>
      <w:r w:rsidR="00BF25B4" w:rsidRPr="00BF25B4">
        <w:rPr>
          <w:b/>
          <w:color w:val="000000" w:themeColor="text1"/>
          <w:sz w:val="24"/>
          <w:szCs w:val="24"/>
        </w:rPr>
        <w:t>guarantees</w:t>
      </w:r>
      <w:bookmarkEnd w:id="101"/>
      <w:bookmarkEnd w:id="102"/>
      <w:r w:rsidR="00BF25B4" w:rsidRPr="00BF25B4">
        <w:rPr>
          <w:b/>
          <w:color w:val="000000" w:themeColor="text1"/>
          <w:sz w:val="24"/>
          <w:szCs w:val="24"/>
        </w:rPr>
        <w:t xml:space="preserve"> </w:t>
      </w:r>
    </w:p>
    <w:p w14:paraId="12D424D4" w14:textId="6A567EF8" w:rsidR="00BF25B4" w:rsidRPr="00AE177F" w:rsidRDefault="00BF25B4" w:rsidP="003D62C8">
      <w:pPr>
        <w:spacing w:after="120" w:line="276" w:lineRule="auto"/>
        <w:jc w:val="both"/>
        <w:rPr>
          <w:iCs/>
        </w:rPr>
      </w:pPr>
      <w:r w:rsidRPr="00AE177F">
        <w:rPr>
          <w:iCs/>
        </w:rPr>
        <w:t xml:space="preserve">The administration of guarantees within UNDP </w:t>
      </w:r>
      <w:r w:rsidR="003D62C8" w:rsidRPr="00AE177F">
        <w:rPr>
          <w:iCs/>
        </w:rPr>
        <w:t xml:space="preserve">will </w:t>
      </w:r>
      <w:r w:rsidRPr="00AE177F">
        <w:rPr>
          <w:iCs/>
        </w:rPr>
        <w:t xml:space="preserve">be </w:t>
      </w:r>
      <w:r w:rsidR="004A3AC3" w:rsidRPr="00AE177F">
        <w:rPr>
          <w:iCs/>
        </w:rPr>
        <w:t xml:space="preserve">performed </w:t>
      </w:r>
      <w:r w:rsidRPr="00AE177F">
        <w:rPr>
          <w:iCs/>
        </w:rPr>
        <w:t>centrally given the inherent risks involved, frequent interactions with financial institutions and transactional costs associated with managing guarantee portfolios.</w:t>
      </w:r>
      <w:r w:rsidR="003D62C8" w:rsidRPr="00AE177F">
        <w:rPr>
          <w:iCs/>
        </w:rPr>
        <w:t xml:space="preserve"> </w:t>
      </w:r>
    </w:p>
    <w:p w14:paraId="6F95A763" w14:textId="19460B07" w:rsidR="003D62C8" w:rsidRPr="002432DA" w:rsidRDefault="00694CB2" w:rsidP="002432DA">
      <w:pPr>
        <w:spacing w:after="120" w:line="276" w:lineRule="auto"/>
        <w:jc w:val="both"/>
      </w:pPr>
      <w:r>
        <w:t>T</w:t>
      </w:r>
      <w:r w:rsidR="00FA0227">
        <w:t xml:space="preserve">he </w:t>
      </w:r>
      <w:r>
        <w:t xml:space="preserve">existing corporate accountability framework applies for all projects, programmes or related activities </w:t>
      </w:r>
      <w:r w:rsidR="00026334">
        <w:t xml:space="preserve">that </w:t>
      </w:r>
      <w:r w:rsidR="00FA0227">
        <w:t>includ</w:t>
      </w:r>
      <w:r w:rsidR="00026334">
        <w:t>e</w:t>
      </w:r>
      <w:r w:rsidR="00FA0227">
        <w:t xml:space="preserve"> the </w:t>
      </w:r>
      <w:r w:rsidR="00150885">
        <w:t xml:space="preserve">design and usage of </w:t>
      </w:r>
      <w:r w:rsidR="005A37E0">
        <w:t xml:space="preserve">a UNDP-supported </w:t>
      </w:r>
      <w:r w:rsidR="00150885">
        <w:t>guarantee facility</w:t>
      </w:r>
      <w:r w:rsidR="00026334">
        <w:t>. However</w:t>
      </w:r>
      <w:r w:rsidR="00103450">
        <w:t>,</w:t>
      </w:r>
      <w:r w:rsidR="00026334">
        <w:t xml:space="preserve"> t</w:t>
      </w:r>
      <w:r w:rsidR="00150885">
        <w:t xml:space="preserve">he administration of the </w:t>
      </w:r>
      <w:r w:rsidR="005A37E0">
        <w:t xml:space="preserve">UNDP-supported </w:t>
      </w:r>
      <w:r w:rsidR="00150885">
        <w:t xml:space="preserve">guarantee facility will be performed centrally </w:t>
      </w:r>
      <w:r w:rsidR="00FA36CD">
        <w:t xml:space="preserve">to mitigate risk. </w:t>
      </w:r>
      <w:r w:rsidR="003D62C8" w:rsidRPr="002432DA">
        <w:t>This inclu</w:t>
      </w:r>
      <w:r w:rsidR="003D62C8">
        <w:t xml:space="preserve">des </w:t>
      </w:r>
      <w:r w:rsidR="00EC195D">
        <w:t xml:space="preserve">the </w:t>
      </w:r>
      <w:r w:rsidR="003D62C8">
        <w:t xml:space="preserve">process around approval of the </w:t>
      </w:r>
      <w:r w:rsidR="005A37E0">
        <w:t xml:space="preserve">UNDP-supported </w:t>
      </w:r>
      <w:r w:rsidR="003D62C8">
        <w:t xml:space="preserve">guarantee instrumentation, cash flows associated with the management of guarantees, </w:t>
      </w:r>
      <w:r w:rsidR="00D63B1F">
        <w:t xml:space="preserve">management of the </w:t>
      </w:r>
      <w:r w:rsidR="003D62C8">
        <w:t xml:space="preserve">guarantee portfolio </w:t>
      </w:r>
      <w:r w:rsidR="00D63B1F">
        <w:t>and related risks</w:t>
      </w:r>
      <w:r w:rsidR="003D62C8">
        <w:t xml:space="preserve">, etc. Please see </w:t>
      </w:r>
      <w:hyperlink w:anchor="_Roles_and_Responsibilities" w:history="1">
        <w:r w:rsidR="008433FC" w:rsidRPr="008433FC">
          <w:rPr>
            <w:rStyle w:val="Hyperlink"/>
          </w:rPr>
          <w:t xml:space="preserve">Section </w:t>
        </w:r>
        <w:r w:rsidR="00267978" w:rsidRPr="008433FC">
          <w:rPr>
            <w:rStyle w:val="Hyperlink"/>
          </w:rPr>
          <w:t xml:space="preserve">7. </w:t>
        </w:r>
        <w:r w:rsidR="008433FC" w:rsidRPr="008433FC">
          <w:rPr>
            <w:rStyle w:val="Hyperlink"/>
          </w:rPr>
          <w:t>Roles and Responsibilities</w:t>
        </w:r>
      </w:hyperlink>
      <w:r w:rsidR="003D62C8">
        <w:t xml:space="preserve"> for further information. </w:t>
      </w:r>
    </w:p>
    <w:p w14:paraId="5B438104" w14:textId="77777777" w:rsidR="00BF25B4" w:rsidRPr="003D62C8" w:rsidRDefault="00BF25B4" w:rsidP="00365AB1">
      <w:pPr>
        <w:spacing w:after="0"/>
        <w:rPr>
          <w:b/>
          <w:sz w:val="24"/>
          <w:szCs w:val="24"/>
        </w:rPr>
      </w:pPr>
    </w:p>
    <w:p w14:paraId="47B960A0" w14:textId="77777777" w:rsidR="007969B4" w:rsidRPr="00700B6C" w:rsidRDefault="007969B4" w:rsidP="00C14097">
      <w:pPr>
        <w:pStyle w:val="Heading2"/>
        <w:numPr>
          <w:ilvl w:val="0"/>
          <w:numId w:val="15"/>
        </w:numPr>
        <w:spacing w:before="0" w:after="160"/>
        <w:ind w:left="547" w:hanging="547"/>
        <w:rPr>
          <w:b/>
          <w:color w:val="000000" w:themeColor="text1"/>
          <w:sz w:val="24"/>
          <w:szCs w:val="24"/>
        </w:rPr>
      </w:pPr>
      <w:bookmarkStart w:id="103" w:name="_Toc2339930"/>
      <w:bookmarkStart w:id="104" w:name="_Toc121313788"/>
      <w:r w:rsidRPr="00700B6C">
        <w:rPr>
          <w:b/>
          <w:color w:val="000000" w:themeColor="text1"/>
          <w:sz w:val="24"/>
          <w:szCs w:val="24"/>
        </w:rPr>
        <w:t>Publishing of guarantee information – internal and external</w:t>
      </w:r>
      <w:bookmarkEnd w:id="103"/>
      <w:bookmarkEnd w:id="104"/>
    </w:p>
    <w:p w14:paraId="2DBCC2BA" w14:textId="5886152D" w:rsidR="007969B4" w:rsidRPr="00C14097" w:rsidRDefault="007969B4" w:rsidP="00B90928">
      <w:pPr>
        <w:spacing w:after="120" w:line="276" w:lineRule="auto"/>
        <w:jc w:val="both"/>
        <w:rPr>
          <w:iCs/>
        </w:rPr>
      </w:pPr>
      <w:r w:rsidRPr="00C14097">
        <w:rPr>
          <w:iCs/>
        </w:rPr>
        <w:t xml:space="preserve">UNDP may disclose information to the extent required </w:t>
      </w:r>
      <w:r w:rsidR="004C1E69" w:rsidRPr="00C14097">
        <w:rPr>
          <w:iCs/>
        </w:rPr>
        <w:t xml:space="preserve">by </w:t>
      </w:r>
      <w:r w:rsidR="003D6419" w:rsidRPr="00C14097">
        <w:rPr>
          <w:iCs/>
        </w:rPr>
        <w:t>financing</w:t>
      </w:r>
      <w:r w:rsidR="004C1E69" w:rsidRPr="00C14097">
        <w:rPr>
          <w:iCs/>
        </w:rPr>
        <w:t xml:space="preserve"> agreements with </w:t>
      </w:r>
      <w:r w:rsidR="00EC1AE3" w:rsidRPr="00C14097">
        <w:rPr>
          <w:iCs/>
        </w:rPr>
        <w:t xml:space="preserve">funding partners </w:t>
      </w:r>
      <w:r w:rsidR="004C1E69" w:rsidRPr="00C14097">
        <w:rPr>
          <w:iCs/>
        </w:rPr>
        <w:t xml:space="preserve">or </w:t>
      </w:r>
      <w:r w:rsidRPr="00C14097">
        <w:rPr>
          <w:iCs/>
        </w:rPr>
        <w:t xml:space="preserve">pursuant to the Charter of the United Nations, resolutions or regulations of the General Assembly, or rules promulgated by the Secretary-General of the United Nations. In addition, as a signatory to the International Aid Transparency Initiative (IATI), UNDP </w:t>
      </w:r>
      <w:r w:rsidR="00BA0A1E" w:rsidRPr="00C14097">
        <w:rPr>
          <w:iCs/>
        </w:rPr>
        <w:t>may</w:t>
      </w:r>
      <w:r w:rsidRPr="00C14097">
        <w:rPr>
          <w:iCs/>
        </w:rPr>
        <w:t xml:space="preserve"> publish the following information online on a regular basis to comply with the IATI standards</w:t>
      </w:r>
      <w:r w:rsidR="00BA0A1E" w:rsidRPr="00C14097">
        <w:rPr>
          <w:iCs/>
        </w:rPr>
        <w:t xml:space="preserve"> (if required)</w:t>
      </w:r>
      <w:r w:rsidRPr="00C14097">
        <w:rPr>
          <w:iCs/>
        </w:rPr>
        <w:t>:</w:t>
      </w:r>
    </w:p>
    <w:p w14:paraId="3D8722ED" w14:textId="04C5E9E3" w:rsidR="007969B4" w:rsidRPr="00492AB2" w:rsidRDefault="007969B4" w:rsidP="00492AB2">
      <w:pPr>
        <w:pStyle w:val="ListParagraph"/>
        <w:numPr>
          <w:ilvl w:val="0"/>
          <w:numId w:val="12"/>
        </w:numPr>
        <w:spacing w:after="60"/>
        <w:contextualSpacing w:val="0"/>
        <w:jc w:val="both"/>
        <w:rPr>
          <w:iCs/>
        </w:rPr>
      </w:pPr>
      <w:r w:rsidRPr="00492AB2">
        <w:rPr>
          <w:iCs/>
        </w:rPr>
        <w:t xml:space="preserve">Name and description of </w:t>
      </w:r>
      <w:r w:rsidR="00492AB2">
        <w:rPr>
          <w:iCs/>
        </w:rPr>
        <w:t>g</w:t>
      </w:r>
      <w:r w:rsidR="00492AB2" w:rsidRPr="00492AB2">
        <w:rPr>
          <w:iCs/>
        </w:rPr>
        <w:t>uarantee</w:t>
      </w:r>
      <w:r w:rsidRPr="00492AB2">
        <w:rPr>
          <w:iCs/>
        </w:rPr>
        <w:t xml:space="preserve">; </w:t>
      </w:r>
    </w:p>
    <w:p w14:paraId="0453B146" w14:textId="77777777" w:rsidR="007969B4" w:rsidRPr="00492AB2" w:rsidRDefault="007969B4" w:rsidP="00492AB2">
      <w:pPr>
        <w:pStyle w:val="ListParagraph"/>
        <w:numPr>
          <w:ilvl w:val="0"/>
          <w:numId w:val="12"/>
        </w:numPr>
        <w:spacing w:after="60"/>
        <w:contextualSpacing w:val="0"/>
        <w:jc w:val="both"/>
        <w:rPr>
          <w:iCs/>
        </w:rPr>
      </w:pPr>
      <w:r w:rsidRPr="00492AB2">
        <w:rPr>
          <w:iCs/>
        </w:rPr>
        <w:t xml:space="preserve">Project number; </w:t>
      </w:r>
    </w:p>
    <w:p w14:paraId="19C46F5F" w14:textId="37AA6389" w:rsidR="007969B4" w:rsidRPr="00492AB2" w:rsidRDefault="007969B4" w:rsidP="00492AB2">
      <w:pPr>
        <w:pStyle w:val="ListParagraph"/>
        <w:numPr>
          <w:ilvl w:val="0"/>
          <w:numId w:val="12"/>
        </w:numPr>
        <w:spacing w:after="60"/>
        <w:contextualSpacing w:val="0"/>
        <w:jc w:val="both"/>
        <w:rPr>
          <w:iCs/>
        </w:rPr>
      </w:pPr>
      <w:r w:rsidRPr="00492AB2">
        <w:rPr>
          <w:iCs/>
        </w:rPr>
        <w:t xml:space="preserve">Guarantee </w:t>
      </w:r>
      <w:r w:rsidR="00492AB2">
        <w:rPr>
          <w:iCs/>
        </w:rPr>
        <w:t>p</w:t>
      </w:r>
      <w:r w:rsidR="00492AB2" w:rsidRPr="00492AB2">
        <w:rPr>
          <w:iCs/>
        </w:rPr>
        <w:t>eriod</w:t>
      </w:r>
      <w:r w:rsidRPr="00492AB2">
        <w:rPr>
          <w:iCs/>
        </w:rPr>
        <w:t xml:space="preserve">; </w:t>
      </w:r>
    </w:p>
    <w:p w14:paraId="1FF1580B" w14:textId="77777777" w:rsidR="007969B4" w:rsidRPr="00492AB2" w:rsidRDefault="007969B4" w:rsidP="00492AB2">
      <w:pPr>
        <w:pStyle w:val="ListParagraph"/>
        <w:numPr>
          <w:ilvl w:val="0"/>
          <w:numId w:val="12"/>
        </w:numPr>
        <w:spacing w:after="60"/>
        <w:contextualSpacing w:val="0"/>
        <w:jc w:val="both"/>
        <w:rPr>
          <w:iCs/>
        </w:rPr>
      </w:pPr>
      <w:r w:rsidRPr="00492AB2">
        <w:rPr>
          <w:iCs/>
        </w:rPr>
        <w:t xml:space="preserve">Country; </w:t>
      </w:r>
    </w:p>
    <w:p w14:paraId="08CB713F" w14:textId="2B50F960" w:rsidR="007969B4" w:rsidRPr="00492AB2" w:rsidRDefault="007969B4" w:rsidP="00492AB2">
      <w:pPr>
        <w:pStyle w:val="ListParagraph"/>
        <w:numPr>
          <w:ilvl w:val="0"/>
          <w:numId w:val="12"/>
        </w:numPr>
        <w:spacing w:after="60"/>
        <w:contextualSpacing w:val="0"/>
        <w:jc w:val="both"/>
        <w:rPr>
          <w:iCs/>
        </w:rPr>
      </w:pPr>
      <w:r w:rsidRPr="00492AB2">
        <w:rPr>
          <w:iCs/>
        </w:rPr>
        <w:t xml:space="preserve">Financial details (e.g. </w:t>
      </w:r>
      <w:r w:rsidR="00492AB2">
        <w:rPr>
          <w:iCs/>
        </w:rPr>
        <w:t>g</w:t>
      </w:r>
      <w:r w:rsidR="00492AB2" w:rsidRPr="00492AB2">
        <w:rPr>
          <w:iCs/>
        </w:rPr>
        <w:t xml:space="preserve">uarantee </w:t>
      </w:r>
      <w:r w:rsidR="00492AB2">
        <w:rPr>
          <w:iCs/>
        </w:rPr>
        <w:t>p</w:t>
      </w:r>
      <w:r w:rsidR="00492AB2" w:rsidRPr="00492AB2">
        <w:rPr>
          <w:iCs/>
        </w:rPr>
        <w:t>ercentage</w:t>
      </w:r>
      <w:r w:rsidRPr="00492AB2">
        <w:rPr>
          <w:iCs/>
        </w:rPr>
        <w:t xml:space="preserve">, </w:t>
      </w:r>
      <w:r w:rsidR="00492AB2">
        <w:rPr>
          <w:iCs/>
        </w:rPr>
        <w:t>g</w:t>
      </w:r>
      <w:r w:rsidR="00492AB2" w:rsidRPr="00492AB2">
        <w:rPr>
          <w:iCs/>
        </w:rPr>
        <w:t xml:space="preserve">uarantee </w:t>
      </w:r>
      <w:r w:rsidR="00492AB2">
        <w:rPr>
          <w:iCs/>
        </w:rPr>
        <w:t>c</w:t>
      </w:r>
      <w:r w:rsidR="00492AB2" w:rsidRPr="00492AB2">
        <w:rPr>
          <w:iCs/>
        </w:rPr>
        <w:t>eiling</w:t>
      </w:r>
      <w:r w:rsidRPr="00492AB2">
        <w:rPr>
          <w:iCs/>
        </w:rPr>
        <w:t xml:space="preserve">, amount of </w:t>
      </w:r>
      <w:r w:rsidR="00492AB2">
        <w:rPr>
          <w:iCs/>
        </w:rPr>
        <w:t>q</w:t>
      </w:r>
      <w:r w:rsidR="00492AB2" w:rsidRPr="00492AB2">
        <w:rPr>
          <w:iCs/>
        </w:rPr>
        <w:t xml:space="preserve">ualifying </w:t>
      </w:r>
      <w:r w:rsidR="00492AB2">
        <w:rPr>
          <w:iCs/>
        </w:rPr>
        <w:t>l</w:t>
      </w:r>
      <w:r w:rsidR="00492AB2" w:rsidRPr="00492AB2">
        <w:rPr>
          <w:iCs/>
        </w:rPr>
        <w:t>oan</w:t>
      </w:r>
      <w:r w:rsidRPr="00492AB2">
        <w:rPr>
          <w:iCs/>
        </w:rPr>
        <w:t>, etc.);</w:t>
      </w:r>
    </w:p>
    <w:p w14:paraId="7FC429CB" w14:textId="77777777" w:rsidR="007969B4" w:rsidRPr="00492AB2" w:rsidRDefault="007969B4" w:rsidP="00492AB2">
      <w:pPr>
        <w:pStyle w:val="ListParagraph"/>
        <w:numPr>
          <w:ilvl w:val="0"/>
          <w:numId w:val="12"/>
        </w:numPr>
        <w:spacing w:after="60"/>
        <w:contextualSpacing w:val="0"/>
        <w:jc w:val="both"/>
        <w:rPr>
          <w:iCs/>
        </w:rPr>
      </w:pPr>
      <w:r w:rsidRPr="00492AB2">
        <w:rPr>
          <w:iCs/>
        </w:rPr>
        <w:t>Expected results (e.g. purpose of the loan); and</w:t>
      </w:r>
    </w:p>
    <w:p w14:paraId="23843B85" w14:textId="77777777" w:rsidR="00A83989" w:rsidRPr="00492AB2" w:rsidRDefault="007969B4" w:rsidP="00492AB2">
      <w:pPr>
        <w:pStyle w:val="ListParagraph"/>
        <w:numPr>
          <w:ilvl w:val="0"/>
          <w:numId w:val="12"/>
        </w:numPr>
        <w:spacing w:after="60"/>
        <w:contextualSpacing w:val="0"/>
        <w:jc w:val="both"/>
        <w:rPr>
          <w:rFonts w:cstheme="minorHAnsi"/>
          <w:iCs/>
          <w:color w:val="000000" w:themeColor="text1"/>
        </w:rPr>
      </w:pPr>
      <w:r w:rsidRPr="00492AB2">
        <w:rPr>
          <w:iCs/>
        </w:rPr>
        <w:t>Link to any public documents to help users find more information.</w:t>
      </w:r>
    </w:p>
    <w:p w14:paraId="22EC3103" w14:textId="77777777" w:rsidR="00BA0A1E" w:rsidRDefault="00BA0A1E" w:rsidP="00BA0A1E">
      <w:pPr>
        <w:spacing w:after="60"/>
        <w:jc w:val="both"/>
        <w:rPr>
          <w:rFonts w:cstheme="minorHAnsi"/>
          <w:color w:val="000000" w:themeColor="text1"/>
          <w:highlight w:val="lightGray"/>
        </w:rPr>
      </w:pPr>
    </w:p>
    <w:p w14:paraId="5A2115CE" w14:textId="77777777" w:rsidR="005F28D0" w:rsidRDefault="005F28D0" w:rsidP="00BA0A1E">
      <w:pPr>
        <w:spacing w:after="60"/>
        <w:jc w:val="both"/>
        <w:rPr>
          <w:rFonts w:cstheme="minorHAnsi"/>
          <w:color w:val="000000" w:themeColor="text1"/>
        </w:rPr>
      </w:pPr>
      <w:r>
        <w:rPr>
          <w:rFonts w:cstheme="minorHAnsi"/>
          <w:color w:val="000000" w:themeColor="text1"/>
        </w:rPr>
        <w:t xml:space="preserve">While recognizing the need to </w:t>
      </w:r>
      <w:r w:rsidR="007E5509">
        <w:rPr>
          <w:rFonts w:cstheme="minorHAnsi"/>
          <w:color w:val="000000" w:themeColor="text1"/>
        </w:rPr>
        <w:t>protect</w:t>
      </w:r>
      <w:r>
        <w:rPr>
          <w:rFonts w:cstheme="minorHAnsi"/>
          <w:color w:val="000000" w:themeColor="text1"/>
        </w:rPr>
        <w:t xml:space="preserve"> confidential</w:t>
      </w:r>
      <w:r w:rsidR="007E5509">
        <w:rPr>
          <w:rFonts w:cstheme="minorHAnsi"/>
          <w:color w:val="000000" w:themeColor="text1"/>
        </w:rPr>
        <w:t xml:space="preserve"> information</w:t>
      </w:r>
      <w:r>
        <w:rPr>
          <w:rFonts w:cstheme="minorHAnsi"/>
          <w:color w:val="000000" w:themeColor="text1"/>
        </w:rPr>
        <w:t xml:space="preserve"> of </w:t>
      </w:r>
      <w:r w:rsidR="00CE39F1">
        <w:rPr>
          <w:rFonts w:cstheme="minorHAnsi"/>
          <w:color w:val="000000" w:themeColor="text1"/>
        </w:rPr>
        <w:t xml:space="preserve">all </w:t>
      </w:r>
      <w:r>
        <w:rPr>
          <w:rFonts w:cstheme="minorHAnsi"/>
          <w:color w:val="000000" w:themeColor="text1"/>
        </w:rPr>
        <w:t>parties</w:t>
      </w:r>
      <w:r w:rsidR="00CE39F1">
        <w:rPr>
          <w:rFonts w:cstheme="minorHAnsi"/>
          <w:color w:val="000000" w:themeColor="text1"/>
        </w:rPr>
        <w:t xml:space="preserve"> involved</w:t>
      </w:r>
      <w:r>
        <w:rPr>
          <w:rFonts w:cstheme="minorHAnsi"/>
          <w:color w:val="000000" w:themeColor="text1"/>
        </w:rPr>
        <w:t>, UNDP may</w:t>
      </w:r>
      <w:r w:rsidR="00884C2B">
        <w:rPr>
          <w:rFonts w:cstheme="minorHAnsi"/>
          <w:color w:val="000000" w:themeColor="text1"/>
        </w:rPr>
        <w:t>,</w:t>
      </w:r>
      <w:r>
        <w:rPr>
          <w:rFonts w:cstheme="minorHAnsi"/>
          <w:color w:val="000000" w:themeColor="text1"/>
        </w:rPr>
        <w:t xml:space="preserve"> </w:t>
      </w:r>
      <w:r w:rsidR="00884C2B">
        <w:rPr>
          <w:rFonts w:cstheme="minorHAnsi"/>
          <w:color w:val="000000" w:themeColor="text1"/>
        </w:rPr>
        <w:t xml:space="preserve">in accordance with its Information Disclosure Policy, </w:t>
      </w:r>
      <w:r>
        <w:rPr>
          <w:rFonts w:cstheme="minorHAnsi"/>
          <w:color w:val="000000" w:themeColor="text1"/>
        </w:rPr>
        <w:t>publicly disclose the information above t</w:t>
      </w:r>
      <w:r w:rsidRPr="00BA0A1E">
        <w:rPr>
          <w:rFonts w:cstheme="minorHAnsi"/>
          <w:color w:val="000000" w:themeColor="text1"/>
        </w:rPr>
        <w:t>o</w:t>
      </w:r>
      <w:r>
        <w:rPr>
          <w:rFonts w:cstheme="minorHAnsi"/>
          <w:color w:val="000000" w:themeColor="text1"/>
        </w:rPr>
        <w:t xml:space="preserve"> promote investments for the SDGs and to</w:t>
      </w:r>
      <w:r w:rsidRPr="00BA0A1E">
        <w:rPr>
          <w:rFonts w:cstheme="minorHAnsi"/>
          <w:color w:val="000000" w:themeColor="text1"/>
        </w:rPr>
        <w:t xml:space="preserve"> ensure visibility, accountability, transparency </w:t>
      </w:r>
      <w:r>
        <w:rPr>
          <w:rFonts w:cstheme="minorHAnsi"/>
          <w:color w:val="000000" w:themeColor="text1"/>
        </w:rPr>
        <w:t xml:space="preserve">and to </w:t>
      </w:r>
      <w:r w:rsidRPr="00BA0A1E">
        <w:rPr>
          <w:rFonts w:cstheme="minorHAnsi"/>
          <w:color w:val="000000" w:themeColor="text1"/>
        </w:rPr>
        <w:t>maximize results and impact</w:t>
      </w:r>
      <w:r>
        <w:rPr>
          <w:rFonts w:cstheme="minorHAnsi"/>
          <w:color w:val="000000" w:themeColor="text1"/>
        </w:rPr>
        <w:t>.</w:t>
      </w:r>
    </w:p>
    <w:p w14:paraId="424E783F" w14:textId="77777777" w:rsidR="007969B4" w:rsidRDefault="007969B4" w:rsidP="005C6B87">
      <w:pPr>
        <w:pStyle w:val="Heading1"/>
        <w:numPr>
          <w:ilvl w:val="0"/>
          <w:numId w:val="2"/>
        </w:numPr>
        <w:spacing w:before="480" w:after="240"/>
        <w:ind w:left="360"/>
        <w:rPr>
          <w:rFonts w:asciiTheme="minorHAnsi" w:eastAsia="Century Gothic" w:hAnsiTheme="minorHAnsi" w:cstheme="minorHAnsi"/>
          <w:color w:val="000000" w:themeColor="text1"/>
          <w:lang w:val="en-GB"/>
        </w:rPr>
      </w:pPr>
      <w:bookmarkStart w:id="105" w:name="_Toc11164746"/>
      <w:bookmarkStart w:id="106" w:name="_Toc2339931"/>
      <w:bookmarkStart w:id="107" w:name="_Toc121313789"/>
      <w:bookmarkEnd w:id="105"/>
      <w:r>
        <w:rPr>
          <w:rFonts w:asciiTheme="minorHAnsi" w:eastAsia="Century Gothic" w:hAnsiTheme="minorHAnsi" w:cstheme="minorHAnsi"/>
          <w:color w:val="000000" w:themeColor="text1"/>
          <w:lang w:val="en-GB"/>
        </w:rPr>
        <w:lastRenderedPageBreak/>
        <w:t>Agreements</w:t>
      </w:r>
      <w:bookmarkEnd w:id="106"/>
      <w:bookmarkEnd w:id="107"/>
      <w:r>
        <w:rPr>
          <w:rFonts w:asciiTheme="minorHAnsi" w:eastAsia="Century Gothic" w:hAnsiTheme="minorHAnsi" w:cstheme="minorHAnsi"/>
          <w:color w:val="000000" w:themeColor="text1"/>
          <w:lang w:val="en-GB"/>
        </w:rPr>
        <w:t xml:space="preserve"> </w:t>
      </w:r>
    </w:p>
    <w:p w14:paraId="5767DEC1" w14:textId="314DF33C" w:rsidR="007969B4" w:rsidRDefault="007969B4" w:rsidP="007969B4">
      <w:pPr>
        <w:jc w:val="both"/>
        <w:rPr>
          <w:lang w:val="en-GB"/>
        </w:rPr>
      </w:pPr>
      <w:r>
        <w:rPr>
          <w:lang w:val="en-GB"/>
        </w:rPr>
        <w:t>There are various</w:t>
      </w:r>
      <w:r w:rsidRPr="00EB099A">
        <w:rPr>
          <w:lang w:val="en-GB"/>
        </w:rPr>
        <w:t xml:space="preserve"> agreements that </w:t>
      </w:r>
      <w:r>
        <w:rPr>
          <w:lang w:val="en-GB"/>
        </w:rPr>
        <w:t xml:space="preserve">govern the </w:t>
      </w:r>
      <w:r w:rsidR="00BF0561">
        <w:rPr>
          <w:lang w:val="en-GB"/>
        </w:rPr>
        <w:t xml:space="preserve">issuance and </w:t>
      </w:r>
      <w:r>
        <w:rPr>
          <w:lang w:val="en-GB"/>
        </w:rPr>
        <w:t xml:space="preserve">management of </w:t>
      </w:r>
      <w:r w:rsidR="00BF0561">
        <w:rPr>
          <w:lang w:val="en-GB"/>
        </w:rPr>
        <w:t>UNDP</w:t>
      </w:r>
      <w:r w:rsidR="00CF7051">
        <w:rPr>
          <w:lang w:val="en-GB"/>
        </w:rPr>
        <w:t>-supported</w:t>
      </w:r>
      <w:r w:rsidR="00BF0561">
        <w:rPr>
          <w:lang w:val="en-GB"/>
        </w:rPr>
        <w:t xml:space="preserve"> </w:t>
      </w:r>
      <w:r>
        <w:rPr>
          <w:lang w:val="en-GB"/>
        </w:rPr>
        <w:t>guarantees</w:t>
      </w:r>
      <w:r w:rsidR="004D71E8">
        <w:rPr>
          <w:lang w:val="en-GB"/>
        </w:rPr>
        <w:t>,</w:t>
      </w:r>
      <w:r>
        <w:rPr>
          <w:lang w:val="en-GB"/>
        </w:rPr>
        <w:t xml:space="preserve"> and establish the relationships, roles and responsibilities of various participants in the </w:t>
      </w:r>
      <w:r w:rsidR="00BF0561">
        <w:rPr>
          <w:lang w:val="en-GB"/>
        </w:rPr>
        <w:t>UNDP</w:t>
      </w:r>
      <w:r w:rsidR="00541381">
        <w:rPr>
          <w:lang w:val="en-GB"/>
        </w:rPr>
        <w:t>-supported</w:t>
      </w:r>
      <w:r w:rsidR="00BF0561">
        <w:rPr>
          <w:lang w:val="en-GB"/>
        </w:rPr>
        <w:t xml:space="preserve"> </w:t>
      </w:r>
      <w:r>
        <w:rPr>
          <w:lang w:val="en-GB"/>
        </w:rPr>
        <w:t>guarantee program. Such agreements include:</w:t>
      </w:r>
    </w:p>
    <w:p w14:paraId="46D97219" w14:textId="2F21D44D" w:rsidR="001846D8" w:rsidRPr="006F57FC" w:rsidRDefault="0016755A" w:rsidP="005C6B87">
      <w:pPr>
        <w:pStyle w:val="ListParagraph"/>
        <w:numPr>
          <w:ilvl w:val="0"/>
          <w:numId w:val="10"/>
        </w:numPr>
        <w:spacing w:after="120" w:line="276" w:lineRule="auto"/>
        <w:ind w:left="763"/>
        <w:contextualSpacing w:val="0"/>
        <w:jc w:val="both"/>
      </w:pPr>
      <w:r w:rsidRPr="00A57EF2">
        <w:rPr>
          <w:rStyle w:val="Hyperlink"/>
          <w:color w:val="000000" w:themeColor="text1"/>
          <w:lang w:val="en-GB"/>
        </w:rPr>
        <w:t>Guarantee Issuer Agreement or Contract</w:t>
      </w:r>
      <w:r w:rsidRPr="006F57FC">
        <w:rPr>
          <w:rStyle w:val="Hyperlink"/>
          <w:b/>
          <w:u w:val="none"/>
          <w:lang w:val="en-GB"/>
        </w:rPr>
        <w:t xml:space="preserve"> </w:t>
      </w:r>
      <w:r w:rsidR="00BB7343" w:rsidRPr="006F57FC">
        <w:t>between UNDP and</w:t>
      </w:r>
      <w:r w:rsidR="0017409A">
        <w:t xml:space="preserve"> </w:t>
      </w:r>
      <w:r w:rsidR="00AB3C8A">
        <w:t xml:space="preserve">the </w:t>
      </w:r>
      <w:r w:rsidR="0017409A">
        <w:t>selected</w:t>
      </w:r>
      <w:r w:rsidR="00BB7343" w:rsidRPr="006F57FC">
        <w:t xml:space="preserve"> </w:t>
      </w:r>
      <w:r w:rsidR="007126BC" w:rsidRPr="006F57FC">
        <w:t>Guarantee Issuer</w:t>
      </w:r>
      <w:r w:rsidR="00BB7343" w:rsidRPr="006F57FC">
        <w:t xml:space="preserve"> </w:t>
      </w:r>
      <w:r w:rsidR="00BB7343">
        <w:t xml:space="preserve">(or </w:t>
      </w:r>
      <w:r w:rsidR="00FA2051">
        <w:t xml:space="preserve">the </w:t>
      </w:r>
      <w:r w:rsidR="00155BF5">
        <w:t xml:space="preserve">UN-to-UN </w:t>
      </w:r>
      <w:r w:rsidR="001A65A6">
        <w:t xml:space="preserve">Agency Contribution </w:t>
      </w:r>
      <w:r w:rsidR="00BB7343">
        <w:t xml:space="preserve">Agreement </w:t>
      </w:r>
      <w:r w:rsidR="0017409A">
        <w:t>in cases where UNCDF is the Guarantee Issuer)</w:t>
      </w:r>
      <w:r w:rsidR="0060177A">
        <w:t xml:space="preserve"> </w:t>
      </w:r>
      <w:r w:rsidR="0060177A">
        <w:rPr>
          <w:lang w:val="en-GB"/>
        </w:rPr>
        <w:t>that lays out the roles, responsibilities, terms and conditions for each UNDP</w:t>
      </w:r>
      <w:r w:rsidR="00773A1C">
        <w:rPr>
          <w:lang w:val="en-GB"/>
        </w:rPr>
        <w:t>-supported</w:t>
      </w:r>
      <w:r w:rsidR="0060177A">
        <w:rPr>
          <w:lang w:val="en-GB"/>
        </w:rPr>
        <w:t xml:space="preserve"> guarantee issued</w:t>
      </w:r>
      <w:r w:rsidR="005B6182">
        <w:rPr>
          <w:lang w:val="en-GB"/>
        </w:rPr>
        <w:t>.</w:t>
      </w:r>
      <w:r w:rsidR="0060177A">
        <w:rPr>
          <w:lang w:val="en-GB"/>
        </w:rPr>
        <w:t xml:space="preserve"> </w:t>
      </w:r>
      <w:r w:rsidR="005B6182">
        <w:rPr>
          <w:lang w:val="en-GB"/>
        </w:rPr>
        <w:t xml:space="preserve">These are subject to the </w:t>
      </w:r>
      <w:r w:rsidR="007D4483">
        <w:rPr>
          <w:lang w:val="en-GB"/>
        </w:rPr>
        <w:t xml:space="preserve">approval of </w:t>
      </w:r>
      <w:r w:rsidR="00A50CAF">
        <w:rPr>
          <w:lang w:val="en-GB"/>
        </w:rPr>
        <w:t xml:space="preserve">BMS/OFM </w:t>
      </w:r>
      <w:r w:rsidR="006A3D05">
        <w:rPr>
          <w:rFonts w:hint="eastAsia"/>
          <w:lang w:val="en-GB" w:eastAsia="ja-JP"/>
        </w:rPr>
        <w:t>Treasury</w:t>
      </w:r>
      <w:r w:rsidR="00517AC6">
        <w:rPr>
          <w:lang w:val="en-GB"/>
        </w:rPr>
        <w:t xml:space="preserve"> </w:t>
      </w:r>
      <w:r w:rsidR="00FC0F2C">
        <w:rPr>
          <w:lang w:val="en-GB"/>
        </w:rPr>
        <w:t>unit</w:t>
      </w:r>
      <w:r w:rsidR="00155BF5">
        <w:t>.</w:t>
      </w:r>
      <w:r w:rsidR="0014107B">
        <w:t xml:space="preserve"> The </w:t>
      </w:r>
      <w:r w:rsidR="0014107B" w:rsidRPr="0014107B">
        <w:t xml:space="preserve">key elements that </w:t>
      </w:r>
      <w:r w:rsidR="00C57A3D">
        <w:t>must</w:t>
      </w:r>
      <w:r w:rsidR="0014107B" w:rsidRPr="0014107B">
        <w:t xml:space="preserve"> be included in Guarantee Issuer Agreements between UNDP and Guarantee Issuer</w:t>
      </w:r>
      <w:r w:rsidR="00CF5B68">
        <w:t>s</w:t>
      </w:r>
      <w:r w:rsidR="0014107B">
        <w:t xml:space="preserve"> are listed in </w:t>
      </w:r>
      <w:hyperlink w:anchor="_Annex_2:_Key" w:history="1">
        <w:r w:rsidR="0014107B" w:rsidRPr="0014107B">
          <w:rPr>
            <w:rStyle w:val="Hyperlink"/>
          </w:rPr>
          <w:t>Annex 2</w:t>
        </w:r>
      </w:hyperlink>
      <w:r w:rsidR="0014107B">
        <w:t>.</w:t>
      </w:r>
    </w:p>
    <w:p w14:paraId="1EFAF6B6" w14:textId="6F830BC6" w:rsidR="007969B4" w:rsidRDefault="00000000" w:rsidP="005C6B87">
      <w:pPr>
        <w:pStyle w:val="ListParagraph"/>
        <w:numPr>
          <w:ilvl w:val="0"/>
          <w:numId w:val="10"/>
        </w:numPr>
        <w:spacing w:after="120" w:line="276" w:lineRule="auto"/>
        <w:ind w:left="763"/>
        <w:contextualSpacing w:val="0"/>
        <w:jc w:val="both"/>
        <w:rPr>
          <w:lang w:val="en-GB"/>
        </w:rPr>
      </w:pPr>
      <w:hyperlink r:id="rId14" w:history="1">
        <w:r w:rsidR="007969B4" w:rsidRPr="00D904A2">
          <w:rPr>
            <w:rStyle w:val="Hyperlink"/>
            <w:color w:val="000000" w:themeColor="text1"/>
            <w:lang w:val="en-GB"/>
          </w:rPr>
          <w:t>Guarantee Agreement</w:t>
        </w:r>
      </w:hyperlink>
      <w:r w:rsidR="007969B4">
        <w:rPr>
          <w:lang w:val="en-GB"/>
        </w:rPr>
        <w:t xml:space="preserve"> between </w:t>
      </w:r>
      <w:r w:rsidR="007126BC">
        <w:rPr>
          <w:lang w:val="en-GB"/>
        </w:rPr>
        <w:t>Guarantee Issuer</w:t>
      </w:r>
      <w:r w:rsidR="007969B4">
        <w:rPr>
          <w:lang w:val="en-GB"/>
        </w:rPr>
        <w:t xml:space="preserve"> and </w:t>
      </w:r>
      <w:r w:rsidR="00FB6D75">
        <w:rPr>
          <w:lang w:val="en-GB"/>
        </w:rPr>
        <w:t xml:space="preserve">the </w:t>
      </w:r>
      <w:r w:rsidR="007969B4">
        <w:rPr>
          <w:lang w:val="en-GB"/>
        </w:rPr>
        <w:t>guaranteed party (</w:t>
      </w:r>
      <w:r w:rsidR="008D3C7E">
        <w:rPr>
          <w:lang w:val="en-GB"/>
        </w:rPr>
        <w:t xml:space="preserve">i.e. the </w:t>
      </w:r>
      <w:r w:rsidR="007969B4">
        <w:rPr>
          <w:lang w:val="en-GB"/>
        </w:rPr>
        <w:t xml:space="preserve">lender). The </w:t>
      </w:r>
      <w:r w:rsidR="007126BC">
        <w:rPr>
          <w:lang w:val="en-GB"/>
        </w:rPr>
        <w:t>Guarantee Issuer</w:t>
      </w:r>
      <w:r w:rsidR="007969B4">
        <w:rPr>
          <w:lang w:val="en-GB"/>
        </w:rPr>
        <w:t xml:space="preserve"> is free to use its own </w:t>
      </w:r>
      <w:r w:rsidR="002D46EA">
        <w:rPr>
          <w:lang w:val="en-GB"/>
        </w:rPr>
        <w:t xml:space="preserve">guarantee </w:t>
      </w:r>
      <w:r w:rsidR="007969B4">
        <w:rPr>
          <w:lang w:val="en-GB"/>
        </w:rPr>
        <w:t xml:space="preserve">template which </w:t>
      </w:r>
      <w:r w:rsidR="002D46EA">
        <w:rPr>
          <w:lang w:val="en-GB"/>
        </w:rPr>
        <w:t xml:space="preserve">must incorporate </w:t>
      </w:r>
      <w:r w:rsidR="0016755A">
        <w:rPr>
          <w:lang w:val="en-GB"/>
        </w:rPr>
        <w:t xml:space="preserve">the key principles set forth in </w:t>
      </w:r>
      <w:hyperlink w:anchor="_Annex_2:_Key" w:history="1">
        <w:r w:rsidR="0016755A" w:rsidRPr="002B3C18">
          <w:rPr>
            <w:rStyle w:val="Hyperlink"/>
            <w:lang w:val="en-GB"/>
          </w:rPr>
          <w:t xml:space="preserve">Annex </w:t>
        </w:r>
        <w:r w:rsidR="0016755A">
          <w:rPr>
            <w:rStyle w:val="Hyperlink"/>
            <w:lang w:val="en-GB"/>
          </w:rPr>
          <w:t>2</w:t>
        </w:r>
      </w:hyperlink>
      <w:r w:rsidR="0016755A">
        <w:rPr>
          <w:lang w:val="en-GB"/>
        </w:rPr>
        <w:t>.</w:t>
      </w:r>
    </w:p>
    <w:p w14:paraId="1CD75E7D" w14:textId="3FDA4FC3" w:rsidR="007969B4" w:rsidRDefault="00000000" w:rsidP="005C6B87">
      <w:pPr>
        <w:pStyle w:val="ListParagraph"/>
        <w:numPr>
          <w:ilvl w:val="0"/>
          <w:numId w:val="10"/>
        </w:numPr>
        <w:spacing w:after="120" w:line="276" w:lineRule="auto"/>
        <w:ind w:left="763"/>
        <w:contextualSpacing w:val="0"/>
        <w:jc w:val="both"/>
        <w:rPr>
          <w:lang w:val="en-GB"/>
        </w:rPr>
      </w:pPr>
      <w:hyperlink r:id="rId15" w:history="1">
        <w:r w:rsidR="000D37CE">
          <w:rPr>
            <w:rStyle w:val="Hyperlink"/>
            <w:color w:val="000000" w:themeColor="text1"/>
            <w:lang w:val="en-GB"/>
          </w:rPr>
          <w:t>Financing</w:t>
        </w:r>
        <w:r w:rsidR="007969B4" w:rsidRPr="00D904A2">
          <w:rPr>
            <w:rStyle w:val="Hyperlink"/>
            <w:color w:val="000000" w:themeColor="text1"/>
            <w:lang w:val="en-GB"/>
          </w:rPr>
          <w:t xml:space="preserve"> Agreement</w:t>
        </w:r>
      </w:hyperlink>
      <w:r w:rsidR="007969B4">
        <w:rPr>
          <w:lang w:val="en-GB"/>
        </w:rPr>
        <w:t xml:space="preserve"> between UNDP and the </w:t>
      </w:r>
      <w:r w:rsidR="00EC1AE3">
        <w:rPr>
          <w:lang w:val="en-GB"/>
        </w:rPr>
        <w:t xml:space="preserve">funding partner </w:t>
      </w:r>
      <w:r w:rsidR="007969B4">
        <w:rPr>
          <w:lang w:val="en-GB"/>
        </w:rPr>
        <w:t xml:space="preserve">providing funds for the </w:t>
      </w:r>
      <w:r w:rsidR="007664E9">
        <w:rPr>
          <w:lang w:val="en-GB"/>
        </w:rPr>
        <w:t>UNDP project that includes a</w:t>
      </w:r>
      <w:r w:rsidR="00F61C1C">
        <w:rPr>
          <w:lang w:val="en-GB"/>
        </w:rPr>
        <w:t xml:space="preserve"> UNDP-supported </w:t>
      </w:r>
      <w:r w:rsidR="007969B4">
        <w:rPr>
          <w:lang w:val="en-GB"/>
        </w:rPr>
        <w:t xml:space="preserve">guarantee. </w:t>
      </w:r>
      <w:r w:rsidR="0016755A">
        <w:rPr>
          <w:lang w:val="en-GB"/>
        </w:rPr>
        <w:t xml:space="preserve">This </w:t>
      </w:r>
      <w:r w:rsidR="00C57A3D">
        <w:rPr>
          <w:lang w:val="en-GB"/>
        </w:rPr>
        <w:t>must</w:t>
      </w:r>
      <w:r w:rsidR="0016755A">
        <w:rPr>
          <w:lang w:val="en-GB"/>
        </w:rPr>
        <w:t xml:space="preserve"> include </w:t>
      </w:r>
      <w:hyperlink r:id="rId16" w:history="1">
        <w:r w:rsidR="0016755A" w:rsidRPr="001E3276">
          <w:rPr>
            <w:rStyle w:val="Hyperlink"/>
            <w:color w:val="000000" w:themeColor="text1"/>
            <w:lang w:val="en-GB"/>
          </w:rPr>
          <w:t>clauses</w:t>
        </w:r>
      </w:hyperlink>
      <w:r w:rsidR="0016755A">
        <w:rPr>
          <w:lang w:val="en-GB"/>
        </w:rPr>
        <w:t xml:space="preserve"> </w:t>
      </w:r>
      <w:r w:rsidR="003D0251">
        <w:rPr>
          <w:lang w:val="en-GB"/>
        </w:rPr>
        <w:t xml:space="preserve">documenting </w:t>
      </w:r>
      <w:r w:rsidR="008D731F">
        <w:rPr>
          <w:lang w:val="en-GB"/>
        </w:rPr>
        <w:t xml:space="preserve">that </w:t>
      </w:r>
      <w:r w:rsidR="003D0251">
        <w:rPr>
          <w:lang w:val="en-GB"/>
        </w:rPr>
        <w:t xml:space="preserve">part </w:t>
      </w:r>
      <w:r w:rsidR="008D731F">
        <w:rPr>
          <w:lang w:val="en-GB"/>
        </w:rPr>
        <w:t>of the fund</w:t>
      </w:r>
      <w:r w:rsidR="003D0251">
        <w:rPr>
          <w:lang w:val="en-GB"/>
        </w:rPr>
        <w:t>ing</w:t>
      </w:r>
      <w:r w:rsidR="008D731F">
        <w:rPr>
          <w:lang w:val="en-GB"/>
        </w:rPr>
        <w:t xml:space="preserve"> will be used for </w:t>
      </w:r>
      <w:r w:rsidR="007969B4">
        <w:rPr>
          <w:lang w:val="en-GB"/>
        </w:rPr>
        <w:t xml:space="preserve">the issuance </w:t>
      </w:r>
      <w:r w:rsidR="000F54C5">
        <w:rPr>
          <w:lang w:val="en-GB"/>
        </w:rPr>
        <w:t xml:space="preserve">and management </w:t>
      </w:r>
      <w:r w:rsidR="007969B4">
        <w:rPr>
          <w:lang w:val="en-GB"/>
        </w:rPr>
        <w:t>of guarantees</w:t>
      </w:r>
      <w:r w:rsidR="003D0251">
        <w:rPr>
          <w:lang w:val="en-GB"/>
        </w:rPr>
        <w:t xml:space="preserve">, and must </w:t>
      </w:r>
      <w:r w:rsidR="004150F8">
        <w:rPr>
          <w:lang w:val="en-GB"/>
        </w:rPr>
        <w:t xml:space="preserve">state the purpose of the financing, </w:t>
      </w:r>
      <w:r w:rsidR="00F61970">
        <w:rPr>
          <w:lang w:val="en-GB"/>
        </w:rPr>
        <w:t xml:space="preserve">conditions governing receipt of guarantee </w:t>
      </w:r>
      <w:r w:rsidR="004150F8">
        <w:rPr>
          <w:lang w:val="en-GB"/>
        </w:rPr>
        <w:t xml:space="preserve">funds, reporting requirements and </w:t>
      </w:r>
      <w:r w:rsidR="00F61970">
        <w:rPr>
          <w:lang w:val="en-GB"/>
        </w:rPr>
        <w:t xml:space="preserve">guarantee exit arrangements (e.g.  retention of undisbursed funds by UNDP, </w:t>
      </w:r>
      <w:r w:rsidR="004150F8">
        <w:rPr>
          <w:lang w:val="en-GB"/>
        </w:rPr>
        <w:t xml:space="preserve">refund to the </w:t>
      </w:r>
      <w:r w:rsidR="00EC1AE3">
        <w:rPr>
          <w:lang w:val="en-GB"/>
        </w:rPr>
        <w:t>funding partner</w:t>
      </w:r>
      <w:r w:rsidR="00F61970">
        <w:rPr>
          <w:lang w:val="en-GB"/>
        </w:rPr>
        <w:t>, etc.)</w:t>
      </w:r>
      <w:r w:rsidR="004150F8">
        <w:rPr>
          <w:lang w:val="en-GB"/>
        </w:rPr>
        <w:t>.</w:t>
      </w:r>
      <w:r w:rsidR="00935709">
        <w:rPr>
          <w:lang w:val="en-GB"/>
        </w:rPr>
        <w:t xml:space="preserve"> </w:t>
      </w:r>
    </w:p>
    <w:p w14:paraId="0D50A7FF" w14:textId="5A0521FA" w:rsidR="007969B4" w:rsidRDefault="0016755A" w:rsidP="005C6B87">
      <w:pPr>
        <w:pStyle w:val="ListParagraph"/>
        <w:numPr>
          <w:ilvl w:val="0"/>
          <w:numId w:val="10"/>
        </w:numPr>
        <w:spacing w:after="120" w:line="276" w:lineRule="auto"/>
        <w:ind w:left="763"/>
        <w:contextualSpacing w:val="0"/>
        <w:jc w:val="both"/>
        <w:rPr>
          <w:lang w:val="en-GB"/>
        </w:rPr>
      </w:pPr>
      <w:r w:rsidRPr="007C6E2E">
        <w:rPr>
          <w:rStyle w:val="Hyperlink"/>
          <w:color w:val="000000" w:themeColor="text1"/>
          <w:lang w:val="en-GB"/>
        </w:rPr>
        <w:t xml:space="preserve">Escrow </w:t>
      </w:r>
      <w:hyperlink r:id="rId17" w:history="1">
        <w:r w:rsidRPr="00925BD3">
          <w:rPr>
            <w:rStyle w:val="Hyperlink"/>
            <w:rFonts w:cstheme="minorHAnsi"/>
            <w:color w:val="000000" w:themeColor="text1"/>
          </w:rPr>
          <w:t>Agreement</w:t>
        </w:r>
      </w:hyperlink>
      <w:r>
        <w:rPr>
          <w:lang w:val="en-GB"/>
        </w:rPr>
        <w:t xml:space="preserve"> </w:t>
      </w:r>
      <w:r w:rsidR="007969B4">
        <w:rPr>
          <w:lang w:val="en-GB"/>
        </w:rPr>
        <w:t xml:space="preserve"> between UNDP and </w:t>
      </w:r>
      <w:r w:rsidR="00045F6E">
        <w:rPr>
          <w:lang w:val="en-GB"/>
        </w:rPr>
        <w:t xml:space="preserve">the </w:t>
      </w:r>
      <w:r w:rsidR="007969B4">
        <w:rPr>
          <w:lang w:val="en-GB"/>
        </w:rPr>
        <w:t>financial institution holding the escrow account.</w:t>
      </w:r>
      <w:r w:rsidR="001E0046">
        <w:rPr>
          <w:lang w:val="en-GB"/>
        </w:rPr>
        <w:t xml:space="preserve"> This may be incorporated within the Guarantee Issuer Agreement </w:t>
      </w:r>
      <w:r w:rsidR="00BB3D86">
        <w:rPr>
          <w:lang w:val="en-GB"/>
        </w:rPr>
        <w:t xml:space="preserve">(based on the </w:t>
      </w:r>
      <w:r w:rsidR="001E0046">
        <w:rPr>
          <w:lang w:val="en-GB"/>
        </w:rPr>
        <w:t>standard instrumentation offered by the Guarantee Issuer</w:t>
      </w:r>
      <w:r w:rsidR="00BB3D86">
        <w:rPr>
          <w:lang w:val="en-GB"/>
        </w:rPr>
        <w:t>)</w:t>
      </w:r>
      <w:r w:rsidR="001E0046">
        <w:rPr>
          <w:lang w:val="en-GB"/>
        </w:rPr>
        <w:t xml:space="preserve">. </w:t>
      </w:r>
    </w:p>
    <w:p w14:paraId="6A499928" w14:textId="77777777" w:rsidR="007969B4" w:rsidRPr="00C80ACB" w:rsidRDefault="00000000" w:rsidP="005C6B87">
      <w:pPr>
        <w:pStyle w:val="ListParagraph"/>
        <w:numPr>
          <w:ilvl w:val="0"/>
          <w:numId w:val="10"/>
        </w:numPr>
        <w:spacing w:after="120" w:line="276" w:lineRule="auto"/>
        <w:ind w:left="763"/>
        <w:contextualSpacing w:val="0"/>
        <w:jc w:val="both"/>
        <w:rPr>
          <w:lang w:val="en-GB"/>
        </w:rPr>
      </w:pPr>
      <w:hyperlink r:id="rId18" w:history="1">
        <w:r w:rsidR="007969B4" w:rsidRPr="001E3276">
          <w:rPr>
            <w:rStyle w:val="Hyperlink"/>
            <w:color w:val="000000" w:themeColor="text1"/>
            <w:lang w:val="en-GB"/>
          </w:rPr>
          <w:t>UNDP Project Document</w:t>
        </w:r>
      </w:hyperlink>
      <w:r w:rsidR="007969B4" w:rsidRPr="00C80ACB">
        <w:rPr>
          <w:lang w:val="en-GB"/>
        </w:rPr>
        <w:t xml:space="preserve"> </w:t>
      </w:r>
    </w:p>
    <w:p w14:paraId="2485843A" w14:textId="7D2D9EE6" w:rsidR="007969B4" w:rsidRPr="0058334E" w:rsidRDefault="00000000" w:rsidP="005C6B87">
      <w:pPr>
        <w:pStyle w:val="ListParagraph"/>
        <w:numPr>
          <w:ilvl w:val="0"/>
          <w:numId w:val="10"/>
        </w:numPr>
        <w:spacing w:after="120" w:line="276" w:lineRule="auto"/>
        <w:ind w:left="763"/>
        <w:contextualSpacing w:val="0"/>
        <w:jc w:val="both"/>
        <w:rPr>
          <w:sz w:val="24"/>
          <w:szCs w:val="24"/>
        </w:rPr>
      </w:pPr>
      <w:hyperlink r:id="rId19" w:history="1">
        <w:r w:rsidR="007969B4" w:rsidRPr="001E3276">
          <w:rPr>
            <w:rStyle w:val="Hyperlink"/>
            <w:color w:val="000000" w:themeColor="text1"/>
            <w:lang w:val="en-GB"/>
          </w:rPr>
          <w:t>Loan Agreements</w:t>
        </w:r>
      </w:hyperlink>
      <w:r w:rsidR="007969B4" w:rsidRPr="00123200">
        <w:rPr>
          <w:lang w:val="en-GB"/>
        </w:rPr>
        <w:t xml:space="preserve"> between the lender and borrowers furnished </w:t>
      </w:r>
      <w:r w:rsidR="00451DD6">
        <w:rPr>
          <w:lang w:val="en-GB"/>
        </w:rPr>
        <w:t xml:space="preserve">by the lender </w:t>
      </w:r>
      <w:r w:rsidR="007969B4" w:rsidRPr="004C4823">
        <w:rPr>
          <w:lang w:val="en-GB"/>
        </w:rPr>
        <w:t xml:space="preserve">to the </w:t>
      </w:r>
      <w:r w:rsidR="007126BC" w:rsidRPr="007D3730">
        <w:rPr>
          <w:lang w:val="en-GB"/>
        </w:rPr>
        <w:t>Guarantee Issuer</w:t>
      </w:r>
      <w:r w:rsidR="007969B4" w:rsidRPr="007D3730">
        <w:rPr>
          <w:lang w:val="en-GB"/>
        </w:rPr>
        <w:t xml:space="preserve">. </w:t>
      </w:r>
      <w:r w:rsidR="007D3730">
        <w:rPr>
          <w:lang w:val="en-GB"/>
        </w:rPr>
        <w:t xml:space="preserve">Lending arrangements must be </w:t>
      </w:r>
      <w:r w:rsidR="007D3730" w:rsidRPr="0058334E">
        <w:rPr>
          <w:lang w:val="en-GB"/>
        </w:rPr>
        <w:t xml:space="preserve">consistent with </w:t>
      </w:r>
      <w:r w:rsidR="0058334E" w:rsidRPr="0058334E">
        <w:rPr>
          <w:lang w:val="en-GB"/>
        </w:rPr>
        <w:t xml:space="preserve">Good Practices for Lending set forth in </w:t>
      </w:r>
      <w:hyperlink w:anchor="_Annex_3:_Good_1" w:history="1">
        <w:r w:rsidR="0058334E" w:rsidRPr="0058334E">
          <w:rPr>
            <w:rStyle w:val="Hyperlink"/>
            <w:lang w:val="en-GB"/>
          </w:rPr>
          <w:t>Annex 3</w:t>
        </w:r>
      </w:hyperlink>
      <w:r w:rsidR="007D3730" w:rsidRPr="0058334E">
        <w:rPr>
          <w:lang w:val="en-GB"/>
        </w:rPr>
        <w:t>.</w:t>
      </w:r>
      <w:r w:rsidR="0017409A" w:rsidRPr="0058334E">
        <w:rPr>
          <w:lang w:val="en-GB"/>
        </w:rPr>
        <w:t xml:space="preserve"> </w:t>
      </w:r>
    </w:p>
    <w:p w14:paraId="312E5FBE" w14:textId="74D9D848" w:rsidR="00BA1A30" w:rsidRPr="00C062E1" w:rsidRDefault="00C659DC" w:rsidP="00263964">
      <w:pPr>
        <w:jc w:val="both"/>
        <w:rPr>
          <w:b/>
          <w:color w:val="FF0000"/>
        </w:rPr>
      </w:pPr>
      <w:r w:rsidRPr="000D740F">
        <w:rPr>
          <w:lang w:val="en-GB"/>
        </w:rPr>
        <w:t xml:space="preserve">Any substantive deviation from the </w:t>
      </w:r>
      <w:r w:rsidR="000C0B17" w:rsidRPr="000D740F">
        <w:rPr>
          <w:lang w:val="en-GB"/>
        </w:rPr>
        <w:t xml:space="preserve">standard </w:t>
      </w:r>
      <w:r w:rsidRPr="000D740F">
        <w:rPr>
          <w:lang w:val="en-GB"/>
        </w:rPr>
        <w:t xml:space="preserve">agreement </w:t>
      </w:r>
      <w:r w:rsidR="00BB7B09" w:rsidRPr="000D740F">
        <w:rPr>
          <w:lang w:val="en-GB"/>
        </w:rPr>
        <w:t>clauses/</w:t>
      </w:r>
      <w:r w:rsidRPr="000D740F">
        <w:rPr>
          <w:lang w:val="en-GB"/>
        </w:rPr>
        <w:t xml:space="preserve">templates above </w:t>
      </w:r>
      <w:r w:rsidR="0016755A" w:rsidRPr="000D740F">
        <w:rPr>
          <w:lang w:val="en-GB"/>
        </w:rPr>
        <w:t>(excluding the Guarantee Agreement and the Loan Agreements)</w:t>
      </w:r>
      <w:r w:rsidR="00123200" w:rsidRPr="000D740F">
        <w:rPr>
          <w:lang w:val="en-GB"/>
        </w:rPr>
        <w:t xml:space="preserve"> </w:t>
      </w:r>
      <w:r w:rsidR="007A6930" w:rsidRPr="000D740F">
        <w:rPr>
          <w:lang w:val="en-GB"/>
        </w:rPr>
        <w:t xml:space="preserve">requires consultation </w:t>
      </w:r>
      <w:r w:rsidRPr="000D740F">
        <w:rPr>
          <w:lang w:val="en-GB"/>
        </w:rPr>
        <w:t xml:space="preserve">with the </w:t>
      </w:r>
      <w:hyperlink r:id="rId20" w:history="1">
        <w:r w:rsidR="00F61C1C">
          <w:rPr>
            <w:rStyle w:val="Hyperlink"/>
            <w:color w:val="000000" w:themeColor="text1"/>
            <w:u w:val="none"/>
            <w:lang w:val="en-GB"/>
          </w:rPr>
          <w:t xml:space="preserve">BMS Office of </w:t>
        </w:r>
        <w:r w:rsidRPr="000D740F">
          <w:rPr>
            <w:rStyle w:val="Hyperlink"/>
            <w:color w:val="000000" w:themeColor="text1"/>
            <w:u w:val="none"/>
            <w:lang w:val="en-GB"/>
          </w:rPr>
          <w:t xml:space="preserve">Legal </w:t>
        </w:r>
        <w:r w:rsidR="00F61C1C">
          <w:rPr>
            <w:rStyle w:val="Hyperlink"/>
            <w:color w:val="000000" w:themeColor="text1"/>
            <w:u w:val="none"/>
            <w:lang w:val="en-GB"/>
          </w:rPr>
          <w:t>Services</w:t>
        </w:r>
      </w:hyperlink>
      <w:r w:rsidRPr="000D740F">
        <w:rPr>
          <w:lang w:val="en-GB"/>
        </w:rPr>
        <w:t>.</w:t>
      </w:r>
    </w:p>
    <w:p w14:paraId="5B1BB81D" w14:textId="77777777" w:rsidR="00BA1A30" w:rsidRPr="00380FB7" w:rsidRDefault="003A2411" w:rsidP="00C262E0">
      <w:pPr>
        <w:pStyle w:val="Heading1"/>
        <w:numPr>
          <w:ilvl w:val="0"/>
          <w:numId w:val="2"/>
        </w:numPr>
        <w:spacing w:before="480" w:after="240"/>
        <w:ind w:left="360"/>
        <w:rPr>
          <w:rFonts w:asciiTheme="minorHAnsi" w:eastAsia="Century Gothic" w:hAnsiTheme="minorHAnsi"/>
          <w:color w:val="auto"/>
          <w:lang w:val="en-GB"/>
        </w:rPr>
      </w:pPr>
      <w:bookmarkStart w:id="108" w:name="_Guarantee_Pricing_and"/>
      <w:bookmarkStart w:id="109" w:name="_Toc121313790"/>
      <w:bookmarkStart w:id="110" w:name="_Toc2339932"/>
      <w:bookmarkEnd w:id="108"/>
      <w:r w:rsidRPr="00380FB7">
        <w:rPr>
          <w:rFonts w:asciiTheme="minorHAnsi" w:eastAsia="Century Gothic" w:hAnsiTheme="minorHAnsi"/>
          <w:color w:val="auto"/>
          <w:lang w:val="en-GB"/>
        </w:rPr>
        <w:lastRenderedPageBreak/>
        <w:t xml:space="preserve">Guarantee </w:t>
      </w:r>
      <w:r w:rsidR="00BA1A30" w:rsidRPr="00380FB7">
        <w:rPr>
          <w:rFonts w:asciiTheme="minorHAnsi" w:eastAsia="Century Gothic" w:hAnsiTheme="minorHAnsi"/>
          <w:color w:val="auto"/>
          <w:lang w:val="en-GB"/>
        </w:rPr>
        <w:t>Pricing</w:t>
      </w:r>
      <w:r w:rsidR="00BB673B" w:rsidRPr="00380FB7">
        <w:rPr>
          <w:rFonts w:asciiTheme="minorHAnsi" w:eastAsia="Century Gothic" w:hAnsiTheme="minorHAnsi"/>
          <w:color w:val="auto"/>
          <w:lang w:val="en-GB"/>
        </w:rPr>
        <w:t xml:space="preserve"> and </w:t>
      </w:r>
      <w:r w:rsidR="007144B9" w:rsidRPr="00380FB7">
        <w:rPr>
          <w:rFonts w:asciiTheme="minorHAnsi" w:eastAsia="Century Gothic" w:hAnsiTheme="minorHAnsi"/>
          <w:color w:val="auto"/>
          <w:lang w:val="en-GB"/>
        </w:rPr>
        <w:t>Budgeting</w:t>
      </w:r>
      <w:bookmarkEnd w:id="109"/>
      <w:r w:rsidR="007144B9" w:rsidRPr="00380FB7">
        <w:rPr>
          <w:rFonts w:asciiTheme="minorHAnsi" w:eastAsia="Century Gothic" w:hAnsiTheme="minorHAnsi"/>
          <w:color w:val="auto"/>
          <w:lang w:val="en-GB"/>
        </w:rPr>
        <w:t xml:space="preserve"> </w:t>
      </w:r>
      <w:bookmarkEnd w:id="110"/>
    </w:p>
    <w:p w14:paraId="5173244C" w14:textId="77777777" w:rsidR="003104DB" w:rsidRPr="005E1048" w:rsidRDefault="003104DB" w:rsidP="00C262E0">
      <w:pPr>
        <w:pStyle w:val="Heading2"/>
        <w:numPr>
          <w:ilvl w:val="0"/>
          <w:numId w:val="31"/>
        </w:numPr>
        <w:spacing w:before="0" w:after="160"/>
        <w:ind w:left="547" w:hanging="547"/>
        <w:rPr>
          <w:b/>
          <w:color w:val="000000" w:themeColor="text1"/>
          <w:sz w:val="24"/>
          <w:szCs w:val="24"/>
        </w:rPr>
      </w:pPr>
      <w:bookmarkStart w:id="111" w:name="_Toc1848778"/>
      <w:bookmarkStart w:id="112" w:name="_Toc2339933"/>
      <w:bookmarkStart w:id="113" w:name="_Toc121313791"/>
      <w:r>
        <w:rPr>
          <w:b/>
          <w:color w:val="000000" w:themeColor="text1"/>
          <w:sz w:val="24"/>
          <w:szCs w:val="24"/>
        </w:rPr>
        <w:t>Cost Recovery</w:t>
      </w:r>
      <w:bookmarkEnd w:id="111"/>
      <w:bookmarkEnd w:id="112"/>
      <w:bookmarkEnd w:id="113"/>
    </w:p>
    <w:p w14:paraId="494469CD" w14:textId="78E114B3" w:rsidR="006C55BB" w:rsidRPr="00041D12" w:rsidRDefault="00313936" w:rsidP="00003C79">
      <w:pPr>
        <w:spacing w:after="120" w:line="276" w:lineRule="auto"/>
        <w:jc w:val="both"/>
        <w:rPr>
          <w:rFonts w:cstheme="minorHAnsi"/>
        </w:rPr>
      </w:pPr>
      <w:bookmarkStart w:id="114" w:name="_Hlk2163086"/>
      <w:r w:rsidRPr="00E141D4">
        <w:rPr>
          <w:rFonts w:cstheme="minorHAnsi"/>
        </w:rPr>
        <w:t xml:space="preserve">As specified in </w:t>
      </w:r>
      <w:hyperlink w:anchor="_Ensure_full_cost" w:history="1">
        <w:r w:rsidRPr="00E141D4">
          <w:rPr>
            <w:rStyle w:val="Hyperlink"/>
            <w:rFonts w:cstheme="minorHAnsi"/>
          </w:rPr>
          <w:t>Section 4.8</w:t>
        </w:r>
      </w:hyperlink>
      <w:r w:rsidRPr="00E141D4">
        <w:rPr>
          <w:rFonts w:cstheme="minorHAnsi"/>
        </w:rPr>
        <w:t xml:space="preserve">, </w:t>
      </w:r>
      <w:r w:rsidR="00C25476">
        <w:rPr>
          <w:rFonts w:cstheme="minorHAnsi"/>
        </w:rPr>
        <w:t xml:space="preserve">to ensure that </w:t>
      </w:r>
      <w:r w:rsidR="00B22FF5" w:rsidRPr="00E141D4">
        <w:rPr>
          <w:rFonts w:cstheme="minorHAnsi"/>
        </w:rPr>
        <w:t>UNDP</w:t>
      </w:r>
      <w:r w:rsidR="003827ED">
        <w:rPr>
          <w:rFonts w:cstheme="minorHAnsi"/>
        </w:rPr>
        <w:t>-supported</w:t>
      </w:r>
      <w:r w:rsidR="00B22FF5" w:rsidRPr="00E141D4">
        <w:rPr>
          <w:rFonts w:cstheme="minorHAnsi"/>
        </w:rPr>
        <w:t xml:space="preserve"> g</w:t>
      </w:r>
      <w:r w:rsidR="006C55BB" w:rsidRPr="00E141D4">
        <w:rPr>
          <w:rFonts w:cstheme="minorHAnsi"/>
        </w:rPr>
        <w:t xml:space="preserve">uarantees </w:t>
      </w:r>
      <w:r w:rsidR="00C25476">
        <w:rPr>
          <w:rFonts w:cstheme="minorHAnsi"/>
        </w:rPr>
        <w:t xml:space="preserve">are </w:t>
      </w:r>
      <w:r w:rsidR="006C55BB" w:rsidRPr="00E141D4">
        <w:rPr>
          <w:rFonts w:cstheme="minorHAnsi"/>
        </w:rPr>
        <w:t>established on the basis of full cost recovery</w:t>
      </w:r>
      <w:r w:rsidR="00C25476">
        <w:rPr>
          <w:rFonts w:cstheme="minorHAnsi"/>
        </w:rPr>
        <w:t xml:space="preserve">, </w:t>
      </w:r>
      <w:r w:rsidR="006C55BB" w:rsidRPr="00041D12">
        <w:rPr>
          <w:rFonts w:cstheme="minorHAnsi"/>
        </w:rPr>
        <w:t xml:space="preserve">costs </w:t>
      </w:r>
      <w:bookmarkEnd w:id="114"/>
      <w:r w:rsidR="006C55BB" w:rsidRPr="00041D12">
        <w:rPr>
          <w:rFonts w:cstheme="minorHAnsi"/>
        </w:rPr>
        <w:t xml:space="preserve">related to the design, issuance and management of guarantees </w:t>
      </w:r>
      <w:r w:rsidR="007F55D0" w:rsidRPr="00041D12">
        <w:rPr>
          <w:rFonts w:cstheme="minorHAnsi"/>
        </w:rPr>
        <w:t xml:space="preserve">must </w:t>
      </w:r>
      <w:r w:rsidR="006C55BB" w:rsidRPr="00041D12">
        <w:rPr>
          <w:rFonts w:cstheme="minorHAnsi"/>
        </w:rPr>
        <w:t>be recovered through the following means</w:t>
      </w:r>
      <w:r w:rsidR="00041D12" w:rsidRPr="00041D12">
        <w:rPr>
          <w:rFonts w:cstheme="minorHAnsi"/>
        </w:rPr>
        <w:t>:</w:t>
      </w:r>
    </w:p>
    <w:p w14:paraId="609BB06B" w14:textId="644B3193" w:rsidR="006C55BB" w:rsidRPr="00041D12" w:rsidRDefault="000011E1" w:rsidP="00C262E0">
      <w:pPr>
        <w:pStyle w:val="ListParagraph"/>
        <w:numPr>
          <w:ilvl w:val="0"/>
          <w:numId w:val="26"/>
        </w:numPr>
        <w:spacing w:after="120" w:line="276" w:lineRule="auto"/>
        <w:jc w:val="both"/>
        <w:rPr>
          <w:rFonts w:cstheme="minorHAnsi"/>
          <w:color w:val="000000" w:themeColor="text1"/>
        </w:rPr>
      </w:pPr>
      <w:r w:rsidRPr="00041D12">
        <w:rPr>
          <w:rFonts w:cstheme="minorHAnsi"/>
          <w:b/>
          <w:i/>
        </w:rPr>
        <w:t xml:space="preserve">i) </w:t>
      </w:r>
      <w:r w:rsidR="006C55BB" w:rsidRPr="00041D12">
        <w:rPr>
          <w:rFonts w:cstheme="minorHAnsi"/>
          <w:b/>
          <w:i/>
        </w:rPr>
        <w:t xml:space="preserve">Charging guarantee fees </w:t>
      </w:r>
      <w:r w:rsidR="00E2550E" w:rsidRPr="00446480">
        <w:rPr>
          <w:rFonts w:cstheme="minorHAnsi"/>
          <w:b/>
          <w:i/>
        </w:rPr>
        <w:t>to</w:t>
      </w:r>
      <w:r w:rsidR="00004CFE" w:rsidRPr="00446480">
        <w:rPr>
          <w:rFonts w:cstheme="minorHAnsi"/>
          <w:b/>
          <w:i/>
        </w:rPr>
        <w:t xml:space="preserve"> funding partner</w:t>
      </w:r>
      <w:r w:rsidR="00CE4C32">
        <w:rPr>
          <w:rFonts w:cstheme="minorHAnsi"/>
          <w:b/>
          <w:i/>
        </w:rPr>
        <w:t>(s)</w:t>
      </w:r>
      <w:r w:rsidR="00004CFE" w:rsidRPr="00446480">
        <w:rPr>
          <w:rFonts w:cstheme="minorHAnsi"/>
          <w:b/>
          <w:i/>
        </w:rPr>
        <w:t xml:space="preserve"> </w:t>
      </w:r>
      <w:r w:rsidR="006C55BB" w:rsidRPr="00041D12">
        <w:rPr>
          <w:rFonts w:cstheme="minorHAnsi"/>
          <w:b/>
          <w:i/>
        </w:rPr>
        <w:t xml:space="preserve">to cover UNDP’s administrative </w:t>
      </w:r>
      <w:r w:rsidR="008C6423" w:rsidRPr="00041D12">
        <w:rPr>
          <w:rFonts w:cstheme="minorHAnsi"/>
          <w:b/>
        </w:rPr>
        <w:t>costs</w:t>
      </w:r>
      <w:r w:rsidR="00CE4C32" w:rsidRPr="00CE4C32">
        <w:rPr>
          <w:rFonts w:cstheme="minorHAnsi"/>
          <w:b/>
          <w:i/>
          <w:iCs/>
        </w:rPr>
        <w:t xml:space="preserve">, set at the rate of 2% of the </w:t>
      </w:r>
      <w:r w:rsidR="007B06C6">
        <w:rPr>
          <w:rFonts w:cstheme="minorHAnsi"/>
          <w:b/>
          <w:i/>
          <w:iCs/>
        </w:rPr>
        <w:t xml:space="preserve">outstanding </w:t>
      </w:r>
      <w:r w:rsidR="00CE4C32" w:rsidRPr="00CE4C32">
        <w:rPr>
          <w:rFonts w:cstheme="minorHAnsi"/>
          <w:b/>
          <w:i/>
          <w:iCs/>
        </w:rPr>
        <w:t>guaranteed</w:t>
      </w:r>
      <w:r w:rsidR="00F61C1C">
        <w:rPr>
          <w:rFonts w:cstheme="minorHAnsi"/>
          <w:b/>
          <w:i/>
          <w:iCs/>
        </w:rPr>
        <w:t xml:space="preserve"> amount</w:t>
      </w:r>
      <w:r w:rsidR="006C55BB" w:rsidRPr="00041D12">
        <w:rPr>
          <w:rFonts w:cstheme="minorHAnsi"/>
          <w:b/>
        </w:rPr>
        <w:t>.</w:t>
      </w:r>
      <w:r w:rsidR="006C55BB" w:rsidRPr="00041D12">
        <w:rPr>
          <w:rFonts w:cstheme="minorHAnsi"/>
        </w:rPr>
        <w:t xml:space="preserve"> Guarantee fees shall be set as a percentage of the </w:t>
      </w:r>
      <w:r w:rsidR="00BE39A1">
        <w:rPr>
          <w:rFonts w:cstheme="minorHAnsi"/>
        </w:rPr>
        <w:t xml:space="preserve">outstanding </w:t>
      </w:r>
      <w:r w:rsidR="006C55BB" w:rsidRPr="00041D12">
        <w:rPr>
          <w:rFonts w:cstheme="minorHAnsi"/>
        </w:rPr>
        <w:t xml:space="preserve">guaranteed amount and should be paid annually. GMS is not charged on top of the guarantee fee (see </w:t>
      </w:r>
      <w:r w:rsidR="00A01ADD">
        <w:rPr>
          <w:rFonts w:cstheme="minorHAnsi"/>
        </w:rPr>
        <w:t>c</w:t>
      </w:r>
      <w:r w:rsidR="006C55BB" w:rsidRPr="00041D12">
        <w:rPr>
          <w:rFonts w:cstheme="minorHAnsi"/>
        </w:rPr>
        <w:t xml:space="preserve">) below. </w:t>
      </w:r>
      <w:r w:rsidR="001C73E5">
        <w:t>UNDP will only charge one guarantee fee instead of charging separate Guarantee Commitment, Origination and Utilization fees.</w:t>
      </w:r>
      <w:r w:rsidR="00767578">
        <w:t xml:space="preserve"> </w:t>
      </w:r>
      <w:r w:rsidR="006C55BB" w:rsidRPr="00853B6B">
        <w:rPr>
          <w:rFonts w:cstheme="minorHAnsi"/>
        </w:rPr>
        <w:t xml:space="preserve">UNDP guarantee fees </w:t>
      </w:r>
      <w:r w:rsidR="00041D12" w:rsidRPr="00853B6B">
        <w:rPr>
          <w:rFonts w:cstheme="minorHAnsi"/>
        </w:rPr>
        <w:t>may</w:t>
      </w:r>
      <w:r w:rsidR="006C55BB" w:rsidRPr="00853B6B">
        <w:rPr>
          <w:rFonts w:cstheme="minorHAnsi"/>
        </w:rPr>
        <w:t xml:space="preserve"> be charged to and paid by the funding partner(s)</w:t>
      </w:r>
      <w:r w:rsidR="006C55BB" w:rsidRPr="00853B6B">
        <w:rPr>
          <w:rFonts w:cstheme="minorHAnsi"/>
          <w:color w:val="000000" w:themeColor="text1"/>
        </w:rPr>
        <w:t xml:space="preserve">; </w:t>
      </w:r>
      <w:r w:rsidR="006361C9" w:rsidRPr="00853B6B">
        <w:rPr>
          <w:rFonts w:cstheme="minorHAnsi"/>
          <w:color w:val="000000" w:themeColor="text1"/>
        </w:rPr>
        <w:t>or</w:t>
      </w:r>
      <w:r w:rsidR="00186643" w:rsidRPr="00041D12">
        <w:rPr>
          <w:rStyle w:val="FootnoteReference"/>
          <w:rFonts w:cstheme="minorHAnsi"/>
          <w:color w:val="000000" w:themeColor="text1"/>
        </w:rPr>
        <w:footnoteReference w:id="14"/>
      </w:r>
      <w:r w:rsidR="006361C9" w:rsidRPr="00041D12">
        <w:rPr>
          <w:rFonts w:cstheme="minorHAnsi"/>
          <w:color w:val="000000" w:themeColor="text1"/>
        </w:rPr>
        <w:t xml:space="preserve"> </w:t>
      </w:r>
    </w:p>
    <w:p w14:paraId="4FCBD5A2" w14:textId="1A509564" w:rsidR="00375A90" w:rsidRPr="00041D12" w:rsidRDefault="000011E1" w:rsidP="00041D12">
      <w:pPr>
        <w:pStyle w:val="ListParagraph"/>
        <w:spacing w:line="276" w:lineRule="auto"/>
        <w:contextualSpacing w:val="0"/>
        <w:jc w:val="both"/>
        <w:rPr>
          <w:rFonts w:cstheme="minorHAnsi"/>
        </w:rPr>
      </w:pPr>
      <w:r w:rsidRPr="00041D12">
        <w:rPr>
          <w:rFonts w:cstheme="minorHAnsi"/>
          <w:b/>
        </w:rPr>
        <w:t xml:space="preserve">ii) </w:t>
      </w:r>
      <w:r w:rsidR="00375A90" w:rsidRPr="00041D12">
        <w:rPr>
          <w:rFonts w:cstheme="minorHAnsi"/>
          <w:b/>
        </w:rPr>
        <w:t xml:space="preserve">Recovery of bank fees within the lending </w:t>
      </w:r>
      <w:r w:rsidR="00F95DE7">
        <w:rPr>
          <w:rFonts w:cstheme="minorHAnsi"/>
          <w:b/>
        </w:rPr>
        <w:t>scheme</w:t>
      </w:r>
      <w:r w:rsidR="00375A90" w:rsidRPr="00041D12">
        <w:rPr>
          <w:rFonts w:cstheme="minorHAnsi"/>
        </w:rPr>
        <w:t>. The lender (the bank)</w:t>
      </w:r>
      <w:r w:rsidR="00FC0D1A" w:rsidRPr="00041D12">
        <w:rPr>
          <w:rFonts w:cstheme="minorHAnsi"/>
        </w:rPr>
        <w:t xml:space="preserve"> is</w:t>
      </w:r>
      <w:r w:rsidR="00375A90" w:rsidRPr="00041D12">
        <w:rPr>
          <w:rFonts w:cstheme="minorHAnsi"/>
        </w:rPr>
        <w:t xml:space="preserve"> charged fee</w:t>
      </w:r>
      <w:r w:rsidR="00FC0D1A" w:rsidRPr="00041D12">
        <w:rPr>
          <w:rFonts w:cstheme="minorHAnsi"/>
        </w:rPr>
        <w:t>s</w:t>
      </w:r>
      <w:r w:rsidR="00375A90" w:rsidRPr="00041D12">
        <w:rPr>
          <w:rFonts w:cstheme="minorHAnsi"/>
        </w:rPr>
        <w:t xml:space="preserve"> on the outstanding guarantee</w:t>
      </w:r>
      <w:r w:rsidR="008457D9">
        <w:rPr>
          <w:rFonts w:cstheme="minorHAnsi"/>
        </w:rPr>
        <w:t xml:space="preserve"> </w:t>
      </w:r>
      <w:r w:rsidR="00090C32">
        <w:rPr>
          <w:rFonts w:cstheme="minorHAnsi"/>
        </w:rPr>
        <w:t>payable</w:t>
      </w:r>
      <w:r w:rsidR="00375A90" w:rsidRPr="00041D12">
        <w:rPr>
          <w:rFonts w:cstheme="minorHAnsi"/>
        </w:rPr>
        <w:t>. The timing of payment should be agreed between the lender and UNDP</w:t>
      </w:r>
      <w:r w:rsidR="00041D12" w:rsidRPr="00041D12">
        <w:rPr>
          <w:rFonts w:cstheme="minorHAnsi"/>
        </w:rPr>
        <w:t xml:space="preserve"> (through the Guarantee Issuer). </w:t>
      </w:r>
      <w:r w:rsidR="00375A90" w:rsidRPr="00041D12">
        <w:rPr>
          <w:rFonts w:cstheme="minorHAnsi"/>
        </w:rPr>
        <w:t>The lender may pass the guarantee fee to the borrowers</w:t>
      </w:r>
      <w:r w:rsidR="007133FE" w:rsidRPr="007133FE">
        <w:t xml:space="preserve"> </w:t>
      </w:r>
      <w:r w:rsidR="007133FE" w:rsidRPr="007133FE">
        <w:rPr>
          <w:rFonts w:cstheme="minorHAnsi"/>
        </w:rPr>
        <w:t>if it is commercially viable to do so</w:t>
      </w:r>
      <w:r w:rsidR="00375A90" w:rsidRPr="00041D12">
        <w:rPr>
          <w:rFonts w:cstheme="minorHAnsi"/>
        </w:rPr>
        <w:t xml:space="preserve">, </w:t>
      </w:r>
      <w:r w:rsidR="00D20365">
        <w:rPr>
          <w:rFonts w:cstheme="minorHAnsi"/>
        </w:rPr>
        <w:t xml:space="preserve">without </w:t>
      </w:r>
      <w:r w:rsidR="00375A90" w:rsidRPr="00041D12">
        <w:rPr>
          <w:rFonts w:cstheme="minorHAnsi"/>
        </w:rPr>
        <w:t>mak</w:t>
      </w:r>
      <w:r w:rsidR="00D20365">
        <w:rPr>
          <w:rFonts w:cstheme="minorHAnsi"/>
        </w:rPr>
        <w:t>ing</w:t>
      </w:r>
      <w:r w:rsidR="00375A90" w:rsidRPr="00041D12">
        <w:rPr>
          <w:rFonts w:cstheme="minorHAnsi"/>
        </w:rPr>
        <w:t xml:space="preserve"> the loans too costly for the borrowers; and </w:t>
      </w:r>
    </w:p>
    <w:p w14:paraId="59CF7CBE" w14:textId="77777777" w:rsidR="006C55BB" w:rsidRPr="00E141D4" w:rsidRDefault="006C55BB" w:rsidP="001B0397">
      <w:pPr>
        <w:pStyle w:val="ListParagraph"/>
        <w:numPr>
          <w:ilvl w:val="0"/>
          <w:numId w:val="26"/>
        </w:numPr>
        <w:spacing w:after="120" w:line="276" w:lineRule="auto"/>
        <w:contextualSpacing w:val="0"/>
        <w:jc w:val="both"/>
        <w:rPr>
          <w:rFonts w:cstheme="minorHAnsi"/>
        </w:rPr>
      </w:pPr>
      <w:r w:rsidRPr="00F212EE">
        <w:rPr>
          <w:rFonts w:cstheme="minorHAnsi"/>
          <w:b/>
          <w:i/>
        </w:rPr>
        <w:t>Recovery of costs</w:t>
      </w:r>
      <w:r w:rsidRPr="00F212EE">
        <w:rPr>
          <w:rFonts w:cstheme="minorHAnsi"/>
          <w:i/>
        </w:rPr>
        <w:t xml:space="preserve"> </w:t>
      </w:r>
      <w:r w:rsidRPr="00F212EE">
        <w:rPr>
          <w:rFonts w:cstheme="minorHAnsi"/>
          <w:b/>
          <w:i/>
        </w:rPr>
        <w:t>though project budgets.</w:t>
      </w:r>
      <w:r w:rsidRPr="00F212EE">
        <w:rPr>
          <w:rFonts w:cstheme="minorHAnsi"/>
          <w:i/>
        </w:rPr>
        <w:t xml:space="preserve"> </w:t>
      </w:r>
      <w:r w:rsidRPr="00F212EE">
        <w:rPr>
          <w:rFonts w:cstheme="minorHAnsi"/>
        </w:rPr>
        <w:t xml:space="preserve">The present policy on project costs applies, covering project inputs, </w:t>
      </w:r>
      <w:r w:rsidR="0099589C" w:rsidRPr="005B4AF6">
        <w:rPr>
          <w:rFonts w:cstheme="minorHAnsi"/>
        </w:rPr>
        <w:t>project design, due diligence and risk assessment</w:t>
      </w:r>
      <w:r w:rsidR="0099589C">
        <w:rPr>
          <w:rFonts w:cstheme="minorHAnsi"/>
        </w:rPr>
        <w:t>,</w:t>
      </w:r>
      <w:r w:rsidR="0099589C" w:rsidRPr="005B4AF6">
        <w:rPr>
          <w:rFonts w:cstheme="minorHAnsi"/>
        </w:rPr>
        <w:t xml:space="preserve"> </w:t>
      </w:r>
      <w:r w:rsidRPr="00E141D4">
        <w:rPr>
          <w:rFonts w:cstheme="minorHAnsi"/>
        </w:rPr>
        <w:t>administration, financial monitoring of guarantees, financing fees (e.g. the fees charged by the Guarantee Issuer), etc.; and</w:t>
      </w:r>
    </w:p>
    <w:p w14:paraId="07F17D83" w14:textId="77777777" w:rsidR="006C55BB" w:rsidRPr="00AC77EB" w:rsidRDefault="006C55BB" w:rsidP="001B0397">
      <w:pPr>
        <w:pStyle w:val="ListParagraph"/>
        <w:numPr>
          <w:ilvl w:val="0"/>
          <w:numId w:val="26"/>
        </w:numPr>
        <w:spacing w:line="276" w:lineRule="auto"/>
        <w:contextualSpacing w:val="0"/>
        <w:jc w:val="both"/>
        <w:rPr>
          <w:rFonts w:cstheme="minorHAnsi"/>
        </w:rPr>
      </w:pPr>
      <w:r w:rsidRPr="00F212EE">
        <w:rPr>
          <w:rFonts w:cstheme="minorHAnsi"/>
          <w:b/>
          <w:i/>
        </w:rPr>
        <w:t xml:space="preserve">Normal method of GMS charged on project costs though project budgets. </w:t>
      </w:r>
      <w:r w:rsidRPr="00F212EE">
        <w:rPr>
          <w:rFonts w:cstheme="minorHAnsi"/>
        </w:rPr>
        <w:t xml:space="preserve">Where the guarantee is called upon to fund losses, expenses are incurred, against which GMS may be charged. </w:t>
      </w:r>
      <w:r w:rsidRPr="00E141D4">
        <w:rPr>
          <w:rFonts w:cstheme="minorHAnsi"/>
        </w:rPr>
        <w:t xml:space="preserve">Given the guarantee fee is paid on the outstanding guaranteed amount, this does not double-charge GMS on top of the guarantee fee. Unused guarantee funds may be returned to the </w:t>
      </w:r>
      <w:r w:rsidR="00B00393">
        <w:rPr>
          <w:rFonts w:cstheme="minorHAnsi"/>
        </w:rPr>
        <w:t>funding partner</w:t>
      </w:r>
      <w:r w:rsidR="00B00393" w:rsidRPr="00E141D4">
        <w:rPr>
          <w:rFonts w:cstheme="minorHAnsi"/>
        </w:rPr>
        <w:t xml:space="preserve"> </w:t>
      </w:r>
      <w:r w:rsidRPr="00E141D4">
        <w:rPr>
          <w:rFonts w:cstheme="minorHAnsi"/>
        </w:rPr>
        <w:t>(and not earn GMS), or retained by UNDP for future guarantees subject to the written intent of the funding partner</w:t>
      </w:r>
      <w:r w:rsidR="00F14989">
        <w:rPr>
          <w:rFonts w:cstheme="minorHAnsi"/>
        </w:rPr>
        <w:t>(s)</w:t>
      </w:r>
      <w:r w:rsidRPr="00E141D4">
        <w:rPr>
          <w:rFonts w:cstheme="minorHAnsi"/>
        </w:rPr>
        <w:t>.</w:t>
      </w:r>
      <w:r w:rsidRPr="00E141D4">
        <w:rPr>
          <w:color w:val="000000" w:themeColor="text1"/>
          <w:sz w:val="24"/>
          <w:szCs w:val="24"/>
        </w:rPr>
        <w:t xml:space="preserve"> </w:t>
      </w:r>
    </w:p>
    <w:p w14:paraId="52A5C20B" w14:textId="0FF068B0" w:rsidR="00DA353C" w:rsidRPr="00575CC8" w:rsidRDefault="00F221AF" w:rsidP="00A433EB">
      <w:pPr>
        <w:keepNext/>
        <w:spacing w:line="276" w:lineRule="auto"/>
        <w:jc w:val="both"/>
        <w:rPr>
          <w:b/>
        </w:rPr>
      </w:pPr>
      <w:r w:rsidRPr="00575CC8">
        <w:rPr>
          <w:b/>
        </w:rPr>
        <w:t>Level of Guarantee Issuer’s fee</w:t>
      </w:r>
      <w:r w:rsidR="00575CC8">
        <w:rPr>
          <w:b/>
        </w:rPr>
        <w:t xml:space="preserve">: </w:t>
      </w:r>
      <w:r w:rsidR="00DA353C">
        <w:t>The guarantee issuer’s</w:t>
      </w:r>
      <w:r w:rsidR="005D5EEB">
        <w:t xml:space="preserve"> fee</w:t>
      </w:r>
      <w:r w:rsidR="00DA353C">
        <w:t xml:space="preserve"> </w:t>
      </w:r>
      <w:r w:rsidR="00575CC8">
        <w:t xml:space="preserve">are fees charged by the Guarantee issuer for the cost of administering the guarantee facilities </w:t>
      </w:r>
      <w:r w:rsidR="00F81FF5">
        <w:t xml:space="preserve">at </w:t>
      </w:r>
      <w:r w:rsidR="00575CC8">
        <w:t>UNDP</w:t>
      </w:r>
      <w:r w:rsidR="00B52831">
        <w:t>’s request</w:t>
      </w:r>
      <w:r w:rsidR="00575CC8">
        <w:t xml:space="preserve">. </w:t>
      </w:r>
      <w:r w:rsidR="002864A1">
        <w:t xml:space="preserve">These must be included and recovered as part of the project budget </w:t>
      </w:r>
      <w:r w:rsidR="00517548">
        <w:t xml:space="preserve">(see </w:t>
      </w:r>
      <w:r w:rsidR="00C70D98">
        <w:t xml:space="preserve">Section </w:t>
      </w:r>
      <w:r w:rsidR="00517548">
        <w:t>6.1b).</w:t>
      </w:r>
    </w:p>
    <w:p w14:paraId="3C11F856" w14:textId="77777777" w:rsidR="006C55BB" w:rsidRPr="00FD4C6E" w:rsidRDefault="006C55BB" w:rsidP="003104DB">
      <w:pPr>
        <w:pStyle w:val="ListParagraph"/>
        <w:rPr>
          <w:i/>
          <w:color w:val="000000" w:themeColor="text1"/>
        </w:rPr>
      </w:pPr>
    </w:p>
    <w:p w14:paraId="1870DB01" w14:textId="77777777" w:rsidR="00FF3657" w:rsidRPr="00700B6C" w:rsidRDefault="00FF3657" w:rsidP="00C262E0">
      <w:pPr>
        <w:pStyle w:val="Heading2"/>
        <w:numPr>
          <w:ilvl w:val="0"/>
          <w:numId w:val="31"/>
        </w:numPr>
        <w:spacing w:before="0" w:after="160"/>
        <w:ind w:left="547" w:hanging="547"/>
        <w:rPr>
          <w:b/>
          <w:color w:val="000000" w:themeColor="text1"/>
          <w:sz w:val="24"/>
          <w:szCs w:val="24"/>
        </w:rPr>
      </w:pPr>
      <w:bookmarkStart w:id="115" w:name="_Toc1848779"/>
      <w:bookmarkStart w:id="116" w:name="_Toc2339934"/>
      <w:bookmarkStart w:id="117" w:name="_Toc121313792"/>
      <w:r>
        <w:rPr>
          <w:b/>
          <w:color w:val="000000" w:themeColor="text1"/>
          <w:sz w:val="24"/>
          <w:szCs w:val="24"/>
        </w:rPr>
        <w:lastRenderedPageBreak/>
        <w:t>UNDP Guarantee Reserve</w:t>
      </w:r>
      <w:bookmarkEnd w:id="115"/>
      <w:bookmarkEnd w:id="116"/>
      <w:bookmarkEnd w:id="117"/>
    </w:p>
    <w:p w14:paraId="3C8E6E16" w14:textId="33B9B224" w:rsidR="00FF3657" w:rsidRDefault="00B12E55" w:rsidP="007A016E">
      <w:pPr>
        <w:jc w:val="both"/>
        <w:rPr>
          <w:rFonts w:cstheme="minorHAnsi"/>
          <w:color w:val="000000" w:themeColor="text1"/>
        </w:rPr>
      </w:pPr>
      <w:r>
        <w:rPr>
          <w:rFonts w:cstheme="minorHAnsi"/>
        </w:rPr>
        <w:t>In the event that UNDP is provided with unearmarked financing specifically to support UNDP</w:t>
      </w:r>
      <w:r w:rsidR="00684654">
        <w:rPr>
          <w:rFonts w:cstheme="minorHAnsi"/>
        </w:rPr>
        <w:t>’s</w:t>
      </w:r>
      <w:r>
        <w:rPr>
          <w:rFonts w:cstheme="minorHAnsi"/>
        </w:rPr>
        <w:t xml:space="preserve"> </w:t>
      </w:r>
      <w:r w:rsidR="00684654">
        <w:rPr>
          <w:rFonts w:cstheme="minorHAnsi"/>
        </w:rPr>
        <w:t xml:space="preserve">guarantee operations, </w:t>
      </w:r>
      <w:r w:rsidR="00FF3657">
        <w:rPr>
          <w:rFonts w:cstheme="minorHAnsi"/>
        </w:rPr>
        <w:t xml:space="preserve">UNDP will </w:t>
      </w:r>
      <w:r w:rsidR="00684654">
        <w:rPr>
          <w:rFonts w:cstheme="minorHAnsi"/>
        </w:rPr>
        <w:t xml:space="preserve">establish and </w:t>
      </w:r>
      <w:r w:rsidR="00FF3657">
        <w:rPr>
          <w:rFonts w:cstheme="minorHAnsi"/>
        </w:rPr>
        <w:t>centrally manage a Guarantee Reserve</w:t>
      </w:r>
      <w:r w:rsidR="0026482C">
        <w:rPr>
          <w:rFonts w:cstheme="minorHAnsi"/>
        </w:rPr>
        <w:t>,</w:t>
      </w:r>
      <w:r w:rsidR="00FF3657">
        <w:rPr>
          <w:rFonts w:cstheme="minorHAnsi"/>
        </w:rPr>
        <w:t xml:space="preserve"> </w:t>
      </w:r>
      <w:r w:rsidR="00FF3657" w:rsidRPr="00141F52">
        <w:rPr>
          <w:rFonts w:cstheme="minorHAnsi"/>
          <w:color w:val="000000" w:themeColor="text1"/>
        </w:rPr>
        <w:t>where funds will be commingled for re-use for other guarantee interventions</w:t>
      </w:r>
      <w:r w:rsidR="00FF3657">
        <w:rPr>
          <w:rFonts w:cstheme="minorHAnsi"/>
          <w:color w:val="000000" w:themeColor="text1"/>
        </w:rPr>
        <w:t xml:space="preserve"> or to pay for the costs related to</w:t>
      </w:r>
      <w:r w:rsidR="00F61C1C">
        <w:rPr>
          <w:rFonts w:cstheme="minorHAnsi"/>
          <w:color w:val="000000" w:themeColor="text1"/>
        </w:rPr>
        <w:t xml:space="preserve"> the</w:t>
      </w:r>
      <w:r w:rsidR="00FF3657">
        <w:rPr>
          <w:rFonts w:cstheme="minorHAnsi"/>
          <w:color w:val="000000" w:themeColor="text1"/>
        </w:rPr>
        <w:t xml:space="preserve"> UNDP</w:t>
      </w:r>
      <w:r w:rsidR="00F61C1C">
        <w:rPr>
          <w:rFonts w:cstheme="minorHAnsi"/>
          <w:color w:val="000000" w:themeColor="text1"/>
        </w:rPr>
        <w:t>-supported</w:t>
      </w:r>
      <w:r w:rsidR="00FF3657">
        <w:rPr>
          <w:rFonts w:cstheme="minorHAnsi"/>
          <w:color w:val="000000" w:themeColor="text1"/>
        </w:rPr>
        <w:t xml:space="preserve"> guarantee program. The following payments will be made into the Guarantee Reserve</w:t>
      </w:r>
      <w:r w:rsidR="003D5FB4">
        <w:rPr>
          <w:rFonts w:cstheme="minorHAnsi"/>
          <w:color w:val="000000" w:themeColor="text1"/>
        </w:rPr>
        <w:t xml:space="preserve">, where permitted within </w:t>
      </w:r>
      <w:r w:rsidR="000D37CE">
        <w:rPr>
          <w:rFonts w:cstheme="minorHAnsi"/>
          <w:color w:val="000000" w:themeColor="text1"/>
        </w:rPr>
        <w:t>financing</w:t>
      </w:r>
      <w:r w:rsidR="003D5FB4">
        <w:rPr>
          <w:rFonts w:cstheme="minorHAnsi"/>
          <w:color w:val="000000" w:themeColor="text1"/>
        </w:rPr>
        <w:t xml:space="preserve"> agreements</w:t>
      </w:r>
      <w:r w:rsidR="00FF3657">
        <w:rPr>
          <w:rFonts w:cstheme="minorHAnsi"/>
          <w:color w:val="000000" w:themeColor="text1"/>
        </w:rPr>
        <w:t>:</w:t>
      </w:r>
    </w:p>
    <w:p w14:paraId="17B58D08" w14:textId="77777777" w:rsidR="00FF3657" w:rsidRDefault="00FF3657" w:rsidP="00C262E0">
      <w:pPr>
        <w:pStyle w:val="ListParagraph"/>
        <w:numPr>
          <w:ilvl w:val="0"/>
          <w:numId w:val="55"/>
        </w:numPr>
        <w:tabs>
          <w:tab w:val="num" w:pos="360"/>
        </w:tabs>
        <w:jc w:val="both"/>
        <w:rPr>
          <w:rFonts w:cstheme="minorHAnsi"/>
        </w:rPr>
      </w:pPr>
      <w:r>
        <w:rPr>
          <w:rFonts w:cstheme="minorHAnsi"/>
        </w:rPr>
        <w:t>Undisbursed guarantee escrow funds, including any interest</w:t>
      </w:r>
    </w:p>
    <w:p w14:paraId="0CDDAEAA" w14:textId="481014FC" w:rsidR="00EC38A1" w:rsidRDefault="00EC38A1" w:rsidP="00EC38A1">
      <w:pPr>
        <w:pStyle w:val="ListParagraph"/>
        <w:numPr>
          <w:ilvl w:val="0"/>
          <w:numId w:val="55"/>
        </w:numPr>
        <w:tabs>
          <w:tab w:val="num" w:pos="360"/>
        </w:tabs>
        <w:jc w:val="both"/>
        <w:rPr>
          <w:rFonts w:cstheme="minorHAnsi"/>
        </w:rPr>
      </w:pPr>
      <w:r>
        <w:rPr>
          <w:rFonts w:cstheme="minorHAnsi"/>
        </w:rPr>
        <w:t xml:space="preserve">Recovered funds </w:t>
      </w:r>
      <w:r w:rsidR="00B952E7">
        <w:rPr>
          <w:rFonts w:cstheme="minorHAnsi"/>
        </w:rPr>
        <w:t>paid</w:t>
      </w:r>
      <w:r>
        <w:rPr>
          <w:rFonts w:cstheme="minorHAnsi"/>
        </w:rPr>
        <w:t xml:space="preserve"> to UNDP</w:t>
      </w:r>
    </w:p>
    <w:p w14:paraId="2AF02DFF" w14:textId="77777777" w:rsidR="00FF3657" w:rsidRDefault="005D1B3F" w:rsidP="00EC38A1">
      <w:pPr>
        <w:pStyle w:val="ListParagraph"/>
        <w:numPr>
          <w:ilvl w:val="0"/>
          <w:numId w:val="55"/>
        </w:numPr>
        <w:tabs>
          <w:tab w:val="clear" w:pos="720"/>
          <w:tab w:val="num" w:pos="0"/>
        </w:tabs>
        <w:ind w:left="360" w:hanging="360"/>
        <w:contextualSpacing w:val="0"/>
        <w:jc w:val="both"/>
        <w:rPr>
          <w:rFonts w:cstheme="minorHAnsi"/>
        </w:rPr>
      </w:pPr>
      <w:r>
        <w:rPr>
          <w:rFonts w:cstheme="minorHAnsi"/>
        </w:rPr>
        <w:t>F</w:t>
      </w:r>
      <w:r w:rsidR="0080268F">
        <w:rPr>
          <w:rFonts w:cstheme="minorHAnsi"/>
        </w:rPr>
        <w:t>unding</w:t>
      </w:r>
      <w:r>
        <w:rPr>
          <w:rFonts w:cstheme="minorHAnsi"/>
        </w:rPr>
        <w:t xml:space="preserve"> partner</w:t>
      </w:r>
      <w:r w:rsidR="00FF3657">
        <w:rPr>
          <w:rFonts w:cstheme="minorHAnsi"/>
        </w:rPr>
        <w:t xml:space="preserve"> contributions where the </w:t>
      </w:r>
      <w:r>
        <w:rPr>
          <w:rFonts w:cstheme="minorHAnsi"/>
        </w:rPr>
        <w:t>f</w:t>
      </w:r>
      <w:r w:rsidR="00233701">
        <w:rPr>
          <w:rFonts w:cstheme="minorHAnsi"/>
        </w:rPr>
        <w:t>unding</w:t>
      </w:r>
      <w:r>
        <w:rPr>
          <w:rFonts w:cstheme="minorHAnsi"/>
        </w:rPr>
        <w:t xml:space="preserve"> partner</w:t>
      </w:r>
      <w:r w:rsidR="00FF3657">
        <w:rPr>
          <w:rFonts w:cstheme="minorHAnsi"/>
        </w:rPr>
        <w:t xml:space="preserve"> has explicitly instructed transfer of funds to capitalize the Guarantee Reserve. </w:t>
      </w:r>
    </w:p>
    <w:p w14:paraId="27493380" w14:textId="77777777" w:rsidR="00BA1A30" w:rsidRPr="00862C53" w:rsidRDefault="00BA1A30" w:rsidP="00E84E80">
      <w:pPr>
        <w:pStyle w:val="Heading1"/>
        <w:numPr>
          <w:ilvl w:val="0"/>
          <w:numId w:val="2"/>
        </w:numPr>
        <w:spacing w:before="480" w:after="240"/>
        <w:ind w:left="360"/>
        <w:rPr>
          <w:rFonts w:asciiTheme="minorHAnsi" w:eastAsia="Century Gothic" w:hAnsiTheme="minorHAnsi" w:cstheme="minorHAnsi"/>
          <w:color w:val="auto"/>
          <w:lang w:val="en-GB"/>
        </w:rPr>
      </w:pPr>
      <w:bookmarkStart w:id="118" w:name="_Roles_and_Responsibilities"/>
      <w:bookmarkStart w:id="119" w:name="_Toc121313793"/>
      <w:bookmarkStart w:id="120" w:name="_Toc2339935"/>
      <w:bookmarkEnd w:id="118"/>
      <w:r w:rsidRPr="00F529EE">
        <w:rPr>
          <w:rFonts w:asciiTheme="minorHAnsi" w:eastAsia="Century Gothic" w:hAnsiTheme="minorHAnsi"/>
          <w:color w:val="auto"/>
          <w:lang w:val="en-GB"/>
        </w:rPr>
        <w:t>Roles and Responsibilities</w:t>
      </w:r>
      <w:bookmarkEnd w:id="119"/>
      <w:r w:rsidR="00F73E75" w:rsidRPr="00F529EE">
        <w:rPr>
          <w:rFonts w:asciiTheme="minorHAnsi" w:eastAsia="Century Gothic" w:hAnsiTheme="minorHAnsi"/>
          <w:color w:val="auto"/>
          <w:lang w:val="en-GB"/>
        </w:rPr>
        <w:t xml:space="preserve"> </w:t>
      </w:r>
      <w:bookmarkEnd w:id="120"/>
    </w:p>
    <w:p w14:paraId="732E2124" w14:textId="603A8E59" w:rsidR="00924EEB" w:rsidRDefault="00635E40" w:rsidP="00862C53">
      <w:pPr>
        <w:spacing w:after="120" w:line="276" w:lineRule="auto"/>
        <w:contextualSpacing/>
        <w:jc w:val="both"/>
        <w:rPr>
          <w:bCs/>
        </w:rPr>
      </w:pPr>
      <w:r>
        <w:rPr>
          <w:bCs/>
        </w:rPr>
        <w:t xml:space="preserve">The diagram below </w:t>
      </w:r>
      <w:r w:rsidRPr="00B31451">
        <w:rPr>
          <w:bCs/>
        </w:rPr>
        <w:t>lay</w:t>
      </w:r>
      <w:r>
        <w:rPr>
          <w:bCs/>
        </w:rPr>
        <w:t>s</w:t>
      </w:r>
      <w:r w:rsidRPr="00B31451">
        <w:rPr>
          <w:bCs/>
        </w:rPr>
        <w:t xml:space="preserve"> out the </w:t>
      </w:r>
      <w:r w:rsidRPr="00B31451">
        <w:rPr>
          <w:b/>
          <w:bCs/>
        </w:rPr>
        <w:t>roles and responsibilities</w:t>
      </w:r>
      <w:r w:rsidRPr="00B31451">
        <w:rPr>
          <w:bCs/>
        </w:rPr>
        <w:t xml:space="preserve"> accompanying a </w:t>
      </w:r>
      <w:r w:rsidRPr="00B31451">
        <w:rPr>
          <w:b/>
          <w:bCs/>
        </w:rPr>
        <w:t>centralized support structure</w:t>
      </w:r>
      <w:r w:rsidRPr="00B31451">
        <w:rPr>
          <w:bCs/>
        </w:rPr>
        <w:t xml:space="preserve"> that </w:t>
      </w:r>
      <w:r w:rsidR="00441630">
        <w:rPr>
          <w:bCs/>
        </w:rPr>
        <w:t xml:space="preserve">is </w:t>
      </w:r>
      <w:r w:rsidRPr="00B31451">
        <w:rPr>
          <w:bCs/>
        </w:rPr>
        <w:t xml:space="preserve">tasked with working with </w:t>
      </w:r>
      <w:r>
        <w:rPr>
          <w:bCs/>
        </w:rPr>
        <w:t>country offices and regional bureau</w:t>
      </w:r>
      <w:r w:rsidR="00884DFB">
        <w:rPr>
          <w:bCs/>
        </w:rPr>
        <w:t>x</w:t>
      </w:r>
      <w:r>
        <w:rPr>
          <w:bCs/>
        </w:rPr>
        <w:t xml:space="preserve"> </w:t>
      </w:r>
      <w:r w:rsidRPr="00B31451">
        <w:rPr>
          <w:bCs/>
        </w:rPr>
        <w:t xml:space="preserve">to effectively deploy </w:t>
      </w:r>
      <w:r w:rsidR="00F61C1C">
        <w:rPr>
          <w:bCs/>
        </w:rPr>
        <w:t xml:space="preserve">UNDP-supported </w:t>
      </w:r>
      <w:r w:rsidRPr="00B31451">
        <w:rPr>
          <w:bCs/>
        </w:rPr>
        <w:t>guarantees as part of UNDP programming.</w:t>
      </w:r>
      <w:r w:rsidR="00253F5E">
        <w:rPr>
          <w:bCs/>
        </w:rPr>
        <w:t xml:space="preserve"> </w:t>
      </w:r>
    </w:p>
    <w:p w14:paraId="4805D9BA" w14:textId="77777777" w:rsidR="00924EEB" w:rsidRDefault="00924EEB" w:rsidP="00862C53">
      <w:pPr>
        <w:spacing w:after="120" w:line="276" w:lineRule="auto"/>
        <w:contextualSpacing/>
        <w:jc w:val="both"/>
        <w:rPr>
          <w:bCs/>
        </w:rPr>
      </w:pPr>
    </w:p>
    <w:p w14:paraId="458924CD" w14:textId="77777777" w:rsidR="00B42CCC" w:rsidRDefault="00B42CCC" w:rsidP="00B42CCC">
      <w:pPr>
        <w:spacing w:after="60"/>
        <w:jc w:val="center"/>
        <w:rPr>
          <w:b/>
          <w:bCs/>
          <w:iCs/>
          <w:lang w:val="en-GB"/>
        </w:rPr>
        <w:sectPr w:rsidR="00B42CC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pPr>
    </w:p>
    <w:p w14:paraId="0ABDCCE1" w14:textId="0A53A261" w:rsidR="00773D2F" w:rsidRDefault="00773D2F" w:rsidP="00460D58">
      <w:pPr>
        <w:spacing w:after="60"/>
        <w:jc w:val="center"/>
        <w:rPr>
          <w:b/>
          <w:bCs/>
          <w:iCs/>
          <w:lang w:val="en-GB"/>
        </w:rPr>
      </w:pPr>
      <w:r w:rsidRPr="00460D58">
        <w:rPr>
          <w:b/>
          <w:bCs/>
          <w:iCs/>
          <w:lang w:val="en-GB"/>
        </w:rPr>
        <w:lastRenderedPageBreak/>
        <w:t>UNDP-Supported Guarantees – Deployment Structure</w:t>
      </w:r>
    </w:p>
    <w:p w14:paraId="25FAED5B" w14:textId="03530C74" w:rsidR="00773D2F" w:rsidRDefault="0045151D" w:rsidP="007F5BC3">
      <w:pPr>
        <w:spacing w:after="60"/>
        <w:rPr>
          <w:iCs/>
          <w:lang w:val="en-GB"/>
        </w:rPr>
      </w:pPr>
      <w:r w:rsidRPr="0045151D">
        <w:rPr>
          <w:noProof/>
        </w:rPr>
        <w:lastRenderedPageBreak/>
        <w:drawing>
          <wp:inline distT="0" distB="0" distL="0" distR="0" wp14:anchorId="64D21EA7" wp14:editId="55D93088">
            <wp:extent cx="7658691" cy="55435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67939" cy="5550244"/>
                    </a:xfrm>
                    <a:prstGeom prst="rect">
                      <a:avLst/>
                    </a:prstGeom>
                    <a:noFill/>
                    <a:ln>
                      <a:solidFill>
                        <a:schemeClr val="accent1"/>
                      </a:solidFill>
                    </a:ln>
                  </pic:spPr>
                </pic:pic>
              </a:graphicData>
            </a:graphic>
          </wp:inline>
        </w:drawing>
      </w:r>
    </w:p>
    <w:p w14:paraId="6C2C9F35" w14:textId="77777777" w:rsidR="006174F9" w:rsidRDefault="006174F9" w:rsidP="006174F9">
      <w:pPr>
        <w:spacing w:after="120" w:line="276" w:lineRule="auto"/>
        <w:contextualSpacing/>
        <w:jc w:val="both"/>
        <w:rPr>
          <w:bCs/>
        </w:rPr>
        <w:sectPr w:rsidR="006174F9" w:rsidSect="00460D58">
          <w:pgSz w:w="15840" w:h="12240" w:orient="landscape"/>
          <w:pgMar w:top="1440" w:right="1440" w:bottom="1440" w:left="1440" w:header="720" w:footer="720" w:gutter="0"/>
          <w:cols w:space="720"/>
          <w:docGrid w:linePitch="360"/>
        </w:sectPr>
      </w:pPr>
    </w:p>
    <w:p w14:paraId="0A51D101" w14:textId="19885D6F" w:rsidR="00F74CE3" w:rsidRDefault="006174F9" w:rsidP="00E161FD">
      <w:pPr>
        <w:spacing w:line="276" w:lineRule="auto"/>
        <w:jc w:val="both"/>
        <w:rPr>
          <w:bCs/>
        </w:rPr>
      </w:pPr>
      <w:r w:rsidRPr="00253F5E">
        <w:rPr>
          <w:bCs/>
        </w:rPr>
        <w:lastRenderedPageBreak/>
        <w:t xml:space="preserve">A key aspect of this structure is to rely on existing capacity in </w:t>
      </w:r>
      <w:r>
        <w:rPr>
          <w:bCs/>
        </w:rPr>
        <w:t xml:space="preserve">BPPS and </w:t>
      </w:r>
      <w:r w:rsidR="00F61C1C">
        <w:rPr>
          <w:bCs/>
        </w:rPr>
        <w:t>BMS/</w:t>
      </w:r>
      <w:r w:rsidRPr="00253F5E">
        <w:rPr>
          <w:bCs/>
        </w:rPr>
        <w:t>OFM</w:t>
      </w:r>
      <w:r>
        <w:rPr>
          <w:bCs/>
        </w:rPr>
        <w:t>,</w:t>
      </w:r>
      <w:r w:rsidRPr="00253F5E">
        <w:rPr>
          <w:bCs/>
        </w:rPr>
        <w:t xml:space="preserve"> including Treasury. For example, the Global Policy Network (GPN) will assess the effectiveness of the results chain and provide sectoral/thematic expertise, advice and programmatic quality assurance to UNDP project teams that are planning to utilize</w:t>
      </w:r>
      <w:r w:rsidR="00F61C1C">
        <w:rPr>
          <w:bCs/>
        </w:rPr>
        <w:t xml:space="preserve"> UNDP-supported</w:t>
      </w:r>
      <w:r w:rsidRPr="00253F5E">
        <w:rPr>
          <w:bCs/>
        </w:rPr>
        <w:t xml:space="preserve"> guarantees as part of their programming efforts, as they would for any other UNDP project. Capacity also exists in UNCDF that may be drawn upon. Additional centralized capacity is envisaged to be established (</w:t>
      </w:r>
      <w:r w:rsidR="0048240C">
        <w:rPr>
          <w:bCs/>
        </w:rPr>
        <w:t>see below</w:t>
      </w:r>
      <w:r w:rsidRPr="00253F5E">
        <w:rPr>
          <w:bCs/>
        </w:rPr>
        <w:t xml:space="preserve">) to support and guide country offices and bureaux with utilizing </w:t>
      </w:r>
      <w:r w:rsidR="00F61C1C">
        <w:rPr>
          <w:bCs/>
        </w:rPr>
        <w:t xml:space="preserve">UNDP-supported </w:t>
      </w:r>
      <w:r w:rsidRPr="00253F5E">
        <w:rPr>
          <w:bCs/>
        </w:rPr>
        <w:t xml:space="preserve">guarantees as part of their programming, while ensuring appropriate technical </w:t>
      </w:r>
      <w:r w:rsidR="00F61C1C" w:rsidRPr="00253F5E">
        <w:rPr>
          <w:bCs/>
        </w:rPr>
        <w:t>rigor</w:t>
      </w:r>
      <w:r w:rsidRPr="00253F5E">
        <w:rPr>
          <w:bCs/>
        </w:rPr>
        <w:t xml:space="preserve"> and robust risk management with regard to the design and management of UNDP-supported guarantees. </w:t>
      </w:r>
    </w:p>
    <w:p w14:paraId="338BA957" w14:textId="59AC3815" w:rsidR="00235986" w:rsidRPr="0048240C" w:rsidRDefault="00235986" w:rsidP="0048240C">
      <w:pPr>
        <w:spacing w:after="60" w:line="276" w:lineRule="auto"/>
        <w:jc w:val="both"/>
        <w:rPr>
          <w:rFonts w:cstheme="minorHAnsi"/>
        </w:rPr>
      </w:pPr>
      <w:r w:rsidRPr="0048240C">
        <w:rPr>
          <w:rFonts w:cstheme="minorHAnsi"/>
        </w:rPr>
        <w:t xml:space="preserve">Additional </w:t>
      </w:r>
      <w:r w:rsidR="0048240C">
        <w:rPr>
          <w:rFonts w:cstheme="minorHAnsi"/>
        </w:rPr>
        <w:t xml:space="preserve">centralized </w:t>
      </w:r>
      <w:r w:rsidRPr="0048240C">
        <w:rPr>
          <w:rFonts w:cstheme="minorHAnsi"/>
        </w:rPr>
        <w:t>capacity to support UNDP’s guarantee operations:</w:t>
      </w:r>
    </w:p>
    <w:p w14:paraId="0FEC4DEB" w14:textId="6D1E27C2" w:rsidR="00235986" w:rsidRPr="002E0E6B" w:rsidRDefault="00235986" w:rsidP="0048240C">
      <w:pPr>
        <w:pStyle w:val="ListParagraph"/>
        <w:numPr>
          <w:ilvl w:val="0"/>
          <w:numId w:val="78"/>
        </w:numPr>
        <w:spacing w:after="60" w:line="276" w:lineRule="auto"/>
        <w:ind w:left="720"/>
        <w:contextualSpacing w:val="0"/>
        <w:jc w:val="both"/>
        <w:rPr>
          <w:rFonts w:cstheme="minorHAnsi"/>
        </w:rPr>
      </w:pPr>
      <w:r w:rsidRPr="002E0E6B">
        <w:rPr>
          <w:rFonts w:cstheme="minorHAnsi"/>
        </w:rPr>
        <w:t xml:space="preserve">Establishment of a new </w:t>
      </w:r>
      <w:r w:rsidRPr="00630359">
        <w:rPr>
          <w:rFonts w:cstheme="minorHAnsi"/>
          <w:u w:val="single"/>
        </w:rPr>
        <w:t>‘Guarantees Project Team’</w:t>
      </w:r>
      <w:r w:rsidRPr="002E0E6B">
        <w:rPr>
          <w:rFonts w:cstheme="minorHAnsi"/>
        </w:rPr>
        <w:t xml:space="preserve"> for the pilot phase</w:t>
      </w:r>
      <w:r>
        <w:rPr>
          <w:rStyle w:val="FootnoteReference"/>
          <w:rFonts w:cstheme="minorHAnsi"/>
        </w:rPr>
        <w:footnoteReference w:id="15"/>
      </w:r>
      <w:r>
        <w:rPr>
          <w:rFonts w:cstheme="minorHAnsi"/>
        </w:rPr>
        <w:t xml:space="preserve"> to guide and assist </w:t>
      </w:r>
      <w:r w:rsidR="00D27ACB">
        <w:rPr>
          <w:rFonts w:cstheme="minorHAnsi"/>
        </w:rPr>
        <w:t xml:space="preserve">country offices and bureaux </w:t>
      </w:r>
      <w:r>
        <w:rPr>
          <w:rFonts w:cstheme="minorHAnsi"/>
        </w:rPr>
        <w:t xml:space="preserve">with designing, structuring and issuing guarantees as part of UNDP projects. </w:t>
      </w:r>
    </w:p>
    <w:p w14:paraId="7775E5A4" w14:textId="532DA7A4" w:rsidR="00235986" w:rsidRPr="002E0E6B" w:rsidRDefault="00235986" w:rsidP="0048240C">
      <w:pPr>
        <w:pStyle w:val="ListParagraph"/>
        <w:numPr>
          <w:ilvl w:val="0"/>
          <w:numId w:val="78"/>
        </w:numPr>
        <w:spacing w:after="60" w:line="276" w:lineRule="auto"/>
        <w:ind w:left="720"/>
        <w:contextualSpacing w:val="0"/>
        <w:jc w:val="both"/>
        <w:rPr>
          <w:rFonts w:cstheme="minorHAnsi"/>
        </w:rPr>
      </w:pPr>
      <w:r w:rsidRPr="002E0E6B">
        <w:rPr>
          <w:rFonts w:cstheme="minorHAnsi"/>
        </w:rPr>
        <w:t xml:space="preserve">Establishment of a new </w:t>
      </w:r>
      <w:r w:rsidRPr="00630359">
        <w:rPr>
          <w:rFonts w:cstheme="minorHAnsi"/>
          <w:u w:val="single"/>
        </w:rPr>
        <w:t>‘Credit Risk Committee’</w:t>
      </w:r>
      <w:r w:rsidRPr="002E0E6B">
        <w:rPr>
          <w:rFonts w:cstheme="minorHAnsi"/>
        </w:rPr>
        <w:t xml:space="preserve"> to review exceptional </w:t>
      </w:r>
      <w:r w:rsidR="00F61C1C">
        <w:rPr>
          <w:rFonts w:cstheme="minorHAnsi"/>
        </w:rPr>
        <w:t xml:space="preserve">UNDP-supported </w:t>
      </w:r>
      <w:r w:rsidRPr="002E0E6B">
        <w:rPr>
          <w:rFonts w:cstheme="minorHAnsi"/>
        </w:rPr>
        <w:t xml:space="preserve">guarantees and provide ongoing oversight of UNDP’s guarantee portfolio. </w:t>
      </w:r>
    </w:p>
    <w:p w14:paraId="00F7CA67" w14:textId="39A4F31B" w:rsidR="00235986" w:rsidRDefault="00235986" w:rsidP="0048240C">
      <w:pPr>
        <w:pStyle w:val="ListParagraph"/>
        <w:numPr>
          <w:ilvl w:val="0"/>
          <w:numId w:val="78"/>
        </w:numPr>
        <w:spacing w:line="276" w:lineRule="auto"/>
        <w:ind w:left="720"/>
        <w:contextualSpacing w:val="0"/>
        <w:jc w:val="both"/>
        <w:rPr>
          <w:rFonts w:cstheme="minorHAnsi"/>
        </w:rPr>
      </w:pPr>
      <w:r w:rsidRPr="00F23561">
        <w:rPr>
          <w:rFonts w:cstheme="minorHAnsi"/>
        </w:rPr>
        <w:t xml:space="preserve">Hiring of </w:t>
      </w:r>
      <w:r w:rsidRPr="00F23561">
        <w:rPr>
          <w:rFonts w:cstheme="minorHAnsi"/>
          <w:u w:val="single"/>
        </w:rPr>
        <w:t>expert</w:t>
      </w:r>
      <w:r>
        <w:rPr>
          <w:rFonts w:cstheme="minorHAnsi"/>
          <w:u w:val="single"/>
        </w:rPr>
        <w:t>(</w:t>
      </w:r>
      <w:r w:rsidRPr="00F23561">
        <w:rPr>
          <w:rFonts w:cstheme="minorHAnsi"/>
          <w:u w:val="single"/>
        </w:rPr>
        <w:t>s</w:t>
      </w:r>
      <w:r>
        <w:rPr>
          <w:rFonts w:cstheme="minorHAnsi"/>
          <w:u w:val="single"/>
        </w:rPr>
        <w:t>)</w:t>
      </w:r>
      <w:r w:rsidRPr="00F23561">
        <w:rPr>
          <w:rFonts w:cstheme="minorHAnsi"/>
          <w:u w:val="single"/>
        </w:rPr>
        <w:t xml:space="preserve"> in the Finance Sector Hub</w:t>
      </w:r>
      <w:r w:rsidRPr="00F23561">
        <w:rPr>
          <w:rFonts w:cstheme="minorHAnsi"/>
        </w:rPr>
        <w:t xml:space="preserve"> to review initial </w:t>
      </w:r>
      <w:r w:rsidR="00F61C1C">
        <w:rPr>
          <w:rFonts w:cstheme="minorHAnsi"/>
        </w:rPr>
        <w:t xml:space="preserve">UNDP-supported </w:t>
      </w:r>
      <w:r w:rsidRPr="00F23561">
        <w:rPr>
          <w:rFonts w:cstheme="minorHAnsi"/>
        </w:rPr>
        <w:t xml:space="preserve">guarantee proposals (including </w:t>
      </w:r>
      <w:r w:rsidR="007A668A">
        <w:rPr>
          <w:rFonts w:cstheme="minorHAnsi"/>
        </w:rPr>
        <w:t xml:space="preserve">initial </w:t>
      </w:r>
      <w:r w:rsidRPr="00F23561">
        <w:rPr>
          <w:rFonts w:cstheme="minorHAnsi"/>
        </w:rPr>
        <w:t>diagnostics and country risk assessments) and provide quality assurance.</w:t>
      </w:r>
      <w:r>
        <w:rPr>
          <w:rFonts w:cstheme="minorHAnsi"/>
        </w:rPr>
        <w:t xml:space="preserve"> Also provide support on POPP </w:t>
      </w:r>
      <w:r>
        <w:rPr>
          <w:color w:val="000000" w:themeColor="text1"/>
        </w:rPr>
        <w:t>updates (if any), interpretation, and advice on compliance with programming standards and requirements.</w:t>
      </w:r>
    </w:p>
    <w:p w14:paraId="4B8B7438" w14:textId="2676C0DE" w:rsidR="006174F9" w:rsidRPr="00B31451" w:rsidRDefault="006174F9" w:rsidP="00E161FD">
      <w:pPr>
        <w:spacing w:line="276" w:lineRule="auto"/>
        <w:jc w:val="both"/>
        <w:rPr>
          <w:bCs/>
        </w:rPr>
      </w:pPr>
      <w:r w:rsidRPr="00253F5E">
        <w:rPr>
          <w:bCs/>
        </w:rPr>
        <w:t>C</w:t>
      </w:r>
      <w:r w:rsidR="00F22D5B">
        <w:rPr>
          <w:bCs/>
        </w:rPr>
        <w:t>ountry offices and bureau</w:t>
      </w:r>
      <w:r w:rsidRPr="00253F5E">
        <w:rPr>
          <w:bCs/>
        </w:rPr>
        <w:t xml:space="preserve">x will also require capacity building through UNDP-wide training to help understand the appropriate use of </w:t>
      </w:r>
      <w:r w:rsidR="00F61C1C">
        <w:rPr>
          <w:bCs/>
        </w:rPr>
        <w:t xml:space="preserve">UNDP-supported </w:t>
      </w:r>
      <w:r w:rsidRPr="00253F5E">
        <w:rPr>
          <w:bCs/>
        </w:rPr>
        <w:t xml:space="preserve">guarantees as part of UNDP programming. Further work at the country level will be carried out by the project team, supported by the teams based in HQ described above on policy, expert advice and risk mitigation strategies. This structure is consistent with the proposed central management and administration of </w:t>
      </w:r>
      <w:r w:rsidR="00F61C1C">
        <w:rPr>
          <w:bCs/>
        </w:rPr>
        <w:t xml:space="preserve">UNDP-supported </w:t>
      </w:r>
      <w:r w:rsidRPr="00253F5E">
        <w:rPr>
          <w:bCs/>
        </w:rPr>
        <w:t>guarantees as recommended in the EG-approved ‘Concept Paper on Guarantees’, and identifies areas for UNDP-UNCDF collaboration on guarantees as laid out in the EG-approved “</w:t>
      </w:r>
      <w:hyperlink w:anchor="_Annex_1:_UNDP-UNCDF_1" w:history="1">
        <w:r w:rsidRPr="002F20DE">
          <w:rPr>
            <w:rStyle w:val="Hyperlink"/>
            <w:bCs/>
          </w:rPr>
          <w:t>UNDP-UNCDF Collaboration Framework on Loans, Guarantees and Low-Value Grants</w:t>
        </w:r>
      </w:hyperlink>
      <w:r w:rsidRPr="00253F5E">
        <w:rPr>
          <w:bCs/>
        </w:rPr>
        <w:t>” (Nov 2018).</w:t>
      </w:r>
    </w:p>
    <w:p w14:paraId="1D7E16F0" w14:textId="4162E9D8" w:rsidR="00E565C7" w:rsidRPr="00F529EE" w:rsidRDefault="00E565C7" w:rsidP="001B35CB">
      <w:pPr>
        <w:pStyle w:val="Heading1"/>
        <w:numPr>
          <w:ilvl w:val="0"/>
          <w:numId w:val="2"/>
        </w:numPr>
        <w:spacing w:before="480" w:after="240"/>
        <w:ind w:left="360"/>
        <w:rPr>
          <w:rFonts w:asciiTheme="minorHAnsi" w:eastAsia="Century Gothic" w:hAnsiTheme="minorHAnsi"/>
          <w:color w:val="auto"/>
          <w:lang w:val="en-GB"/>
        </w:rPr>
      </w:pPr>
      <w:bookmarkStart w:id="121" w:name="_Toc4424012"/>
      <w:bookmarkStart w:id="122" w:name="_Toc4692802"/>
      <w:bookmarkStart w:id="123" w:name="_Toc9268525"/>
      <w:bookmarkStart w:id="124" w:name="_Toc9325978"/>
      <w:bookmarkStart w:id="125" w:name="_Toc9349350"/>
      <w:bookmarkStart w:id="126" w:name="_Toc11164753"/>
      <w:bookmarkStart w:id="127" w:name="_Toc4424013"/>
      <w:bookmarkStart w:id="128" w:name="_Toc4692803"/>
      <w:bookmarkStart w:id="129" w:name="_Toc9268526"/>
      <w:bookmarkStart w:id="130" w:name="_Toc9325979"/>
      <w:bookmarkStart w:id="131" w:name="_Toc9349351"/>
      <w:bookmarkStart w:id="132" w:name="_Toc11164754"/>
      <w:bookmarkStart w:id="133" w:name="_Toc4424014"/>
      <w:bookmarkStart w:id="134" w:name="_Toc4692804"/>
      <w:bookmarkStart w:id="135" w:name="_Toc9268527"/>
      <w:bookmarkStart w:id="136" w:name="_Toc9325980"/>
      <w:bookmarkStart w:id="137" w:name="_Toc9349352"/>
      <w:bookmarkStart w:id="138" w:name="_Toc11164755"/>
      <w:bookmarkStart w:id="139" w:name="_Toc4424015"/>
      <w:bookmarkStart w:id="140" w:name="_Toc4692805"/>
      <w:bookmarkStart w:id="141" w:name="_Toc9268528"/>
      <w:bookmarkStart w:id="142" w:name="_Toc9325981"/>
      <w:bookmarkStart w:id="143" w:name="_Toc9349353"/>
      <w:bookmarkStart w:id="144" w:name="_Toc11164756"/>
      <w:bookmarkStart w:id="145" w:name="_Toc4424016"/>
      <w:bookmarkStart w:id="146" w:name="_Toc4692806"/>
      <w:bookmarkStart w:id="147" w:name="_Toc9268529"/>
      <w:bookmarkStart w:id="148" w:name="_Toc9325982"/>
      <w:bookmarkStart w:id="149" w:name="_Toc9349354"/>
      <w:bookmarkStart w:id="150" w:name="_Toc11164757"/>
      <w:bookmarkStart w:id="151" w:name="_Toc4424017"/>
      <w:bookmarkStart w:id="152" w:name="_Toc4692807"/>
      <w:bookmarkStart w:id="153" w:name="_Toc9268530"/>
      <w:bookmarkStart w:id="154" w:name="_Toc9325983"/>
      <w:bookmarkStart w:id="155" w:name="_Toc9349355"/>
      <w:bookmarkStart w:id="156" w:name="_Toc11164758"/>
      <w:bookmarkStart w:id="157" w:name="_Toc4424018"/>
      <w:bookmarkStart w:id="158" w:name="_Toc4692808"/>
      <w:bookmarkStart w:id="159" w:name="_Toc9268531"/>
      <w:bookmarkStart w:id="160" w:name="_Toc9325984"/>
      <w:bookmarkStart w:id="161" w:name="_Toc9349356"/>
      <w:bookmarkStart w:id="162" w:name="_Toc11164759"/>
      <w:bookmarkStart w:id="163" w:name="_Toc4424019"/>
      <w:bookmarkStart w:id="164" w:name="_Toc4692809"/>
      <w:bookmarkStart w:id="165" w:name="_Toc9268532"/>
      <w:bookmarkStart w:id="166" w:name="_Toc9325985"/>
      <w:bookmarkStart w:id="167" w:name="_Toc9349357"/>
      <w:bookmarkStart w:id="168" w:name="_Toc11164760"/>
      <w:bookmarkStart w:id="169" w:name="_Toc4424020"/>
      <w:bookmarkStart w:id="170" w:name="_Toc4692810"/>
      <w:bookmarkStart w:id="171" w:name="_Toc9268533"/>
      <w:bookmarkStart w:id="172" w:name="_Toc9325986"/>
      <w:bookmarkStart w:id="173" w:name="_Toc9349358"/>
      <w:bookmarkStart w:id="174" w:name="_Toc11164761"/>
      <w:bookmarkStart w:id="175" w:name="_Toc4424027"/>
      <w:bookmarkStart w:id="176" w:name="_Toc4692817"/>
      <w:bookmarkStart w:id="177" w:name="_Toc9268540"/>
      <w:bookmarkStart w:id="178" w:name="_Toc9325993"/>
      <w:bookmarkStart w:id="179" w:name="_Toc9349365"/>
      <w:bookmarkStart w:id="180" w:name="_Toc11164768"/>
      <w:bookmarkStart w:id="181" w:name="_Toc2339936"/>
      <w:bookmarkStart w:id="182" w:name="_Toc12131379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947459">
        <w:rPr>
          <w:rFonts w:asciiTheme="minorHAnsi" w:eastAsia="Century Gothic" w:hAnsiTheme="minorHAnsi" w:cstheme="minorHAnsi"/>
          <w:color w:val="auto"/>
          <w:lang w:val="en-GB"/>
        </w:rPr>
        <w:t>Management</w:t>
      </w:r>
      <w:r w:rsidRPr="00F529EE">
        <w:rPr>
          <w:rFonts w:asciiTheme="minorHAnsi" w:eastAsia="Century Gothic" w:hAnsiTheme="minorHAnsi"/>
          <w:color w:val="auto"/>
          <w:lang w:val="en-GB"/>
        </w:rPr>
        <w:t xml:space="preserve"> and Governance Structure of </w:t>
      </w:r>
      <w:r w:rsidR="007B7910">
        <w:rPr>
          <w:rFonts w:asciiTheme="minorHAnsi" w:eastAsia="Century Gothic" w:hAnsiTheme="minorHAnsi"/>
          <w:color w:val="auto"/>
          <w:lang w:val="en-GB"/>
        </w:rPr>
        <w:t xml:space="preserve">UNDP-Supported </w:t>
      </w:r>
      <w:r w:rsidRPr="00F529EE">
        <w:rPr>
          <w:rFonts w:asciiTheme="minorHAnsi" w:eastAsia="Century Gothic" w:hAnsiTheme="minorHAnsi"/>
          <w:color w:val="auto"/>
          <w:lang w:val="en-GB"/>
        </w:rPr>
        <w:t>Guarantees</w:t>
      </w:r>
      <w:bookmarkEnd w:id="181"/>
      <w:bookmarkEnd w:id="182"/>
    </w:p>
    <w:p w14:paraId="0942B674" w14:textId="42148BBD" w:rsidR="007C4CA6" w:rsidRDefault="007C4CA6" w:rsidP="00947459">
      <w:pPr>
        <w:tabs>
          <w:tab w:val="left" w:pos="1200"/>
        </w:tabs>
      </w:pPr>
      <w:r w:rsidRPr="00947459">
        <w:t xml:space="preserve">The following </w:t>
      </w:r>
      <w:r w:rsidR="007B7910">
        <w:t xml:space="preserve">visual </w:t>
      </w:r>
      <w:r w:rsidR="0008090B">
        <w:t xml:space="preserve">depicts </w:t>
      </w:r>
      <w:r w:rsidRPr="00947459">
        <w:t xml:space="preserve">the </w:t>
      </w:r>
      <w:r>
        <w:t xml:space="preserve">high-level business </w:t>
      </w:r>
      <w:r w:rsidR="00727ACE">
        <w:t xml:space="preserve">process </w:t>
      </w:r>
      <w:r>
        <w:t xml:space="preserve">flow for </w:t>
      </w:r>
      <w:r w:rsidR="007B7910">
        <w:t xml:space="preserve">UNDP-supported </w:t>
      </w:r>
      <w:r>
        <w:t>guarantees:</w:t>
      </w:r>
    </w:p>
    <w:p w14:paraId="0BFF7753" w14:textId="77777777" w:rsidR="00C3670B" w:rsidRDefault="00C3670B" w:rsidP="001B35CB">
      <w:pPr>
        <w:keepNext/>
        <w:rPr>
          <w:noProof/>
        </w:rPr>
        <w:sectPr w:rsidR="00C3670B" w:rsidSect="006174F9">
          <w:pgSz w:w="12240" w:h="15840" w:code="1"/>
          <w:pgMar w:top="1440" w:right="1440" w:bottom="1440" w:left="1440" w:header="720" w:footer="720" w:gutter="0"/>
          <w:cols w:space="720"/>
          <w:docGrid w:linePitch="360"/>
        </w:sectPr>
      </w:pPr>
    </w:p>
    <w:p w14:paraId="0E44B63D" w14:textId="59F0F54D" w:rsidR="007145C2" w:rsidRDefault="00645587" w:rsidP="008F4F80">
      <w:pPr>
        <w:keepNext/>
        <w:spacing w:after="120"/>
        <w:rPr>
          <w:noProof/>
        </w:rPr>
      </w:pPr>
      <w:r w:rsidRPr="00645587">
        <w:rPr>
          <w:noProof/>
        </w:rPr>
        <w:lastRenderedPageBreak/>
        <w:t xml:space="preserve"> </w:t>
      </w:r>
      <w:r w:rsidR="00E646C9" w:rsidRPr="00E646C9">
        <w:rPr>
          <w:noProof/>
        </w:rPr>
        <w:drawing>
          <wp:inline distT="0" distB="0" distL="0" distR="0" wp14:anchorId="12495412" wp14:editId="17A24FDF">
            <wp:extent cx="6891477" cy="527685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29040" cy="5305613"/>
                    </a:xfrm>
                    <a:prstGeom prst="rect">
                      <a:avLst/>
                    </a:prstGeom>
                    <a:noFill/>
                    <a:ln>
                      <a:noFill/>
                    </a:ln>
                  </pic:spPr>
                </pic:pic>
              </a:graphicData>
            </a:graphic>
          </wp:inline>
        </w:drawing>
      </w:r>
    </w:p>
    <w:p w14:paraId="1EC646BE" w14:textId="53B5331A" w:rsidR="00C3670B" w:rsidRDefault="007145C2" w:rsidP="00E45B96">
      <w:pPr>
        <w:jc w:val="both"/>
        <w:sectPr w:rsidR="00C3670B" w:rsidSect="00C3670B">
          <w:pgSz w:w="15840" w:h="12240" w:orient="landscape" w:code="1"/>
          <w:pgMar w:top="1440" w:right="1440" w:bottom="1440" w:left="1440" w:header="720" w:footer="720" w:gutter="0"/>
          <w:cols w:space="720"/>
          <w:docGrid w:linePitch="360"/>
        </w:sectPr>
      </w:pPr>
      <w:r w:rsidRPr="007145C2">
        <w:rPr>
          <w:i/>
          <w:iCs/>
        </w:rPr>
        <w:lastRenderedPageBreak/>
        <w:t xml:space="preserve">* This process flow depicts the specific steps required for the design, approval and management of </w:t>
      </w:r>
      <w:r w:rsidR="00F61C1C">
        <w:rPr>
          <w:i/>
          <w:iCs/>
        </w:rPr>
        <w:t xml:space="preserve">UNDP-supported </w:t>
      </w:r>
      <w:r w:rsidRPr="007145C2">
        <w:rPr>
          <w:i/>
          <w:iCs/>
        </w:rPr>
        <w:t>guarantees as part of UNDP projects. Process steps and approvals required as part of regular UNDP programming and risk management policies and standards (e.g. Bureau review and endorsement) continue to apply.</w:t>
      </w:r>
      <w:r w:rsidR="00E45B96">
        <w:rPr>
          <w:i/>
          <w:iCs/>
        </w:rPr>
        <w:t xml:space="preserve"> </w:t>
      </w:r>
    </w:p>
    <w:p w14:paraId="0F52129A" w14:textId="436F16C3" w:rsidR="00FE6338" w:rsidRDefault="00FE6338" w:rsidP="006F5DE9">
      <w:pPr>
        <w:jc w:val="both"/>
        <w:rPr>
          <w:b/>
        </w:rPr>
      </w:pPr>
      <w:r w:rsidRPr="00B218AD">
        <w:lastRenderedPageBreak/>
        <w:t>The</w:t>
      </w:r>
      <w:r>
        <w:t xml:space="preserve"> </w:t>
      </w:r>
      <w:r w:rsidRPr="009354B9">
        <w:rPr>
          <w:b/>
          <w:bCs/>
        </w:rPr>
        <w:t>accountability matrix</w:t>
      </w:r>
      <w:r>
        <w:t xml:space="preserve"> below lists some of the key activities and accountabilities related to the effective origination, formulation and management of </w:t>
      </w:r>
      <w:r w:rsidR="001B35CB">
        <w:t xml:space="preserve">UNDP-supported </w:t>
      </w:r>
      <w:r>
        <w:t>guarantees. In addition, the relevant project phases have been identified for each activity to ensure alignment with the overall Programme and Project Management lifecycle.</w:t>
      </w:r>
      <w:r w:rsidR="00E834D2">
        <w:t xml:space="preserve"> </w:t>
      </w:r>
    </w:p>
    <w:p w14:paraId="563A8D0E" w14:textId="086B8DA1" w:rsidR="007C4CA6" w:rsidRDefault="000150AE">
      <w:pPr>
        <w:rPr>
          <w:rFonts w:ascii="Calibri" w:eastAsia="Times New Roman" w:hAnsi="Calibri" w:cs="Times New Roman"/>
          <w:bCs/>
          <w:color w:val="1F497D"/>
          <w:sz w:val="28"/>
          <w:szCs w:val="28"/>
        </w:rPr>
      </w:pPr>
      <w:r w:rsidRPr="000150AE">
        <w:rPr>
          <w:noProof/>
        </w:rPr>
        <w:lastRenderedPageBreak/>
        <w:drawing>
          <wp:inline distT="0" distB="0" distL="0" distR="0" wp14:anchorId="21F25E0B" wp14:editId="50EBA592">
            <wp:extent cx="5462325" cy="7315200"/>
            <wp:effectExtent l="19050" t="19050" r="2413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62325" cy="7315200"/>
                    </a:xfrm>
                    <a:prstGeom prst="rect">
                      <a:avLst/>
                    </a:prstGeom>
                    <a:noFill/>
                    <a:ln>
                      <a:solidFill>
                        <a:schemeClr val="accent1"/>
                      </a:solidFill>
                    </a:ln>
                  </pic:spPr>
                </pic:pic>
              </a:graphicData>
            </a:graphic>
          </wp:inline>
        </w:drawing>
      </w:r>
    </w:p>
    <w:p w14:paraId="762583DE" w14:textId="7ACCB1FD" w:rsidR="00234EC9" w:rsidRPr="00E83422" w:rsidRDefault="00234EC9" w:rsidP="00E83422">
      <w:pPr>
        <w:spacing w:after="360"/>
        <w:jc w:val="both"/>
        <w:rPr>
          <w:i/>
          <w:iCs/>
          <w:lang w:val="en-GB"/>
        </w:rPr>
      </w:pPr>
      <w:bookmarkStart w:id="183" w:name="_Hlk9267903"/>
      <w:r w:rsidRPr="006D489C">
        <w:rPr>
          <w:i/>
          <w:iCs/>
          <w:lang w:val="en-GB"/>
        </w:rPr>
        <w:lastRenderedPageBreak/>
        <w:t xml:space="preserve">This table lists the specific steps required for the design, approval and management of </w:t>
      </w:r>
      <w:r w:rsidR="00F61C1C">
        <w:rPr>
          <w:i/>
          <w:iCs/>
          <w:lang w:val="en-GB"/>
        </w:rPr>
        <w:t xml:space="preserve">UNDP-supported </w:t>
      </w:r>
      <w:r w:rsidRPr="006D489C">
        <w:rPr>
          <w:i/>
          <w:iCs/>
          <w:lang w:val="en-GB"/>
        </w:rPr>
        <w:t>guarantees as part of UNDP projects. Process steps and approvals required as part of regular UNDP programming and risk management policies and standards (e.g. Bureau review and endorsement) continue to apply.</w:t>
      </w:r>
    </w:p>
    <w:p w14:paraId="1F4246E7" w14:textId="023B7497" w:rsidR="002B4EF0" w:rsidRPr="00853B6B" w:rsidRDefault="002B4EF0" w:rsidP="00853B6B">
      <w:pPr>
        <w:jc w:val="both"/>
      </w:pPr>
      <w:r w:rsidRPr="00853B6B">
        <w:t xml:space="preserve">Risk management is </w:t>
      </w:r>
      <w:r w:rsidR="00853B6B">
        <w:t xml:space="preserve">an </w:t>
      </w:r>
      <w:r w:rsidRPr="00853B6B">
        <w:t xml:space="preserve">indispensable component of </w:t>
      </w:r>
      <w:r w:rsidR="00F61C1C">
        <w:t xml:space="preserve">UNDP-supported </w:t>
      </w:r>
      <w:r w:rsidRPr="00853B6B">
        <w:t>guarantees. Risk assessments will be performed on lenders, the structure of guarantees and all aspects of credit activities, to identify the probability of adverse outcomes, such as default. Risks will be examined by country offices through their initial diagnostics</w:t>
      </w:r>
      <w:r w:rsidR="00853B6B">
        <w:t xml:space="preserve">. </w:t>
      </w:r>
      <w:r w:rsidR="00D27889">
        <w:t>Per the process flow</w:t>
      </w:r>
      <w:r w:rsidR="004322BC">
        <w:t xml:space="preserve"> </w:t>
      </w:r>
      <w:r w:rsidR="00CA081C">
        <w:t xml:space="preserve">and accountability matrix </w:t>
      </w:r>
      <w:r w:rsidR="00D72109">
        <w:t>above</w:t>
      </w:r>
      <w:r w:rsidR="00315E68">
        <w:t>,</w:t>
      </w:r>
      <w:r w:rsidR="006B4964">
        <w:t xml:space="preserve"> </w:t>
      </w:r>
      <w:r w:rsidR="00836E94">
        <w:t>the Guarantees Project Team</w:t>
      </w:r>
      <w:r w:rsidRPr="00853B6B">
        <w:t xml:space="preserve">, </w:t>
      </w:r>
      <w:r w:rsidR="00315E68">
        <w:t>GPN</w:t>
      </w:r>
      <w:r w:rsidRPr="00853B6B">
        <w:t xml:space="preserve">, Finance </w:t>
      </w:r>
      <w:r w:rsidR="000B2388">
        <w:t xml:space="preserve">Sector </w:t>
      </w:r>
      <w:r w:rsidRPr="00853B6B">
        <w:t>Hub and Treasury</w:t>
      </w:r>
      <w:r w:rsidR="00853B6B">
        <w:t xml:space="preserve"> will also independently assess various risks</w:t>
      </w:r>
      <w:r w:rsidRPr="00853B6B">
        <w:t xml:space="preserve"> in the </w:t>
      </w:r>
      <w:r w:rsidR="00F61C1C">
        <w:t xml:space="preserve">UNDP-supported </w:t>
      </w:r>
      <w:r w:rsidR="00064D19">
        <w:t xml:space="preserve">guarantee </w:t>
      </w:r>
      <w:r w:rsidRPr="00853B6B">
        <w:t>approval process</w:t>
      </w:r>
      <w:r w:rsidR="00853B6B">
        <w:t>es</w:t>
      </w:r>
      <w:r w:rsidR="006A56DC">
        <w:t>,</w:t>
      </w:r>
      <w:r w:rsidRPr="00853B6B">
        <w:t xml:space="preserve"> </w:t>
      </w:r>
      <w:r w:rsidR="006A56DC" w:rsidRPr="003311B5">
        <w:t xml:space="preserve">based on their individual responsibilities as set out </w:t>
      </w:r>
      <w:r w:rsidR="006A56DC">
        <w:t>above</w:t>
      </w:r>
      <w:bookmarkEnd w:id="183"/>
      <w:r w:rsidRPr="00853B6B">
        <w:t xml:space="preserve">. </w:t>
      </w:r>
      <w:r w:rsidR="003311B5" w:rsidRPr="003311B5">
        <w:t xml:space="preserve">Process steps and approvals required as part of regular UNDP programming and risk management policies and standards (e.g. </w:t>
      </w:r>
      <w:r w:rsidR="004E7B0A">
        <w:t>b</w:t>
      </w:r>
      <w:r w:rsidR="003311B5" w:rsidRPr="003311B5">
        <w:t>ureau review and endorsement) continue to apply.</w:t>
      </w:r>
    </w:p>
    <w:p w14:paraId="4CA6C636" w14:textId="73EFC399" w:rsidR="002B4EF0" w:rsidRDefault="00853B6B" w:rsidP="00853B6B">
      <w:pPr>
        <w:jc w:val="both"/>
      </w:pPr>
      <w:r>
        <w:t>If</w:t>
      </w:r>
      <w:r w:rsidR="002B4EF0" w:rsidRPr="00853B6B">
        <w:t xml:space="preserve"> any exceptional cases </w:t>
      </w:r>
      <w:r w:rsidR="006B1244">
        <w:t xml:space="preserve">or material risks </w:t>
      </w:r>
      <w:r w:rsidR="002B4EF0" w:rsidRPr="00853B6B">
        <w:t xml:space="preserve">are identified, the </w:t>
      </w:r>
      <w:r w:rsidR="00F61C1C">
        <w:t xml:space="preserve">UNDP-supported </w:t>
      </w:r>
      <w:r w:rsidR="005E6EA1">
        <w:t xml:space="preserve">guarantee </w:t>
      </w:r>
      <w:r w:rsidR="002B4EF0" w:rsidRPr="00853B6B">
        <w:t xml:space="preserve">proposal </w:t>
      </w:r>
      <w:r w:rsidR="005E6EA1">
        <w:t xml:space="preserve">must </w:t>
      </w:r>
      <w:r w:rsidR="002B4EF0" w:rsidRPr="00853B6B">
        <w:t xml:space="preserve">be </w:t>
      </w:r>
      <w:r w:rsidR="00210A3F">
        <w:t xml:space="preserve">brought to the attention of </w:t>
      </w:r>
      <w:r w:rsidR="00D638A9">
        <w:t xml:space="preserve">the </w:t>
      </w:r>
      <w:r w:rsidR="00246523">
        <w:t xml:space="preserve">Credit </w:t>
      </w:r>
      <w:r w:rsidR="002B4EF0" w:rsidRPr="00853B6B">
        <w:t>Risk Committee</w:t>
      </w:r>
      <w:r w:rsidR="008D53DD">
        <w:t xml:space="preserve"> for review.</w:t>
      </w:r>
      <w:r w:rsidR="002B4EF0" w:rsidRPr="00853B6B">
        <w:t xml:space="preserve"> </w:t>
      </w:r>
      <w:bookmarkStart w:id="184" w:name="_Hlk9267983"/>
      <w:r w:rsidR="00C423AF">
        <w:t xml:space="preserve">These </w:t>
      </w:r>
      <w:r w:rsidR="00F61C1C">
        <w:t xml:space="preserve">UNDP-supported </w:t>
      </w:r>
      <w:r w:rsidR="00040387" w:rsidRPr="006B1244">
        <w:t>guarantee proposals will need to be endorsed by the Credit Risk Committee before the guarantee is approved.</w:t>
      </w:r>
      <w:r w:rsidR="00040387">
        <w:t xml:space="preserve"> </w:t>
      </w:r>
      <w:r w:rsidR="00A87A6A" w:rsidRPr="00881DCD">
        <w:t xml:space="preserve">The Credit Risk Committee will </w:t>
      </w:r>
      <w:r w:rsidR="002B4EF0" w:rsidRPr="00853B6B">
        <w:t xml:space="preserve">consist of representatives from Treasury, </w:t>
      </w:r>
      <w:r w:rsidR="00914077">
        <w:t>Guarantees Project Team, GPN</w:t>
      </w:r>
      <w:r w:rsidR="002B4EF0" w:rsidRPr="00853B6B">
        <w:t xml:space="preserve"> and</w:t>
      </w:r>
      <w:r>
        <w:t xml:space="preserve"> members of other</w:t>
      </w:r>
      <w:r w:rsidR="00C00136">
        <w:t xml:space="preserve"> </w:t>
      </w:r>
      <w:r w:rsidR="002B4EF0" w:rsidRPr="00853B6B">
        <w:t>Regional Burea</w:t>
      </w:r>
      <w:r>
        <w:t>u</w:t>
      </w:r>
      <w:r w:rsidR="002B4EF0" w:rsidRPr="00853B6B">
        <w:t>x (</w:t>
      </w:r>
      <w:r w:rsidR="00C00136">
        <w:t>t</w:t>
      </w:r>
      <w:r w:rsidR="002B4EF0" w:rsidRPr="00853B6B">
        <w:t>he Regional Bureau which submits the guarantee proposal</w:t>
      </w:r>
      <w:r>
        <w:t xml:space="preserve"> can be an observing member of the </w:t>
      </w:r>
      <w:r w:rsidR="00246523">
        <w:t xml:space="preserve">Credit </w:t>
      </w:r>
      <w:r>
        <w:t>Risk Committee</w:t>
      </w:r>
      <w:r w:rsidR="002B4EF0" w:rsidRPr="00853B6B">
        <w:t>). The</w:t>
      </w:r>
      <w:r w:rsidR="00246523">
        <w:t xml:space="preserve"> Credit</w:t>
      </w:r>
      <w:r w:rsidR="002B4EF0" w:rsidRPr="00853B6B">
        <w:t xml:space="preserve"> Risk Committee </w:t>
      </w:r>
      <w:r w:rsidR="00786CB8">
        <w:t xml:space="preserve">will </w:t>
      </w:r>
      <w:r w:rsidR="002B4EF0" w:rsidRPr="00853B6B">
        <w:t xml:space="preserve">be convened by any responsible division/office/bureau </w:t>
      </w:r>
      <w:r w:rsidR="00F36847">
        <w:t xml:space="preserve">that </w:t>
      </w:r>
      <w:r w:rsidR="002B4EF0" w:rsidRPr="00853B6B">
        <w:t>identifie</w:t>
      </w:r>
      <w:r w:rsidR="00F36847">
        <w:t>s</w:t>
      </w:r>
      <w:r w:rsidR="002B4EF0" w:rsidRPr="00853B6B">
        <w:t xml:space="preserve"> the risks</w:t>
      </w:r>
      <w:bookmarkEnd w:id="184"/>
      <w:r w:rsidR="002B4EF0" w:rsidRPr="00853B6B">
        <w:t>. </w:t>
      </w:r>
      <w:r w:rsidR="0043547E" w:rsidRPr="00881DCD">
        <w:t xml:space="preserve">The Credit Risk Committee will be advised and supported by the Guarantees Project Team, a dedicated project team established to support the initial phases of roll out of </w:t>
      </w:r>
      <w:r w:rsidR="00C33DC3">
        <w:t xml:space="preserve">the Guarantees </w:t>
      </w:r>
      <w:r w:rsidR="00177C8D">
        <w:t>P</w:t>
      </w:r>
      <w:r w:rsidR="0043547E" w:rsidRPr="00881DCD">
        <w:t>olicy.</w:t>
      </w:r>
      <w:r w:rsidR="002B4EF0" w:rsidRPr="00853B6B">
        <w:t xml:space="preserve"> </w:t>
      </w:r>
    </w:p>
    <w:p w14:paraId="350EEB98" w14:textId="42879B64" w:rsidR="002B4EF0" w:rsidRPr="00853B6B" w:rsidRDefault="002B4EF0" w:rsidP="00853B6B">
      <w:pPr>
        <w:jc w:val="both"/>
      </w:pPr>
      <w:bookmarkStart w:id="185" w:name="_Hlk9268055"/>
      <w:r w:rsidRPr="00853B6B">
        <w:t>Exceptional cases</w:t>
      </w:r>
      <w:r w:rsidR="00246523">
        <w:t xml:space="preserve"> </w:t>
      </w:r>
      <w:r w:rsidR="00AD73CC">
        <w:t xml:space="preserve">or material risks identified </w:t>
      </w:r>
      <w:r w:rsidR="00246523">
        <w:t xml:space="preserve">that </w:t>
      </w:r>
      <w:r w:rsidR="00F717E9">
        <w:t>must</w:t>
      </w:r>
      <w:r w:rsidR="00246523">
        <w:t xml:space="preserve"> be submitted to the Credit Risk Committee</w:t>
      </w:r>
      <w:r w:rsidRPr="00853B6B">
        <w:t xml:space="preserve"> may include, but </w:t>
      </w:r>
      <w:r w:rsidR="002420A2">
        <w:t xml:space="preserve">are </w:t>
      </w:r>
      <w:r w:rsidRPr="00853B6B">
        <w:t xml:space="preserve">not limited to; </w:t>
      </w:r>
    </w:p>
    <w:p w14:paraId="1871083A" w14:textId="77777777" w:rsidR="002B4EF0" w:rsidRPr="00853B6B" w:rsidRDefault="002B4EF0" w:rsidP="00367511">
      <w:pPr>
        <w:pStyle w:val="ListParagraph"/>
        <w:numPr>
          <w:ilvl w:val="0"/>
          <w:numId w:val="43"/>
        </w:numPr>
        <w:spacing w:line="252" w:lineRule="auto"/>
        <w:jc w:val="both"/>
      </w:pPr>
      <w:r w:rsidRPr="00853B6B">
        <w:t>Risk coverage greater than 50 percent</w:t>
      </w:r>
    </w:p>
    <w:p w14:paraId="43556306" w14:textId="02C73B86" w:rsidR="002B4EF0" w:rsidRPr="00853B6B" w:rsidRDefault="002B4EF0" w:rsidP="00367511">
      <w:pPr>
        <w:pStyle w:val="ListParagraph"/>
        <w:numPr>
          <w:ilvl w:val="0"/>
          <w:numId w:val="43"/>
        </w:numPr>
        <w:spacing w:line="252" w:lineRule="auto"/>
        <w:jc w:val="both"/>
      </w:pPr>
      <w:r w:rsidRPr="00853B6B">
        <w:t>Excessive currency risk</w:t>
      </w:r>
      <w:r w:rsidR="00AD73CC">
        <w:t xml:space="preserve"> </w:t>
      </w:r>
      <w:r w:rsidR="00AD73CC" w:rsidRPr="00AD73CC">
        <w:t>of funds held in the escrow accounts</w:t>
      </w:r>
    </w:p>
    <w:p w14:paraId="3DC4C1BC" w14:textId="30665130" w:rsidR="002B4EF0" w:rsidRPr="00853B6B" w:rsidRDefault="002B4EF0" w:rsidP="00367511">
      <w:pPr>
        <w:pStyle w:val="ListParagraph"/>
        <w:numPr>
          <w:ilvl w:val="0"/>
          <w:numId w:val="43"/>
        </w:numPr>
        <w:spacing w:line="252" w:lineRule="auto"/>
        <w:jc w:val="both"/>
      </w:pPr>
      <w:r w:rsidRPr="00853B6B">
        <w:t>Large guarantee sizes exceeding USD</w:t>
      </w:r>
      <w:r w:rsidR="00246523">
        <w:t xml:space="preserve"> </w:t>
      </w:r>
      <w:r w:rsidRPr="00853B6B">
        <w:t>10</w:t>
      </w:r>
      <w:r w:rsidR="002420A2">
        <w:t xml:space="preserve"> </w:t>
      </w:r>
      <w:r w:rsidRPr="00853B6B">
        <w:t>mil</w:t>
      </w:r>
      <w:r w:rsidR="00246523">
        <w:t>lion</w:t>
      </w:r>
    </w:p>
    <w:p w14:paraId="2E461881" w14:textId="75B9A2E5" w:rsidR="00375612" w:rsidRDefault="006B7B5E" w:rsidP="00367511">
      <w:pPr>
        <w:pStyle w:val="ListParagraph"/>
        <w:numPr>
          <w:ilvl w:val="0"/>
          <w:numId w:val="43"/>
        </w:numPr>
        <w:spacing w:line="252" w:lineRule="auto"/>
        <w:jc w:val="both"/>
      </w:pPr>
      <w:r>
        <w:t>Guarantee tenor exceeding 10 years</w:t>
      </w:r>
    </w:p>
    <w:p w14:paraId="404919FF" w14:textId="6BE0E88B" w:rsidR="002B4EF0" w:rsidRPr="00853B6B" w:rsidRDefault="002B4EF0" w:rsidP="00367511">
      <w:pPr>
        <w:pStyle w:val="ListParagraph"/>
        <w:numPr>
          <w:ilvl w:val="0"/>
          <w:numId w:val="43"/>
        </w:numPr>
        <w:spacing w:line="252" w:lineRule="auto"/>
        <w:jc w:val="both"/>
      </w:pPr>
      <w:r w:rsidRPr="00853B6B">
        <w:t xml:space="preserve">Countries with very few banking partners where </w:t>
      </w:r>
      <w:r w:rsidR="00246523">
        <w:t>a fairly</w:t>
      </w:r>
      <w:r w:rsidRPr="00853B6B">
        <w:t xml:space="preserve"> risky banking partner is selected </w:t>
      </w:r>
    </w:p>
    <w:p w14:paraId="4F77172A" w14:textId="3A72C479" w:rsidR="002B4EF0" w:rsidRPr="00853B6B" w:rsidRDefault="002B4EF0" w:rsidP="00367511">
      <w:pPr>
        <w:pStyle w:val="ListParagraph"/>
        <w:numPr>
          <w:ilvl w:val="0"/>
          <w:numId w:val="43"/>
        </w:numPr>
        <w:spacing w:line="252" w:lineRule="auto"/>
        <w:jc w:val="both"/>
      </w:pPr>
      <w:r w:rsidRPr="00853B6B">
        <w:t xml:space="preserve">Lending banks requiring full deposits to be made with them (instead of being held with </w:t>
      </w:r>
      <w:r w:rsidR="00421902">
        <w:t>the</w:t>
      </w:r>
      <w:r w:rsidR="00421902" w:rsidRPr="00853B6B">
        <w:t xml:space="preserve"> </w:t>
      </w:r>
      <w:r w:rsidRPr="00853B6B">
        <w:t xml:space="preserve">Guarantee </w:t>
      </w:r>
      <w:r w:rsidR="00421902">
        <w:t>I</w:t>
      </w:r>
      <w:r w:rsidR="00421902" w:rsidRPr="00853B6B">
        <w:t>ssuer</w:t>
      </w:r>
      <w:r w:rsidRPr="00853B6B">
        <w:t xml:space="preserve">) </w:t>
      </w:r>
    </w:p>
    <w:p w14:paraId="26C083B2" w14:textId="77777777" w:rsidR="002B4EF0" w:rsidRPr="00853B6B" w:rsidRDefault="002B4EF0" w:rsidP="00367511">
      <w:pPr>
        <w:pStyle w:val="ListParagraph"/>
        <w:numPr>
          <w:ilvl w:val="0"/>
          <w:numId w:val="43"/>
        </w:numPr>
        <w:spacing w:line="252" w:lineRule="auto"/>
        <w:jc w:val="both"/>
      </w:pPr>
      <w:r w:rsidRPr="00853B6B">
        <w:t>Any significant changes</w:t>
      </w:r>
      <w:r w:rsidR="00246523">
        <w:t xml:space="preserve"> likely to</w:t>
      </w:r>
      <w:r w:rsidRPr="00853B6B">
        <w:t xml:space="preserve"> occur or foresee</w:t>
      </w:r>
      <w:r w:rsidR="00246523">
        <w:t>n</w:t>
      </w:r>
      <w:r w:rsidRPr="00853B6B">
        <w:t xml:space="preserve"> to happen (i.e. rapid changes in credit risks of banks or macroeconomic environment) during the approval process or implementation phase</w:t>
      </w:r>
    </w:p>
    <w:bookmarkEnd w:id="185"/>
    <w:p w14:paraId="402803D6" w14:textId="18824E05" w:rsidR="008E0890" w:rsidRDefault="002B4EF0" w:rsidP="00853B6B">
      <w:pPr>
        <w:jc w:val="both"/>
      </w:pPr>
      <w:r w:rsidRPr="00853B6B">
        <w:t xml:space="preserve">If necessary, the </w:t>
      </w:r>
      <w:r w:rsidR="00246523">
        <w:t xml:space="preserve">Credit Risk Committee can escalate cases to the </w:t>
      </w:r>
      <w:r w:rsidRPr="00853B6B">
        <w:t xml:space="preserve">Enterprise Risk Management (ERM) Committee for its review. In response, ERM Committee may develop plans for managing material/escalated risks. The ERM Committee is chaired by the Associate Administrator with membership from UNDP senior management, and invited experts and other relevant representatives if needed. </w:t>
      </w:r>
    </w:p>
    <w:p w14:paraId="5CCF53D1" w14:textId="7D987FB5" w:rsidR="00001DA8" w:rsidRDefault="00B055B3" w:rsidP="00B718F2">
      <w:pPr>
        <w:tabs>
          <w:tab w:val="left" w:pos="1200"/>
        </w:tabs>
        <w:jc w:val="both"/>
      </w:pPr>
      <w:r w:rsidRPr="00B055B3">
        <w:lastRenderedPageBreak/>
        <w:t xml:space="preserve">The Credit Risk Committee will oversee the entire </w:t>
      </w:r>
      <w:r w:rsidR="00F635E6">
        <w:t xml:space="preserve">UNDP-supported </w:t>
      </w:r>
      <w:r w:rsidRPr="00B055B3">
        <w:t>guarantee portfolio, and the ERM Committee will manage overall enterprise risk including escalated risks.</w:t>
      </w:r>
      <w:r w:rsidR="00B00D52">
        <w:t xml:space="preserve"> </w:t>
      </w:r>
    </w:p>
    <w:p w14:paraId="68AAC859" w14:textId="77777777" w:rsidR="004F6C37" w:rsidRDefault="004F6C37">
      <w:pPr>
        <w:rPr>
          <w:rFonts w:ascii="Calibri" w:eastAsia="Times New Roman" w:hAnsi="Calibri" w:cs="Times New Roman"/>
          <w:b/>
          <w:bCs/>
          <w:color w:val="1F497D"/>
          <w:sz w:val="28"/>
          <w:szCs w:val="28"/>
        </w:rPr>
      </w:pPr>
      <w:bookmarkStart w:id="186" w:name="_Annex_1:_Key"/>
      <w:bookmarkStart w:id="187" w:name="_Annex_1:_UNDP-UNCDF"/>
      <w:bookmarkStart w:id="188" w:name="_Toc2339937"/>
      <w:bookmarkEnd w:id="186"/>
      <w:bookmarkEnd w:id="187"/>
      <w:r>
        <w:br w:type="page"/>
      </w:r>
    </w:p>
    <w:p w14:paraId="5B5DFCBA" w14:textId="3AE7C62F" w:rsidR="005E7478" w:rsidRDefault="008952D2" w:rsidP="00D75C03">
      <w:pPr>
        <w:pStyle w:val="Heading1"/>
        <w:numPr>
          <w:ilvl w:val="0"/>
          <w:numId w:val="0"/>
        </w:numPr>
        <w:jc w:val="center"/>
      </w:pPr>
      <w:bookmarkStart w:id="189" w:name="_Annex_1:_UNDP-UNCDF_1"/>
      <w:bookmarkStart w:id="190" w:name="_Toc121313795"/>
      <w:bookmarkEnd w:id="189"/>
      <w:r>
        <w:lastRenderedPageBreak/>
        <w:t xml:space="preserve">Annex 1: </w:t>
      </w:r>
      <w:r w:rsidR="0006245F">
        <w:t xml:space="preserve">UNDP-UNCDF </w:t>
      </w:r>
      <w:r w:rsidR="00601C5B">
        <w:t xml:space="preserve">Collaboration Framework on </w:t>
      </w:r>
      <w:r w:rsidR="003A1C7A">
        <w:t xml:space="preserve">Loans, </w:t>
      </w:r>
      <w:r w:rsidR="00601C5B">
        <w:t>Guarantees</w:t>
      </w:r>
      <w:r w:rsidR="00D7210D">
        <w:t xml:space="preserve"> </w:t>
      </w:r>
      <w:r w:rsidR="003A1C7A">
        <w:t xml:space="preserve">and Low-Value Grants </w:t>
      </w:r>
      <w:r w:rsidR="00D7210D">
        <w:t xml:space="preserve">(as approved by the </w:t>
      </w:r>
      <w:r w:rsidR="009E6C15">
        <w:t>EG</w:t>
      </w:r>
      <w:r w:rsidR="00D7210D">
        <w:t xml:space="preserve"> in November 2018)</w:t>
      </w:r>
      <w:bookmarkEnd w:id="188"/>
      <w:bookmarkEnd w:id="190"/>
    </w:p>
    <w:p w14:paraId="3FB542F0" w14:textId="77777777" w:rsidR="005E7478" w:rsidRDefault="005E7478">
      <w:pPr>
        <w:rPr>
          <w:rFonts w:ascii="Calibri" w:eastAsia="Times New Roman" w:hAnsi="Calibri" w:cs="Times New Roman"/>
          <w:b/>
          <w:bCs/>
          <w:color w:val="1F497D"/>
          <w:sz w:val="28"/>
          <w:szCs w:val="28"/>
        </w:rPr>
      </w:pPr>
    </w:p>
    <w:p w14:paraId="27D5C316" w14:textId="77777777" w:rsidR="003A1C7A" w:rsidRPr="002458DC" w:rsidRDefault="003A1C7A" w:rsidP="008960A3">
      <w:pPr>
        <w:pStyle w:val="ListParagraph"/>
        <w:numPr>
          <w:ilvl w:val="0"/>
          <w:numId w:val="23"/>
        </w:numPr>
        <w:spacing w:after="120" w:line="276" w:lineRule="auto"/>
        <w:ind w:left="360"/>
        <w:contextualSpacing w:val="0"/>
        <w:jc w:val="both"/>
        <w:rPr>
          <w:rFonts w:cstheme="minorHAnsi"/>
          <w:color w:val="000000" w:themeColor="text1"/>
        </w:rPr>
      </w:pPr>
      <w:r w:rsidRPr="002458DC">
        <w:rPr>
          <w:rFonts w:cstheme="minorHAnsi"/>
          <w:color w:val="000000" w:themeColor="text1"/>
        </w:rPr>
        <w:t xml:space="preserve">The </w:t>
      </w:r>
      <w:r w:rsidRPr="002458DC">
        <w:rPr>
          <w:rFonts w:cstheme="minorHAnsi"/>
          <w:b/>
          <w:color w:val="000000" w:themeColor="text1"/>
        </w:rPr>
        <w:t>key principles</w:t>
      </w:r>
      <w:r w:rsidRPr="002458DC">
        <w:rPr>
          <w:rFonts w:cstheme="minorHAnsi"/>
          <w:color w:val="000000" w:themeColor="text1"/>
        </w:rPr>
        <w:t xml:space="preserve"> for the collaboration are as follows:</w:t>
      </w:r>
    </w:p>
    <w:p w14:paraId="4EA9EAEC" w14:textId="77777777" w:rsidR="003A1C7A" w:rsidRPr="002458DC" w:rsidRDefault="003A1C7A" w:rsidP="008960A3">
      <w:pPr>
        <w:pStyle w:val="ListParagraph"/>
        <w:numPr>
          <w:ilvl w:val="0"/>
          <w:numId w:val="22"/>
        </w:numPr>
        <w:spacing w:after="120" w:line="276" w:lineRule="auto"/>
        <w:ind w:left="900"/>
        <w:contextualSpacing w:val="0"/>
        <w:jc w:val="both"/>
        <w:rPr>
          <w:rFonts w:cstheme="minorHAnsi"/>
          <w:color w:val="000000" w:themeColor="text1"/>
        </w:rPr>
      </w:pPr>
      <w:r w:rsidRPr="002458DC">
        <w:rPr>
          <w:rFonts w:cstheme="minorHAnsi"/>
          <w:color w:val="000000" w:themeColor="text1"/>
        </w:rPr>
        <w:t xml:space="preserve">UNDP does not issue loans currently. Any initiative involving UNDP that requires </w:t>
      </w:r>
      <w:r w:rsidRPr="002458DC">
        <w:rPr>
          <w:rFonts w:cstheme="minorHAnsi"/>
          <w:b/>
          <w:color w:val="000000" w:themeColor="text1"/>
        </w:rPr>
        <w:t>loan(s)</w:t>
      </w:r>
      <w:r w:rsidRPr="002458DC">
        <w:rPr>
          <w:rFonts w:cstheme="minorHAnsi"/>
          <w:color w:val="000000" w:themeColor="text1"/>
        </w:rPr>
        <w:t xml:space="preserve"> may be done through a joint programme with UNCDF, which has the mandate to provide loans. </w:t>
      </w:r>
    </w:p>
    <w:p w14:paraId="67A647F5" w14:textId="77777777" w:rsidR="003A1C7A" w:rsidRPr="002458DC" w:rsidRDefault="003A1C7A" w:rsidP="008960A3">
      <w:pPr>
        <w:pStyle w:val="ListParagraph"/>
        <w:numPr>
          <w:ilvl w:val="0"/>
          <w:numId w:val="22"/>
        </w:numPr>
        <w:spacing w:after="120" w:line="276" w:lineRule="auto"/>
        <w:ind w:left="900"/>
        <w:contextualSpacing w:val="0"/>
        <w:jc w:val="both"/>
        <w:rPr>
          <w:rFonts w:cstheme="minorHAnsi"/>
          <w:color w:val="000000" w:themeColor="text1"/>
        </w:rPr>
      </w:pPr>
      <w:r w:rsidRPr="002458DC">
        <w:rPr>
          <w:rFonts w:cstheme="minorHAnsi"/>
          <w:color w:val="000000" w:themeColor="text1"/>
        </w:rPr>
        <w:t xml:space="preserve">For programme/project components involving </w:t>
      </w:r>
      <w:r w:rsidRPr="002458DC">
        <w:rPr>
          <w:rFonts w:cstheme="minorHAnsi"/>
          <w:b/>
          <w:color w:val="000000" w:themeColor="text1"/>
        </w:rPr>
        <w:t xml:space="preserve">guarantees </w:t>
      </w:r>
      <w:r w:rsidRPr="002458DC">
        <w:rPr>
          <w:rFonts w:cstheme="minorHAnsi"/>
          <w:color w:val="000000" w:themeColor="text1"/>
        </w:rPr>
        <w:t>and/or</w:t>
      </w:r>
      <w:r w:rsidRPr="002458DC">
        <w:rPr>
          <w:rFonts w:cstheme="minorHAnsi"/>
          <w:b/>
          <w:color w:val="000000" w:themeColor="text1"/>
        </w:rPr>
        <w:t xml:space="preserve"> low-value grants </w:t>
      </w:r>
      <w:r w:rsidRPr="002458DC">
        <w:rPr>
          <w:rFonts w:cstheme="minorHAnsi"/>
          <w:color w:val="000000" w:themeColor="text1"/>
        </w:rPr>
        <w:t>(formerly referred to as “micro-capital grants”)</w:t>
      </w:r>
      <w:r w:rsidRPr="002458DC">
        <w:rPr>
          <w:rFonts w:cstheme="minorHAnsi"/>
          <w:b/>
          <w:color w:val="000000" w:themeColor="text1"/>
        </w:rPr>
        <w:t xml:space="preserve"> </w:t>
      </w:r>
      <w:r w:rsidRPr="002458DC">
        <w:rPr>
          <w:rFonts w:cstheme="minorHAnsi"/>
          <w:color w:val="000000" w:themeColor="text1"/>
        </w:rPr>
        <w:t>for credit purposes</w:t>
      </w:r>
      <w:r w:rsidRPr="002458DC">
        <w:rPr>
          <w:rStyle w:val="FootnoteReference"/>
          <w:rFonts w:cstheme="minorHAnsi"/>
          <w:color w:val="000000" w:themeColor="text1"/>
        </w:rPr>
        <w:footnoteReference w:id="16"/>
      </w:r>
      <w:r w:rsidRPr="002458DC">
        <w:rPr>
          <w:rFonts w:cstheme="minorHAnsi"/>
          <w:color w:val="000000" w:themeColor="text1"/>
        </w:rPr>
        <w:t>,</w:t>
      </w:r>
      <w:r w:rsidRPr="002458DC">
        <w:rPr>
          <w:rFonts w:cstheme="minorHAnsi"/>
          <w:b/>
          <w:color w:val="000000" w:themeColor="text1"/>
        </w:rPr>
        <w:t xml:space="preserve"> </w:t>
      </w:r>
      <w:r w:rsidRPr="002458DC">
        <w:rPr>
          <w:rFonts w:cstheme="minorHAnsi"/>
          <w:color w:val="000000" w:themeColor="text1"/>
        </w:rPr>
        <w:t>there are two potential collaboration models:</w:t>
      </w:r>
    </w:p>
    <w:p w14:paraId="7123753E" w14:textId="77777777" w:rsidR="003A1C7A" w:rsidRPr="002458DC" w:rsidRDefault="003A1C7A" w:rsidP="008960A3">
      <w:pPr>
        <w:pStyle w:val="ListParagraph"/>
        <w:numPr>
          <w:ilvl w:val="1"/>
          <w:numId w:val="3"/>
        </w:numPr>
        <w:spacing w:after="60" w:line="276" w:lineRule="auto"/>
        <w:ind w:left="1530"/>
        <w:contextualSpacing w:val="0"/>
        <w:jc w:val="both"/>
        <w:rPr>
          <w:rFonts w:cstheme="minorHAnsi"/>
          <w:color w:val="000000" w:themeColor="text1"/>
        </w:rPr>
      </w:pPr>
      <w:r w:rsidRPr="002458DC">
        <w:rPr>
          <w:rFonts w:cstheme="minorHAnsi"/>
          <w:color w:val="000000" w:themeColor="text1"/>
        </w:rPr>
        <w:t>Where UNCDF acts as a) a joint programme partner, or b) as an RP for the relevant UNDP project component; or</w:t>
      </w:r>
    </w:p>
    <w:p w14:paraId="7855B34C" w14:textId="77777777" w:rsidR="003A1C7A" w:rsidRPr="002458DC" w:rsidRDefault="003A1C7A" w:rsidP="008960A3">
      <w:pPr>
        <w:pStyle w:val="ListParagraph"/>
        <w:numPr>
          <w:ilvl w:val="1"/>
          <w:numId w:val="3"/>
        </w:numPr>
        <w:spacing w:after="120" w:line="276" w:lineRule="auto"/>
        <w:ind w:left="1530"/>
        <w:contextualSpacing w:val="0"/>
        <w:jc w:val="both"/>
        <w:rPr>
          <w:rFonts w:cstheme="minorHAnsi"/>
          <w:color w:val="000000" w:themeColor="text1"/>
        </w:rPr>
      </w:pPr>
      <w:r w:rsidRPr="002458DC">
        <w:rPr>
          <w:rFonts w:cstheme="minorHAnsi"/>
          <w:color w:val="000000" w:themeColor="text1"/>
        </w:rPr>
        <w:t>Where UNCDF acts as a technical service provider/agent for UNDP under a UNDP project/programme, for specific activities related to the design or implementation of a UNDP-issued guarantee or low-value grants scheme.</w:t>
      </w:r>
    </w:p>
    <w:p w14:paraId="0ACC5A7B" w14:textId="77777777" w:rsidR="003A1C7A" w:rsidRPr="002458DC" w:rsidRDefault="003A1C7A" w:rsidP="008960A3">
      <w:pPr>
        <w:pStyle w:val="ListParagraph"/>
        <w:numPr>
          <w:ilvl w:val="0"/>
          <w:numId w:val="22"/>
        </w:numPr>
        <w:spacing w:after="200" w:line="276" w:lineRule="auto"/>
        <w:ind w:left="907"/>
        <w:contextualSpacing w:val="0"/>
        <w:jc w:val="both"/>
        <w:rPr>
          <w:rFonts w:cstheme="minorHAnsi"/>
          <w:color w:val="000000" w:themeColor="text1"/>
        </w:rPr>
      </w:pPr>
      <w:r w:rsidRPr="002458DC">
        <w:rPr>
          <w:rFonts w:cstheme="minorHAnsi"/>
          <w:color w:val="000000" w:themeColor="text1"/>
        </w:rPr>
        <w:t xml:space="preserve">For guarantees and low-value grants (for credit purposes), the decision on which collaboration model is best depends on the </w:t>
      </w:r>
      <w:r w:rsidRPr="002458DC">
        <w:rPr>
          <w:rFonts w:cstheme="minorHAnsi"/>
          <w:b/>
          <w:color w:val="000000" w:themeColor="text1"/>
        </w:rPr>
        <w:t>funding status</w:t>
      </w:r>
      <w:r w:rsidRPr="002458DC">
        <w:rPr>
          <w:rFonts w:cstheme="minorHAnsi"/>
          <w:color w:val="000000" w:themeColor="text1"/>
        </w:rPr>
        <w:t xml:space="preserve"> (i.e. whether it is a credit instrument or not), the </w:t>
      </w:r>
      <w:r w:rsidRPr="002458DC">
        <w:rPr>
          <w:rFonts w:cstheme="minorHAnsi"/>
          <w:b/>
          <w:color w:val="000000" w:themeColor="text1"/>
        </w:rPr>
        <w:t>programmatic mandate</w:t>
      </w:r>
      <w:r w:rsidRPr="002458DC">
        <w:rPr>
          <w:rFonts w:cstheme="minorHAnsi"/>
          <w:color w:val="000000" w:themeColor="text1"/>
        </w:rPr>
        <w:t xml:space="preserve">, the </w:t>
      </w:r>
      <w:r w:rsidR="00093666" w:rsidRPr="00093666">
        <w:rPr>
          <w:rFonts w:cstheme="minorHAnsi"/>
          <w:b/>
          <w:color w:val="000000" w:themeColor="text1"/>
        </w:rPr>
        <w:t>f</w:t>
      </w:r>
      <w:r w:rsidR="00C6694B">
        <w:rPr>
          <w:rFonts w:cstheme="minorHAnsi"/>
          <w:b/>
          <w:color w:val="000000" w:themeColor="text1"/>
        </w:rPr>
        <w:t>unding</w:t>
      </w:r>
      <w:r w:rsidR="00093666" w:rsidRPr="00093666">
        <w:rPr>
          <w:rFonts w:cstheme="minorHAnsi"/>
          <w:b/>
        </w:rPr>
        <w:t xml:space="preserve"> partner</w:t>
      </w:r>
      <w:r w:rsidRPr="002458DC">
        <w:rPr>
          <w:rFonts w:cstheme="minorHAnsi"/>
          <w:b/>
          <w:color w:val="000000" w:themeColor="text1"/>
        </w:rPr>
        <w:t xml:space="preserve"> requirements</w:t>
      </w:r>
      <w:r w:rsidRPr="002458DC">
        <w:rPr>
          <w:rFonts w:cstheme="minorHAnsi"/>
          <w:color w:val="000000" w:themeColor="text1"/>
        </w:rPr>
        <w:t xml:space="preserve"> and </w:t>
      </w:r>
      <w:r w:rsidRPr="002458DC">
        <w:rPr>
          <w:rFonts w:cstheme="minorHAnsi"/>
          <w:b/>
          <w:color w:val="000000" w:themeColor="text1"/>
        </w:rPr>
        <w:t>comparative advantage</w:t>
      </w:r>
      <w:r w:rsidRPr="002458DC">
        <w:rPr>
          <w:rFonts w:cstheme="minorHAnsi"/>
          <w:color w:val="000000" w:themeColor="text1"/>
        </w:rPr>
        <w:t xml:space="preserve">, which may include factors such as local presence, scale, availability of sectoral expertise, etc. </w:t>
      </w:r>
    </w:p>
    <w:p w14:paraId="5CB7DB80" w14:textId="77777777" w:rsidR="003A1C7A" w:rsidRPr="00C34F85" w:rsidRDefault="003A1C7A" w:rsidP="008960A3">
      <w:pPr>
        <w:pStyle w:val="ListParagraph"/>
        <w:numPr>
          <w:ilvl w:val="0"/>
          <w:numId w:val="23"/>
        </w:numPr>
        <w:spacing w:after="120" w:line="276" w:lineRule="auto"/>
        <w:ind w:left="360"/>
        <w:contextualSpacing w:val="0"/>
        <w:jc w:val="both"/>
        <w:rPr>
          <w:rFonts w:cstheme="minorHAnsi"/>
          <w:color w:val="000000" w:themeColor="text1"/>
        </w:rPr>
      </w:pPr>
      <w:r w:rsidRPr="002458DC">
        <w:rPr>
          <w:rFonts w:cstheme="minorHAnsi"/>
          <w:color w:val="000000" w:themeColor="text1"/>
        </w:rPr>
        <w:t>This note provides guidance on potential options available, and does not imply exclusivity to either organization, who may work with other partners as the context demands.</w:t>
      </w:r>
      <w:r w:rsidRPr="00C34F85">
        <w:rPr>
          <w:rFonts w:cstheme="minorHAnsi"/>
          <w:color w:val="000000" w:themeColor="text1"/>
        </w:rPr>
        <w:t xml:space="preserve"> </w:t>
      </w:r>
    </w:p>
    <w:p w14:paraId="146CADE5" w14:textId="77777777" w:rsidR="003A1C7A" w:rsidRPr="002458DC" w:rsidRDefault="003A1C7A" w:rsidP="003A1C7A">
      <w:pPr>
        <w:spacing w:after="120" w:line="240" w:lineRule="auto"/>
        <w:jc w:val="both"/>
        <w:rPr>
          <w:rFonts w:cstheme="minorHAnsi"/>
          <w:color w:val="000000" w:themeColor="text1"/>
        </w:rPr>
      </w:pPr>
    </w:p>
    <w:p w14:paraId="2857EF5A" w14:textId="77777777" w:rsidR="003A1C7A" w:rsidRPr="002458DC" w:rsidRDefault="003A1C7A" w:rsidP="008960A3">
      <w:pPr>
        <w:pStyle w:val="ListParagraph"/>
        <w:keepNext/>
        <w:numPr>
          <w:ilvl w:val="0"/>
          <w:numId w:val="24"/>
        </w:numPr>
        <w:spacing w:after="200" w:line="276" w:lineRule="auto"/>
        <w:ind w:left="360"/>
        <w:contextualSpacing w:val="0"/>
        <w:jc w:val="both"/>
        <w:rPr>
          <w:rFonts w:cstheme="minorHAnsi"/>
          <w:b/>
          <w:color w:val="000000" w:themeColor="text1"/>
          <w:u w:val="single"/>
        </w:rPr>
      </w:pPr>
      <w:r w:rsidRPr="002458DC">
        <w:rPr>
          <w:rFonts w:cstheme="minorHAnsi"/>
          <w:b/>
          <w:color w:val="000000" w:themeColor="text1"/>
          <w:u w:val="single"/>
        </w:rPr>
        <w:t xml:space="preserve">Decision Criteria: </w:t>
      </w:r>
    </w:p>
    <w:p w14:paraId="50861C45" w14:textId="77777777" w:rsidR="003A1C7A" w:rsidRPr="002458DC" w:rsidRDefault="003A1C7A" w:rsidP="008960A3">
      <w:pPr>
        <w:pStyle w:val="ListParagraph"/>
        <w:numPr>
          <w:ilvl w:val="0"/>
          <w:numId w:val="23"/>
        </w:numPr>
        <w:spacing w:after="200" w:line="276" w:lineRule="auto"/>
        <w:ind w:left="360"/>
        <w:contextualSpacing w:val="0"/>
        <w:jc w:val="both"/>
        <w:rPr>
          <w:rFonts w:cstheme="minorHAnsi"/>
          <w:color w:val="000000" w:themeColor="text1"/>
        </w:rPr>
      </w:pPr>
      <w:r w:rsidRPr="002458DC">
        <w:rPr>
          <w:rFonts w:cstheme="minorHAnsi"/>
          <w:color w:val="000000" w:themeColor="text1"/>
        </w:rPr>
        <w:t xml:space="preserve">Notwithstanding any </w:t>
      </w:r>
      <w:r w:rsidR="00093666" w:rsidRPr="00093666">
        <w:rPr>
          <w:rFonts w:cstheme="minorHAnsi"/>
          <w:b/>
        </w:rPr>
        <w:t>f</w:t>
      </w:r>
      <w:r w:rsidR="00373C06">
        <w:rPr>
          <w:rFonts w:cstheme="minorHAnsi"/>
          <w:b/>
        </w:rPr>
        <w:t>unding</w:t>
      </w:r>
      <w:r w:rsidR="00093666" w:rsidRPr="00093666">
        <w:rPr>
          <w:rFonts w:cstheme="minorHAnsi"/>
          <w:b/>
        </w:rPr>
        <w:t xml:space="preserve"> partner</w:t>
      </w:r>
      <w:r w:rsidRPr="002458DC">
        <w:rPr>
          <w:rFonts w:cstheme="minorHAnsi"/>
          <w:b/>
          <w:color w:val="000000" w:themeColor="text1"/>
        </w:rPr>
        <w:t xml:space="preserve"> requirements</w:t>
      </w:r>
      <w:r w:rsidRPr="002458DC">
        <w:rPr>
          <w:rFonts w:cstheme="minorHAnsi"/>
          <w:color w:val="000000" w:themeColor="text1"/>
        </w:rPr>
        <w:t xml:space="preserve">, Table 1 below provides further detail on the decision criteria that may be used to determine the most appropriate UNDP-UNCDF collaboration modality. </w:t>
      </w:r>
    </w:p>
    <w:p w14:paraId="43F77555" w14:textId="77777777" w:rsidR="003A1C7A" w:rsidRPr="002458DC" w:rsidRDefault="003A1C7A" w:rsidP="009010EC">
      <w:pPr>
        <w:keepNext/>
        <w:spacing w:after="120"/>
        <w:jc w:val="both"/>
        <w:rPr>
          <w:rFonts w:cstheme="minorHAnsi"/>
          <w:b/>
          <w:color w:val="000000" w:themeColor="text1"/>
        </w:rPr>
      </w:pPr>
      <w:r w:rsidRPr="002458DC">
        <w:rPr>
          <w:rFonts w:cstheme="minorHAnsi"/>
          <w:b/>
          <w:color w:val="000000" w:themeColor="text1"/>
        </w:rPr>
        <w:lastRenderedPageBreak/>
        <w:t>Table 1 – Decision Criteria to Determine Appropriate UNDP-UNCDF Collaboration Modality</w:t>
      </w:r>
    </w:p>
    <w:tbl>
      <w:tblPr>
        <w:tblStyle w:val="GridTable4-Accent1"/>
        <w:tblW w:w="0" w:type="auto"/>
        <w:tblLayout w:type="fixed"/>
        <w:tblLook w:val="04A0" w:firstRow="1" w:lastRow="0" w:firstColumn="1" w:lastColumn="0" w:noHBand="0" w:noVBand="1"/>
      </w:tblPr>
      <w:tblGrid>
        <w:gridCol w:w="1695"/>
        <w:gridCol w:w="990"/>
        <w:gridCol w:w="1440"/>
        <w:gridCol w:w="1440"/>
        <w:gridCol w:w="1350"/>
        <w:gridCol w:w="2415"/>
      </w:tblGrid>
      <w:tr w:rsidR="003A1C7A" w:rsidRPr="008A0835" w14:paraId="657AC265" w14:textId="77777777" w:rsidTr="00532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5" w:type="dxa"/>
            <w:vMerge w:val="restart"/>
            <w:tcBorders>
              <w:left w:val="single" w:sz="12" w:space="0" w:color="4472C4" w:themeColor="accent1"/>
              <w:right w:val="single" w:sz="4" w:space="0" w:color="FFFFFF" w:themeColor="background1"/>
            </w:tcBorders>
          </w:tcPr>
          <w:p w14:paraId="075D17CC" w14:textId="77777777" w:rsidR="003A1C7A" w:rsidRPr="00726951" w:rsidRDefault="003A1C7A" w:rsidP="0053244D">
            <w:pPr>
              <w:rPr>
                <w:rFonts w:cstheme="minorHAnsi"/>
                <w:sz w:val="20"/>
                <w:szCs w:val="20"/>
              </w:rPr>
            </w:pPr>
            <w:r w:rsidRPr="00C34F85">
              <w:rPr>
                <w:rFonts w:cstheme="minorHAnsi"/>
                <w:sz w:val="20"/>
                <w:szCs w:val="20"/>
              </w:rPr>
              <w:t xml:space="preserve">Financial instrument proposed as </w:t>
            </w:r>
            <w:r w:rsidRPr="008E4591">
              <w:rPr>
                <w:rFonts w:cstheme="minorHAnsi"/>
                <w:sz w:val="20"/>
                <w:szCs w:val="20"/>
              </w:rPr>
              <w:t xml:space="preserve">part of an initiative involving </w:t>
            </w:r>
            <w:r w:rsidRPr="00726951">
              <w:rPr>
                <w:rFonts w:cstheme="minorHAnsi"/>
                <w:sz w:val="20"/>
                <w:szCs w:val="20"/>
              </w:rPr>
              <w:t>UNDP:</w:t>
            </w:r>
          </w:p>
        </w:tc>
        <w:tc>
          <w:tcPr>
            <w:tcW w:w="5220" w:type="dxa"/>
            <w:gridSpan w:val="4"/>
            <w:tcBorders>
              <w:left w:val="single" w:sz="4" w:space="0" w:color="FFFFFF" w:themeColor="background1"/>
              <w:right w:val="single" w:sz="4" w:space="0" w:color="FFFFFF" w:themeColor="background1"/>
            </w:tcBorders>
          </w:tcPr>
          <w:p w14:paraId="19669F64" w14:textId="77777777" w:rsidR="003A1C7A" w:rsidRPr="00BB5555" w:rsidRDefault="003A1C7A" w:rsidP="0053244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B5555">
              <w:rPr>
                <w:rFonts w:cstheme="minorHAnsi"/>
                <w:sz w:val="20"/>
                <w:szCs w:val="20"/>
              </w:rPr>
              <w:t>Decision Criteria</w:t>
            </w:r>
          </w:p>
        </w:tc>
        <w:tc>
          <w:tcPr>
            <w:tcW w:w="2415" w:type="dxa"/>
            <w:vMerge w:val="restart"/>
            <w:tcBorders>
              <w:left w:val="single" w:sz="4" w:space="0" w:color="FFFFFF" w:themeColor="background1"/>
              <w:right w:val="single" w:sz="12" w:space="0" w:color="4472C4" w:themeColor="accent1"/>
            </w:tcBorders>
            <w:vAlign w:val="center"/>
          </w:tcPr>
          <w:p w14:paraId="10FD6E3D" w14:textId="77777777" w:rsidR="003A1C7A" w:rsidRPr="00855945" w:rsidRDefault="003A1C7A" w:rsidP="0053244D">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CC658D">
              <w:rPr>
                <w:rFonts w:cstheme="minorHAnsi"/>
                <w:sz w:val="20"/>
                <w:szCs w:val="20"/>
              </w:rPr>
              <w:t>Collaboration Modality</w:t>
            </w:r>
          </w:p>
        </w:tc>
      </w:tr>
      <w:tr w:rsidR="003A1C7A" w:rsidRPr="008A0835" w14:paraId="720F7033" w14:textId="77777777" w:rsidTr="0053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hemeColor="accent1"/>
              <w:bottom w:val="single" w:sz="12" w:space="0" w:color="4472C4" w:themeColor="accent1"/>
              <w:right w:val="single" w:sz="4" w:space="0" w:color="FFFFFF" w:themeColor="background1"/>
            </w:tcBorders>
          </w:tcPr>
          <w:p w14:paraId="31808B49" w14:textId="77777777" w:rsidR="003A1C7A" w:rsidRPr="00953DA3" w:rsidRDefault="003A1C7A" w:rsidP="0053244D">
            <w:pPr>
              <w:jc w:val="both"/>
              <w:rPr>
                <w:rFonts w:cstheme="minorHAnsi"/>
                <w:color w:val="000000" w:themeColor="text1"/>
                <w:sz w:val="20"/>
                <w:szCs w:val="20"/>
              </w:rPr>
            </w:pPr>
          </w:p>
        </w:tc>
        <w:tc>
          <w:tcPr>
            <w:tcW w:w="990" w:type="dxa"/>
            <w:tcBorders>
              <w:left w:val="single" w:sz="4" w:space="0" w:color="FFFFFF" w:themeColor="background1"/>
              <w:bottom w:val="single" w:sz="12" w:space="0" w:color="4472C4" w:themeColor="accent1"/>
            </w:tcBorders>
            <w:shd w:val="clear" w:color="auto" w:fill="8EAADB" w:themeFill="accent1" w:themeFillTint="99"/>
          </w:tcPr>
          <w:p w14:paraId="2B6C4D42" w14:textId="77777777" w:rsidR="003A1C7A" w:rsidRPr="00C34F85"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szCs w:val="20"/>
              </w:rPr>
            </w:pPr>
            <w:r w:rsidRPr="00953DA3">
              <w:rPr>
                <w:rFonts w:cstheme="minorHAnsi"/>
                <w:b/>
                <w:color w:val="000000" w:themeColor="text1"/>
                <w:sz w:val="20"/>
                <w:szCs w:val="20"/>
              </w:rPr>
              <w:t xml:space="preserve">Fully funded by </w:t>
            </w:r>
            <w:r w:rsidR="000D3518">
              <w:rPr>
                <w:rFonts w:cstheme="minorHAnsi"/>
                <w:b/>
                <w:color w:val="000000" w:themeColor="text1"/>
                <w:sz w:val="20"/>
                <w:szCs w:val="20"/>
              </w:rPr>
              <w:t>funding partner</w:t>
            </w:r>
            <w:r w:rsidRPr="00C34F85">
              <w:rPr>
                <w:rStyle w:val="FootnoteReference"/>
                <w:rFonts w:cstheme="minorHAnsi"/>
                <w:b/>
                <w:color w:val="000000" w:themeColor="text1"/>
                <w:sz w:val="20"/>
                <w:szCs w:val="20"/>
              </w:rPr>
              <w:footnoteReference w:id="17"/>
            </w:r>
            <w:r w:rsidRPr="00C34F85">
              <w:rPr>
                <w:rFonts w:cstheme="minorHAnsi"/>
                <w:b/>
                <w:color w:val="000000" w:themeColor="text1"/>
                <w:sz w:val="20"/>
                <w:szCs w:val="20"/>
              </w:rPr>
              <w:t>?</w:t>
            </w:r>
          </w:p>
        </w:tc>
        <w:tc>
          <w:tcPr>
            <w:tcW w:w="1440" w:type="dxa"/>
            <w:tcBorders>
              <w:bottom w:val="single" w:sz="12" w:space="0" w:color="4472C4" w:themeColor="accent1"/>
            </w:tcBorders>
            <w:shd w:val="clear" w:color="auto" w:fill="8EAADB" w:themeFill="accent1" w:themeFillTint="99"/>
          </w:tcPr>
          <w:p w14:paraId="74DC995E" w14:textId="77777777" w:rsidR="003A1C7A" w:rsidRPr="008E4591"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szCs w:val="20"/>
              </w:rPr>
            </w:pPr>
            <w:r w:rsidRPr="008E4591">
              <w:rPr>
                <w:rFonts w:cstheme="minorHAnsi"/>
                <w:b/>
                <w:color w:val="000000" w:themeColor="text1"/>
                <w:sz w:val="20"/>
                <w:szCs w:val="20"/>
              </w:rPr>
              <w:t>Does UNDP have programmatic mandate?</w:t>
            </w:r>
          </w:p>
        </w:tc>
        <w:tc>
          <w:tcPr>
            <w:tcW w:w="1440" w:type="dxa"/>
            <w:tcBorders>
              <w:bottom w:val="single" w:sz="12" w:space="0" w:color="4472C4" w:themeColor="accent1"/>
            </w:tcBorders>
            <w:shd w:val="clear" w:color="auto" w:fill="8EAADB" w:themeFill="accent1" w:themeFillTint="99"/>
          </w:tcPr>
          <w:p w14:paraId="4DF4946C" w14:textId="77777777" w:rsidR="003A1C7A" w:rsidRPr="00726951"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szCs w:val="20"/>
              </w:rPr>
            </w:pPr>
            <w:r w:rsidRPr="00726951">
              <w:rPr>
                <w:rFonts w:cstheme="minorHAnsi"/>
                <w:b/>
                <w:color w:val="000000" w:themeColor="text1"/>
                <w:sz w:val="20"/>
                <w:szCs w:val="20"/>
              </w:rPr>
              <w:t xml:space="preserve">Does UNCDF have programmatic mandate? </w:t>
            </w:r>
          </w:p>
        </w:tc>
        <w:tc>
          <w:tcPr>
            <w:tcW w:w="1350" w:type="dxa"/>
            <w:tcBorders>
              <w:bottom w:val="single" w:sz="12" w:space="0" w:color="4472C4" w:themeColor="accent1"/>
              <w:right w:val="single" w:sz="4" w:space="0" w:color="FFFFFF" w:themeColor="background1"/>
            </w:tcBorders>
            <w:shd w:val="clear" w:color="auto" w:fill="8EAADB" w:themeFill="accent1" w:themeFillTint="99"/>
          </w:tcPr>
          <w:p w14:paraId="3AEED504" w14:textId="77777777" w:rsidR="003A1C7A" w:rsidRPr="006B6F9A"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szCs w:val="20"/>
              </w:rPr>
            </w:pPr>
            <w:r w:rsidRPr="00BB5555">
              <w:rPr>
                <w:rFonts w:cstheme="minorHAnsi"/>
                <w:b/>
                <w:color w:val="000000" w:themeColor="text1"/>
                <w:sz w:val="20"/>
                <w:szCs w:val="20"/>
              </w:rPr>
              <w:t xml:space="preserve">Who has </w:t>
            </w:r>
            <w:r w:rsidRPr="00CC658D">
              <w:rPr>
                <w:rFonts w:cstheme="minorHAnsi"/>
                <w:b/>
                <w:color w:val="000000" w:themeColor="text1"/>
                <w:sz w:val="20"/>
                <w:szCs w:val="20"/>
              </w:rPr>
              <w:t>comparative advantage?</w:t>
            </w:r>
          </w:p>
        </w:tc>
        <w:tc>
          <w:tcPr>
            <w:tcW w:w="2415" w:type="dxa"/>
            <w:vMerge/>
            <w:tcBorders>
              <w:left w:val="single" w:sz="4" w:space="0" w:color="FFFFFF" w:themeColor="background1"/>
              <w:bottom w:val="single" w:sz="12" w:space="0" w:color="4472C4" w:themeColor="accent1"/>
              <w:right w:val="single" w:sz="12" w:space="0" w:color="4472C4" w:themeColor="accent1"/>
            </w:tcBorders>
          </w:tcPr>
          <w:p w14:paraId="776ED5DD"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0"/>
                <w:szCs w:val="20"/>
              </w:rPr>
            </w:pPr>
          </w:p>
        </w:tc>
      </w:tr>
      <w:tr w:rsidR="003A1C7A" w:rsidRPr="008A0835" w14:paraId="0ACDC992" w14:textId="77777777" w:rsidTr="0053244D">
        <w:trPr>
          <w:trHeight w:val="584"/>
        </w:trPr>
        <w:tc>
          <w:tcPr>
            <w:cnfStyle w:val="001000000000" w:firstRow="0" w:lastRow="0" w:firstColumn="1" w:lastColumn="0" w:oddVBand="0" w:evenVBand="0" w:oddHBand="0" w:evenHBand="0" w:firstRowFirstColumn="0" w:firstRowLastColumn="0" w:lastRowFirstColumn="0" w:lastRowLastColumn="0"/>
            <w:tcW w:w="1695" w:type="dxa"/>
            <w:tcBorders>
              <w:top w:val="single" w:sz="12" w:space="0" w:color="4472C4" w:themeColor="accent1"/>
              <w:left w:val="single" w:sz="12" w:space="0" w:color="4472C4" w:themeColor="accent1"/>
              <w:bottom w:val="single" w:sz="12" w:space="0" w:color="4472C4" w:themeColor="accent1"/>
            </w:tcBorders>
            <w:vAlign w:val="center"/>
          </w:tcPr>
          <w:p w14:paraId="55504A8A" w14:textId="77777777" w:rsidR="003A1C7A" w:rsidRPr="004A6B11" w:rsidRDefault="003A1C7A" w:rsidP="0053244D">
            <w:pPr>
              <w:rPr>
                <w:rFonts w:cstheme="minorHAnsi"/>
                <w:color w:val="000000" w:themeColor="text1"/>
                <w:sz w:val="20"/>
                <w:szCs w:val="20"/>
              </w:rPr>
            </w:pPr>
            <w:r w:rsidRPr="004A6B11">
              <w:rPr>
                <w:rFonts w:cstheme="minorHAnsi"/>
                <w:color w:val="000000" w:themeColor="text1"/>
                <w:sz w:val="20"/>
                <w:szCs w:val="20"/>
              </w:rPr>
              <w:t>Loans</w:t>
            </w:r>
          </w:p>
        </w:tc>
        <w:tc>
          <w:tcPr>
            <w:tcW w:w="5220" w:type="dxa"/>
            <w:gridSpan w:val="4"/>
            <w:tcBorders>
              <w:top w:val="single" w:sz="12" w:space="0" w:color="4472C4" w:themeColor="accent1"/>
              <w:bottom w:val="single" w:sz="12" w:space="0" w:color="4472C4" w:themeColor="accent1"/>
            </w:tcBorders>
            <w:vAlign w:val="center"/>
          </w:tcPr>
          <w:p w14:paraId="04486D46" w14:textId="77777777" w:rsidR="003A1C7A" w:rsidRPr="004A6B11" w:rsidRDefault="003A1C7A" w:rsidP="0053244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4A6B11">
              <w:rPr>
                <w:rFonts w:cstheme="minorHAnsi"/>
                <w:color w:val="000000" w:themeColor="text1"/>
                <w:sz w:val="20"/>
                <w:szCs w:val="20"/>
              </w:rPr>
              <w:t>-</w:t>
            </w:r>
          </w:p>
        </w:tc>
        <w:tc>
          <w:tcPr>
            <w:tcW w:w="2415" w:type="dxa"/>
            <w:tcBorders>
              <w:top w:val="single" w:sz="12" w:space="0" w:color="4472C4" w:themeColor="accent1"/>
              <w:bottom w:val="single" w:sz="12" w:space="0" w:color="4472C4" w:themeColor="accent1"/>
              <w:right w:val="single" w:sz="12" w:space="0" w:color="4472C4" w:themeColor="accent1"/>
            </w:tcBorders>
          </w:tcPr>
          <w:p w14:paraId="6994C170" w14:textId="77777777" w:rsidR="003A1C7A" w:rsidRPr="00E67972"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39107B">
              <w:rPr>
                <w:rFonts w:cstheme="minorHAnsi"/>
                <w:color w:val="000000" w:themeColor="text1"/>
                <w:sz w:val="20"/>
                <w:szCs w:val="20"/>
              </w:rPr>
              <w:t xml:space="preserve">UNCDF may issue loans under a </w:t>
            </w:r>
            <w:r w:rsidRPr="00F805CD">
              <w:rPr>
                <w:rFonts w:cstheme="minorHAnsi"/>
                <w:b/>
                <w:color w:val="000000" w:themeColor="text1"/>
                <w:sz w:val="20"/>
                <w:szCs w:val="20"/>
              </w:rPr>
              <w:t xml:space="preserve">joint programme </w:t>
            </w:r>
            <w:r w:rsidRPr="00E67972">
              <w:rPr>
                <w:rFonts w:cstheme="minorHAnsi"/>
                <w:color w:val="000000" w:themeColor="text1"/>
                <w:sz w:val="20"/>
                <w:szCs w:val="20"/>
              </w:rPr>
              <w:t>with UNDP</w:t>
            </w:r>
          </w:p>
        </w:tc>
      </w:tr>
      <w:tr w:rsidR="003A1C7A" w:rsidRPr="008A0835" w14:paraId="50CC2E30" w14:textId="77777777" w:rsidTr="0053244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sz="12" w:space="0" w:color="4472C4" w:themeColor="accent1"/>
              <w:left w:val="single" w:sz="12" w:space="0" w:color="4472C4" w:themeColor="accent1"/>
            </w:tcBorders>
            <w:shd w:val="clear" w:color="auto" w:fill="FFFFFF" w:themeFill="background1"/>
            <w:vAlign w:val="center"/>
          </w:tcPr>
          <w:p w14:paraId="13BA9E63" w14:textId="77777777" w:rsidR="003A1C7A" w:rsidRPr="004A6B11" w:rsidRDefault="003A1C7A" w:rsidP="0053244D">
            <w:pPr>
              <w:rPr>
                <w:rFonts w:cstheme="minorHAnsi"/>
                <w:color w:val="000000" w:themeColor="text1"/>
                <w:sz w:val="20"/>
                <w:szCs w:val="20"/>
              </w:rPr>
            </w:pPr>
            <w:r w:rsidRPr="004A6B11">
              <w:rPr>
                <w:rFonts w:cstheme="minorHAnsi"/>
                <w:color w:val="000000" w:themeColor="text1"/>
                <w:sz w:val="20"/>
                <w:szCs w:val="20"/>
              </w:rPr>
              <w:t>Guarantees</w:t>
            </w:r>
          </w:p>
        </w:tc>
        <w:tc>
          <w:tcPr>
            <w:tcW w:w="990" w:type="dxa"/>
            <w:tcBorders>
              <w:top w:val="single" w:sz="12" w:space="0" w:color="4472C4" w:themeColor="accent1"/>
            </w:tcBorders>
            <w:vAlign w:val="center"/>
          </w:tcPr>
          <w:p w14:paraId="795B0637" w14:textId="77777777" w:rsidR="003A1C7A" w:rsidRPr="004A6B11"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4A6B11">
              <w:rPr>
                <w:rFonts w:cstheme="minorHAnsi"/>
                <w:color w:val="000000" w:themeColor="text1"/>
                <w:sz w:val="20"/>
                <w:szCs w:val="20"/>
              </w:rPr>
              <w:t>No</w:t>
            </w:r>
          </w:p>
        </w:tc>
        <w:tc>
          <w:tcPr>
            <w:tcW w:w="4230" w:type="dxa"/>
            <w:gridSpan w:val="3"/>
            <w:tcBorders>
              <w:top w:val="single" w:sz="12" w:space="0" w:color="4472C4" w:themeColor="accent1"/>
            </w:tcBorders>
            <w:vAlign w:val="center"/>
          </w:tcPr>
          <w:p w14:paraId="340A6C69" w14:textId="77777777" w:rsidR="003A1C7A" w:rsidRPr="0039107B" w:rsidRDefault="003A1C7A" w:rsidP="0053244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39107B">
              <w:rPr>
                <w:rFonts w:cstheme="minorHAnsi"/>
                <w:color w:val="000000" w:themeColor="text1"/>
                <w:sz w:val="20"/>
                <w:szCs w:val="20"/>
              </w:rPr>
              <w:t>-</w:t>
            </w:r>
          </w:p>
        </w:tc>
        <w:tc>
          <w:tcPr>
            <w:tcW w:w="2415" w:type="dxa"/>
            <w:tcBorders>
              <w:top w:val="single" w:sz="12" w:space="0" w:color="4472C4" w:themeColor="accent1"/>
              <w:right w:val="single" w:sz="12" w:space="0" w:color="4472C4" w:themeColor="accent1"/>
            </w:tcBorders>
          </w:tcPr>
          <w:p w14:paraId="0EEDB883" w14:textId="77777777" w:rsidR="003A1C7A" w:rsidRPr="00E67972"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F805CD">
              <w:rPr>
                <w:rFonts w:cstheme="minorHAnsi"/>
                <w:color w:val="000000" w:themeColor="text1"/>
                <w:sz w:val="20"/>
                <w:szCs w:val="20"/>
              </w:rPr>
              <w:t xml:space="preserve">UNCDF may issue the guarantee under a </w:t>
            </w:r>
            <w:r w:rsidRPr="00E67972">
              <w:rPr>
                <w:rFonts w:cstheme="minorHAnsi"/>
                <w:b/>
                <w:color w:val="000000" w:themeColor="text1"/>
                <w:sz w:val="20"/>
                <w:szCs w:val="20"/>
              </w:rPr>
              <w:t xml:space="preserve">joint programme </w:t>
            </w:r>
            <w:r w:rsidRPr="00E67972">
              <w:rPr>
                <w:rFonts w:cstheme="minorHAnsi"/>
                <w:color w:val="000000" w:themeColor="text1"/>
                <w:sz w:val="20"/>
                <w:szCs w:val="20"/>
              </w:rPr>
              <w:t>with UNDP</w:t>
            </w:r>
          </w:p>
        </w:tc>
      </w:tr>
      <w:tr w:rsidR="003A1C7A" w:rsidRPr="008A0835" w14:paraId="274F90DA" w14:textId="77777777" w:rsidTr="0053244D">
        <w:trPr>
          <w:trHeight w:val="413"/>
        </w:trPr>
        <w:tc>
          <w:tcPr>
            <w:tcW w:w="1695" w:type="dxa"/>
            <w:vMerge/>
            <w:tcBorders>
              <w:left w:val="single" w:sz="12" w:space="0" w:color="4472C4" w:themeColor="accent1"/>
            </w:tcBorders>
            <w:shd w:val="clear" w:color="auto" w:fill="FFFFFF" w:themeFill="background1"/>
          </w:tcPr>
          <w:p w14:paraId="4414D4E8" w14:textId="77777777" w:rsidR="003A1C7A" w:rsidRPr="00953DA3" w:rsidRDefault="003A1C7A" w:rsidP="0053244D">
            <w:pPr>
              <w:jc w:val="both"/>
              <w:cnfStyle w:val="001000000000" w:firstRow="0" w:lastRow="0" w:firstColumn="1" w:lastColumn="0" w:oddVBand="0" w:evenVBand="0" w:oddHBand="0" w:evenHBand="0" w:firstRowFirstColumn="0" w:firstRowLastColumn="0" w:lastRowFirstColumn="0" w:lastRowLastColumn="0"/>
              <w:rPr>
                <w:rFonts w:cstheme="minorHAnsi"/>
                <w:color w:val="000000" w:themeColor="text1"/>
                <w:sz w:val="20"/>
                <w:szCs w:val="20"/>
              </w:rPr>
            </w:pPr>
          </w:p>
        </w:tc>
        <w:tc>
          <w:tcPr>
            <w:tcW w:w="990" w:type="dxa"/>
            <w:vAlign w:val="center"/>
          </w:tcPr>
          <w:p w14:paraId="6E38B094" w14:textId="77777777" w:rsidR="003A1C7A" w:rsidRPr="00953DA3" w:rsidRDefault="003A1C7A" w:rsidP="0053244D">
            <w:pPr>
              <w:rPr>
                <w:rFonts w:cstheme="minorHAnsi"/>
                <w:color w:val="000000" w:themeColor="text1"/>
                <w:sz w:val="20"/>
                <w:szCs w:val="20"/>
              </w:rPr>
            </w:pPr>
            <w:r w:rsidRPr="00953DA3">
              <w:rPr>
                <w:rFonts w:cstheme="minorHAnsi"/>
                <w:color w:val="000000" w:themeColor="text1"/>
                <w:sz w:val="20"/>
                <w:szCs w:val="20"/>
              </w:rPr>
              <w:t>Yes</w:t>
            </w:r>
          </w:p>
        </w:tc>
        <w:tc>
          <w:tcPr>
            <w:tcW w:w="1440" w:type="dxa"/>
            <w:vAlign w:val="center"/>
          </w:tcPr>
          <w:p w14:paraId="0FDB17FA" w14:textId="77777777" w:rsidR="003A1C7A" w:rsidRPr="00953DA3" w:rsidRDefault="003A1C7A" w:rsidP="0053244D">
            <w:pPr>
              <w:rPr>
                <w:rFonts w:cstheme="minorHAnsi"/>
                <w:color w:val="000000" w:themeColor="text1"/>
                <w:sz w:val="20"/>
                <w:szCs w:val="20"/>
              </w:rPr>
            </w:pPr>
            <w:r w:rsidRPr="00953DA3">
              <w:rPr>
                <w:rFonts w:cstheme="minorHAnsi"/>
                <w:color w:val="000000" w:themeColor="text1"/>
                <w:sz w:val="20"/>
                <w:szCs w:val="20"/>
              </w:rPr>
              <w:t>Yes</w:t>
            </w:r>
          </w:p>
        </w:tc>
        <w:tc>
          <w:tcPr>
            <w:tcW w:w="1440" w:type="dxa"/>
            <w:vAlign w:val="center"/>
          </w:tcPr>
          <w:p w14:paraId="63338F2F" w14:textId="77777777" w:rsidR="003A1C7A" w:rsidRPr="00953DA3" w:rsidRDefault="003A1C7A" w:rsidP="0053244D">
            <w:pPr>
              <w:rPr>
                <w:rFonts w:cstheme="minorHAnsi"/>
                <w:color w:val="000000" w:themeColor="text1"/>
                <w:sz w:val="20"/>
                <w:szCs w:val="20"/>
              </w:rPr>
            </w:pPr>
            <w:r w:rsidRPr="00953DA3">
              <w:rPr>
                <w:rFonts w:cstheme="minorHAnsi"/>
                <w:color w:val="000000" w:themeColor="text1"/>
                <w:sz w:val="20"/>
                <w:szCs w:val="20"/>
              </w:rPr>
              <w:t>No</w:t>
            </w:r>
          </w:p>
        </w:tc>
        <w:tc>
          <w:tcPr>
            <w:tcW w:w="1350" w:type="dxa"/>
            <w:vAlign w:val="center"/>
          </w:tcPr>
          <w:p w14:paraId="4C08F536" w14:textId="77777777" w:rsidR="003A1C7A" w:rsidRPr="00953DA3" w:rsidRDefault="003A1C7A" w:rsidP="0053244D">
            <w:pPr>
              <w:rPr>
                <w:rFonts w:cstheme="minorHAnsi"/>
                <w:color w:val="000000" w:themeColor="text1"/>
                <w:sz w:val="20"/>
                <w:szCs w:val="20"/>
              </w:rPr>
            </w:pPr>
            <w:r w:rsidRPr="00953DA3">
              <w:rPr>
                <w:rFonts w:cstheme="minorHAnsi"/>
                <w:color w:val="000000" w:themeColor="text1"/>
                <w:sz w:val="20"/>
                <w:szCs w:val="20"/>
              </w:rPr>
              <w:t>-</w:t>
            </w:r>
          </w:p>
        </w:tc>
        <w:tc>
          <w:tcPr>
            <w:tcW w:w="2415" w:type="dxa"/>
            <w:vMerge w:val="restart"/>
            <w:tcBorders>
              <w:right w:val="single" w:sz="12" w:space="0" w:color="4472C4" w:themeColor="accent1"/>
            </w:tcBorders>
          </w:tcPr>
          <w:p w14:paraId="0EB3EB1E" w14:textId="77777777" w:rsidR="003A1C7A" w:rsidRPr="008E4591" w:rsidRDefault="003A1C7A" w:rsidP="0053244D">
            <w:pPr>
              <w:rPr>
                <w:rFonts w:cstheme="minorHAnsi"/>
                <w:color w:val="000000" w:themeColor="text1"/>
                <w:sz w:val="20"/>
                <w:szCs w:val="20"/>
              </w:rPr>
            </w:pPr>
            <w:r w:rsidRPr="00953DA3">
              <w:rPr>
                <w:rFonts w:cstheme="minorHAnsi"/>
                <w:color w:val="000000" w:themeColor="text1"/>
                <w:sz w:val="20"/>
                <w:szCs w:val="20"/>
              </w:rPr>
              <w:t xml:space="preserve">UNCDF to act as a </w:t>
            </w:r>
            <w:r w:rsidRPr="00953DA3">
              <w:rPr>
                <w:rFonts w:cstheme="minorHAnsi"/>
                <w:b/>
                <w:color w:val="000000" w:themeColor="text1"/>
                <w:sz w:val="20"/>
                <w:szCs w:val="20"/>
              </w:rPr>
              <w:t>technical service provider/agent</w:t>
            </w:r>
            <w:r w:rsidRPr="00C34F85">
              <w:rPr>
                <w:rStyle w:val="FootnoteReference"/>
                <w:rFonts w:cstheme="minorHAnsi"/>
                <w:b/>
                <w:color w:val="000000" w:themeColor="text1"/>
                <w:sz w:val="20"/>
                <w:szCs w:val="20"/>
              </w:rPr>
              <w:footnoteReference w:id="18"/>
            </w:r>
            <w:r w:rsidRPr="00C34F85">
              <w:rPr>
                <w:rFonts w:cstheme="minorHAnsi"/>
                <w:color w:val="000000" w:themeColor="text1"/>
                <w:sz w:val="20"/>
                <w:szCs w:val="20"/>
              </w:rPr>
              <w:t xml:space="preserve"> for UNDP for specific activities</w:t>
            </w:r>
          </w:p>
        </w:tc>
      </w:tr>
      <w:tr w:rsidR="003A1C7A" w:rsidRPr="008A0835" w14:paraId="23E5FFD2" w14:textId="77777777" w:rsidTr="0053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hemeColor="accent1"/>
            </w:tcBorders>
            <w:shd w:val="clear" w:color="auto" w:fill="FFFFFF" w:themeFill="background1"/>
          </w:tcPr>
          <w:p w14:paraId="3274C274" w14:textId="77777777" w:rsidR="003A1C7A" w:rsidRPr="00953DA3" w:rsidRDefault="003A1C7A" w:rsidP="0053244D">
            <w:pPr>
              <w:jc w:val="both"/>
              <w:rPr>
                <w:rFonts w:cstheme="minorHAnsi"/>
                <w:color w:val="000000" w:themeColor="text1"/>
                <w:sz w:val="20"/>
                <w:szCs w:val="20"/>
              </w:rPr>
            </w:pPr>
          </w:p>
        </w:tc>
        <w:tc>
          <w:tcPr>
            <w:tcW w:w="990" w:type="dxa"/>
            <w:shd w:val="clear" w:color="auto" w:fill="FFFFFF" w:themeFill="background1"/>
            <w:vAlign w:val="center"/>
          </w:tcPr>
          <w:p w14:paraId="4454AC04"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FFFFFF" w:themeFill="background1"/>
            <w:vAlign w:val="center"/>
          </w:tcPr>
          <w:p w14:paraId="7F57E10D"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FFFFFF" w:themeFill="background1"/>
            <w:vAlign w:val="center"/>
          </w:tcPr>
          <w:p w14:paraId="6961BA7D"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350" w:type="dxa"/>
            <w:shd w:val="clear" w:color="auto" w:fill="FFFFFF" w:themeFill="background1"/>
            <w:vAlign w:val="center"/>
          </w:tcPr>
          <w:p w14:paraId="653C3688"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UNDP</w:t>
            </w:r>
          </w:p>
        </w:tc>
        <w:tc>
          <w:tcPr>
            <w:tcW w:w="2415" w:type="dxa"/>
            <w:vMerge/>
            <w:tcBorders>
              <w:right w:val="single" w:sz="12" w:space="0" w:color="4472C4" w:themeColor="accent1"/>
            </w:tcBorders>
          </w:tcPr>
          <w:p w14:paraId="5204F98A"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3A1C7A" w:rsidRPr="008A0835" w14:paraId="46B26FE9" w14:textId="77777777" w:rsidTr="0053244D">
        <w:trPr>
          <w:trHeight w:val="476"/>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hemeColor="accent1"/>
            </w:tcBorders>
            <w:shd w:val="clear" w:color="auto" w:fill="FFFFFF" w:themeFill="background1"/>
          </w:tcPr>
          <w:p w14:paraId="4993E937" w14:textId="77777777" w:rsidR="003A1C7A" w:rsidRPr="00953DA3" w:rsidRDefault="003A1C7A" w:rsidP="0053244D">
            <w:pPr>
              <w:jc w:val="both"/>
              <w:rPr>
                <w:rFonts w:cstheme="minorHAnsi"/>
                <w:color w:val="000000" w:themeColor="text1"/>
                <w:sz w:val="20"/>
                <w:szCs w:val="20"/>
              </w:rPr>
            </w:pPr>
          </w:p>
        </w:tc>
        <w:tc>
          <w:tcPr>
            <w:tcW w:w="990" w:type="dxa"/>
            <w:shd w:val="clear" w:color="auto" w:fill="D9E2F3" w:themeFill="accent1" w:themeFillTint="33"/>
            <w:vAlign w:val="center"/>
          </w:tcPr>
          <w:p w14:paraId="4A66B939"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D9E2F3" w:themeFill="accent1" w:themeFillTint="33"/>
            <w:vAlign w:val="center"/>
          </w:tcPr>
          <w:p w14:paraId="61DC9C2B"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D9E2F3" w:themeFill="accent1" w:themeFillTint="33"/>
            <w:vAlign w:val="center"/>
          </w:tcPr>
          <w:p w14:paraId="675FFD01"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350" w:type="dxa"/>
            <w:shd w:val="clear" w:color="auto" w:fill="D9E2F3" w:themeFill="accent1" w:themeFillTint="33"/>
            <w:vAlign w:val="center"/>
          </w:tcPr>
          <w:p w14:paraId="6879F1F7"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UNCDF</w:t>
            </w:r>
          </w:p>
        </w:tc>
        <w:tc>
          <w:tcPr>
            <w:tcW w:w="2415" w:type="dxa"/>
            <w:vMerge w:val="restart"/>
            <w:tcBorders>
              <w:right w:val="single" w:sz="12" w:space="0" w:color="4472C4" w:themeColor="accent1"/>
            </w:tcBorders>
            <w:shd w:val="clear" w:color="auto" w:fill="D9E2F3" w:themeFill="accent1" w:themeFillTint="33"/>
          </w:tcPr>
          <w:p w14:paraId="2944926F"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 xml:space="preserve">UNCDF to act as </w:t>
            </w:r>
            <w:r w:rsidRPr="00953DA3">
              <w:rPr>
                <w:rFonts w:cstheme="minorHAnsi"/>
                <w:b/>
                <w:color w:val="000000" w:themeColor="text1"/>
                <w:sz w:val="20"/>
                <w:szCs w:val="20"/>
              </w:rPr>
              <w:t>joint programme partner</w:t>
            </w:r>
            <w:r w:rsidRPr="00953DA3">
              <w:rPr>
                <w:rFonts w:cstheme="minorHAnsi"/>
                <w:color w:val="000000" w:themeColor="text1"/>
                <w:sz w:val="20"/>
                <w:szCs w:val="20"/>
              </w:rPr>
              <w:t xml:space="preserve"> or as an </w:t>
            </w:r>
            <w:r w:rsidRPr="00953DA3">
              <w:rPr>
                <w:rFonts w:cstheme="minorHAnsi"/>
                <w:b/>
                <w:color w:val="000000" w:themeColor="text1"/>
                <w:sz w:val="20"/>
                <w:szCs w:val="20"/>
              </w:rPr>
              <w:t>RP to UNDP</w:t>
            </w:r>
            <w:r w:rsidRPr="00953DA3">
              <w:rPr>
                <w:rFonts w:cstheme="minorHAnsi"/>
                <w:color w:val="000000" w:themeColor="text1"/>
                <w:sz w:val="20"/>
                <w:szCs w:val="20"/>
              </w:rPr>
              <w:t xml:space="preserve"> for relevant component of the programme</w:t>
            </w:r>
          </w:p>
        </w:tc>
      </w:tr>
      <w:tr w:rsidR="003A1C7A" w:rsidRPr="008A0835" w14:paraId="77CC86B0" w14:textId="77777777" w:rsidTr="0053244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hemeColor="accent1"/>
              <w:bottom w:val="single" w:sz="12" w:space="0" w:color="4472C4" w:themeColor="accent1"/>
            </w:tcBorders>
            <w:shd w:val="clear" w:color="auto" w:fill="FFFFFF" w:themeFill="background1"/>
          </w:tcPr>
          <w:p w14:paraId="467C1157" w14:textId="77777777" w:rsidR="003A1C7A" w:rsidRPr="00953DA3" w:rsidRDefault="003A1C7A" w:rsidP="0053244D">
            <w:pPr>
              <w:jc w:val="both"/>
              <w:rPr>
                <w:rFonts w:cstheme="minorHAnsi"/>
                <w:color w:val="000000" w:themeColor="text1"/>
                <w:sz w:val="20"/>
                <w:szCs w:val="20"/>
              </w:rPr>
            </w:pPr>
          </w:p>
        </w:tc>
        <w:tc>
          <w:tcPr>
            <w:tcW w:w="990" w:type="dxa"/>
            <w:tcBorders>
              <w:bottom w:val="single" w:sz="12" w:space="0" w:color="4472C4" w:themeColor="accent1"/>
            </w:tcBorders>
            <w:vAlign w:val="center"/>
          </w:tcPr>
          <w:p w14:paraId="20B20C53"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tcBorders>
              <w:bottom w:val="single" w:sz="12" w:space="0" w:color="4472C4" w:themeColor="accent1"/>
            </w:tcBorders>
            <w:vAlign w:val="center"/>
          </w:tcPr>
          <w:p w14:paraId="698F9E32"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FF0000"/>
                <w:sz w:val="20"/>
                <w:szCs w:val="20"/>
              </w:rPr>
            </w:pPr>
            <w:r w:rsidRPr="00953DA3">
              <w:rPr>
                <w:rFonts w:cstheme="minorHAnsi"/>
                <w:color w:val="000000" w:themeColor="text1"/>
                <w:sz w:val="20"/>
                <w:szCs w:val="20"/>
              </w:rPr>
              <w:t>No</w:t>
            </w:r>
          </w:p>
        </w:tc>
        <w:tc>
          <w:tcPr>
            <w:tcW w:w="1440" w:type="dxa"/>
            <w:tcBorders>
              <w:bottom w:val="single" w:sz="12" w:space="0" w:color="4472C4" w:themeColor="accent1"/>
            </w:tcBorders>
            <w:vAlign w:val="center"/>
          </w:tcPr>
          <w:p w14:paraId="45B4E065"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350" w:type="dxa"/>
            <w:tcBorders>
              <w:bottom w:val="single" w:sz="12" w:space="0" w:color="4472C4" w:themeColor="accent1"/>
            </w:tcBorders>
            <w:vAlign w:val="center"/>
          </w:tcPr>
          <w:p w14:paraId="471162AD"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w:t>
            </w:r>
          </w:p>
        </w:tc>
        <w:tc>
          <w:tcPr>
            <w:tcW w:w="2415" w:type="dxa"/>
            <w:vMerge/>
            <w:tcBorders>
              <w:bottom w:val="single" w:sz="12" w:space="0" w:color="4472C4" w:themeColor="accent1"/>
              <w:right w:val="single" w:sz="12" w:space="0" w:color="4472C4" w:themeColor="accent1"/>
            </w:tcBorders>
          </w:tcPr>
          <w:p w14:paraId="0103547A"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3A1C7A" w:rsidRPr="008A0835" w14:paraId="75F21DB4" w14:textId="77777777" w:rsidTr="0053244D">
        <w:trPr>
          <w:trHeight w:val="386"/>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sz="12" w:space="0" w:color="4472C4" w:themeColor="accent1"/>
              <w:left w:val="single" w:sz="12" w:space="0" w:color="4472C4" w:themeColor="accent1"/>
            </w:tcBorders>
            <w:vAlign w:val="center"/>
          </w:tcPr>
          <w:p w14:paraId="7C57FAE2" w14:textId="77777777" w:rsidR="003A1C7A" w:rsidRPr="004A6B11" w:rsidRDefault="003A1C7A" w:rsidP="0053244D">
            <w:pPr>
              <w:rPr>
                <w:rFonts w:cstheme="minorHAnsi"/>
                <w:color w:val="000000" w:themeColor="text1"/>
                <w:sz w:val="20"/>
                <w:szCs w:val="20"/>
              </w:rPr>
            </w:pPr>
            <w:r w:rsidRPr="004A6B11">
              <w:rPr>
                <w:rFonts w:cstheme="minorHAnsi"/>
                <w:color w:val="000000" w:themeColor="text1"/>
                <w:sz w:val="20"/>
                <w:szCs w:val="20"/>
              </w:rPr>
              <w:t xml:space="preserve">Low-Value Grants </w:t>
            </w:r>
          </w:p>
          <w:p w14:paraId="56409986" w14:textId="77777777" w:rsidR="003A1C7A" w:rsidRPr="0039107B" w:rsidRDefault="003A1C7A" w:rsidP="0053244D">
            <w:pPr>
              <w:rPr>
                <w:rFonts w:cstheme="minorHAnsi"/>
                <w:color w:val="000000" w:themeColor="text1"/>
                <w:sz w:val="20"/>
                <w:szCs w:val="20"/>
              </w:rPr>
            </w:pPr>
            <w:r w:rsidRPr="004A6B11">
              <w:rPr>
                <w:rFonts w:cstheme="minorHAnsi"/>
                <w:color w:val="000000" w:themeColor="text1"/>
                <w:sz w:val="20"/>
                <w:szCs w:val="20"/>
              </w:rPr>
              <w:t xml:space="preserve">(for credit </w:t>
            </w:r>
            <w:r w:rsidRPr="0039107B">
              <w:rPr>
                <w:rFonts w:cstheme="minorHAnsi"/>
                <w:color w:val="000000" w:themeColor="text1"/>
                <w:sz w:val="20"/>
                <w:szCs w:val="20"/>
              </w:rPr>
              <w:t>purposes)</w:t>
            </w:r>
          </w:p>
        </w:tc>
        <w:tc>
          <w:tcPr>
            <w:tcW w:w="990" w:type="dxa"/>
            <w:tcBorders>
              <w:top w:val="single" w:sz="12" w:space="0" w:color="4472C4" w:themeColor="accent1"/>
            </w:tcBorders>
            <w:vAlign w:val="center"/>
          </w:tcPr>
          <w:p w14:paraId="074E9967" w14:textId="77777777" w:rsidR="003A1C7A" w:rsidRPr="00F805CD"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F805CD">
              <w:rPr>
                <w:rFonts w:cstheme="minorHAnsi"/>
                <w:color w:val="000000" w:themeColor="text1"/>
                <w:sz w:val="20"/>
                <w:szCs w:val="20"/>
              </w:rPr>
              <w:t>Yes</w:t>
            </w:r>
          </w:p>
        </w:tc>
        <w:tc>
          <w:tcPr>
            <w:tcW w:w="1440" w:type="dxa"/>
            <w:tcBorders>
              <w:top w:val="single" w:sz="12" w:space="0" w:color="4472C4" w:themeColor="accent1"/>
            </w:tcBorders>
            <w:vAlign w:val="center"/>
          </w:tcPr>
          <w:p w14:paraId="6D5FB139" w14:textId="77777777" w:rsidR="003A1C7A" w:rsidRPr="00E67972"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E67972">
              <w:rPr>
                <w:rFonts w:cstheme="minorHAnsi"/>
                <w:color w:val="000000" w:themeColor="text1"/>
                <w:sz w:val="20"/>
                <w:szCs w:val="20"/>
              </w:rPr>
              <w:t>Yes</w:t>
            </w:r>
          </w:p>
        </w:tc>
        <w:tc>
          <w:tcPr>
            <w:tcW w:w="1440" w:type="dxa"/>
            <w:tcBorders>
              <w:top w:val="single" w:sz="12" w:space="0" w:color="4472C4" w:themeColor="accent1"/>
            </w:tcBorders>
            <w:vAlign w:val="center"/>
          </w:tcPr>
          <w:p w14:paraId="0B1EC960" w14:textId="77777777" w:rsidR="003A1C7A" w:rsidRPr="00E67972"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E67972">
              <w:rPr>
                <w:rFonts w:cstheme="minorHAnsi"/>
                <w:color w:val="000000" w:themeColor="text1"/>
                <w:sz w:val="20"/>
                <w:szCs w:val="20"/>
              </w:rPr>
              <w:t>No</w:t>
            </w:r>
          </w:p>
        </w:tc>
        <w:tc>
          <w:tcPr>
            <w:tcW w:w="1350" w:type="dxa"/>
            <w:tcBorders>
              <w:top w:val="single" w:sz="12" w:space="0" w:color="4472C4" w:themeColor="accent1"/>
            </w:tcBorders>
            <w:vAlign w:val="center"/>
          </w:tcPr>
          <w:p w14:paraId="3720307B" w14:textId="77777777" w:rsidR="003A1C7A" w:rsidRPr="00E67972"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E67972">
              <w:rPr>
                <w:rFonts w:cstheme="minorHAnsi"/>
                <w:color w:val="000000" w:themeColor="text1"/>
                <w:sz w:val="20"/>
                <w:szCs w:val="20"/>
              </w:rPr>
              <w:t>-</w:t>
            </w:r>
          </w:p>
        </w:tc>
        <w:tc>
          <w:tcPr>
            <w:tcW w:w="2415" w:type="dxa"/>
            <w:vMerge w:val="restart"/>
            <w:tcBorders>
              <w:top w:val="single" w:sz="12" w:space="0" w:color="4472C4" w:themeColor="accent1"/>
              <w:right w:val="single" w:sz="12" w:space="0" w:color="4472C4" w:themeColor="accent1"/>
            </w:tcBorders>
          </w:tcPr>
          <w:p w14:paraId="68F0B8E5" w14:textId="77777777" w:rsidR="003A1C7A" w:rsidRPr="005B4B81"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0C72DA">
              <w:rPr>
                <w:rFonts w:cstheme="minorHAnsi"/>
                <w:color w:val="000000" w:themeColor="text1"/>
                <w:sz w:val="20"/>
                <w:szCs w:val="20"/>
              </w:rPr>
              <w:t xml:space="preserve">UNCDF to act as a </w:t>
            </w:r>
            <w:r w:rsidRPr="005B4B81">
              <w:rPr>
                <w:rFonts w:cstheme="minorHAnsi"/>
                <w:b/>
                <w:color w:val="000000" w:themeColor="text1"/>
                <w:sz w:val="20"/>
                <w:szCs w:val="20"/>
              </w:rPr>
              <w:t>technical service provider/agent</w:t>
            </w:r>
            <w:r w:rsidRPr="005B4B81">
              <w:rPr>
                <w:rFonts w:cstheme="minorHAnsi"/>
                <w:color w:val="000000" w:themeColor="text1"/>
                <w:sz w:val="20"/>
                <w:szCs w:val="20"/>
              </w:rPr>
              <w:t xml:space="preserve"> for UNDP for specific activities</w:t>
            </w:r>
          </w:p>
        </w:tc>
      </w:tr>
      <w:tr w:rsidR="003A1C7A" w:rsidRPr="008A0835" w14:paraId="7452E37F" w14:textId="77777777" w:rsidTr="0053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hemeColor="accent1"/>
            </w:tcBorders>
          </w:tcPr>
          <w:p w14:paraId="646A6D89" w14:textId="77777777" w:rsidR="003A1C7A" w:rsidRPr="00953DA3" w:rsidRDefault="003A1C7A" w:rsidP="0053244D">
            <w:pPr>
              <w:jc w:val="both"/>
              <w:rPr>
                <w:rFonts w:cstheme="minorHAnsi"/>
                <w:color w:val="000000" w:themeColor="text1"/>
                <w:sz w:val="20"/>
                <w:szCs w:val="20"/>
              </w:rPr>
            </w:pPr>
          </w:p>
        </w:tc>
        <w:tc>
          <w:tcPr>
            <w:tcW w:w="990" w:type="dxa"/>
            <w:shd w:val="clear" w:color="auto" w:fill="FFFFFF" w:themeFill="background1"/>
            <w:vAlign w:val="center"/>
          </w:tcPr>
          <w:p w14:paraId="61F91761"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FFFFFF" w:themeFill="background1"/>
            <w:vAlign w:val="center"/>
          </w:tcPr>
          <w:p w14:paraId="2C02D2AF"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FFFFFF" w:themeFill="background1"/>
            <w:vAlign w:val="center"/>
          </w:tcPr>
          <w:p w14:paraId="03595360"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350" w:type="dxa"/>
            <w:shd w:val="clear" w:color="auto" w:fill="FFFFFF" w:themeFill="background1"/>
            <w:vAlign w:val="center"/>
          </w:tcPr>
          <w:p w14:paraId="14E04E83"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UNDP</w:t>
            </w:r>
          </w:p>
        </w:tc>
        <w:tc>
          <w:tcPr>
            <w:tcW w:w="2415" w:type="dxa"/>
            <w:vMerge/>
            <w:tcBorders>
              <w:right w:val="single" w:sz="12" w:space="0" w:color="4472C4" w:themeColor="accent1"/>
            </w:tcBorders>
          </w:tcPr>
          <w:p w14:paraId="7C30B9C0"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3A1C7A" w:rsidRPr="008A0835" w14:paraId="069565B6" w14:textId="77777777" w:rsidTr="0053244D">
        <w:trPr>
          <w:trHeight w:val="377"/>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hemeColor="accent1"/>
            </w:tcBorders>
          </w:tcPr>
          <w:p w14:paraId="2AEE7CF1" w14:textId="77777777" w:rsidR="003A1C7A" w:rsidRPr="00953DA3" w:rsidRDefault="003A1C7A" w:rsidP="0053244D">
            <w:pPr>
              <w:jc w:val="both"/>
              <w:rPr>
                <w:rFonts w:cstheme="minorHAnsi"/>
                <w:color w:val="000000" w:themeColor="text1"/>
                <w:sz w:val="20"/>
                <w:szCs w:val="20"/>
              </w:rPr>
            </w:pPr>
          </w:p>
        </w:tc>
        <w:tc>
          <w:tcPr>
            <w:tcW w:w="990" w:type="dxa"/>
            <w:shd w:val="clear" w:color="auto" w:fill="D9E2F3" w:themeFill="accent1" w:themeFillTint="33"/>
            <w:vAlign w:val="center"/>
          </w:tcPr>
          <w:p w14:paraId="1A3C027E"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D9E2F3" w:themeFill="accent1" w:themeFillTint="33"/>
            <w:vAlign w:val="center"/>
          </w:tcPr>
          <w:p w14:paraId="0B38668E"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shd w:val="clear" w:color="auto" w:fill="D9E2F3" w:themeFill="accent1" w:themeFillTint="33"/>
            <w:vAlign w:val="center"/>
          </w:tcPr>
          <w:p w14:paraId="0DC313B4"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350" w:type="dxa"/>
            <w:shd w:val="clear" w:color="auto" w:fill="D9E2F3" w:themeFill="accent1" w:themeFillTint="33"/>
            <w:vAlign w:val="center"/>
          </w:tcPr>
          <w:p w14:paraId="0FD7AA20"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UNCDF</w:t>
            </w:r>
          </w:p>
        </w:tc>
        <w:tc>
          <w:tcPr>
            <w:tcW w:w="2415" w:type="dxa"/>
            <w:vMerge w:val="restart"/>
            <w:tcBorders>
              <w:right w:val="single" w:sz="12" w:space="0" w:color="4472C4" w:themeColor="accent1"/>
            </w:tcBorders>
            <w:shd w:val="clear" w:color="auto" w:fill="D9E2F3" w:themeFill="accent1" w:themeFillTint="33"/>
          </w:tcPr>
          <w:p w14:paraId="5FA636E9" w14:textId="77777777" w:rsidR="003A1C7A" w:rsidRPr="00953DA3" w:rsidRDefault="003A1C7A" w:rsidP="0053244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 xml:space="preserve">UNCDF to act as </w:t>
            </w:r>
            <w:r w:rsidRPr="00953DA3">
              <w:rPr>
                <w:rFonts w:cstheme="minorHAnsi"/>
                <w:b/>
                <w:color w:val="000000" w:themeColor="text1"/>
                <w:sz w:val="20"/>
                <w:szCs w:val="20"/>
              </w:rPr>
              <w:t>RP to UNDP</w:t>
            </w:r>
            <w:r w:rsidRPr="00953DA3">
              <w:rPr>
                <w:rFonts w:cstheme="minorHAnsi"/>
                <w:color w:val="000000" w:themeColor="text1"/>
                <w:sz w:val="20"/>
                <w:szCs w:val="20"/>
              </w:rPr>
              <w:t xml:space="preserve"> for relevant component of the programme</w:t>
            </w:r>
          </w:p>
        </w:tc>
      </w:tr>
      <w:tr w:rsidR="003A1C7A" w:rsidRPr="008A0835" w14:paraId="33379146" w14:textId="77777777" w:rsidTr="0053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hemeColor="accent1"/>
              <w:bottom w:val="single" w:sz="12" w:space="0" w:color="4472C4" w:themeColor="accent1"/>
            </w:tcBorders>
          </w:tcPr>
          <w:p w14:paraId="2C6B9B29" w14:textId="77777777" w:rsidR="003A1C7A" w:rsidRPr="00953DA3" w:rsidRDefault="003A1C7A" w:rsidP="0053244D">
            <w:pPr>
              <w:jc w:val="both"/>
              <w:rPr>
                <w:rFonts w:cstheme="minorHAnsi"/>
                <w:color w:val="000000" w:themeColor="text1"/>
                <w:sz w:val="20"/>
                <w:szCs w:val="20"/>
              </w:rPr>
            </w:pPr>
          </w:p>
        </w:tc>
        <w:tc>
          <w:tcPr>
            <w:tcW w:w="990" w:type="dxa"/>
            <w:tcBorders>
              <w:bottom w:val="single" w:sz="12" w:space="0" w:color="4472C4" w:themeColor="accent1"/>
            </w:tcBorders>
            <w:vAlign w:val="center"/>
          </w:tcPr>
          <w:p w14:paraId="372C3588"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440" w:type="dxa"/>
            <w:tcBorders>
              <w:bottom w:val="single" w:sz="12" w:space="0" w:color="4472C4" w:themeColor="accent1"/>
            </w:tcBorders>
            <w:vAlign w:val="center"/>
          </w:tcPr>
          <w:p w14:paraId="360E80BE"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No</w:t>
            </w:r>
          </w:p>
        </w:tc>
        <w:tc>
          <w:tcPr>
            <w:tcW w:w="1440" w:type="dxa"/>
            <w:tcBorders>
              <w:bottom w:val="single" w:sz="12" w:space="0" w:color="4472C4" w:themeColor="accent1"/>
            </w:tcBorders>
            <w:vAlign w:val="center"/>
          </w:tcPr>
          <w:p w14:paraId="656DC6CC"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Yes</w:t>
            </w:r>
          </w:p>
        </w:tc>
        <w:tc>
          <w:tcPr>
            <w:tcW w:w="1350" w:type="dxa"/>
            <w:tcBorders>
              <w:bottom w:val="single" w:sz="12" w:space="0" w:color="4472C4" w:themeColor="accent1"/>
            </w:tcBorders>
            <w:vAlign w:val="center"/>
          </w:tcPr>
          <w:p w14:paraId="3F706EC7"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53DA3">
              <w:rPr>
                <w:rFonts w:cstheme="minorHAnsi"/>
                <w:color w:val="000000" w:themeColor="text1"/>
                <w:sz w:val="20"/>
                <w:szCs w:val="20"/>
              </w:rPr>
              <w:t>-</w:t>
            </w:r>
          </w:p>
        </w:tc>
        <w:tc>
          <w:tcPr>
            <w:tcW w:w="2415" w:type="dxa"/>
            <w:vMerge/>
            <w:tcBorders>
              <w:bottom w:val="single" w:sz="12" w:space="0" w:color="4472C4" w:themeColor="accent1"/>
              <w:right w:val="single" w:sz="12" w:space="0" w:color="4472C4" w:themeColor="accent1"/>
            </w:tcBorders>
            <w:vAlign w:val="center"/>
          </w:tcPr>
          <w:p w14:paraId="5756ACFF" w14:textId="77777777" w:rsidR="003A1C7A" w:rsidRPr="00953DA3" w:rsidRDefault="003A1C7A" w:rsidP="0053244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75CCEDB6" w14:textId="77777777" w:rsidR="003A1C7A" w:rsidRPr="004A6B11" w:rsidRDefault="003A1C7A" w:rsidP="003A1C7A">
      <w:pPr>
        <w:jc w:val="both"/>
        <w:rPr>
          <w:rFonts w:cstheme="minorHAnsi"/>
          <w:color w:val="000000" w:themeColor="text1"/>
        </w:rPr>
      </w:pPr>
    </w:p>
    <w:p w14:paraId="7BDACE3C" w14:textId="77777777" w:rsidR="0068548B" w:rsidRPr="001D2C47" w:rsidRDefault="0068548B" w:rsidP="008960A3">
      <w:pPr>
        <w:pStyle w:val="ListParagraph"/>
        <w:keepNext/>
        <w:numPr>
          <w:ilvl w:val="0"/>
          <w:numId w:val="24"/>
        </w:numPr>
        <w:spacing w:after="200" w:line="276" w:lineRule="auto"/>
        <w:ind w:left="360"/>
        <w:contextualSpacing w:val="0"/>
        <w:jc w:val="both"/>
        <w:rPr>
          <w:rFonts w:ascii="Calibri" w:hAnsi="Calibri" w:cs="Calibri"/>
          <w:b/>
          <w:color w:val="000000" w:themeColor="text1"/>
          <w:u w:val="single"/>
        </w:rPr>
      </w:pPr>
      <w:r w:rsidRPr="001D2C47">
        <w:rPr>
          <w:rFonts w:ascii="Calibri" w:hAnsi="Calibri" w:cs="Calibri"/>
          <w:b/>
          <w:color w:val="000000" w:themeColor="text1"/>
          <w:u w:val="single"/>
        </w:rPr>
        <w:t>Application for UNDP-GEF Managed Vertical Funds</w:t>
      </w:r>
    </w:p>
    <w:p w14:paraId="1426CD69" w14:textId="77777777" w:rsidR="0068548B" w:rsidRPr="001D2C47" w:rsidRDefault="0068548B" w:rsidP="008960A3">
      <w:pPr>
        <w:pStyle w:val="ListParagraph"/>
        <w:numPr>
          <w:ilvl w:val="0"/>
          <w:numId w:val="23"/>
        </w:numPr>
        <w:spacing w:after="200" w:line="276" w:lineRule="auto"/>
        <w:ind w:left="360"/>
        <w:contextualSpacing w:val="0"/>
        <w:jc w:val="both"/>
        <w:rPr>
          <w:rFonts w:ascii="Calibri" w:hAnsi="Calibri" w:cs="Calibri"/>
          <w:color w:val="000000" w:themeColor="text1"/>
        </w:rPr>
      </w:pPr>
      <w:r w:rsidRPr="001D2C47">
        <w:rPr>
          <w:rFonts w:ascii="Calibri" w:hAnsi="Calibri" w:cs="Calibri"/>
          <w:color w:val="000000" w:themeColor="text1"/>
        </w:rPr>
        <w:t xml:space="preserve">It is important to qualify that in the case of all UNDP-GEF projects, the joint programme modality option with UNCDF is not possible due to the accreditation requirements of the various vertical environmental funds. In the case of the vertical environmental funds, UNDP only does joint programmes or projects with UN agencies who are accredited as an implementing entity for the fund in question. For UNDP-GEF projects, the applicable collaboration models with UNDCF would be limited </w:t>
      </w:r>
      <w:r w:rsidRPr="001D2C47">
        <w:rPr>
          <w:rFonts w:ascii="Calibri" w:hAnsi="Calibri" w:cs="Calibri"/>
          <w:color w:val="000000" w:themeColor="text1"/>
        </w:rPr>
        <w:lastRenderedPageBreak/>
        <w:t>to cases were UNCDF acts as a Responsible Party for a certain component of a UNDP project, or where UNCDF acts as a technical service provider/agent.</w:t>
      </w:r>
    </w:p>
    <w:p w14:paraId="2FA2E121" w14:textId="77777777" w:rsidR="0068548B" w:rsidRPr="001D2C47" w:rsidRDefault="0068548B" w:rsidP="008960A3">
      <w:pPr>
        <w:pStyle w:val="ListParagraph"/>
        <w:numPr>
          <w:ilvl w:val="0"/>
          <w:numId w:val="23"/>
        </w:numPr>
        <w:spacing w:after="200" w:line="276" w:lineRule="auto"/>
        <w:ind w:left="360"/>
        <w:contextualSpacing w:val="0"/>
        <w:jc w:val="both"/>
        <w:rPr>
          <w:rFonts w:ascii="Calibri" w:hAnsi="Calibri" w:cs="Calibri"/>
          <w:color w:val="000000" w:themeColor="text1"/>
        </w:rPr>
      </w:pPr>
      <w:r w:rsidRPr="001D2C47">
        <w:rPr>
          <w:rFonts w:ascii="Calibri" w:hAnsi="Calibri" w:cs="Calibri"/>
          <w:color w:val="000000" w:themeColor="text1"/>
        </w:rPr>
        <w:t>The seven vertical funds managed by the GEF Unit and to which this limitation would apply include: Global Environment Facility Trust Fund (GEF TF); Nagoya Protocol Implementation Fund (NPIF); Least Developed Countries Fund (LDCF); the Special Climate Change Fund (SCCF); the Capacity Building Initiative for Transparency (CBIT); the Adaptation Fund (AF); and the Green Climate Fund (GCF).</w:t>
      </w:r>
    </w:p>
    <w:p w14:paraId="16A37A5E" w14:textId="77777777" w:rsidR="0068548B" w:rsidRPr="001D2C47" w:rsidRDefault="0068548B" w:rsidP="008960A3">
      <w:pPr>
        <w:pStyle w:val="ListParagraph"/>
        <w:keepNext/>
        <w:numPr>
          <w:ilvl w:val="0"/>
          <w:numId w:val="24"/>
        </w:numPr>
        <w:spacing w:after="200" w:line="276" w:lineRule="auto"/>
        <w:ind w:left="360"/>
        <w:contextualSpacing w:val="0"/>
        <w:jc w:val="both"/>
        <w:rPr>
          <w:rFonts w:ascii="Calibri" w:hAnsi="Calibri" w:cs="Calibri"/>
          <w:b/>
          <w:color w:val="000000" w:themeColor="text1"/>
          <w:u w:val="single"/>
        </w:rPr>
      </w:pPr>
      <w:r w:rsidRPr="001D2C47">
        <w:rPr>
          <w:rFonts w:ascii="Calibri" w:hAnsi="Calibri" w:cs="Calibri"/>
          <w:b/>
          <w:color w:val="000000" w:themeColor="text1"/>
          <w:u w:val="single"/>
        </w:rPr>
        <w:t>Illustrative Roles and Responsibilities – Guarantees:</w:t>
      </w:r>
    </w:p>
    <w:p w14:paraId="189A37A6" w14:textId="77777777" w:rsidR="0068548B" w:rsidRPr="001D2C47" w:rsidRDefault="0068548B" w:rsidP="008960A3">
      <w:pPr>
        <w:pStyle w:val="ListParagraph"/>
        <w:numPr>
          <w:ilvl w:val="0"/>
          <w:numId w:val="23"/>
        </w:numPr>
        <w:spacing w:after="200" w:line="276" w:lineRule="auto"/>
        <w:ind w:left="360"/>
        <w:contextualSpacing w:val="0"/>
        <w:jc w:val="both"/>
        <w:rPr>
          <w:rFonts w:ascii="Calibri" w:hAnsi="Calibri" w:cs="Calibri"/>
          <w:color w:val="000000" w:themeColor="text1"/>
        </w:rPr>
      </w:pPr>
      <w:r w:rsidRPr="001D2C47">
        <w:rPr>
          <w:rFonts w:ascii="Calibri" w:hAnsi="Calibri" w:cs="Calibri"/>
          <w:color w:val="000000" w:themeColor="text1"/>
        </w:rPr>
        <w:t>Table 2 below provides more information on the potential roles and responsibilities of UNDP and UNCDF under the two collaboration modalities with respect t</w:t>
      </w:r>
      <w:r w:rsidRPr="00E56353">
        <w:rPr>
          <w:rFonts w:ascii="Calibri" w:hAnsi="Calibri" w:cs="Calibri"/>
          <w:color w:val="000000" w:themeColor="text1"/>
        </w:rPr>
        <w:t>o guarantees.</w:t>
      </w:r>
    </w:p>
    <w:p w14:paraId="6F55AA6D" w14:textId="77777777" w:rsidR="0068548B" w:rsidRPr="001D2C47" w:rsidRDefault="0068548B" w:rsidP="0068548B">
      <w:pPr>
        <w:spacing w:after="120"/>
        <w:jc w:val="both"/>
        <w:rPr>
          <w:rFonts w:ascii="Calibri" w:hAnsi="Calibri" w:cs="Calibri"/>
          <w:color w:val="000000" w:themeColor="text1"/>
        </w:rPr>
      </w:pPr>
      <w:r w:rsidRPr="001D2C47">
        <w:rPr>
          <w:rFonts w:ascii="Calibri" w:hAnsi="Calibri" w:cs="Calibri"/>
          <w:b/>
          <w:color w:val="000000" w:themeColor="text1"/>
        </w:rPr>
        <w:t>Table 2 – UNDP and UNCDF Roles &amp; Responsibilities under Different Collaboration Modalities (Illustrative)</w:t>
      </w:r>
    </w:p>
    <w:tbl>
      <w:tblPr>
        <w:tblStyle w:val="GridTable4-Accent1"/>
        <w:tblW w:w="9355" w:type="dxa"/>
        <w:tblLook w:val="04A0" w:firstRow="1" w:lastRow="0" w:firstColumn="1" w:lastColumn="0" w:noHBand="0" w:noVBand="1"/>
      </w:tblPr>
      <w:tblGrid>
        <w:gridCol w:w="1795"/>
        <w:gridCol w:w="3690"/>
        <w:gridCol w:w="3870"/>
      </w:tblGrid>
      <w:tr w:rsidR="0068548B" w14:paraId="6ABD3107" w14:textId="77777777" w:rsidTr="008618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5" w:type="dxa"/>
            <w:hideMark/>
          </w:tcPr>
          <w:p w14:paraId="4478109B" w14:textId="77777777" w:rsidR="0068548B" w:rsidRDefault="0068548B" w:rsidP="00861821">
            <w:pPr>
              <w:keepNext/>
              <w:rPr>
                <w:rFonts w:cstheme="minorHAnsi"/>
                <w:sz w:val="20"/>
                <w:szCs w:val="20"/>
              </w:rPr>
            </w:pPr>
            <w:r>
              <w:rPr>
                <w:rFonts w:cstheme="minorHAnsi"/>
                <w:sz w:val="20"/>
                <w:szCs w:val="20"/>
              </w:rPr>
              <w:t>UNCDF’s Potential Role -&gt;</w:t>
            </w:r>
          </w:p>
        </w:tc>
        <w:tc>
          <w:tcPr>
            <w:tcW w:w="3690" w:type="dxa"/>
            <w:vAlign w:val="center"/>
            <w:hideMark/>
          </w:tcPr>
          <w:p w14:paraId="4D21F1A2" w14:textId="77777777" w:rsidR="0068548B" w:rsidRDefault="0068548B" w:rsidP="00861821">
            <w:pPr>
              <w:keepNext/>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Responsible Party</w:t>
            </w:r>
          </w:p>
        </w:tc>
        <w:tc>
          <w:tcPr>
            <w:tcW w:w="3870" w:type="dxa"/>
            <w:vAlign w:val="center"/>
            <w:hideMark/>
          </w:tcPr>
          <w:p w14:paraId="2A3FC033" w14:textId="77777777" w:rsidR="0068548B" w:rsidRDefault="0068548B" w:rsidP="00861821">
            <w:pPr>
              <w:keepNext/>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Technical Service Provider / Agent</w:t>
            </w:r>
          </w:p>
        </w:tc>
      </w:tr>
      <w:tr w:rsidR="0068548B" w14:paraId="18AF3423" w14:textId="77777777" w:rsidTr="00861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70EC4D6" w14:textId="77777777" w:rsidR="0068548B" w:rsidRDefault="0068548B" w:rsidP="00861821">
            <w:pPr>
              <w:rPr>
                <w:rFonts w:cstheme="minorHAnsi"/>
                <w:color w:val="000000" w:themeColor="text1"/>
                <w:sz w:val="20"/>
                <w:szCs w:val="20"/>
              </w:rPr>
            </w:pPr>
            <w:r>
              <w:rPr>
                <w:rFonts w:cstheme="minorHAnsi"/>
                <w:color w:val="000000" w:themeColor="text1"/>
                <w:sz w:val="20"/>
                <w:szCs w:val="20"/>
              </w:rPr>
              <w:t xml:space="preserve">Defining Characteristics </w:t>
            </w:r>
          </w:p>
        </w:tc>
        <w:tc>
          <w:tcPr>
            <w:tcW w:w="3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CA24A25" w14:textId="77777777" w:rsidR="0068548B" w:rsidRDefault="0068548B" w:rsidP="0086182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 xml:space="preserve">UNCDF structures, issues and manages the guarantee for the relevant component of the UNDP programme. </w:t>
            </w:r>
          </w:p>
          <w:p w14:paraId="49031F6B" w14:textId="77777777" w:rsidR="0068548B" w:rsidRDefault="0068548B" w:rsidP="0086182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The guarantee is recorded in UNCDF’s books.</w:t>
            </w:r>
          </w:p>
        </w:tc>
        <w:tc>
          <w:tcPr>
            <w:tcW w:w="3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7D92BA2" w14:textId="77777777" w:rsidR="0068548B" w:rsidRDefault="0068548B" w:rsidP="00861821">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 xml:space="preserve">UNCDF provides technical assistance to UNDP with respect to credit analysis and management for the guarantee instrument. </w:t>
            </w:r>
          </w:p>
          <w:p w14:paraId="016B9E94" w14:textId="77777777" w:rsidR="0068548B" w:rsidRDefault="0068548B" w:rsidP="00861821">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The guarantee is issued and recorded in UNDP’s books.</w:t>
            </w:r>
          </w:p>
        </w:tc>
      </w:tr>
      <w:tr w:rsidR="0068548B" w14:paraId="691DD88D" w14:textId="77777777" w:rsidTr="00861821">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46FE82D" w14:textId="77777777" w:rsidR="0068548B" w:rsidRDefault="0068548B" w:rsidP="00861821">
            <w:pPr>
              <w:rPr>
                <w:rFonts w:cstheme="minorHAnsi"/>
                <w:color w:val="000000" w:themeColor="text1"/>
                <w:sz w:val="20"/>
                <w:szCs w:val="20"/>
              </w:rPr>
            </w:pPr>
            <w:r>
              <w:rPr>
                <w:rFonts w:cstheme="minorHAnsi"/>
                <w:color w:val="000000" w:themeColor="text1"/>
                <w:sz w:val="20"/>
                <w:szCs w:val="20"/>
              </w:rPr>
              <w:t>UNCDF’s Responsibilities</w:t>
            </w:r>
          </w:p>
        </w:tc>
        <w:tc>
          <w:tcPr>
            <w:tcW w:w="3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2AD3F0"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Pre-screening</w:t>
            </w:r>
          </w:p>
          <w:p w14:paraId="1A116842"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cstheme="minorHAnsi"/>
                <w:sz w:val="20"/>
                <w:szCs w:val="20"/>
              </w:rPr>
              <w:t>Due diligence</w:t>
            </w:r>
          </w:p>
          <w:p w14:paraId="28D96171"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Financial &amp; programmatic structuring of the guarantee arrangement</w:t>
            </w:r>
          </w:p>
          <w:p w14:paraId="367BE363"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Risk assessment (incl. due diligence) </w:t>
            </w:r>
          </w:p>
          <w:p w14:paraId="49CF190E"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Drafting guarantee agreement </w:t>
            </w:r>
          </w:p>
          <w:p w14:paraId="29010634"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Investment Committee review</w:t>
            </w:r>
          </w:p>
          <w:p w14:paraId="2757C3BF"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Legal review of guarantee agreement </w:t>
            </w:r>
          </w:p>
          <w:p w14:paraId="6CFD3B78"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Finalizing and signing guarantee agreement with development partner(s) </w:t>
            </w:r>
          </w:p>
          <w:p w14:paraId="49DF5691"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Financial recording of guarantee and covenant monitoring</w:t>
            </w:r>
          </w:p>
          <w:p w14:paraId="1808C8C7"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Ongoing programmatic monitoring </w:t>
            </w:r>
          </w:p>
          <w:p w14:paraId="240B3470"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Termination of the guarantee arrangement</w:t>
            </w:r>
          </w:p>
          <w:p w14:paraId="5CE784BA"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Periodic financial and programmatic reporting to UNDP</w:t>
            </w:r>
          </w:p>
          <w:p w14:paraId="38DBBDD2" w14:textId="77777777" w:rsidR="0068548B" w:rsidRDefault="0068548B" w:rsidP="008960A3">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0"/>
                <w:szCs w:val="20"/>
              </w:rPr>
              <w:t xml:space="preserve">Transfer of unutilized funds back to UNDP </w:t>
            </w:r>
          </w:p>
        </w:tc>
        <w:tc>
          <w:tcPr>
            <w:tcW w:w="3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10DEA7E" w14:textId="77777777" w:rsidR="0068548B" w:rsidRDefault="0068548B" w:rsidP="008960A3">
            <w:pPr>
              <w:pStyle w:val="ListParagraph"/>
              <w:numPr>
                <w:ilvl w:val="0"/>
                <w:numId w:val="48"/>
              </w:numPr>
              <w:ind w:left="241" w:hanging="2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Financial structuring of the guarantee arrangement, incl. exit arrangements</w:t>
            </w:r>
          </w:p>
          <w:p w14:paraId="6DE9CF5E" w14:textId="77777777" w:rsidR="0068548B" w:rsidRDefault="0068548B" w:rsidP="008960A3">
            <w:pPr>
              <w:pStyle w:val="ListParagraph"/>
              <w:numPr>
                <w:ilvl w:val="0"/>
                <w:numId w:val="48"/>
              </w:numPr>
              <w:ind w:left="241" w:hanging="2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Credit appraisal (incl. due diligence) </w:t>
            </w:r>
          </w:p>
          <w:p w14:paraId="3DC5430F" w14:textId="77777777" w:rsidR="0068548B" w:rsidRDefault="0068548B" w:rsidP="008960A3">
            <w:pPr>
              <w:pStyle w:val="ListParagraph"/>
              <w:numPr>
                <w:ilvl w:val="0"/>
                <w:numId w:val="48"/>
              </w:numPr>
              <w:ind w:left="241" w:hanging="27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sz w:val="20"/>
                <w:szCs w:val="20"/>
              </w:rPr>
              <w:t xml:space="preserve">Drafting </w:t>
            </w:r>
            <w:r>
              <w:rPr>
                <w:rFonts w:cstheme="minorHAnsi"/>
                <w:color w:val="000000" w:themeColor="text1"/>
                <w:sz w:val="20"/>
                <w:szCs w:val="20"/>
              </w:rPr>
              <w:t xml:space="preserve">guarantee agreement </w:t>
            </w:r>
          </w:p>
          <w:p w14:paraId="53AA5E4E" w14:textId="77777777" w:rsidR="0068548B" w:rsidRDefault="0068548B" w:rsidP="008960A3">
            <w:pPr>
              <w:pStyle w:val="ListParagraph"/>
              <w:numPr>
                <w:ilvl w:val="0"/>
                <w:numId w:val="48"/>
              </w:numPr>
              <w:ind w:left="241" w:hanging="27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Investment Committee review (TBC)</w:t>
            </w:r>
          </w:p>
          <w:p w14:paraId="49F0B798" w14:textId="77777777" w:rsidR="0068548B" w:rsidRDefault="0068548B" w:rsidP="008960A3">
            <w:pPr>
              <w:pStyle w:val="ListParagraph"/>
              <w:numPr>
                <w:ilvl w:val="0"/>
                <w:numId w:val="48"/>
              </w:numPr>
              <w:ind w:left="241" w:hanging="2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Assisting UNDP in negotiating agreement finalization with development partner(s)</w:t>
            </w:r>
          </w:p>
          <w:p w14:paraId="32C01338" w14:textId="77777777" w:rsidR="0068548B" w:rsidRDefault="0068548B" w:rsidP="008960A3">
            <w:pPr>
              <w:pStyle w:val="ListParagraph"/>
              <w:numPr>
                <w:ilvl w:val="0"/>
                <w:numId w:val="48"/>
              </w:numPr>
              <w:ind w:left="241" w:hanging="2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Ongoing financial management of the guarantee </w:t>
            </w:r>
            <w:r>
              <w:rPr>
                <w:rFonts w:cstheme="minorHAnsi"/>
                <w:b/>
                <w:sz w:val="20"/>
                <w:szCs w:val="20"/>
              </w:rPr>
              <w:t>on behalf of UNDP</w:t>
            </w:r>
            <w:r>
              <w:rPr>
                <w:rFonts w:cstheme="minorHAnsi"/>
                <w:sz w:val="20"/>
                <w:szCs w:val="20"/>
              </w:rPr>
              <w:t>, incl. periodic covenant monitoring, timely fee collection, managing claims (if any), funds disbursement, etc.</w:t>
            </w:r>
          </w:p>
          <w:p w14:paraId="0DAE0C63" w14:textId="77777777" w:rsidR="0068548B" w:rsidRDefault="0068548B" w:rsidP="008960A3">
            <w:pPr>
              <w:pStyle w:val="ListParagraph"/>
              <w:numPr>
                <w:ilvl w:val="0"/>
                <w:numId w:val="48"/>
              </w:numPr>
              <w:ind w:left="241" w:hanging="27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Periodic financial reporting to UNDP</w:t>
            </w:r>
          </w:p>
        </w:tc>
      </w:tr>
      <w:tr w:rsidR="0068548B" w14:paraId="7AA99EB2" w14:textId="77777777" w:rsidTr="00861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0987F8" w14:textId="77777777" w:rsidR="0068548B" w:rsidRDefault="0068548B" w:rsidP="00861821">
            <w:pPr>
              <w:rPr>
                <w:rFonts w:cstheme="minorHAnsi"/>
                <w:color w:val="000000" w:themeColor="text1"/>
                <w:sz w:val="20"/>
                <w:szCs w:val="20"/>
              </w:rPr>
            </w:pPr>
            <w:r>
              <w:rPr>
                <w:rFonts w:cstheme="minorHAnsi"/>
                <w:color w:val="000000" w:themeColor="text1"/>
                <w:sz w:val="20"/>
                <w:szCs w:val="20"/>
              </w:rPr>
              <w:t>UNDP’s Responsibilities</w:t>
            </w:r>
          </w:p>
        </w:tc>
        <w:tc>
          <w:tcPr>
            <w:tcW w:w="3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DB1FA67"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Origination/sourcing of guarantee opportunity </w:t>
            </w:r>
          </w:p>
          <w:p w14:paraId="6FE01BEE"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Initial diagnostic (to confirm that a guarantee is the appropriate financial instrument to use to solve the development challenge)</w:t>
            </w:r>
          </w:p>
          <w:p w14:paraId="039C637D"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Resource mobilization</w:t>
            </w:r>
          </w:p>
          <w:p w14:paraId="21A166CA"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Periodic financial and programmatic reporting to funding partner(s)</w:t>
            </w:r>
          </w:p>
        </w:tc>
        <w:tc>
          <w:tcPr>
            <w:tcW w:w="3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F10596"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lastRenderedPageBreak/>
              <w:t xml:space="preserve">Origination/sourcing of guarantee opportunity </w:t>
            </w:r>
          </w:p>
          <w:p w14:paraId="047019CC"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lastRenderedPageBreak/>
              <w:t>Initial diagnostic (to confirm that a guarantee is the appropriate financial instrument to use to solve the development challenge)</w:t>
            </w:r>
          </w:p>
          <w:p w14:paraId="5B9A5377"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Resource mobilization</w:t>
            </w:r>
          </w:p>
          <w:p w14:paraId="4A80EA73"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 xml:space="preserve">Programmatic structuring of the guarantee arrangement, incl. exit arrangements </w:t>
            </w:r>
          </w:p>
          <w:p w14:paraId="4EAF1F09" w14:textId="77777777" w:rsidR="0068548B" w:rsidRDefault="0068548B" w:rsidP="008960A3">
            <w:pPr>
              <w:pStyle w:val="ListParagraph"/>
              <w:numPr>
                <w:ilvl w:val="0"/>
                <w:numId w:val="48"/>
              </w:numPr>
              <w:ind w:left="241" w:hanging="27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Legal review of guarantee agreement</w:t>
            </w:r>
          </w:p>
          <w:p w14:paraId="2F466D45" w14:textId="77777777" w:rsidR="0068548B" w:rsidRDefault="0068548B" w:rsidP="008960A3">
            <w:pPr>
              <w:pStyle w:val="ListParagraph"/>
              <w:numPr>
                <w:ilvl w:val="0"/>
                <w:numId w:val="48"/>
              </w:numPr>
              <w:ind w:left="241" w:hanging="27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Management review of the guarantee arrangement</w:t>
            </w:r>
          </w:p>
          <w:p w14:paraId="3BDAB11B" w14:textId="77777777" w:rsidR="0068548B" w:rsidRDefault="0068548B" w:rsidP="008960A3">
            <w:pPr>
              <w:pStyle w:val="ListParagraph"/>
              <w:numPr>
                <w:ilvl w:val="0"/>
                <w:numId w:val="48"/>
              </w:numPr>
              <w:ind w:left="241" w:hanging="27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 xml:space="preserve">Finalizing and signing guarantee agreement with development partner(s) </w:t>
            </w:r>
          </w:p>
          <w:p w14:paraId="4FC925C2" w14:textId="77777777" w:rsidR="0068548B" w:rsidRDefault="0068548B" w:rsidP="008960A3">
            <w:pPr>
              <w:pStyle w:val="ListParagraph"/>
              <w:numPr>
                <w:ilvl w:val="0"/>
                <w:numId w:val="48"/>
              </w:numPr>
              <w:ind w:left="241" w:hanging="27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Financial recording of guarantee</w:t>
            </w:r>
          </w:p>
          <w:p w14:paraId="72BA7238" w14:textId="77777777" w:rsidR="0068548B" w:rsidRDefault="0068548B" w:rsidP="008960A3">
            <w:pPr>
              <w:pStyle w:val="ListParagraph"/>
              <w:numPr>
                <w:ilvl w:val="0"/>
                <w:numId w:val="48"/>
              </w:numPr>
              <w:ind w:left="241" w:hanging="27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 xml:space="preserve">Ongoing programmatic monitoring </w:t>
            </w:r>
          </w:p>
          <w:p w14:paraId="75BCBA03"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Exiting the guarantee arrangement</w:t>
            </w:r>
          </w:p>
          <w:p w14:paraId="6439060A" w14:textId="77777777" w:rsidR="0068548B" w:rsidRDefault="0068548B" w:rsidP="008960A3">
            <w:pPr>
              <w:pStyle w:val="ListParagraph"/>
              <w:numPr>
                <w:ilvl w:val="0"/>
                <w:numId w:val="48"/>
              </w:numPr>
              <w:ind w:left="241" w:hanging="241"/>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Periodic financial and programmatic reporting to funding partner(s)</w:t>
            </w:r>
          </w:p>
        </w:tc>
      </w:tr>
      <w:tr w:rsidR="0068548B" w14:paraId="75DB5267" w14:textId="77777777" w:rsidTr="00861821">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3A1689" w14:textId="77777777" w:rsidR="0068548B" w:rsidRDefault="0068548B" w:rsidP="00861821">
            <w:pPr>
              <w:rPr>
                <w:rFonts w:cstheme="minorHAnsi"/>
                <w:color w:val="000000" w:themeColor="text1"/>
                <w:sz w:val="20"/>
                <w:szCs w:val="20"/>
              </w:rPr>
            </w:pPr>
            <w:r>
              <w:rPr>
                <w:rFonts w:cstheme="minorHAnsi"/>
                <w:color w:val="000000" w:themeColor="text1"/>
                <w:sz w:val="20"/>
                <w:szCs w:val="20"/>
              </w:rPr>
              <w:lastRenderedPageBreak/>
              <w:t>Engagement Arrangements</w:t>
            </w:r>
          </w:p>
        </w:tc>
        <w:tc>
          <w:tcPr>
            <w:tcW w:w="3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7F79FC" w14:textId="77777777" w:rsidR="0068548B" w:rsidRDefault="0068548B" w:rsidP="008960A3">
            <w:pPr>
              <w:pStyle w:val="ListParagraph"/>
              <w:numPr>
                <w:ilvl w:val="0"/>
                <w:numId w:val="49"/>
              </w:numPr>
              <w:ind w:left="301" w:hanging="301"/>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Project document</w:t>
            </w:r>
          </w:p>
          <w:p w14:paraId="007787D3" w14:textId="77777777" w:rsidR="0068548B" w:rsidRDefault="0068548B" w:rsidP="008960A3">
            <w:pPr>
              <w:pStyle w:val="ListParagraph"/>
              <w:numPr>
                <w:ilvl w:val="0"/>
                <w:numId w:val="49"/>
              </w:numPr>
              <w:ind w:left="301" w:hanging="301"/>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Standard UN to UN Agreement </w:t>
            </w:r>
          </w:p>
          <w:p w14:paraId="04A263E0" w14:textId="77777777" w:rsidR="0068548B" w:rsidRDefault="0068548B" w:rsidP="008960A3">
            <w:pPr>
              <w:pStyle w:val="ListParagraph"/>
              <w:numPr>
                <w:ilvl w:val="0"/>
                <w:numId w:val="49"/>
              </w:numPr>
              <w:ind w:left="301" w:hanging="301"/>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Guarantee funds transferred to UNCDF at agreement finalization </w:t>
            </w:r>
          </w:p>
        </w:tc>
        <w:tc>
          <w:tcPr>
            <w:tcW w:w="3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4DE4105" w14:textId="77777777" w:rsidR="0068548B" w:rsidRDefault="0068548B" w:rsidP="008960A3">
            <w:pPr>
              <w:pStyle w:val="ListParagraph"/>
              <w:numPr>
                <w:ilvl w:val="0"/>
                <w:numId w:val="49"/>
              </w:numPr>
              <w:ind w:left="256" w:hanging="256"/>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SLA Agreement (TBD)</w:t>
            </w:r>
          </w:p>
          <w:p w14:paraId="3D714E71" w14:textId="77777777" w:rsidR="0068548B" w:rsidRDefault="0068548B" w:rsidP="008960A3">
            <w:pPr>
              <w:pStyle w:val="ListParagraph"/>
              <w:numPr>
                <w:ilvl w:val="0"/>
                <w:numId w:val="49"/>
              </w:numPr>
              <w:ind w:left="256" w:hanging="256"/>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 xml:space="preserve">Guarantee funds retained and managed by UNDP through the project cycle. </w:t>
            </w:r>
          </w:p>
          <w:p w14:paraId="3EDB15AD" w14:textId="77777777" w:rsidR="0068548B" w:rsidRDefault="0068548B" w:rsidP="008960A3">
            <w:pPr>
              <w:pStyle w:val="ListParagraph"/>
              <w:numPr>
                <w:ilvl w:val="0"/>
                <w:numId w:val="49"/>
              </w:numPr>
              <w:ind w:left="256" w:hanging="256"/>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Funds for payout of approved claim(s) transferred to UNCDF when required</w:t>
            </w:r>
          </w:p>
        </w:tc>
      </w:tr>
      <w:tr w:rsidR="0068548B" w14:paraId="1677FB96" w14:textId="77777777" w:rsidTr="00861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9F54156" w14:textId="77777777" w:rsidR="0068548B" w:rsidRDefault="0068548B" w:rsidP="00861821">
            <w:pPr>
              <w:rPr>
                <w:rFonts w:cstheme="minorHAnsi"/>
                <w:color w:val="000000" w:themeColor="text1"/>
                <w:sz w:val="20"/>
                <w:szCs w:val="20"/>
              </w:rPr>
            </w:pPr>
            <w:r>
              <w:rPr>
                <w:rFonts w:cstheme="minorHAnsi"/>
                <w:color w:val="000000" w:themeColor="text1"/>
                <w:sz w:val="20"/>
                <w:szCs w:val="20"/>
              </w:rPr>
              <w:t>UNCDF’s Cost Recovery</w:t>
            </w:r>
          </w:p>
        </w:tc>
        <w:tc>
          <w:tcPr>
            <w:tcW w:w="369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0D86D43" w14:textId="77777777" w:rsidR="0068548B" w:rsidRDefault="0068548B" w:rsidP="008960A3">
            <w:pPr>
              <w:pStyle w:val="ListParagraph"/>
              <w:numPr>
                <w:ilvl w:val="0"/>
                <w:numId w:val="50"/>
              </w:numPr>
              <w:ind w:left="301" w:hanging="301"/>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Standard RP arrangement with recovery of:</w:t>
            </w:r>
          </w:p>
          <w:p w14:paraId="19E48845" w14:textId="77777777" w:rsidR="0068548B" w:rsidRDefault="0068548B" w:rsidP="008960A3">
            <w:pPr>
              <w:pStyle w:val="ListParagraph"/>
              <w:numPr>
                <w:ilvl w:val="1"/>
                <w:numId w:val="50"/>
              </w:numPr>
              <w:ind w:left="661"/>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Direct costs </w:t>
            </w:r>
          </w:p>
          <w:p w14:paraId="6F4C8C3D" w14:textId="77777777" w:rsidR="0068548B" w:rsidRDefault="0068548B" w:rsidP="008960A3">
            <w:pPr>
              <w:pStyle w:val="ListParagraph"/>
              <w:numPr>
                <w:ilvl w:val="1"/>
                <w:numId w:val="50"/>
              </w:numPr>
              <w:ind w:left="661"/>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Indirect </w:t>
            </w:r>
            <w:r>
              <w:rPr>
                <w:rFonts w:cstheme="minorHAnsi"/>
                <w:color w:val="000000" w:themeColor="text1"/>
                <w:sz w:val="20"/>
                <w:szCs w:val="20"/>
              </w:rPr>
              <w:t>costs (net of guarantee fee)</w:t>
            </w:r>
          </w:p>
        </w:tc>
        <w:tc>
          <w:tcPr>
            <w:tcW w:w="3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AD03CF" w14:textId="77777777" w:rsidR="0068548B" w:rsidRDefault="0068548B" w:rsidP="008960A3">
            <w:pPr>
              <w:pStyle w:val="ListParagraph"/>
              <w:numPr>
                <w:ilvl w:val="0"/>
                <w:numId w:val="50"/>
              </w:numPr>
              <w:ind w:left="256" w:hanging="270"/>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Fee for services </w:t>
            </w:r>
          </w:p>
        </w:tc>
      </w:tr>
    </w:tbl>
    <w:p w14:paraId="13FB65BD" w14:textId="77777777" w:rsidR="0068548B" w:rsidRPr="001D2C47" w:rsidRDefault="0068548B" w:rsidP="0068548B">
      <w:pPr>
        <w:rPr>
          <w:rFonts w:ascii="Calibri" w:hAnsi="Calibri" w:cs="Calibri"/>
          <w:lang w:eastAsia="zh-CN"/>
        </w:rPr>
      </w:pPr>
    </w:p>
    <w:p w14:paraId="2E7AB8A3" w14:textId="77777777" w:rsidR="0068548B" w:rsidRPr="001D2C47" w:rsidRDefault="0068548B" w:rsidP="008960A3">
      <w:pPr>
        <w:pStyle w:val="ListParagraph"/>
        <w:keepNext/>
        <w:numPr>
          <w:ilvl w:val="0"/>
          <w:numId w:val="24"/>
        </w:numPr>
        <w:spacing w:after="200" w:line="276" w:lineRule="auto"/>
        <w:ind w:left="360"/>
        <w:contextualSpacing w:val="0"/>
        <w:jc w:val="both"/>
        <w:rPr>
          <w:rFonts w:ascii="Calibri" w:hAnsi="Calibri" w:cs="Calibri"/>
          <w:b/>
          <w:u w:val="single"/>
        </w:rPr>
      </w:pPr>
      <w:r w:rsidRPr="001D2C47">
        <w:rPr>
          <w:rFonts w:ascii="Calibri" w:hAnsi="Calibri" w:cs="Calibri"/>
          <w:b/>
          <w:color w:val="000000" w:themeColor="text1"/>
          <w:u w:val="single"/>
        </w:rPr>
        <w:t>Operational</w:t>
      </w:r>
      <w:r w:rsidRPr="001D2C47">
        <w:rPr>
          <w:rFonts w:ascii="Calibri" w:hAnsi="Calibri" w:cs="Calibri"/>
          <w:b/>
          <w:u w:val="single"/>
        </w:rPr>
        <w:t xml:space="preserve"> Modalities and Cost-Recovery Considerations:</w:t>
      </w:r>
    </w:p>
    <w:p w14:paraId="350A08CD" w14:textId="77777777" w:rsidR="0068548B" w:rsidRPr="002123A0" w:rsidRDefault="0068548B" w:rsidP="008960A3">
      <w:pPr>
        <w:pStyle w:val="ListParagraph"/>
        <w:numPr>
          <w:ilvl w:val="0"/>
          <w:numId w:val="23"/>
        </w:numPr>
        <w:spacing w:after="200" w:line="276" w:lineRule="auto"/>
        <w:ind w:left="360"/>
        <w:contextualSpacing w:val="0"/>
        <w:jc w:val="both"/>
        <w:rPr>
          <w:rFonts w:ascii="Calibri" w:hAnsi="Calibri" w:cs="Calibri"/>
          <w:color w:val="000000" w:themeColor="text1"/>
        </w:rPr>
      </w:pPr>
      <w:r w:rsidRPr="002123A0">
        <w:rPr>
          <w:rFonts w:ascii="Calibri" w:hAnsi="Calibri" w:cs="Calibri"/>
          <w:color w:val="000000" w:themeColor="text1"/>
        </w:rPr>
        <w:t>As noted in the previous tables, in cases where UNCDF acts as a Responsible Party to UNDP in a project under direct implementation modality (DIM) or Country Office Support Services to national implementation modality (NIM), a UN to UN agency agreement will be the applicable engagement instrument.</w:t>
      </w:r>
    </w:p>
    <w:p w14:paraId="5D00742B" w14:textId="77777777" w:rsidR="0068548B" w:rsidRPr="002123A0" w:rsidRDefault="0068548B" w:rsidP="008960A3">
      <w:pPr>
        <w:pStyle w:val="ListParagraph"/>
        <w:numPr>
          <w:ilvl w:val="0"/>
          <w:numId w:val="23"/>
        </w:numPr>
        <w:spacing w:after="200" w:line="276" w:lineRule="auto"/>
        <w:ind w:left="360"/>
        <w:contextualSpacing w:val="0"/>
        <w:jc w:val="both"/>
        <w:rPr>
          <w:rFonts w:ascii="Calibri" w:hAnsi="Calibri" w:cs="Calibri"/>
          <w:color w:val="000000" w:themeColor="text1"/>
        </w:rPr>
      </w:pPr>
      <w:r w:rsidRPr="002123A0">
        <w:rPr>
          <w:rFonts w:ascii="Calibri" w:hAnsi="Calibri" w:cs="Calibri"/>
          <w:color w:val="000000" w:themeColor="text1"/>
        </w:rPr>
        <w:t>In such cases it is expected that the fully-loaded cost of UNCDF performing the scope of work elaborated in the agreement is covered in the Budget Section of such agreement and fully covered under the applicable project/program budget. This includes both direct costs and indirect support costs (net of guarantee fee). The delivery of any project funds allocated under such a Responsible Party modality will be attributed to UNDP’s overall delivery in the context of the project.</w:t>
      </w:r>
    </w:p>
    <w:p w14:paraId="75756B56" w14:textId="77777777" w:rsidR="0068548B" w:rsidRPr="002123A0" w:rsidRDefault="0068548B" w:rsidP="008960A3">
      <w:pPr>
        <w:pStyle w:val="ListParagraph"/>
        <w:numPr>
          <w:ilvl w:val="0"/>
          <w:numId w:val="23"/>
        </w:numPr>
        <w:spacing w:after="200" w:line="276" w:lineRule="auto"/>
        <w:ind w:left="360"/>
        <w:contextualSpacing w:val="0"/>
        <w:jc w:val="both"/>
        <w:rPr>
          <w:rFonts w:ascii="Calibri" w:hAnsi="Calibri" w:cs="Calibri"/>
          <w:color w:val="000000" w:themeColor="text1"/>
        </w:rPr>
      </w:pPr>
      <w:r w:rsidRPr="002123A0">
        <w:rPr>
          <w:rFonts w:ascii="Calibri" w:hAnsi="Calibri" w:cs="Calibri"/>
          <w:color w:val="000000" w:themeColor="text1"/>
        </w:rPr>
        <w:lastRenderedPageBreak/>
        <w:t>In the case of UNCDF acting as a technical service provider, the cost of UNCDF providing the service will be agreed and covered in the project budget.</w:t>
      </w:r>
    </w:p>
    <w:p w14:paraId="34A3BAA7" w14:textId="77777777" w:rsidR="0068548B" w:rsidRPr="001D2C47" w:rsidRDefault="0068548B" w:rsidP="008960A3">
      <w:pPr>
        <w:pStyle w:val="ListParagraph"/>
        <w:numPr>
          <w:ilvl w:val="0"/>
          <w:numId w:val="23"/>
        </w:numPr>
        <w:spacing w:after="200" w:line="276" w:lineRule="auto"/>
        <w:ind w:left="360"/>
        <w:contextualSpacing w:val="0"/>
        <w:jc w:val="both"/>
        <w:rPr>
          <w:rFonts w:ascii="Calibri" w:hAnsi="Calibri" w:cs="Calibri"/>
        </w:rPr>
      </w:pPr>
      <w:r w:rsidRPr="002123A0">
        <w:rPr>
          <w:rFonts w:ascii="Calibri" w:hAnsi="Calibri" w:cs="Calibri"/>
          <w:color w:val="000000" w:themeColor="text1"/>
        </w:rPr>
        <w:t>In both</w:t>
      </w:r>
      <w:r w:rsidRPr="001D2C47">
        <w:rPr>
          <w:rFonts w:ascii="Calibri" w:hAnsi="Calibri" w:cs="Calibri"/>
        </w:rPr>
        <w:t xml:space="preserve"> scenarios, the financial regulations and rules of UNCDF will apply only to the extent that they do not contravene the principles of UNDP’s Financial Regulations and Rules.</w:t>
      </w:r>
    </w:p>
    <w:p w14:paraId="51C863AA" w14:textId="77777777" w:rsidR="00941C23" w:rsidRDefault="00941C23">
      <w:pPr>
        <w:rPr>
          <w:rFonts w:ascii="Calibri" w:eastAsia="Times New Roman" w:hAnsi="Calibri" w:cs="Times New Roman"/>
          <w:b/>
          <w:bCs/>
          <w:color w:val="1F497D"/>
          <w:sz w:val="28"/>
          <w:szCs w:val="28"/>
        </w:rPr>
      </w:pPr>
    </w:p>
    <w:p w14:paraId="0FA4570A" w14:textId="77777777" w:rsidR="00941C23" w:rsidRDefault="00941C23">
      <w:pPr>
        <w:rPr>
          <w:rFonts w:ascii="Calibri" w:eastAsia="Times New Roman" w:hAnsi="Calibri" w:cs="Times New Roman"/>
          <w:b/>
          <w:bCs/>
          <w:color w:val="1F497D"/>
          <w:sz w:val="28"/>
          <w:szCs w:val="28"/>
        </w:rPr>
      </w:pPr>
      <w:r>
        <w:br w:type="page"/>
      </w:r>
    </w:p>
    <w:p w14:paraId="2EABCBCA" w14:textId="77777777" w:rsidR="00BA73C8" w:rsidRPr="00D75C03" w:rsidRDefault="005E7478" w:rsidP="00D75C03">
      <w:pPr>
        <w:pStyle w:val="Heading1"/>
        <w:numPr>
          <w:ilvl w:val="0"/>
          <w:numId w:val="0"/>
        </w:numPr>
        <w:jc w:val="center"/>
      </w:pPr>
      <w:bookmarkStart w:id="191" w:name="_Annex_2:_Key"/>
      <w:bookmarkStart w:id="192" w:name="_Toc2339938"/>
      <w:bookmarkStart w:id="193" w:name="_Toc121313796"/>
      <w:bookmarkEnd w:id="191"/>
      <w:r>
        <w:lastRenderedPageBreak/>
        <w:t xml:space="preserve">Annex 2: </w:t>
      </w:r>
      <w:r w:rsidR="00EB4A71">
        <w:t xml:space="preserve">Key Principles to be Included in Guarantee </w:t>
      </w:r>
      <w:r w:rsidR="00722038">
        <w:t xml:space="preserve">Issuer </w:t>
      </w:r>
      <w:r w:rsidR="00EB4A71">
        <w:t>Agreements</w:t>
      </w:r>
      <w:bookmarkEnd w:id="192"/>
      <w:r w:rsidR="00722038">
        <w:t xml:space="preserve"> and Guarantee Agreements</w:t>
      </w:r>
      <w:bookmarkEnd w:id="193"/>
    </w:p>
    <w:p w14:paraId="0FB5BDDB" w14:textId="77777777" w:rsidR="0068284E" w:rsidRPr="00722038" w:rsidRDefault="0068284E" w:rsidP="00C24B40">
      <w:pPr>
        <w:rPr>
          <w:lang w:val="en-GB"/>
        </w:rPr>
      </w:pPr>
    </w:p>
    <w:p w14:paraId="4A413A3F" w14:textId="55BC121E" w:rsidR="00722038" w:rsidRPr="00722038" w:rsidRDefault="00722038" w:rsidP="00750D26">
      <w:pPr>
        <w:spacing w:line="276" w:lineRule="auto"/>
        <w:jc w:val="both"/>
        <w:rPr>
          <w:lang w:val="en-GB"/>
        </w:rPr>
      </w:pPr>
      <w:r w:rsidRPr="00722038">
        <w:rPr>
          <w:lang w:val="en-GB"/>
        </w:rPr>
        <w:t xml:space="preserve">The </w:t>
      </w:r>
      <w:r w:rsidR="00F86EA3">
        <w:rPr>
          <w:lang w:val="en-GB"/>
        </w:rPr>
        <w:t xml:space="preserve">following </w:t>
      </w:r>
      <w:r w:rsidRPr="00722038">
        <w:rPr>
          <w:lang w:val="en-GB"/>
        </w:rPr>
        <w:t xml:space="preserve">key elements </w:t>
      </w:r>
      <w:r w:rsidR="00CE4121">
        <w:rPr>
          <w:lang w:val="en-GB"/>
        </w:rPr>
        <w:t>must</w:t>
      </w:r>
      <w:r w:rsidRPr="00722038">
        <w:rPr>
          <w:lang w:val="en-GB"/>
        </w:rPr>
        <w:t xml:space="preserve"> be included in Guarantee Issuer Agreements between UNDP and the Guarantee Issuer</w:t>
      </w:r>
      <w:r w:rsidR="00F86EA3" w:rsidRPr="00F86EA3">
        <w:rPr>
          <w:lang w:val="en-GB"/>
        </w:rPr>
        <w:t xml:space="preserve">, </w:t>
      </w:r>
      <w:r w:rsidR="00AF56A0">
        <w:rPr>
          <w:lang w:val="en-GB"/>
        </w:rPr>
        <w:t xml:space="preserve">including in </w:t>
      </w:r>
      <w:r w:rsidR="00F86EA3" w:rsidRPr="00F86EA3">
        <w:rPr>
          <w:lang w:val="en-GB"/>
        </w:rPr>
        <w:t xml:space="preserve">the </w:t>
      </w:r>
      <w:r w:rsidR="00F86EA3">
        <w:rPr>
          <w:lang w:val="en-GB"/>
        </w:rPr>
        <w:t>UN</w:t>
      </w:r>
      <w:r w:rsidR="00AF56A0">
        <w:rPr>
          <w:lang w:val="en-GB"/>
        </w:rPr>
        <w:t>-</w:t>
      </w:r>
      <w:r w:rsidR="00F86EA3">
        <w:rPr>
          <w:lang w:val="en-GB"/>
        </w:rPr>
        <w:t>to</w:t>
      </w:r>
      <w:r w:rsidR="00AF56A0">
        <w:rPr>
          <w:lang w:val="en-GB"/>
        </w:rPr>
        <w:t>-</w:t>
      </w:r>
      <w:r w:rsidR="00F86EA3">
        <w:rPr>
          <w:lang w:val="en-GB"/>
        </w:rPr>
        <w:t>UN Agency Contribution A</w:t>
      </w:r>
      <w:r w:rsidR="00F86EA3" w:rsidRPr="00F86EA3">
        <w:rPr>
          <w:lang w:val="en-GB"/>
        </w:rPr>
        <w:t>greement when the Guarantee Issuer is UNCDF</w:t>
      </w:r>
      <w:r w:rsidRPr="00722038">
        <w:rPr>
          <w:lang w:val="en-GB"/>
        </w:rPr>
        <w:t>:</w:t>
      </w:r>
    </w:p>
    <w:p w14:paraId="43646BDD"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Procedures for fund management and reporting to UNDP</w:t>
      </w:r>
    </w:p>
    <w:p w14:paraId="7E8AC31D"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Liability limits of the different parties</w:t>
      </w:r>
    </w:p>
    <w:p w14:paraId="2C6C3AD4"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Procedures governing disbursement of funds by UNDP</w:t>
      </w:r>
    </w:p>
    <w:p w14:paraId="4F19A444" w14:textId="2B0FE7C2"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 xml:space="preserve">Procedures governing selection of lenders and disbursement of funds to lenders by guarantee </w:t>
      </w:r>
      <w:r w:rsidR="008945C2">
        <w:rPr>
          <w:lang w:val="en-GB"/>
        </w:rPr>
        <w:t>issuer</w:t>
      </w:r>
    </w:p>
    <w:p w14:paraId="25BFA8F6"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Expected guarantee leverage ratio</w:t>
      </w:r>
    </w:p>
    <w:p w14:paraId="44C19A31"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Seniority of UNDP funds vs. other guarantors and debtors</w:t>
      </w:r>
    </w:p>
    <w:p w14:paraId="524525D0" w14:textId="75D93D64"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Operating costs (guarantee fees, origination, management and technical assistance costs, interest to be paid on guarantee fund</w:t>
      </w:r>
      <w:r w:rsidR="00F93793">
        <w:rPr>
          <w:lang w:val="en-GB"/>
        </w:rPr>
        <w:t>s</w:t>
      </w:r>
      <w:r w:rsidRPr="00722038">
        <w:rPr>
          <w:lang w:val="en-GB"/>
        </w:rPr>
        <w:t>)</w:t>
      </w:r>
    </w:p>
    <w:p w14:paraId="41C87880" w14:textId="1C3AD5AB"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 xml:space="preserve">Services and cost-sharing to be provided by guarantee </w:t>
      </w:r>
      <w:r w:rsidR="00F93793">
        <w:rPr>
          <w:lang w:val="en-GB"/>
        </w:rPr>
        <w:t xml:space="preserve">issuer </w:t>
      </w:r>
      <w:r w:rsidRPr="00722038">
        <w:rPr>
          <w:lang w:val="en-GB"/>
        </w:rPr>
        <w:t>(e.g. staff, office space and equipment, co-financing, etc.)</w:t>
      </w:r>
    </w:p>
    <w:p w14:paraId="42C39B78"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Accounting and financial reporting requirements</w:t>
      </w:r>
    </w:p>
    <w:p w14:paraId="653023AE"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Profitability/financial criteria and benchmarks for the entire loan guarantee portfolio (e.g. overall payback time, IRR etc., of the portfolio of projects)</w:t>
      </w:r>
    </w:p>
    <w:p w14:paraId="02D5C94B" w14:textId="77777777"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What constitutes breach of agreement, covenants regarding return of funds</w:t>
      </w:r>
    </w:p>
    <w:p w14:paraId="7AA3D090" w14:textId="77777777" w:rsidR="006A66E5" w:rsidRDefault="006A66E5" w:rsidP="00750D26">
      <w:pPr>
        <w:pStyle w:val="Header"/>
        <w:numPr>
          <w:ilvl w:val="0"/>
          <w:numId w:val="44"/>
        </w:numPr>
        <w:tabs>
          <w:tab w:val="clear" w:pos="4680"/>
          <w:tab w:val="clear" w:pos="9360"/>
        </w:tabs>
        <w:spacing w:line="276" w:lineRule="auto"/>
        <w:jc w:val="both"/>
        <w:rPr>
          <w:lang w:val="en-GB"/>
        </w:rPr>
      </w:pPr>
      <w:r w:rsidRPr="00B2510C">
        <w:rPr>
          <w:lang w:val="en-GB"/>
        </w:rPr>
        <w:t>Covenants regarding the Guarantee Issuer must include requirements to:</w:t>
      </w:r>
    </w:p>
    <w:p w14:paraId="1AF2442B" w14:textId="77777777" w:rsidR="006A66E5" w:rsidRDefault="006A66E5" w:rsidP="00750D26">
      <w:pPr>
        <w:pStyle w:val="Header"/>
        <w:numPr>
          <w:ilvl w:val="1"/>
          <w:numId w:val="44"/>
        </w:numPr>
        <w:tabs>
          <w:tab w:val="clear" w:pos="4680"/>
          <w:tab w:val="clear" w:pos="9360"/>
        </w:tabs>
        <w:spacing w:line="276" w:lineRule="auto"/>
        <w:jc w:val="both"/>
        <w:rPr>
          <w:lang w:val="en-GB"/>
        </w:rPr>
      </w:pPr>
      <w:r w:rsidRPr="006A66E5">
        <w:rPr>
          <w:lang w:val="en-GB"/>
        </w:rPr>
        <w:t>Maintain its books and records, and prepare its reporting in accordance with applicable standards</w:t>
      </w:r>
    </w:p>
    <w:p w14:paraId="3963358D" w14:textId="77777777" w:rsidR="00003991" w:rsidRDefault="006A66E5" w:rsidP="00750D26">
      <w:pPr>
        <w:pStyle w:val="Header"/>
        <w:numPr>
          <w:ilvl w:val="1"/>
          <w:numId w:val="44"/>
        </w:numPr>
        <w:tabs>
          <w:tab w:val="clear" w:pos="4680"/>
          <w:tab w:val="clear" w:pos="9360"/>
        </w:tabs>
        <w:spacing w:line="276" w:lineRule="auto"/>
        <w:jc w:val="both"/>
        <w:rPr>
          <w:lang w:val="en-GB"/>
        </w:rPr>
      </w:pPr>
      <w:r w:rsidRPr="006A66E5">
        <w:rPr>
          <w:lang w:val="en-GB"/>
        </w:rPr>
        <w:t xml:space="preserve">Periodically monitor the lending activities of the </w:t>
      </w:r>
      <w:r w:rsidR="00003991">
        <w:rPr>
          <w:lang w:val="en-GB"/>
        </w:rPr>
        <w:t>l</w:t>
      </w:r>
      <w:r w:rsidRPr="006A66E5">
        <w:rPr>
          <w:lang w:val="en-GB"/>
        </w:rPr>
        <w:t>ender and ensure compliance to UNDP criteria and eligibility requirements</w:t>
      </w:r>
    </w:p>
    <w:p w14:paraId="7858DA08" w14:textId="77777777" w:rsidR="00003991" w:rsidRDefault="006A66E5" w:rsidP="00750D26">
      <w:pPr>
        <w:pStyle w:val="Header"/>
        <w:numPr>
          <w:ilvl w:val="1"/>
          <w:numId w:val="44"/>
        </w:numPr>
        <w:tabs>
          <w:tab w:val="clear" w:pos="4680"/>
          <w:tab w:val="clear" w:pos="9360"/>
        </w:tabs>
        <w:spacing w:line="276" w:lineRule="auto"/>
        <w:jc w:val="both"/>
        <w:rPr>
          <w:lang w:val="en-GB"/>
        </w:rPr>
      </w:pPr>
      <w:r w:rsidRPr="00003991">
        <w:rPr>
          <w:lang w:val="en-GB"/>
        </w:rPr>
        <w:t>Retain all material information relating to the guaranteed loan(s)</w:t>
      </w:r>
    </w:p>
    <w:p w14:paraId="0BEA3D8B" w14:textId="24AF68EC" w:rsidR="006A66E5" w:rsidRPr="0055212F" w:rsidRDefault="006A66E5" w:rsidP="00750D26">
      <w:pPr>
        <w:pStyle w:val="Header"/>
        <w:numPr>
          <w:ilvl w:val="1"/>
          <w:numId w:val="44"/>
        </w:numPr>
        <w:tabs>
          <w:tab w:val="clear" w:pos="4680"/>
          <w:tab w:val="clear" w:pos="9360"/>
        </w:tabs>
        <w:spacing w:line="276" w:lineRule="auto"/>
        <w:jc w:val="both"/>
        <w:rPr>
          <w:lang w:val="en-GB"/>
        </w:rPr>
      </w:pPr>
      <w:r w:rsidRPr="00003991">
        <w:rPr>
          <w:lang w:val="en-GB"/>
        </w:rPr>
        <w:t>Periodic progress reporting to UNDP and promptly furnishing UNDP with any information UNDP may reasonably request</w:t>
      </w:r>
    </w:p>
    <w:p w14:paraId="5E97F81E" w14:textId="6C5B76D2" w:rsidR="00722038" w:rsidRP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Mechanisms to resolve and arbitrate conflicts among the parties</w:t>
      </w:r>
    </w:p>
    <w:p w14:paraId="071687BF" w14:textId="1CF95106" w:rsidR="00722038" w:rsidRDefault="00722038" w:rsidP="00750D26">
      <w:pPr>
        <w:pStyle w:val="Header"/>
        <w:numPr>
          <w:ilvl w:val="0"/>
          <w:numId w:val="44"/>
        </w:numPr>
        <w:tabs>
          <w:tab w:val="clear" w:pos="4680"/>
          <w:tab w:val="clear" w:pos="9360"/>
        </w:tabs>
        <w:spacing w:line="276" w:lineRule="auto"/>
        <w:jc w:val="both"/>
        <w:rPr>
          <w:lang w:val="en-GB"/>
        </w:rPr>
      </w:pPr>
      <w:r w:rsidRPr="00722038">
        <w:rPr>
          <w:lang w:val="en-GB"/>
        </w:rPr>
        <w:t>Profiles and qualifications of individuals responsible for operating the guarantee fund</w:t>
      </w:r>
    </w:p>
    <w:p w14:paraId="218E345B" w14:textId="58956FC9" w:rsidR="00F86EA3" w:rsidRPr="00F86EA3" w:rsidRDefault="00F86EA3" w:rsidP="00750D26">
      <w:pPr>
        <w:pStyle w:val="Header"/>
        <w:numPr>
          <w:ilvl w:val="0"/>
          <w:numId w:val="44"/>
        </w:numPr>
        <w:spacing w:line="276" w:lineRule="auto"/>
        <w:jc w:val="both"/>
        <w:rPr>
          <w:lang w:val="en-GB"/>
        </w:rPr>
      </w:pPr>
      <w:r w:rsidRPr="00F86EA3">
        <w:rPr>
          <w:lang w:val="en-GB"/>
        </w:rPr>
        <w:t>The non-waiver of UNDP’s P</w:t>
      </w:r>
      <w:r>
        <w:rPr>
          <w:lang w:val="en-GB"/>
        </w:rPr>
        <w:t>rivileges and Immunities</w:t>
      </w:r>
    </w:p>
    <w:p w14:paraId="677B415A" w14:textId="6C35E306" w:rsidR="00F86EA3" w:rsidRPr="00F86EA3" w:rsidRDefault="00F86EA3" w:rsidP="00750D26">
      <w:pPr>
        <w:pStyle w:val="Header"/>
        <w:numPr>
          <w:ilvl w:val="0"/>
          <w:numId w:val="44"/>
        </w:numPr>
        <w:spacing w:line="276" w:lineRule="auto"/>
        <w:jc w:val="both"/>
        <w:rPr>
          <w:lang w:val="en-GB"/>
        </w:rPr>
      </w:pPr>
      <w:r w:rsidRPr="00F86EA3">
        <w:rPr>
          <w:lang w:val="en-GB"/>
        </w:rPr>
        <w:t>Indemnification if the Guarantee Issuer agrees to changes in terms without obtaining UNDP approval, or pays on an unjustified call by the Lender/Borrower or otherwise breaches the terms of the Guarantee Issuer Agreement/Contrac</w:t>
      </w:r>
      <w:r>
        <w:rPr>
          <w:lang w:val="en-GB"/>
        </w:rPr>
        <w:t>t</w:t>
      </w:r>
    </w:p>
    <w:p w14:paraId="07950F01" w14:textId="77777777" w:rsidR="00722038" w:rsidRDefault="00722038" w:rsidP="00750D26">
      <w:pPr>
        <w:spacing w:line="276" w:lineRule="auto"/>
        <w:jc w:val="both"/>
        <w:rPr>
          <w:lang w:val="en-GB"/>
        </w:rPr>
      </w:pPr>
    </w:p>
    <w:p w14:paraId="7C6D41F9" w14:textId="71CD2CB5" w:rsidR="00722038" w:rsidDel="00A65D04" w:rsidRDefault="00FE0677" w:rsidP="00750D26">
      <w:pPr>
        <w:spacing w:line="276" w:lineRule="auto"/>
        <w:jc w:val="both"/>
        <w:rPr>
          <w:lang w:val="en-GB"/>
        </w:rPr>
      </w:pPr>
      <w:r>
        <w:lastRenderedPageBreak/>
        <w:t xml:space="preserve">The payment terms and conditions under the Guarantee Issuer Agreement must align with the actual Guarantee Agreement (signed by the Guarantee Issuer and lending bank), and must specify the following guarantee terms and conditions. </w:t>
      </w:r>
      <w:r w:rsidR="00722038">
        <w:rPr>
          <w:lang w:val="en-GB"/>
        </w:rPr>
        <w:t>While the Guarantee Issuer is free to use its own guarantee template, at a minimum t</w:t>
      </w:r>
      <w:r w:rsidR="00722038" w:rsidRPr="00F82E40">
        <w:rPr>
          <w:lang w:val="en-GB"/>
        </w:rPr>
        <w:t>he following</w:t>
      </w:r>
      <w:r w:rsidR="00722038">
        <w:rPr>
          <w:lang w:val="en-GB"/>
        </w:rPr>
        <w:t xml:space="preserve"> </w:t>
      </w:r>
      <w:r w:rsidR="00722038" w:rsidDel="00A65D04">
        <w:rPr>
          <w:lang w:val="en-GB"/>
        </w:rPr>
        <w:t xml:space="preserve">guarantee terms and conditions </w:t>
      </w:r>
      <w:r w:rsidR="00161FBC">
        <w:rPr>
          <w:lang w:val="en-GB"/>
        </w:rPr>
        <w:t>must</w:t>
      </w:r>
      <w:r w:rsidR="00161FBC" w:rsidDel="00A65D04">
        <w:rPr>
          <w:lang w:val="en-GB"/>
        </w:rPr>
        <w:t xml:space="preserve"> </w:t>
      </w:r>
      <w:r w:rsidR="00722038" w:rsidDel="00A65D04">
        <w:rPr>
          <w:lang w:val="en-GB"/>
        </w:rPr>
        <w:t>appear in the G</w:t>
      </w:r>
      <w:r w:rsidR="00722038" w:rsidRPr="00F82E40" w:rsidDel="00A65D04">
        <w:rPr>
          <w:lang w:val="en-GB"/>
        </w:rPr>
        <w:t xml:space="preserve">uarantee </w:t>
      </w:r>
      <w:r w:rsidR="00722038" w:rsidDel="00A65D04">
        <w:rPr>
          <w:lang w:val="en-GB"/>
        </w:rPr>
        <w:t>Agreement:</w:t>
      </w:r>
    </w:p>
    <w:p w14:paraId="0688D889" w14:textId="77777777" w:rsidR="00722038" w:rsidRPr="00722038" w:rsidRDefault="00722038" w:rsidP="00750D26">
      <w:pPr>
        <w:pStyle w:val="Header"/>
        <w:numPr>
          <w:ilvl w:val="0"/>
          <w:numId w:val="45"/>
        </w:numPr>
        <w:tabs>
          <w:tab w:val="clear" w:pos="4680"/>
          <w:tab w:val="clear" w:pos="9360"/>
        </w:tabs>
        <w:spacing w:line="276" w:lineRule="auto"/>
        <w:jc w:val="both"/>
        <w:rPr>
          <w:lang w:val="en-GB"/>
        </w:rPr>
      </w:pPr>
      <w:r w:rsidRPr="00722038">
        <w:rPr>
          <w:lang w:val="en-GB"/>
        </w:rPr>
        <w:t>Eligible transactions (sector, technology, project type, etc.)</w:t>
      </w:r>
    </w:p>
    <w:p w14:paraId="4AE7A29C" w14:textId="77777777" w:rsidR="00722038" w:rsidRPr="00127615" w:rsidRDefault="00722038" w:rsidP="00750D26">
      <w:pPr>
        <w:pStyle w:val="Header"/>
        <w:numPr>
          <w:ilvl w:val="0"/>
          <w:numId w:val="45"/>
        </w:numPr>
        <w:tabs>
          <w:tab w:val="clear" w:pos="4680"/>
          <w:tab w:val="clear" w:pos="9360"/>
        </w:tabs>
        <w:spacing w:line="276" w:lineRule="auto"/>
        <w:jc w:val="both"/>
        <w:rPr>
          <w:lang w:val="en-GB"/>
        </w:rPr>
      </w:pPr>
      <w:r w:rsidRPr="00722038">
        <w:rPr>
          <w:lang w:val="en-GB"/>
        </w:rPr>
        <w:t>End Borrowers (size, eligibility criteria)</w:t>
      </w:r>
    </w:p>
    <w:p w14:paraId="33562645" w14:textId="6739070D" w:rsidR="00722038" w:rsidRDefault="00722038" w:rsidP="00750D26">
      <w:pPr>
        <w:pStyle w:val="Header"/>
        <w:numPr>
          <w:ilvl w:val="0"/>
          <w:numId w:val="45"/>
        </w:numPr>
        <w:tabs>
          <w:tab w:val="clear" w:pos="4680"/>
          <w:tab w:val="clear" w:pos="9360"/>
        </w:tabs>
        <w:spacing w:line="276" w:lineRule="auto"/>
        <w:jc w:val="both"/>
        <w:rPr>
          <w:lang w:val="en-GB"/>
        </w:rPr>
      </w:pPr>
      <w:r w:rsidRPr="00722038">
        <w:rPr>
          <w:lang w:val="en-GB"/>
        </w:rPr>
        <w:t>Financing terms (guarantee percentage or risk or loan to be guaranteed, tenor, $ size range of individual guarantee (if applicable))</w:t>
      </w:r>
    </w:p>
    <w:p w14:paraId="103140A7" w14:textId="015CF9BF" w:rsidR="00A621D4" w:rsidRDefault="00A621D4" w:rsidP="00750D26">
      <w:pPr>
        <w:pStyle w:val="Header"/>
        <w:numPr>
          <w:ilvl w:val="0"/>
          <w:numId w:val="45"/>
        </w:numPr>
        <w:tabs>
          <w:tab w:val="clear" w:pos="4680"/>
          <w:tab w:val="clear" w:pos="9360"/>
        </w:tabs>
        <w:spacing w:line="276" w:lineRule="auto"/>
        <w:jc w:val="both"/>
        <w:rPr>
          <w:lang w:val="en-GB"/>
        </w:rPr>
      </w:pPr>
      <w:r>
        <w:rPr>
          <w:lang w:val="en-GB"/>
        </w:rPr>
        <w:t xml:space="preserve">Representations, warranties and covenants of the </w:t>
      </w:r>
      <w:r w:rsidR="00A57D1D">
        <w:rPr>
          <w:lang w:val="en-GB"/>
        </w:rPr>
        <w:t>L</w:t>
      </w:r>
      <w:r>
        <w:rPr>
          <w:lang w:val="en-GB"/>
        </w:rPr>
        <w:t>ender (for example, clauses on how the Lender will diligently enforce rights under the Loan Agreement</w:t>
      </w:r>
      <w:r w:rsidR="009E4437">
        <w:rPr>
          <w:lang w:val="en-GB"/>
        </w:rPr>
        <w:t>)</w:t>
      </w:r>
      <w:r w:rsidR="00A26B2B">
        <w:rPr>
          <w:lang w:val="en-GB"/>
        </w:rPr>
        <w:t>, which must include</w:t>
      </w:r>
      <w:r>
        <w:rPr>
          <w:lang w:val="en-GB"/>
        </w:rPr>
        <w:t xml:space="preserve"> require</w:t>
      </w:r>
      <w:r w:rsidR="00A26B2B">
        <w:rPr>
          <w:lang w:val="en-GB"/>
        </w:rPr>
        <w:t>ments</w:t>
      </w:r>
      <w:r>
        <w:rPr>
          <w:lang w:val="en-GB"/>
        </w:rPr>
        <w:t xml:space="preserve"> to:</w:t>
      </w:r>
    </w:p>
    <w:p w14:paraId="1BC812D3" w14:textId="4781344A" w:rsidR="00A57D1D" w:rsidRDefault="00A621D4" w:rsidP="00750D26">
      <w:pPr>
        <w:pStyle w:val="Header"/>
        <w:numPr>
          <w:ilvl w:val="1"/>
          <w:numId w:val="45"/>
        </w:numPr>
        <w:spacing w:line="276" w:lineRule="auto"/>
        <w:jc w:val="both"/>
        <w:rPr>
          <w:lang w:val="en-GB"/>
        </w:rPr>
      </w:pPr>
      <w:r>
        <w:rPr>
          <w:lang w:val="en-GB"/>
        </w:rPr>
        <w:t xml:space="preserve">Maintain </w:t>
      </w:r>
      <w:r w:rsidR="00EA7680">
        <w:rPr>
          <w:lang w:val="en-GB"/>
        </w:rPr>
        <w:t xml:space="preserve">its </w:t>
      </w:r>
      <w:r w:rsidR="00A57D1D">
        <w:rPr>
          <w:lang w:val="en-GB"/>
        </w:rPr>
        <w:t xml:space="preserve">books and records, and prepare </w:t>
      </w:r>
      <w:r w:rsidR="00EA7680">
        <w:rPr>
          <w:lang w:val="en-GB"/>
        </w:rPr>
        <w:t xml:space="preserve">its </w:t>
      </w:r>
      <w:r w:rsidR="00CF4EBB">
        <w:rPr>
          <w:lang w:val="en-GB"/>
        </w:rPr>
        <w:t>report</w:t>
      </w:r>
      <w:r w:rsidR="00EA7680">
        <w:rPr>
          <w:lang w:val="en-GB"/>
        </w:rPr>
        <w:t>ing</w:t>
      </w:r>
      <w:r w:rsidR="007B2800">
        <w:rPr>
          <w:lang w:val="en-GB"/>
        </w:rPr>
        <w:t xml:space="preserve"> in accordance with applicable standards</w:t>
      </w:r>
    </w:p>
    <w:p w14:paraId="04422CAF" w14:textId="77777777" w:rsidR="00282368" w:rsidRPr="00B253CF" w:rsidRDefault="00282368" w:rsidP="00750D26">
      <w:pPr>
        <w:pStyle w:val="Header"/>
        <w:numPr>
          <w:ilvl w:val="1"/>
          <w:numId w:val="45"/>
        </w:numPr>
        <w:spacing w:line="276" w:lineRule="auto"/>
        <w:jc w:val="both"/>
        <w:rPr>
          <w:lang w:val="en-GB"/>
        </w:rPr>
      </w:pPr>
      <w:r w:rsidRPr="00B253CF">
        <w:rPr>
          <w:lang w:val="en-GB"/>
        </w:rPr>
        <w:t xml:space="preserve">Periodically monitor the usage of funds by the Borrower and ensure compliance to </w:t>
      </w:r>
      <w:r>
        <w:rPr>
          <w:lang w:val="en-GB"/>
        </w:rPr>
        <w:t xml:space="preserve">the </w:t>
      </w:r>
      <w:r w:rsidRPr="00B253CF">
        <w:rPr>
          <w:lang w:val="en-GB"/>
        </w:rPr>
        <w:t>criteria and eligibility requirements laid out in the Guarantee Agreement</w:t>
      </w:r>
    </w:p>
    <w:p w14:paraId="6AC41BD8" w14:textId="0CE41221" w:rsidR="00A621D4" w:rsidRDefault="00A57D1D" w:rsidP="00750D26">
      <w:pPr>
        <w:pStyle w:val="Header"/>
        <w:numPr>
          <w:ilvl w:val="1"/>
          <w:numId w:val="45"/>
        </w:numPr>
        <w:spacing w:line="276" w:lineRule="auto"/>
        <w:jc w:val="both"/>
        <w:rPr>
          <w:lang w:val="en-GB"/>
        </w:rPr>
      </w:pPr>
      <w:r>
        <w:rPr>
          <w:lang w:val="en-GB"/>
        </w:rPr>
        <w:t xml:space="preserve">Retain all material information relating to the </w:t>
      </w:r>
      <w:r w:rsidR="00CF4EBB">
        <w:rPr>
          <w:lang w:val="en-GB"/>
        </w:rPr>
        <w:t>g</w:t>
      </w:r>
      <w:r>
        <w:rPr>
          <w:lang w:val="en-GB"/>
        </w:rPr>
        <w:t>uaranteed loan</w:t>
      </w:r>
      <w:r w:rsidR="00273FE6">
        <w:rPr>
          <w:lang w:val="en-GB"/>
        </w:rPr>
        <w:t>(s)</w:t>
      </w:r>
      <w:r w:rsidR="00A621D4">
        <w:rPr>
          <w:lang w:val="en-GB"/>
        </w:rPr>
        <w:t xml:space="preserve"> </w:t>
      </w:r>
    </w:p>
    <w:p w14:paraId="4CB6A4C0" w14:textId="0F67A69A" w:rsidR="00A57D1D" w:rsidRPr="00A61DF1" w:rsidRDefault="00AC09F1" w:rsidP="00750D26">
      <w:pPr>
        <w:pStyle w:val="Header"/>
        <w:numPr>
          <w:ilvl w:val="1"/>
          <w:numId w:val="45"/>
        </w:numPr>
        <w:spacing w:line="276" w:lineRule="auto"/>
        <w:jc w:val="both"/>
        <w:rPr>
          <w:lang w:val="en-GB"/>
        </w:rPr>
      </w:pPr>
      <w:r w:rsidRPr="00684155">
        <w:rPr>
          <w:lang w:val="en-GB"/>
        </w:rPr>
        <w:t xml:space="preserve">Periodic progress reporting to the Guarantee Issuer </w:t>
      </w:r>
      <w:r w:rsidR="00684155">
        <w:rPr>
          <w:lang w:val="en-GB"/>
        </w:rPr>
        <w:t xml:space="preserve">and </w:t>
      </w:r>
      <w:r w:rsidR="004926E3" w:rsidRPr="00684155">
        <w:rPr>
          <w:lang w:val="en-GB"/>
        </w:rPr>
        <w:t>p</w:t>
      </w:r>
      <w:r w:rsidR="00A57D1D" w:rsidRPr="00684155">
        <w:rPr>
          <w:lang w:val="en-GB"/>
        </w:rPr>
        <w:t>romptly furnish</w:t>
      </w:r>
      <w:r w:rsidR="004926E3" w:rsidRPr="00200579">
        <w:rPr>
          <w:lang w:val="en-GB"/>
        </w:rPr>
        <w:t>ing</w:t>
      </w:r>
      <w:r w:rsidR="00A57D1D" w:rsidRPr="00200579">
        <w:rPr>
          <w:lang w:val="en-GB"/>
        </w:rPr>
        <w:t xml:space="preserve"> the </w:t>
      </w:r>
      <w:r w:rsidR="00A57D1D" w:rsidRPr="00684155">
        <w:rPr>
          <w:lang w:val="en-GB"/>
        </w:rPr>
        <w:t xml:space="preserve">Guarantee Issuer with any information </w:t>
      </w:r>
      <w:r w:rsidR="00684155" w:rsidRPr="00684155">
        <w:rPr>
          <w:lang w:val="en-GB"/>
        </w:rPr>
        <w:t xml:space="preserve">it </w:t>
      </w:r>
      <w:r w:rsidR="00A57D1D" w:rsidRPr="00684155">
        <w:rPr>
          <w:lang w:val="en-GB"/>
        </w:rPr>
        <w:t>may reasonably request</w:t>
      </w:r>
      <w:r w:rsidR="00684155">
        <w:rPr>
          <w:lang w:val="en-GB"/>
        </w:rPr>
        <w:t>.</w:t>
      </w:r>
      <w:r w:rsidR="00A57D1D" w:rsidRPr="00684155">
        <w:rPr>
          <w:lang w:val="en-GB"/>
        </w:rPr>
        <w:t xml:space="preserve"> </w:t>
      </w:r>
      <w:r w:rsidR="00684155">
        <w:rPr>
          <w:lang w:val="en-GB"/>
        </w:rPr>
        <w:t>P</w:t>
      </w:r>
      <w:r w:rsidR="00A57D1D" w:rsidRPr="00684155">
        <w:rPr>
          <w:lang w:val="en-GB"/>
        </w:rPr>
        <w:t>ermit</w:t>
      </w:r>
      <w:r w:rsidR="00684155">
        <w:rPr>
          <w:lang w:val="en-GB"/>
        </w:rPr>
        <w:t>ting</w:t>
      </w:r>
      <w:r w:rsidR="00A57D1D" w:rsidRPr="00684155">
        <w:rPr>
          <w:lang w:val="en-GB"/>
        </w:rPr>
        <w:t xml:space="preserve"> the Guarantee Issuer’s duly authorized representatives to examine copies of books, records, financial statements and any other material information related to the guaranteed loan</w:t>
      </w:r>
      <w:r w:rsidR="00A61DF1">
        <w:rPr>
          <w:lang w:val="en-GB"/>
        </w:rPr>
        <w:t>(s)</w:t>
      </w:r>
    </w:p>
    <w:p w14:paraId="173E8039" w14:textId="3D8D2DCE" w:rsidR="00A57D1D" w:rsidRDefault="00A57D1D" w:rsidP="00750D26">
      <w:pPr>
        <w:pStyle w:val="Header"/>
        <w:numPr>
          <w:ilvl w:val="1"/>
          <w:numId w:val="45"/>
        </w:numPr>
        <w:spacing w:line="276" w:lineRule="auto"/>
        <w:jc w:val="both"/>
        <w:rPr>
          <w:lang w:val="en-GB"/>
        </w:rPr>
      </w:pPr>
      <w:r>
        <w:rPr>
          <w:lang w:val="en-GB"/>
        </w:rPr>
        <w:t xml:space="preserve">Comply with al </w:t>
      </w:r>
      <w:r w:rsidR="00200579">
        <w:rPr>
          <w:lang w:val="en-GB"/>
        </w:rPr>
        <w:t>l</w:t>
      </w:r>
      <w:r>
        <w:rPr>
          <w:lang w:val="en-GB"/>
        </w:rPr>
        <w:t>aws and regulations</w:t>
      </w:r>
      <w:r w:rsidR="00406B36">
        <w:rPr>
          <w:lang w:val="en-GB"/>
        </w:rPr>
        <w:t xml:space="preserve"> applicable to the borrower</w:t>
      </w:r>
      <w:r>
        <w:rPr>
          <w:lang w:val="en-GB"/>
        </w:rPr>
        <w:t xml:space="preserve">, including any applicable </w:t>
      </w:r>
      <w:r w:rsidR="00C24838">
        <w:rPr>
          <w:lang w:val="en-GB"/>
        </w:rPr>
        <w:t>environmental and social</w:t>
      </w:r>
      <w:r>
        <w:rPr>
          <w:lang w:val="en-GB"/>
        </w:rPr>
        <w:t xml:space="preserve"> standards and laws</w:t>
      </w:r>
    </w:p>
    <w:p w14:paraId="2E424810" w14:textId="6C230CBA" w:rsidR="00AD5F06" w:rsidRDefault="00A57D1D" w:rsidP="00750D26">
      <w:pPr>
        <w:pStyle w:val="Header"/>
        <w:numPr>
          <w:ilvl w:val="1"/>
          <w:numId w:val="45"/>
        </w:numPr>
        <w:spacing w:line="276" w:lineRule="auto"/>
        <w:jc w:val="both"/>
        <w:rPr>
          <w:lang w:val="en-GB"/>
        </w:rPr>
      </w:pPr>
      <w:r>
        <w:rPr>
          <w:lang w:val="en-GB"/>
        </w:rPr>
        <w:t>In connection with the guarantee</w:t>
      </w:r>
      <w:r w:rsidR="009F46E6">
        <w:rPr>
          <w:lang w:val="en-GB"/>
        </w:rPr>
        <w:t>d</w:t>
      </w:r>
      <w:r>
        <w:rPr>
          <w:lang w:val="en-GB"/>
        </w:rPr>
        <w:t xml:space="preserve"> loan</w:t>
      </w:r>
      <w:r w:rsidR="009F46E6">
        <w:rPr>
          <w:lang w:val="en-GB"/>
        </w:rPr>
        <w:t>,</w:t>
      </w:r>
      <w:r>
        <w:rPr>
          <w:lang w:val="en-GB"/>
        </w:rPr>
        <w:t xml:space="preserve"> refrain from</w:t>
      </w:r>
      <w:r w:rsidR="00525173">
        <w:rPr>
          <w:lang w:val="en-GB"/>
        </w:rPr>
        <w:t xml:space="preserve"> engaging in</w:t>
      </w:r>
      <w:r>
        <w:rPr>
          <w:lang w:val="en-GB"/>
        </w:rPr>
        <w:t xml:space="preserve"> Corrupt Practices, Fraudulent Practices, Coercive Practices, Collusive Practices, or Money Laundering</w:t>
      </w:r>
    </w:p>
    <w:p w14:paraId="56A9F197" w14:textId="2C960E99" w:rsidR="004703BB" w:rsidRPr="006A3A27" w:rsidRDefault="00F22831" w:rsidP="00750D26">
      <w:pPr>
        <w:pStyle w:val="Header"/>
        <w:numPr>
          <w:ilvl w:val="1"/>
          <w:numId w:val="45"/>
        </w:numPr>
        <w:spacing w:line="276" w:lineRule="auto"/>
        <w:jc w:val="both"/>
        <w:rPr>
          <w:lang w:val="en-GB"/>
        </w:rPr>
      </w:pPr>
      <w:r>
        <w:rPr>
          <w:lang w:val="en-GB"/>
        </w:rPr>
        <w:t>Promptly n</w:t>
      </w:r>
      <w:r w:rsidR="00AD5F06">
        <w:rPr>
          <w:lang w:val="en-GB"/>
        </w:rPr>
        <w:t>otify the Guarantee Issuer upon learning of any loss or potential loss</w:t>
      </w:r>
    </w:p>
    <w:p w14:paraId="402C2346" w14:textId="13BAD196" w:rsidR="00AD5F06" w:rsidRDefault="00AD5F06" w:rsidP="00750D26">
      <w:pPr>
        <w:pStyle w:val="Header"/>
        <w:numPr>
          <w:ilvl w:val="1"/>
          <w:numId w:val="45"/>
        </w:numPr>
        <w:spacing w:line="276" w:lineRule="auto"/>
        <w:jc w:val="both"/>
        <w:rPr>
          <w:lang w:val="en-GB"/>
        </w:rPr>
      </w:pPr>
      <w:r>
        <w:rPr>
          <w:lang w:val="en-GB"/>
        </w:rPr>
        <w:t>Upon reasonable prior notice, permit the Guarantee Issuer or any authorized representatives of the Guarantee Issuer to visit and inspect projects and associated facilities under the guarantee</w:t>
      </w:r>
      <w:r w:rsidR="009D5A4C">
        <w:rPr>
          <w:lang w:val="en-GB"/>
        </w:rPr>
        <w:t>d</w:t>
      </w:r>
      <w:r>
        <w:rPr>
          <w:lang w:val="en-GB"/>
        </w:rPr>
        <w:t xml:space="preserve"> loan</w:t>
      </w:r>
    </w:p>
    <w:p w14:paraId="0B06F89D" w14:textId="43751F3D" w:rsidR="00722038" w:rsidRPr="00A35560" w:rsidRDefault="00722038" w:rsidP="00750D26">
      <w:pPr>
        <w:pStyle w:val="Header"/>
        <w:numPr>
          <w:ilvl w:val="0"/>
          <w:numId w:val="45"/>
        </w:numPr>
        <w:spacing w:line="276" w:lineRule="auto"/>
        <w:jc w:val="both"/>
        <w:rPr>
          <w:lang w:val="en-GB"/>
        </w:rPr>
      </w:pPr>
      <w:r>
        <w:rPr>
          <w:lang w:val="en-GB"/>
        </w:rPr>
        <w:t>Claim requirements</w:t>
      </w:r>
      <w:r w:rsidR="00A35560">
        <w:rPr>
          <w:lang w:val="en-GB"/>
        </w:rPr>
        <w:t xml:space="preserve"> (i.e. </w:t>
      </w:r>
      <w:r w:rsidR="00D8399A">
        <w:t>t</w:t>
      </w:r>
      <w:r w:rsidR="00A35560">
        <w:t xml:space="preserve">he conditions under which </w:t>
      </w:r>
      <w:r w:rsidR="00D8399A">
        <w:t xml:space="preserve">the </w:t>
      </w:r>
      <w:r w:rsidR="00A35560">
        <w:t xml:space="preserve">lender can call upon the guarantee to pay out a claim after </w:t>
      </w:r>
      <w:r w:rsidR="00216426">
        <w:t xml:space="preserve">a </w:t>
      </w:r>
      <w:r w:rsidR="00A35560">
        <w:t>loan default occurs</w:t>
      </w:r>
      <w:r w:rsidR="00E44AEC">
        <w:t>)</w:t>
      </w:r>
      <w:r w:rsidR="00A35560">
        <w:t xml:space="preserve"> </w:t>
      </w:r>
      <w:r w:rsidR="00A35560" w:rsidRPr="00A35560" w:rsidDel="00A35560">
        <w:rPr>
          <w:lang w:val="en-GB"/>
        </w:rPr>
        <w:t xml:space="preserve"> </w:t>
      </w:r>
    </w:p>
    <w:p w14:paraId="257C66D2" w14:textId="77777777" w:rsidR="00722038" w:rsidRPr="00A35560" w:rsidRDefault="00722038" w:rsidP="00750D26">
      <w:pPr>
        <w:pStyle w:val="Header"/>
        <w:numPr>
          <w:ilvl w:val="0"/>
          <w:numId w:val="45"/>
        </w:numPr>
        <w:spacing w:line="276" w:lineRule="auto"/>
        <w:rPr>
          <w:lang w:val="en-GB"/>
        </w:rPr>
      </w:pPr>
      <w:r w:rsidRPr="00A35560">
        <w:rPr>
          <w:lang w:val="en-GB"/>
        </w:rPr>
        <w:t>Payment terms if the guarantee has to be paid in case the borrower defaults</w:t>
      </w:r>
    </w:p>
    <w:p w14:paraId="30813A37" w14:textId="3ED2BBA2" w:rsidR="00722038" w:rsidRPr="00722038" w:rsidRDefault="00722038" w:rsidP="00750D26">
      <w:pPr>
        <w:pStyle w:val="Header"/>
        <w:numPr>
          <w:ilvl w:val="0"/>
          <w:numId w:val="45"/>
        </w:numPr>
        <w:tabs>
          <w:tab w:val="clear" w:pos="4680"/>
          <w:tab w:val="clear" w:pos="9360"/>
        </w:tabs>
        <w:spacing w:line="276" w:lineRule="auto"/>
        <w:jc w:val="both"/>
        <w:rPr>
          <w:lang w:val="en-GB"/>
        </w:rPr>
      </w:pPr>
      <w:r w:rsidRPr="00A35560">
        <w:rPr>
          <w:lang w:val="en-GB"/>
        </w:rPr>
        <w:t>Guarantee pricing (Full cost recovery</w:t>
      </w:r>
      <w:r w:rsidRPr="00722038">
        <w:rPr>
          <w:lang w:val="en-GB"/>
        </w:rPr>
        <w:t xml:space="preserve"> basis, including the percentage of guarantee fees</w:t>
      </w:r>
      <w:r w:rsidR="00E340D4">
        <w:rPr>
          <w:lang w:val="en-GB"/>
        </w:rPr>
        <w:t>,</w:t>
      </w:r>
      <w:r w:rsidRPr="00722038">
        <w:rPr>
          <w:lang w:val="en-GB"/>
        </w:rPr>
        <w:t xml:space="preserve"> etc.)</w:t>
      </w:r>
    </w:p>
    <w:p w14:paraId="55D3171C" w14:textId="403E80CB" w:rsidR="00722038" w:rsidRPr="00E31E59" w:rsidRDefault="00722038" w:rsidP="00750D26">
      <w:pPr>
        <w:pStyle w:val="Header"/>
        <w:numPr>
          <w:ilvl w:val="0"/>
          <w:numId w:val="45"/>
        </w:numPr>
        <w:tabs>
          <w:tab w:val="clear" w:pos="4680"/>
          <w:tab w:val="clear" w:pos="9360"/>
        </w:tabs>
        <w:spacing w:line="276" w:lineRule="auto"/>
        <w:jc w:val="both"/>
        <w:rPr>
          <w:lang w:val="en-GB"/>
        </w:rPr>
      </w:pPr>
      <w:r w:rsidRPr="00722038">
        <w:rPr>
          <w:lang w:val="en-GB"/>
        </w:rPr>
        <w:t>Process and distribution of recovered monies (</w:t>
      </w:r>
      <w:r w:rsidR="00F86EA3">
        <w:rPr>
          <w:lang w:val="en-GB"/>
        </w:rPr>
        <w:t>settlement of disputes</w:t>
      </w:r>
      <w:r w:rsidRPr="00722038">
        <w:rPr>
          <w:lang w:val="en-GB"/>
        </w:rPr>
        <w:t xml:space="preserve"> and legal mechanisms, seniority in recovery)</w:t>
      </w:r>
      <w:r w:rsidR="00F86EA3">
        <w:rPr>
          <w:lang w:val="en-GB"/>
        </w:rPr>
        <w:t xml:space="preserve">. </w:t>
      </w:r>
      <w:r w:rsidR="00F86EA3" w:rsidRPr="00F86EA3">
        <w:rPr>
          <w:lang w:val="en-GB"/>
        </w:rPr>
        <w:t>Needless to say, since UNDP will not be a party to the guarantee that is issued, the Guarantee Issuer may insist on using non-UN dispute settlement terms in this bilateral relationship between it and the lender</w:t>
      </w:r>
      <w:r w:rsidR="00F86EA3">
        <w:rPr>
          <w:lang w:val="en-GB"/>
        </w:rPr>
        <w:t>.</w:t>
      </w:r>
    </w:p>
    <w:p w14:paraId="7CB16D4F" w14:textId="0A64E585" w:rsidR="00A7399E" w:rsidRDefault="00123427" w:rsidP="00750D26">
      <w:pPr>
        <w:pStyle w:val="ListParagraph"/>
        <w:numPr>
          <w:ilvl w:val="0"/>
          <w:numId w:val="45"/>
        </w:numPr>
        <w:spacing w:line="276" w:lineRule="auto"/>
      </w:pPr>
      <w:r>
        <w:rPr>
          <w:lang w:val="en-GB"/>
        </w:rPr>
        <w:t xml:space="preserve">Prohibitions set forth in </w:t>
      </w:r>
      <w:hyperlink w:anchor="_Eligible_lenders/investors_and" w:history="1">
        <w:r w:rsidR="00982677" w:rsidRPr="003822D6">
          <w:rPr>
            <w:rStyle w:val="Hyperlink"/>
            <w:lang w:val="en-GB"/>
          </w:rPr>
          <w:t xml:space="preserve">Section </w:t>
        </w:r>
        <w:r w:rsidRPr="003822D6">
          <w:rPr>
            <w:rStyle w:val="Hyperlink"/>
            <w:lang w:val="en-GB"/>
          </w:rPr>
          <w:t>2.7</w:t>
        </w:r>
      </w:hyperlink>
      <w:r>
        <w:rPr>
          <w:lang w:val="en-GB"/>
        </w:rPr>
        <w:t xml:space="preserve"> (b) (“Eligible Borrowers”) of </w:t>
      </w:r>
      <w:r w:rsidR="003822D6">
        <w:rPr>
          <w:lang w:val="en-GB"/>
        </w:rPr>
        <w:t xml:space="preserve">this </w:t>
      </w:r>
      <w:r>
        <w:rPr>
          <w:lang w:val="en-GB"/>
        </w:rPr>
        <w:t>Operational Manual.</w:t>
      </w:r>
    </w:p>
    <w:p w14:paraId="7683E72A" w14:textId="77777777" w:rsidR="007F49DF" w:rsidRDefault="007F49DF">
      <w:pPr>
        <w:rPr>
          <w:rFonts w:ascii="Calibri" w:eastAsia="Times New Roman" w:hAnsi="Calibri" w:cs="Times New Roman"/>
          <w:b/>
          <w:bCs/>
          <w:color w:val="1F497D"/>
          <w:sz w:val="28"/>
          <w:szCs w:val="28"/>
        </w:rPr>
      </w:pPr>
      <w:bookmarkStart w:id="194" w:name="_Annex_2:_Good"/>
      <w:bookmarkStart w:id="195" w:name="_Annex_3:_Good"/>
      <w:bookmarkStart w:id="196" w:name="_Toc2339939"/>
      <w:bookmarkStart w:id="197" w:name="_Hlk2077031"/>
      <w:bookmarkEnd w:id="194"/>
      <w:bookmarkEnd w:id="195"/>
      <w:r>
        <w:lastRenderedPageBreak/>
        <w:br w:type="page"/>
      </w:r>
    </w:p>
    <w:p w14:paraId="3DBB7406" w14:textId="0470CD62" w:rsidR="0068284E" w:rsidRPr="00D75C03" w:rsidRDefault="0068284E" w:rsidP="0068284E">
      <w:pPr>
        <w:pStyle w:val="Heading1"/>
        <w:numPr>
          <w:ilvl w:val="0"/>
          <w:numId w:val="0"/>
        </w:numPr>
        <w:jc w:val="center"/>
      </w:pPr>
      <w:bookmarkStart w:id="198" w:name="_Annex_3:_Good_1"/>
      <w:bookmarkStart w:id="199" w:name="_Toc121313797"/>
      <w:bookmarkEnd w:id="198"/>
      <w:r>
        <w:lastRenderedPageBreak/>
        <w:t xml:space="preserve">Annex </w:t>
      </w:r>
      <w:r w:rsidR="003236DC">
        <w:t>3</w:t>
      </w:r>
      <w:r>
        <w:t xml:space="preserve">: </w:t>
      </w:r>
      <w:r w:rsidR="007D3730">
        <w:t xml:space="preserve">Good </w:t>
      </w:r>
      <w:r>
        <w:t>Practices</w:t>
      </w:r>
      <w:r w:rsidR="007D3730">
        <w:t xml:space="preserve"> for Lending</w:t>
      </w:r>
      <w:bookmarkEnd w:id="196"/>
      <w:bookmarkEnd w:id="199"/>
    </w:p>
    <w:p w14:paraId="5B5EDBA0" w14:textId="77777777" w:rsidR="0068284E" w:rsidRDefault="0068284E" w:rsidP="0068284E"/>
    <w:p w14:paraId="611C73F9" w14:textId="77777777" w:rsidR="003104DB" w:rsidRPr="00301FEA" w:rsidRDefault="003104DB" w:rsidP="00A07C92">
      <w:pPr>
        <w:spacing w:line="276" w:lineRule="auto"/>
        <w:jc w:val="both"/>
      </w:pPr>
      <w:r w:rsidRPr="00301FEA">
        <w:t xml:space="preserve">The following </w:t>
      </w:r>
      <w:r w:rsidR="00690F02">
        <w:t xml:space="preserve">standards of </w:t>
      </w:r>
      <w:r w:rsidRPr="00301FEA">
        <w:t>good</w:t>
      </w:r>
      <w:r w:rsidR="00690F02">
        <w:t xml:space="preserve"> lending</w:t>
      </w:r>
      <w:r w:rsidRPr="00301FEA">
        <w:t xml:space="preserve"> practices</w:t>
      </w:r>
      <w:r w:rsidRPr="008C69B9">
        <w:t xml:space="preserve"> should be considered by financial institutions that want to incorporate adequate client protection practices into their lending process. The</w:t>
      </w:r>
      <w:r>
        <w:t xml:space="preserve"> principles</w:t>
      </w:r>
      <w:r w:rsidR="00482589">
        <w:t xml:space="preserve"> and standards</w:t>
      </w:r>
      <w:r>
        <w:rPr>
          <w:rStyle w:val="FootnoteReference"/>
        </w:rPr>
        <w:footnoteReference w:id="19"/>
      </w:r>
      <w:r>
        <w:t xml:space="preserve"> </w:t>
      </w:r>
      <w:r w:rsidRPr="008C69B9">
        <w:t xml:space="preserve">below </w:t>
      </w:r>
      <w:r>
        <w:t>are</w:t>
      </w:r>
      <w:r w:rsidRPr="008C69B9">
        <w:t xml:space="preserve"> applicable to a wide range of credit methodologies and can be adapted for use by financial institutions offering any type of loan</w:t>
      </w:r>
      <w:r>
        <w:t>s:</w:t>
      </w:r>
    </w:p>
    <w:p w14:paraId="1B99F20C" w14:textId="77777777" w:rsidR="003104DB" w:rsidRPr="00301FEA" w:rsidRDefault="003104DB" w:rsidP="00A07C92">
      <w:pPr>
        <w:spacing w:after="0" w:line="276" w:lineRule="auto"/>
        <w:jc w:val="both"/>
        <w:rPr>
          <w:rFonts w:eastAsia="Times New Roman"/>
          <w:iCs/>
          <w:color w:val="000000"/>
          <w:lang w:val="en-GB"/>
        </w:rPr>
      </w:pPr>
    </w:p>
    <w:p w14:paraId="7BE780FC" w14:textId="7D65227B" w:rsidR="003104DB" w:rsidRPr="00301FEA" w:rsidRDefault="00690F02"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t>Product Information</w:t>
      </w:r>
    </w:p>
    <w:p w14:paraId="7B4C4073" w14:textId="77777777" w:rsidR="003104DB" w:rsidRDefault="00482589" w:rsidP="00A07C92">
      <w:pPr>
        <w:pStyle w:val="ListParagraph"/>
        <w:numPr>
          <w:ilvl w:val="0"/>
          <w:numId w:val="33"/>
        </w:numPr>
        <w:spacing w:after="0" w:line="276" w:lineRule="auto"/>
        <w:jc w:val="both"/>
        <w:rPr>
          <w:rFonts w:eastAsia="Times New Roman"/>
          <w:iCs/>
          <w:color w:val="000000"/>
          <w:lang w:val="en-GB"/>
        </w:rPr>
      </w:pPr>
      <w:r>
        <w:rPr>
          <w:rFonts w:eastAsia="Times New Roman"/>
          <w:iCs/>
          <w:color w:val="000000"/>
          <w:lang w:val="en-GB"/>
        </w:rPr>
        <w:t>Financial institution</w:t>
      </w:r>
      <w:r w:rsidR="003104DB" w:rsidRPr="00301FEA">
        <w:rPr>
          <w:rFonts w:eastAsia="Times New Roman"/>
          <w:iCs/>
          <w:color w:val="000000"/>
          <w:lang w:val="en-GB"/>
        </w:rPr>
        <w:t xml:space="preserve">s will </w:t>
      </w:r>
      <w:r w:rsidR="006A1868">
        <w:rPr>
          <w:rFonts w:eastAsia="Times New Roman"/>
          <w:iCs/>
          <w:color w:val="000000"/>
          <w:lang w:val="en-GB"/>
        </w:rPr>
        <w:t xml:space="preserve">present product information in a clear, fair and </w:t>
      </w:r>
      <w:r w:rsidR="000D3A0E">
        <w:rPr>
          <w:rFonts w:eastAsia="Times New Roman"/>
          <w:iCs/>
          <w:color w:val="000000"/>
          <w:lang w:val="en-GB"/>
        </w:rPr>
        <w:t>understandable</w:t>
      </w:r>
      <w:r w:rsidR="006A1868">
        <w:rPr>
          <w:rFonts w:eastAsia="Times New Roman"/>
          <w:iCs/>
          <w:color w:val="000000"/>
          <w:lang w:val="en-GB"/>
        </w:rPr>
        <w:t xml:space="preserve"> manner to enable c</w:t>
      </w:r>
      <w:r w:rsidR="001F24C8">
        <w:rPr>
          <w:rFonts w:eastAsia="Times New Roman"/>
          <w:iCs/>
          <w:color w:val="000000"/>
          <w:lang w:val="en-GB"/>
        </w:rPr>
        <w:t>lients</w:t>
      </w:r>
      <w:r w:rsidR="006A1868">
        <w:rPr>
          <w:rFonts w:eastAsia="Times New Roman"/>
          <w:iCs/>
          <w:color w:val="000000"/>
          <w:lang w:val="en-GB"/>
        </w:rPr>
        <w:t xml:space="preserve"> to understand the key features of the product, such as the interest rates, fees and charges that apply.</w:t>
      </w:r>
    </w:p>
    <w:p w14:paraId="37517430" w14:textId="274BED5A" w:rsidR="000D3A0E" w:rsidRDefault="000D3A0E" w:rsidP="00A07C92">
      <w:pPr>
        <w:pStyle w:val="ListParagraph"/>
        <w:numPr>
          <w:ilvl w:val="0"/>
          <w:numId w:val="33"/>
        </w:numPr>
        <w:spacing w:after="0" w:line="276" w:lineRule="auto"/>
        <w:jc w:val="both"/>
        <w:rPr>
          <w:rFonts w:eastAsia="Times New Roman"/>
          <w:iCs/>
          <w:color w:val="000000"/>
          <w:lang w:val="en-GB"/>
        </w:rPr>
      </w:pPr>
      <w:r>
        <w:rPr>
          <w:rFonts w:eastAsia="Times New Roman"/>
          <w:iCs/>
          <w:color w:val="000000"/>
          <w:lang w:val="en-GB"/>
        </w:rPr>
        <w:t>Financial service provide</w:t>
      </w:r>
      <w:r w:rsidR="009664ED">
        <w:rPr>
          <w:rFonts w:eastAsia="Times New Roman"/>
          <w:iCs/>
          <w:color w:val="000000"/>
          <w:lang w:val="en-GB"/>
        </w:rPr>
        <w:t>r</w:t>
      </w:r>
      <w:r>
        <w:rPr>
          <w:rFonts w:eastAsia="Times New Roman"/>
          <w:iCs/>
          <w:color w:val="000000"/>
          <w:lang w:val="en-GB"/>
        </w:rPr>
        <w:t>s should ensure that employees/agents are trained and are knowledgeable on all range of products on offer to c</w:t>
      </w:r>
      <w:r w:rsidR="001F24C8">
        <w:rPr>
          <w:rFonts w:eastAsia="Times New Roman"/>
          <w:iCs/>
          <w:color w:val="000000"/>
          <w:lang w:val="en-GB"/>
        </w:rPr>
        <w:t>lient</w:t>
      </w:r>
      <w:r>
        <w:rPr>
          <w:rFonts w:eastAsia="Times New Roman"/>
          <w:iCs/>
          <w:color w:val="000000"/>
          <w:lang w:val="en-GB"/>
        </w:rPr>
        <w:t>s.</w:t>
      </w:r>
    </w:p>
    <w:p w14:paraId="4AE32B61" w14:textId="77777777" w:rsidR="003104DB" w:rsidRPr="0030701B" w:rsidRDefault="003104DB" w:rsidP="00A07C92">
      <w:pPr>
        <w:spacing w:after="0" w:line="276" w:lineRule="auto"/>
        <w:jc w:val="both"/>
        <w:rPr>
          <w:rFonts w:eastAsia="Times New Roman"/>
          <w:iCs/>
          <w:color w:val="000000"/>
          <w:lang w:val="en-GB"/>
        </w:rPr>
      </w:pPr>
    </w:p>
    <w:p w14:paraId="08040F32" w14:textId="77777777" w:rsidR="003104DB" w:rsidRPr="00301FEA" w:rsidRDefault="003104DB" w:rsidP="00A07C92">
      <w:pPr>
        <w:pStyle w:val="ListParagraph"/>
        <w:numPr>
          <w:ilvl w:val="0"/>
          <w:numId w:val="32"/>
        </w:numPr>
        <w:spacing w:after="0" w:line="276" w:lineRule="auto"/>
        <w:jc w:val="both"/>
        <w:rPr>
          <w:rFonts w:eastAsia="Times New Roman"/>
          <w:b/>
          <w:iCs/>
          <w:color w:val="000000"/>
          <w:lang w:val="en-GB"/>
        </w:rPr>
      </w:pPr>
      <w:r w:rsidRPr="00301FEA">
        <w:rPr>
          <w:rFonts w:eastAsia="Times New Roman"/>
          <w:b/>
          <w:iCs/>
          <w:color w:val="000000"/>
          <w:lang w:val="en-GB"/>
        </w:rPr>
        <w:t>Pr</w:t>
      </w:r>
      <w:r w:rsidR="001F24C8">
        <w:rPr>
          <w:rFonts w:eastAsia="Times New Roman"/>
          <w:b/>
          <w:iCs/>
          <w:color w:val="000000"/>
          <w:lang w:val="en-GB"/>
        </w:rPr>
        <w:t>oduct sale</w:t>
      </w:r>
    </w:p>
    <w:p w14:paraId="1EC7944F" w14:textId="77777777" w:rsidR="003104DB" w:rsidRDefault="001F24C8" w:rsidP="00A07C92">
      <w:pPr>
        <w:pStyle w:val="ListParagraph"/>
        <w:numPr>
          <w:ilvl w:val="0"/>
          <w:numId w:val="34"/>
        </w:numPr>
        <w:spacing w:after="0" w:line="276" w:lineRule="auto"/>
        <w:jc w:val="both"/>
        <w:rPr>
          <w:rFonts w:eastAsia="Times New Roman"/>
          <w:iCs/>
          <w:color w:val="000000"/>
          <w:lang w:val="en-GB"/>
        </w:rPr>
      </w:pPr>
      <w:r>
        <w:rPr>
          <w:rFonts w:eastAsia="Times New Roman"/>
          <w:iCs/>
          <w:color w:val="000000"/>
          <w:lang w:val="en-GB"/>
        </w:rPr>
        <w:t xml:space="preserve">Clients will only be provided </w:t>
      </w:r>
      <w:r w:rsidR="00DE7501">
        <w:rPr>
          <w:rFonts w:eastAsia="Times New Roman"/>
          <w:iCs/>
          <w:color w:val="000000"/>
          <w:lang w:val="en-GB"/>
        </w:rPr>
        <w:t>with a product that is deemed affordable and which meets the requirements of their needs.</w:t>
      </w:r>
    </w:p>
    <w:p w14:paraId="69915571" w14:textId="77777777" w:rsidR="00DE7501" w:rsidRDefault="00482589" w:rsidP="00A07C92">
      <w:pPr>
        <w:pStyle w:val="ListParagraph"/>
        <w:numPr>
          <w:ilvl w:val="0"/>
          <w:numId w:val="34"/>
        </w:numPr>
        <w:spacing w:after="0" w:line="276" w:lineRule="auto"/>
        <w:jc w:val="both"/>
        <w:rPr>
          <w:rFonts w:eastAsia="Times New Roman"/>
          <w:iCs/>
          <w:color w:val="000000"/>
          <w:lang w:val="en-GB"/>
        </w:rPr>
      </w:pPr>
      <w:r>
        <w:rPr>
          <w:rFonts w:eastAsia="Times New Roman"/>
          <w:iCs/>
          <w:color w:val="000000"/>
          <w:lang w:val="en-GB"/>
        </w:rPr>
        <w:t>Financial institution</w:t>
      </w:r>
      <w:r w:rsidR="00DE7501">
        <w:rPr>
          <w:rFonts w:eastAsia="Times New Roman"/>
          <w:iCs/>
          <w:color w:val="000000"/>
          <w:lang w:val="en-GB"/>
        </w:rPr>
        <w:t>s will ensure clients are provided with clear guidance on the information and documentation they will need to submit during the application process.</w:t>
      </w:r>
    </w:p>
    <w:p w14:paraId="0787B97B" w14:textId="77777777" w:rsidR="00DE7501" w:rsidRDefault="00482589" w:rsidP="00A07C92">
      <w:pPr>
        <w:pStyle w:val="ListParagraph"/>
        <w:numPr>
          <w:ilvl w:val="0"/>
          <w:numId w:val="34"/>
        </w:numPr>
        <w:spacing w:after="0" w:line="276" w:lineRule="auto"/>
        <w:jc w:val="both"/>
        <w:rPr>
          <w:rFonts w:eastAsia="Times New Roman"/>
          <w:iCs/>
          <w:color w:val="000000"/>
          <w:lang w:val="en-GB"/>
        </w:rPr>
      </w:pPr>
      <w:r>
        <w:rPr>
          <w:rFonts w:eastAsia="Times New Roman"/>
          <w:iCs/>
          <w:color w:val="000000"/>
          <w:lang w:val="en-GB"/>
        </w:rPr>
        <w:t>Financial institution</w:t>
      </w:r>
      <w:r w:rsidR="00DE7501">
        <w:rPr>
          <w:rFonts w:eastAsia="Times New Roman"/>
          <w:iCs/>
          <w:color w:val="000000"/>
          <w:lang w:val="en-GB"/>
        </w:rPr>
        <w:t>s will inform clients of the likely time it will take for a lending decision to be made and following receipt of the required documentation should ensure clients are kept up to date of the progress of their application.</w:t>
      </w:r>
    </w:p>
    <w:p w14:paraId="7CE34699" w14:textId="77777777" w:rsidR="00DE7501" w:rsidRDefault="00482589" w:rsidP="00A07C92">
      <w:pPr>
        <w:pStyle w:val="ListParagraph"/>
        <w:numPr>
          <w:ilvl w:val="0"/>
          <w:numId w:val="34"/>
        </w:numPr>
        <w:spacing w:after="0" w:line="276" w:lineRule="auto"/>
        <w:jc w:val="both"/>
        <w:rPr>
          <w:rFonts w:eastAsia="Times New Roman"/>
          <w:iCs/>
          <w:color w:val="000000"/>
          <w:lang w:val="en-GB"/>
        </w:rPr>
      </w:pPr>
      <w:r>
        <w:rPr>
          <w:rFonts w:eastAsia="Times New Roman"/>
          <w:iCs/>
          <w:color w:val="000000"/>
          <w:lang w:val="en-GB"/>
        </w:rPr>
        <w:t>Financial institution</w:t>
      </w:r>
      <w:r w:rsidR="00DE7501" w:rsidRPr="00DE7501">
        <w:rPr>
          <w:rFonts w:eastAsia="Times New Roman"/>
          <w:iCs/>
          <w:color w:val="000000"/>
          <w:lang w:val="en-GB"/>
        </w:rPr>
        <w:t>s will take adequate care in all phases of their credit process to determine that clients have the capacity to repay without becoming over-indebted</w:t>
      </w:r>
      <w:r w:rsidR="00DE7501">
        <w:rPr>
          <w:rFonts w:eastAsia="Times New Roman"/>
          <w:iCs/>
          <w:color w:val="000000"/>
          <w:lang w:val="en-GB"/>
        </w:rPr>
        <w:t>.</w:t>
      </w:r>
    </w:p>
    <w:p w14:paraId="36184E26" w14:textId="77777777" w:rsidR="00DE7501" w:rsidRDefault="00482589" w:rsidP="00A07C92">
      <w:pPr>
        <w:pStyle w:val="ListParagraph"/>
        <w:numPr>
          <w:ilvl w:val="0"/>
          <w:numId w:val="34"/>
        </w:numPr>
        <w:spacing w:after="0" w:line="276" w:lineRule="auto"/>
        <w:jc w:val="both"/>
        <w:rPr>
          <w:rFonts w:eastAsia="Times New Roman"/>
          <w:iCs/>
          <w:color w:val="000000"/>
          <w:lang w:val="en-GB"/>
        </w:rPr>
      </w:pPr>
      <w:r>
        <w:rPr>
          <w:rFonts w:eastAsia="Times New Roman"/>
          <w:iCs/>
          <w:color w:val="000000"/>
          <w:lang w:val="en-GB"/>
        </w:rPr>
        <w:t>Financial institution</w:t>
      </w:r>
      <w:r w:rsidR="00DE7501">
        <w:rPr>
          <w:rFonts w:eastAsia="Times New Roman"/>
          <w:iCs/>
          <w:color w:val="000000"/>
          <w:lang w:val="en-GB"/>
        </w:rPr>
        <w:t xml:space="preserve">s should inform the clients if any security, for </w:t>
      </w:r>
      <w:r w:rsidR="00F24CF2">
        <w:rPr>
          <w:rFonts w:eastAsia="Times New Roman"/>
          <w:iCs/>
          <w:color w:val="000000"/>
          <w:lang w:val="en-GB"/>
        </w:rPr>
        <w:t>example, guarantee</w:t>
      </w:r>
      <w:r w:rsidR="00DE7501">
        <w:rPr>
          <w:rFonts w:eastAsia="Times New Roman"/>
          <w:iCs/>
          <w:color w:val="000000"/>
          <w:lang w:val="en-GB"/>
        </w:rPr>
        <w:t>/debenture</w:t>
      </w:r>
      <w:r w:rsidR="00F24CF2">
        <w:rPr>
          <w:rFonts w:eastAsia="Times New Roman"/>
          <w:iCs/>
          <w:color w:val="000000"/>
          <w:lang w:val="en-GB"/>
        </w:rPr>
        <w:t xml:space="preserve">/indemnity, is required to support the borrowing or other liabilities and the reason why. The level of security required by the </w:t>
      </w:r>
      <w:r>
        <w:rPr>
          <w:rFonts w:eastAsia="Times New Roman"/>
          <w:iCs/>
          <w:color w:val="000000"/>
          <w:lang w:val="en-GB"/>
        </w:rPr>
        <w:t>financial institution</w:t>
      </w:r>
      <w:r w:rsidR="00F24CF2">
        <w:rPr>
          <w:rFonts w:eastAsia="Times New Roman"/>
          <w:iCs/>
          <w:color w:val="000000"/>
          <w:lang w:val="en-GB"/>
        </w:rPr>
        <w:t xml:space="preserve"> should be appropriate to the amount borrowed.</w:t>
      </w:r>
    </w:p>
    <w:p w14:paraId="5D7AD74D" w14:textId="77777777" w:rsidR="00F24CF2" w:rsidRDefault="00482589" w:rsidP="00A07C92">
      <w:pPr>
        <w:pStyle w:val="ListParagraph"/>
        <w:numPr>
          <w:ilvl w:val="0"/>
          <w:numId w:val="34"/>
        </w:numPr>
        <w:spacing w:after="0" w:line="276" w:lineRule="auto"/>
        <w:jc w:val="both"/>
        <w:rPr>
          <w:rFonts w:eastAsia="Times New Roman"/>
          <w:iCs/>
          <w:color w:val="000000"/>
          <w:lang w:val="en-GB"/>
        </w:rPr>
      </w:pPr>
      <w:r>
        <w:rPr>
          <w:rFonts w:eastAsia="Times New Roman"/>
          <w:iCs/>
          <w:color w:val="000000"/>
          <w:lang w:val="en-GB"/>
        </w:rPr>
        <w:t>Financial institution</w:t>
      </w:r>
      <w:r w:rsidR="00F24CF2">
        <w:rPr>
          <w:rFonts w:eastAsia="Times New Roman"/>
          <w:iCs/>
          <w:color w:val="000000"/>
          <w:lang w:val="en-GB"/>
        </w:rPr>
        <w:t>s will ensure that the client is provided with clear information on the circumstances under which the security will be released.</w:t>
      </w:r>
    </w:p>
    <w:p w14:paraId="4CA29A76" w14:textId="77777777" w:rsidR="001F24C8" w:rsidRDefault="001F24C8" w:rsidP="00A07C92">
      <w:pPr>
        <w:pStyle w:val="ListParagraph"/>
        <w:spacing w:after="0" w:line="276" w:lineRule="auto"/>
        <w:ind w:left="1440"/>
        <w:jc w:val="both"/>
        <w:rPr>
          <w:rFonts w:eastAsia="Times New Roman"/>
          <w:iCs/>
          <w:color w:val="000000"/>
          <w:lang w:val="en-GB"/>
        </w:rPr>
      </w:pPr>
    </w:p>
    <w:p w14:paraId="150C7384" w14:textId="77777777" w:rsidR="003104DB" w:rsidRPr="00301FEA" w:rsidRDefault="0094367D"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t>Declined applications</w:t>
      </w:r>
    </w:p>
    <w:p w14:paraId="19B84FD8" w14:textId="77777777" w:rsidR="00A059DD" w:rsidRDefault="003E3D3B" w:rsidP="00A07C92">
      <w:pPr>
        <w:pStyle w:val="ListParagraph"/>
        <w:numPr>
          <w:ilvl w:val="0"/>
          <w:numId w:val="35"/>
        </w:numPr>
        <w:spacing w:after="0" w:line="276" w:lineRule="auto"/>
        <w:jc w:val="both"/>
        <w:rPr>
          <w:rFonts w:eastAsia="Times New Roman"/>
          <w:iCs/>
          <w:color w:val="000000"/>
          <w:lang w:val="en-GB"/>
        </w:rPr>
      </w:pPr>
      <w:r>
        <w:rPr>
          <w:rFonts w:eastAsia="Times New Roman"/>
          <w:iCs/>
          <w:color w:val="000000"/>
          <w:lang w:val="en-GB"/>
        </w:rPr>
        <w:t xml:space="preserve">If an application of a product is declined, the </w:t>
      </w:r>
      <w:r w:rsidR="00482589">
        <w:rPr>
          <w:rFonts w:eastAsia="Times New Roman"/>
          <w:iCs/>
          <w:color w:val="000000"/>
          <w:lang w:val="en-GB"/>
        </w:rPr>
        <w:t>financial institution</w:t>
      </w:r>
      <w:r w:rsidR="009775B3">
        <w:rPr>
          <w:rFonts w:eastAsia="Times New Roman"/>
          <w:iCs/>
          <w:color w:val="000000"/>
          <w:lang w:val="en-GB"/>
        </w:rPr>
        <w:t xml:space="preserve"> should ensure the client understands the reason behind the decline. The client should </w:t>
      </w:r>
      <w:r w:rsidR="00653506">
        <w:rPr>
          <w:rFonts w:eastAsia="Times New Roman"/>
          <w:iCs/>
          <w:color w:val="000000"/>
          <w:lang w:val="en-GB"/>
        </w:rPr>
        <w:t xml:space="preserve">be informed </w:t>
      </w:r>
      <w:r w:rsidR="00A059DD">
        <w:rPr>
          <w:rFonts w:eastAsia="Times New Roman"/>
          <w:iCs/>
          <w:color w:val="000000"/>
          <w:lang w:val="en-GB"/>
        </w:rPr>
        <w:t xml:space="preserve">of </w:t>
      </w:r>
      <w:r w:rsidR="009775B3">
        <w:rPr>
          <w:rFonts w:eastAsia="Times New Roman"/>
          <w:iCs/>
          <w:color w:val="000000"/>
          <w:lang w:val="en-GB"/>
        </w:rPr>
        <w:t>the</w:t>
      </w:r>
      <w:r w:rsidR="00A059DD">
        <w:rPr>
          <w:rFonts w:eastAsia="Times New Roman"/>
          <w:iCs/>
          <w:color w:val="000000"/>
          <w:lang w:val="en-GB"/>
        </w:rPr>
        <w:t>ir</w:t>
      </w:r>
      <w:r w:rsidR="009775B3">
        <w:rPr>
          <w:rFonts w:eastAsia="Times New Roman"/>
          <w:iCs/>
          <w:color w:val="000000"/>
          <w:lang w:val="en-GB"/>
        </w:rPr>
        <w:t xml:space="preserve"> right </w:t>
      </w:r>
      <w:r w:rsidR="009775B3">
        <w:rPr>
          <w:rFonts w:eastAsia="Times New Roman"/>
          <w:iCs/>
          <w:color w:val="000000"/>
          <w:lang w:val="en-GB"/>
        </w:rPr>
        <w:lastRenderedPageBreak/>
        <w:t xml:space="preserve">of appeal and </w:t>
      </w:r>
      <w:r w:rsidR="00A059DD">
        <w:rPr>
          <w:rFonts w:eastAsia="Times New Roman"/>
          <w:iCs/>
          <w:color w:val="000000"/>
          <w:lang w:val="en-GB"/>
        </w:rPr>
        <w:t xml:space="preserve">the </w:t>
      </w:r>
      <w:r w:rsidR="00482589">
        <w:rPr>
          <w:rFonts w:eastAsia="Times New Roman"/>
          <w:iCs/>
          <w:color w:val="000000"/>
          <w:lang w:val="en-GB"/>
        </w:rPr>
        <w:t>financial institution</w:t>
      </w:r>
      <w:r w:rsidR="00A059DD">
        <w:rPr>
          <w:rFonts w:eastAsia="Times New Roman"/>
          <w:iCs/>
          <w:color w:val="000000"/>
          <w:lang w:val="en-GB"/>
        </w:rPr>
        <w:t xml:space="preserve"> should have a fair and effective process in place to review a decision to decline an application.</w:t>
      </w:r>
    </w:p>
    <w:p w14:paraId="4EDBD07C" w14:textId="77777777" w:rsidR="003104DB" w:rsidRDefault="00A059DD" w:rsidP="00A07C92">
      <w:pPr>
        <w:pStyle w:val="ListParagraph"/>
        <w:numPr>
          <w:ilvl w:val="0"/>
          <w:numId w:val="35"/>
        </w:numPr>
        <w:spacing w:after="0" w:line="276" w:lineRule="auto"/>
        <w:jc w:val="both"/>
        <w:rPr>
          <w:rFonts w:eastAsia="Times New Roman"/>
          <w:iCs/>
          <w:color w:val="000000"/>
          <w:lang w:val="en-GB"/>
        </w:rPr>
      </w:pPr>
      <w:r>
        <w:rPr>
          <w:rFonts w:eastAsia="Times New Roman"/>
          <w:iCs/>
          <w:color w:val="000000"/>
          <w:lang w:val="en-GB"/>
        </w:rPr>
        <w:t xml:space="preserve">Where appropriate, the client </w:t>
      </w:r>
      <w:r w:rsidR="009775B3">
        <w:rPr>
          <w:rFonts w:eastAsia="Times New Roman"/>
          <w:iCs/>
          <w:color w:val="000000"/>
          <w:lang w:val="en-GB"/>
        </w:rPr>
        <w:t>should be made aware of the alternative sources of finance available.</w:t>
      </w:r>
    </w:p>
    <w:p w14:paraId="61D9F5AB" w14:textId="77777777" w:rsidR="003104DB" w:rsidRDefault="003104DB" w:rsidP="00A07C92">
      <w:pPr>
        <w:pStyle w:val="ListParagraph"/>
        <w:spacing w:after="0" w:line="276" w:lineRule="auto"/>
        <w:jc w:val="both"/>
        <w:rPr>
          <w:rFonts w:eastAsia="Times New Roman"/>
          <w:iCs/>
          <w:color w:val="000000"/>
          <w:lang w:val="en-GB"/>
        </w:rPr>
      </w:pPr>
    </w:p>
    <w:p w14:paraId="01B28C0C" w14:textId="77777777" w:rsidR="003104DB" w:rsidRPr="00301FEA" w:rsidRDefault="00106EED"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t>Product execution</w:t>
      </w:r>
    </w:p>
    <w:p w14:paraId="39B3638E" w14:textId="77777777" w:rsidR="003104DB" w:rsidRDefault="00786A84" w:rsidP="00A07C92">
      <w:pPr>
        <w:pStyle w:val="ListParagraph"/>
        <w:numPr>
          <w:ilvl w:val="0"/>
          <w:numId w:val="36"/>
        </w:numPr>
        <w:spacing w:after="0" w:line="276" w:lineRule="auto"/>
        <w:jc w:val="both"/>
        <w:rPr>
          <w:rFonts w:eastAsia="Times New Roman"/>
          <w:iCs/>
          <w:color w:val="000000"/>
          <w:lang w:val="en-GB"/>
        </w:rPr>
      </w:pPr>
      <w:r>
        <w:rPr>
          <w:rFonts w:eastAsia="Times New Roman"/>
          <w:iCs/>
          <w:color w:val="000000"/>
          <w:lang w:val="en-GB"/>
        </w:rPr>
        <w:t xml:space="preserve">Information provided to </w:t>
      </w:r>
      <w:r w:rsidR="00482589">
        <w:rPr>
          <w:rFonts w:eastAsia="Times New Roman"/>
          <w:iCs/>
          <w:color w:val="000000"/>
          <w:lang w:val="en-GB"/>
        </w:rPr>
        <w:t>client</w:t>
      </w:r>
      <w:r>
        <w:rPr>
          <w:rFonts w:eastAsia="Times New Roman"/>
          <w:iCs/>
          <w:color w:val="000000"/>
          <w:lang w:val="en-GB"/>
        </w:rPr>
        <w:t>s will be clear in terms of presentation and in clarifying the action the client needs to take. Client requests will be dealt with in a timely, secure and accurate manner.</w:t>
      </w:r>
    </w:p>
    <w:p w14:paraId="31FF0519" w14:textId="77777777" w:rsidR="00786A84" w:rsidRDefault="00482589" w:rsidP="00A07C92">
      <w:pPr>
        <w:pStyle w:val="ListParagraph"/>
        <w:numPr>
          <w:ilvl w:val="0"/>
          <w:numId w:val="36"/>
        </w:numPr>
        <w:spacing w:after="0" w:line="276" w:lineRule="auto"/>
        <w:jc w:val="both"/>
        <w:rPr>
          <w:rFonts w:eastAsia="Times New Roman"/>
          <w:iCs/>
          <w:color w:val="000000"/>
          <w:lang w:val="en-GB"/>
        </w:rPr>
      </w:pPr>
      <w:r>
        <w:rPr>
          <w:rFonts w:eastAsia="Times New Roman"/>
          <w:iCs/>
          <w:color w:val="000000"/>
          <w:lang w:val="en-GB"/>
        </w:rPr>
        <w:t>Financial institution</w:t>
      </w:r>
      <w:r w:rsidR="00160EC0">
        <w:rPr>
          <w:rFonts w:eastAsia="Times New Roman"/>
          <w:iCs/>
          <w:color w:val="000000"/>
          <w:lang w:val="en-GB"/>
        </w:rPr>
        <w:t>s</w:t>
      </w:r>
      <w:r w:rsidR="00786A84">
        <w:rPr>
          <w:rFonts w:eastAsia="Times New Roman"/>
          <w:iCs/>
          <w:color w:val="000000"/>
          <w:lang w:val="en-GB"/>
        </w:rPr>
        <w:t xml:space="preserve"> </w:t>
      </w:r>
      <w:r w:rsidR="00160EC0">
        <w:rPr>
          <w:rFonts w:eastAsia="Times New Roman"/>
          <w:iCs/>
          <w:color w:val="000000"/>
          <w:lang w:val="en-GB"/>
        </w:rPr>
        <w:t>will</w:t>
      </w:r>
      <w:r w:rsidR="00786A84">
        <w:rPr>
          <w:rFonts w:eastAsia="Times New Roman"/>
          <w:iCs/>
          <w:color w:val="000000"/>
          <w:lang w:val="en-GB"/>
        </w:rPr>
        <w:t xml:space="preserve"> ensure that any changes to the terms of the client’s agreement are</w:t>
      </w:r>
      <w:r w:rsidR="00283380">
        <w:rPr>
          <w:rFonts w:eastAsia="Times New Roman"/>
          <w:iCs/>
          <w:color w:val="000000"/>
          <w:lang w:val="en-GB"/>
        </w:rPr>
        <w:t xml:space="preserve"> clear,</w:t>
      </w:r>
      <w:r w:rsidR="00786A84">
        <w:rPr>
          <w:rFonts w:eastAsia="Times New Roman"/>
          <w:iCs/>
          <w:color w:val="000000"/>
          <w:lang w:val="en-GB"/>
        </w:rPr>
        <w:t xml:space="preserve"> fair and transparent</w:t>
      </w:r>
      <w:r w:rsidR="005E5D75">
        <w:rPr>
          <w:rFonts w:eastAsia="Times New Roman"/>
          <w:iCs/>
          <w:color w:val="000000"/>
          <w:lang w:val="en-GB"/>
        </w:rPr>
        <w:t>.</w:t>
      </w:r>
    </w:p>
    <w:p w14:paraId="1F7357A4" w14:textId="77777777" w:rsidR="00786A84" w:rsidRDefault="00482589" w:rsidP="00A07C92">
      <w:pPr>
        <w:pStyle w:val="ListParagraph"/>
        <w:numPr>
          <w:ilvl w:val="0"/>
          <w:numId w:val="36"/>
        </w:numPr>
        <w:spacing w:after="0" w:line="276" w:lineRule="auto"/>
        <w:jc w:val="both"/>
        <w:rPr>
          <w:rFonts w:eastAsia="Times New Roman"/>
          <w:iCs/>
          <w:color w:val="000000"/>
          <w:lang w:val="en-GB"/>
        </w:rPr>
      </w:pPr>
      <w:r>
        <w:rPr>
          <w:rFonts w:eastAsia="Times New Roman"/>
          <w:iCs/>
          <w:color w:val="000000"/>
          <w:lang w:val="en-GB"/>
        </w:rPr>
        <w:t>Financial institution</w:t>
      </w:r>
      <w:r w:rsidR="00160EC0">
        <w:rPr>
          <w:rFonts w:eastAsia="Times New Roman"/>
          <w:iCs/>
          <w:color w:val="000000"/>
          <w:lang w:val="en-GB"/>
        </w:rPr>
        <w:t xml:space="preserve">s will maintain security of client data but may share information about day-today operations of a </w:t>
      </w:r>
      <w:r>
        <w:rPr>
          <w:rFonts w:eastAsia="Times New Roman"/>
          <w:iCs/>
          <w:color w:val="000000"/>
          <w:lang w:val="en-GB"/>
        </w:rPr>
        <w:t>client</w:t>
      </w:r>
      <w:r w:rsidR="00160EC0">
        <w:rPr>
          <w:rFonts w:eastAsia="Times New Roman"/>
          <w:iCs/>
          <w:color w:val="000000"/>
          <w:lang w:val="en-GB"/>
        </w:rPr>
        <w:t xml:space="preserve"> account(s) with credit rating agencies where applicable.</w:t>
      </w:r>
    </w:p>
    <w:p w14:paraId="26F5F3F7" w14:textId="77777777" w:rsidR="00786A84" w:rsidRDefault="00786A84" w:rsidP="00A07C92">
      <w:pPr>
        <w:pStyle w:val="ListParagraph"/>
        <w:spacing w:after="0" w:line="276" w:lineRule="auto"/>
        <w:ind w:left="1440"/>
        <w:jc w:val="both"/>
        <w:rPr>
          <w:rFonts w:eastAsia="Times New Roman"/>
          <w:iCs/>
          <w:color w:val="000000"/>
          <w:lang w:val="en-GB"/>
        </w:rPr>
      </w:pPr>
    </w:p>
    <w:p w14:paraId="449D05D9" w14:textId="77777777" w:rsidR="003104DB" w:rsidRDefault="003104DB" w:rsidP="00A07C92">
      <w:pPr>
        <w:pStyle w:val="ListParagraph"/>
        <w:spacing w:after="0" w:line="276" w:lineRule="auto"/>
        <w:jc w:val="both"/>
        <w:rPr>
          <w:rFonts w:eastAsia="Times New Roman"/>
          <w:iCs/>
          <w:color w:val="000000"/>
          <w:lang w:val="en-GB"/>
        </w:rPr>
      </w:pPr>
    </w:p>
    <w:p w14:paraId="56F63BBC" w14:textId="77777777" w:rsidR="003104DB" w:rsidRPr="00301FEA" w:rsidRDefault="00160EC0"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t>Credit monitoring</w:t>
      </w:r>
    </w:p>
    <w:p w14:paraId="3F5E7656" w14:textId="77777777" w:rsidR="003104DB" w:rsidRDefault="00482589" w:rsidP="00A07C92">
      <w:pPr>
        <w:pStyle w:val="ListParagraph"/>
        <w:numPr>
          <w:ilvl w:val="0"/>
          <w:numId w:val="37"/>
        </w:numPr>
        <w:spacing w:after="0" w:line="276" w:lineRule="auto"/>
        <w:jc w:val="both"/>
        <w:rPr>
          <w:rFonts w:eastAsia="Times New Roman"/>
          <w:iCs/>
          <w:color w:val="000000"/>
          <w:lang w:val="en-GB"/>
        </w:rPr>
      </w:pPr>
      <w:r>
        <w:rPr>
          <w:rFonts w:eastAsia="Times New Roman"/>
          <w:iCs/>
          <w:color w:val="000000"/>
          <w:lang w:val="en-GB"/>
        </w:rPr>
        <w:t>Financial institution</w:t>
      </w:r>
      <w:r w:rsidR="00DD4ABF">
        <w:rPr>
          <w:rFonts w:eastAsia="Times New Roman"/>
          <w:iCs/>
          <w:color w:val="000000"/>
          <w:lang w:val="en-GB"/>
        </w:rPr>
        <w:t>s should ensure that a sufficient level of monitoring of a client</w:t>
      </w:r>
      <w:r w:rsidR="00F03682">
        <w:rPr>
          <w:rFonts w:eastAsia="Times New Roman"/>
          <w:iCs/>
          <w:color w:val="000000"/>
          <w:lang w:val="en-GB"/>
        </w:rPr>
        <w:t>’</w:t>
      </w:r>
      <w:r w:rsidR="00DD4ABF">
        <w:rPr>
          <w:rFonts w:eastAsia="Times New Roman"/>
          <w:iCs/>
          <w:color w:val="000000"/>
          <w:lang w:val="en-GB"/>
        </w:rPr>
        <w:t>s debts is undertaken to help determine if the client is exhibiting signs of financial stress. Where relevant, appropriate support should be offered.</w:t>
      </w:r>
    </w:p>
    <w:p w14:paraId="25EE8F52" w14:textId="77777777" w:rsidR="00DD4ABF" w:rsidRDefault="00482589" w:rsidP="00A07C92">
      <w:pPr>
        <w:pStyle w:val="ListParagraph"/>
        <w:numPr>
          <w:ilvl w:val="0"/>
          <w:numId w:val="37"/>
        </w:numPr>
        <w:spacing w:after="0" w:line="276" w:lineRule="auto"/>
        <w:jc w:val="both"/>
        <w:rPr>
          <w:rFonts w:eastAsia="Times New Roman"/>
          <w:iCs/>
          <w:color w:val="000000"/>
          <w:lang w:val="en-GB"/>
        </w:rPr>
      </w:pPr>
      <w:r>
        <w:rPr>
          <w:rFonts w:eastAsia="Times New Roman"/>
          <w:iCs/>
          <w:color w:val="000000"/>
          <w:lang w:val="en-GB"/>
        </w:rPr>
        <w:t>Financial institution</w:t>
      </w:r>
      <w:r w:rsidR="00DD4ABF">
        <w:rPr>
          <w:rFonts w:eastAsia="Times New Roman"/>
          <w:iCs/>
          <w:color w:val="000000"/>
          <w:lang w:val="en-GB"/>
        </w:rPr>
        <w:t>s should ensure relevant client facing employees and relevant third parties are sufficiently trained and skilled to help identify and deal with clients who may be showing signs of financial stress.</w:t>
      </w:r>
    </w:p>
    <w:p w14:paraId="4BFCFA9B" w14:textId="77777777" w:rsidR="00F03682" w:rsidRDefault="00482589" w:rsidP="00A07C92">
      <w:pPr>
        <w:pStyle w:val="ListParagraph"/>
        <w:numPr>
          <w:ilvl w:val="0"/>
          <w:numId w:val="37"/>
        </w:numPr>
        <w:spacing w:after="0" w:line="276" w:lineRule="auto"/>
        <w:jc w:val="both"/>
        <w:rPr>
          <w:rFonts w:eastAsia="Times New Roman"/>
          <w:iCs/>
          <w:color w:val="000000"/>
          <w:lang w:val="en-GB"/>
        </w:rPr>
      </w:pPr>
      <w:r>
        <w:rPr>
          <w:rFonts w:eastAsia="Times New Roman"/>
          <w:iCs/>
          <w:color w:val="000000"/>
          <w:lang w:val="en-GB"/>
        </w:rPr>
        <w:t>Financial institution</w:t>
      </w:r>
      <w:r w:rsidR="00F03682">
        <w:rPr>
          <w:rFonts w:eastAsia="Times New Roman"/>
          <w:iCs/>
          <w:color w:val="000000"/>
          <w:lang w:val="en-GB"/>
        </w:rPr>
        <w:t>s should undertake monitoring and assurance work to ensure that their policies and processes are designed and are operating effectively in identifying and supporting clients who are showing signs of financial stress.</w:t>
      </w:r>
    </w:p>
    <w:p w14:paraId="4326E087" w14:textId="77777777" w:rsidR="00DD4ABF" w:rsidRDefault="00DD4ABF" w:rsidP="00A07C92">
      <w:pPr>
        <w:pStyle w:val="ListParagraph"/>
        <w:spacing w:after="0" w:line="276" w:lineRule="auto"/>
        <w:ind w:left="1440"/>
        <w:jc w:val="both"/>
        <w:rPr>
          <w:rFonts w:eastAsia="Times New Roman"/>
          <w:iCs/>
          <w:color w:val="000000"/>
          <w:lang w:val="en-GB"/>
        </w:rPr>
      </w:pPr>
    </w:p>
    <w:p w14:paraId="45807B2D" w14:textId="77777777" w:rsidR="00F03682" w:rsidRPr="00DD4ABF" w:rsidRDefault="00F03682" w:rsidP="00A07C92">
      <w:pPr>
        <w:pStyle w:val="ListParagraph"/>
        <w:spacing w:after="0" w:line="276" w:lineRule="auto"/>
        <w:ind w:left="1440"/>
        <w:jc w:val="both"/>
        <w:rPr>
          <w:rFonts w:eastAsia="Times New Roman"/>
          <w:iCs/>
          <w:color w:val="000000"/>
          <w:lang w:val="en-GB"/>
        </w:rPr>
      </w:pPr>
    </w:p>
    <w:p w14:paraId="6D0248E8" w14:textId="77777777" w:rsidR="003104DB" w:rsidRPr="00301FEA" w:rsidRDefault="00F03682"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t>Financial difficulty</w:t>
      </w:r>
    </w:p>
    <w:p w14:paraId="0BB3EB23" w14:textId="77777777" w:rsidR="003104DB" w:rsidRDefault="00482589" w:rsidP="00A07C92">
      <w:pPr>
        <w:pStyle w:val="ListParagraph"/>
        <w:numPr>
          <w:ilvl w:val="0"/>
          <w:numId w:val="38"/>
        </w:numPr>
        <w:spacing w:after="0" w:line="276" w:lineRule="auto"/>
        <w:jc w:val="both"/>
        <w:rPr>
          <w:rFonts w:eastAsia="Times New Roman"/>
          <w:iCs/>
          <w:color w:val="000000"/>
          <w:lang w:val="en-GB"/>
        </w:rPr>
      </w:pPr>
      <w:r>
        <w:rPr>
          <w:rFonts w:eastAsia="Times New Roman"/>
          <w:iCs/>
          <w:color w:val="000000"/>
          <w:lang w:val="en-GB"/>
        </w:rPr>
        <w:t>Financial institution</w:t>
      </w:r>
      <w:r w:rsidR="00F03682">
        <w:rPr>
          <w:rFonts w:eastAsia="Times New Roman"/>
          <w:iCs/>
          <w:color w:val="000000"/>
          <w:lang w:val="en-GB"/>
        </w:rPr>
        <w:t xml:space="preserve">s should have triggers, processes, policies and procedures in place to help identify </w:t>
      </w:r>
      <w:r>
        <w:rPr>
          <w:rFonts w:eastAsia="Times New Roman"/>
          <w:iCs/>
          <w:color w:val="000000"/>
          <w:lang w:val="en-GB"/>
        </w:rPr>
        <w:t>client</w:t>
      </w:r>
      <w:r w:rsidR="00F03682">
        <w:rPr>
          <w:rFonts w:eastAsia="Times New Roman"/>
          <w:iCs/>
          <w:color w:val="000000"/>
          <w:lang w:val="en-GB"/>
        </w:rPr>
        <w:t>s who may be in financial difficulty and should promptly address the situation with the client.</w:t>
      </w:r>
    </w:p>
    <w:p w14:paraId="10506520" w14:textId="77777777" w:rsidR="00F03682" w:rsidRDefault="00F03682" w:rsidP="00A07C92">
      <w:pPr>
        <w:pStyle w:val="ListParagraph"/>
        <w:numPr>
          <w:ilvl w:val="0"/>
          <w:numId w:val="38"/>
        </w:numPr>
        <w:spacing w:after="0" w:line="276" w:lineRule="auto"/>
        <w:jc w:val="both"/>
        <w:rPr>
          <w:rFonts w:eastAsia="Times New Roman"/>
          <w:iCs/>
          <w:color w:val="000000"/>
          <w:lang w:val="en-GB"/>
        </w:rPr>
      </w:pPr>
      <w:r>
        <w:rPr>
          <w:rFonts w:eastAsia="Times New Roman"/>
          <w:iCs/>
          <w:color w:val="000000"/>
          <w:lang w:val="en-GB"/>
        </w:rPr>
        <w:t>Clients identified as being in financial difficulty should be contacted and provided with information on support available to them. They should not be subject to harassment or undue pressure where discussing their financial situation.</w:t>
      </w:r>
    </w:p>
    <w:p w14:paraId="77443412" w14:textId="77777777" w:rsidR="00F03682" w:rsidRDefault="00482589" w:rsidP="00A07C92">
      <w:pPr>
        <w:pStyle w:val="ListParagraph"/>
        <w:numPr>
          <w:ilvl w:val="0"/>
          <w:numId w:val="38"/>
        </w:numPr>
        <w:spacing w:after="0" w:line="276" w:lineRule="auto"/>
        <w:jc w:val="both"/>
        <w:rPr>
          <w:rFonts w:eastAsia="Times New Roman"/>
          <w:iCs/>
          <w:color w:val="000000"/>
          <w:lang w:val="en-GB"/>
        </w:rPr>
      </w:pPr>
      <w:r>
        <w:rPr>
          <w:rFonts w:eastAsia="Times New Roman"/>
          <w:iCs/>
          <w:color w:val="000000"/>
          <w:lang w:val="en-GB"/>
        </w:rPr>
        <w:t>Financial institution</w:t>
      </w:r>
      <w:r w:rsidR="00F03682">
        <w:rPr>
          <w:rFonts w:eastAsia="Times New Roman"/>
          <w:iCs/>
          <w:color w:val="000000"/>
          <w:lang w:val="en-GB"/>
        </w:rPr>
        <w:t xml:space="preserve">s should work with and support </w:t>
      </w:r>
      <w:r w:rsidR="00896ADB">
        <w:rPr>
          <w:rFonts w:eastAsia="Times New Roman"/>
          <w:iCs/>
          <w:color w:val="000000"/>
          <w:lang w:val="en-GB"/>
        </w:rPr>
        <w:t xml:space="preserve">a client’s turnaround plan where the </w:t>
      </w:r>
      <w:r>
        <w:rPr>
          <w:rFonts w:eastAsia="Times New Roman"/>
          <w:iCs/>
          <w:color w:val="000000"/>
          <w:lang w:val="en-GB"/>
        </w:rPr>
        <w:t>financial institution</w:t>
      </w:r>
      <w:r w:rsidR="00896ADB">
        <w:rPr>
          <w:rFonts w:eastAsia="Times New Roman"/>
          <w:iCs/>
          <w:color w:val="000000"/>
          <w:lang w:val="en-GB"/>
        </w:rPr>
        <w:t xml:space="preserve"> believes that it has a good chance of succeeding</w:t>
      </w:r>
      <w:r w:rsidR="0032349B">
        <w:rPr>
          <w:rFonts w:eastAsia="Times New Roman"/>
          <w:iCs/>
          <w:color w:val="000000"/>
          <w:lang w:val="en-GB"/>
        </w:rPr>
        <w:t>.</w:t>
      </w:r>
    </w:p>
    <w:p w14:paraId="0E8E8044" w14:textId="77777777" w:rsidR="003104DB" w:rsidRDefault="003104DB" w:rsidP="00A07C92">
      <w:pPr>
        <w:pStyle w:val="ListParagraph"/>
        <w:spacing w:after="0" w:line="276" w:lineRule="auto"/>
        <w:jc w:val="both"/>
        <w:rPr>
          <w:rFonts w:eastAsia="Times New Roman"/>
          <w:iCs/>
          <w:color w:val="000000"/>
          <w:lang w:val="en-GB"/>
        </w:rPr>
      </w:pPr>
    </w:p>
    <w:p w14:paraId="0BDB6F92" w14:textId="77777777" w:rsidR="003104DB" w:rsidRPr="00301FEA" w:rsidRDefault="0032349B"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lastRenderedPageBreak/>
        <w:t>Portfolio Management</w:t>
      </w:r>
    </w:p>
    <w:p w14:paraId="7C53F6B9" w14:textId="77777777" w:rsidR="003104DB" w:rsidRDefault="00482589"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Financial institution</w:t>
      </w:r>
      <w:r w:rsidR="0032349B">
        <w:rPr>
          <w:rFonts w:eastAsia="Times New Roman"/>
          <w:iCs/>
          <w:color w:val="000000"/>
          <w:lang w:val="en-GB"/>
        </w:rPr>
        <w:t xml:space="preserve">s should follow robust due diligence processes when selecting third parties for debt sale or debt collection activities to ensure that </w:t>
      </w:r>
      <w:r>
        <w:rPr>
          <w:rFonts w:eastAsia="Times New Roman"/>
          <w:iCs/>
          <w:color w:val="000000"/>
          <w:lang w:val="en-GB"/>
        </w:rPr>
        <w:t>client</w:t>
      </w:r>
      <w:r w:rsidR="0032349B">
        <w:rPr>
          <w:rFonts w:eastAsia="Times New Roman"/>
          <w:iCs/>
          <w:color w:val="000000"/>
          <w:lang w:val="en-GB"/>
        </w:rPr>
        <w:t>s will continue to be treated fairly.</w:t>
      </w:r>
    </w:p>
    <w:p w14:paraId="3C2D0A5F" w14:textId="77777777" w:rsidR="0032349B" w:rsidRDefault="00482589"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Financial institution</w:t>
      </w:r>
      <w:r w:rsidR="0032349B">
        <w:rPr>
          <w:rFonts w:eastAsia="Times New Roman"/>
          <w:iCs/>
          <w:color w:val="000000"/>
          <w:lang w:val="en-GB"/>
        </w:rPr>
        <w:t xml:space="preserve">s should ensure that where the decision is made to sell a </w:t>
      </w:r>
      <w:r>
        <w:rPr>
          <w:rFonts w:eastAsia="Times New Roman"/>
          <w:iCs/>
          <w:color w:val="000000"/>
          <w:lang w:val="en-GB"/>
        </w:rPr>
        <w:t>client</w:t>
      </w:r>
      <w:r w:rsidR="0032349B">
        <w:rPr>
          <w:rFonts w:eastAsia="Times New Roman"/>
          <w:iCs/>
          <w:color w:val="000000"/>
          <w:lang w:val="en-GB"/>
        </w:rPr>
        <w:t xml:space="preserve">’s debt and contractual terms require the </w:t>
      </w:r>
      <w:r>
        <w:rPr>
          <w:rFonts w:eastAsia="Times New Roman"/>
          <w:iCs/>
          <w:color w:val="000000"/>
          <w:lang w:val="en-GB"/>
        </w:rPr>
        <w:t>client</w:t>
      </w:r>
      <w:r w:rsidR="0032349B">
        <w:rPr>
          <w:rFonts w:eastAsia="Times New Roman"/>
          <w:iCs/>
          <w:color w:val="000000"/>
          <w:lang w:val="en-GB"/>
        </w:rPr>
        <w:t>’s consent to do so, this is obtained prior to any sale taking place.</w:t>
      </w:r>
    </w:p>
    <w:p w14:paraId="26F3BF65" w14:textId="77777777" w:rsidR="0032349B" w:rsidRPr="0032349B" w:rsidRDefault="0032349B"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 xml:space="preserve">Where </w:t>
      </w:r>
      <w:r w:rsidRPr="0032349B">
        <w:rPr>
          <w:rFonts w:eastAsia="Times New Roman"/>
          <w:iCs/>
          <w:color w:val="000000"/>
          <w:lang w:val="en-GB"/>
        </w:rPr>
        <w:t xml:space="preserve">an agreement allows for a </w:t>
      </w:r>
      <w:r w:rsidR="00482589">
        <w:rPr>
          <w:rFonts w:eastAsia="Times New Roman"/>
          <w:iCs/>
          <w:color w:val="000000"/>
          <w:lang w:val="en-GB"/>
        </w:rPr>
        <w:t>financial institution</w:t>
      </w:r>
      <w:r w:rsidRPr="0032349B">
        <w:rPr>
          <w:rFonts w:eastAsia="Times New Roman"/>
          <w:iCs/>
          <w:color w:val="000000"/>
          <w:lang w:val="en-GB"/>
        </w:rPr>
        <w:t xml:space="preserve"> to sell a </w:t>
      </w:r>
      <w:r w:rsidR="00482589">
        <w:rPr>
          <w:rFonts w:eastAsia="Times New Roman"/>
          <w:iCs/>
          <w:color w:val="000000"/>
          <w:lang w:val="en-GB"/>
        </w:rPr>
        <w:t>client</w:t>
      </w:r>
      <w:r w:rsidRPr="0032349B">
        <w:rPr>
          <w:rFonts w:eastAsia="Times New Roman"/>
          <w:iCs/>
          <w:color w:val="000000"/>
          <w:lang w:val="en-GB"/>
        </w:rPr>
        <w:t xml:space="preserve">’s debt without their consent, </w:t>
      </w:r>
      <w:r>
        <w:rPr>
          <w:rFonts w:eastAsia="Times New Roman"/>
          <w:iCs/>
          <w:color w:val="000000"/>
          <w:lang w:val="en-GB"/>
        </w:rPr>
        <w:t>financial service provides</w:t>
      </w:r>
      <w:r w:rsidRPr="0032349B">
        <w:rPr>
          <w:rFonts w:eastAsia="Times New Roman"/>
          <w:iCs/>
          <w:color w:val="000000"/>
          <w:lang w:val="en-GB"/>
        </w:rPr>
        <w:t xml:space="preserve"> should ensure that:</w:t>
      </w:r>
    </w:p>
    <w:p w14:paraId="70025A35" w14:textId="77777777" w:rsidR="0032349B" w:rsidRDefault="0032349B" w:rsidP="00A07C92">
      <w:pPr>
        <w:pStyle w:val="ListParagraph"/>
        <w:numPr>
          <w:ilvl w:val="2"/>
          <w:numId w:val="32"/>
        </w:numPr>
        <w:spacing w:after="0" w:line="276" w:lineRule="auto"/>
        <w:jc w:val="both"/>
        <w:rPr>
          <w:rFonts w:eastAsia="Times New Roman"/>
          <w:iCs/>
          <w:color w:val="000000"/>
          <w:lang w:val="en-GB"/>
        </w:rPr>
      </w:pPr>
      <w:r w:rsidRPr="0032349B">
        <w:rPr>
          <w:rFonts w:eastAsia="Times New Roman"/>
          <w:iCs/>
          <w:color w:val="000000"/>
          <w:lang w:val="en-GB"/>
        </w:rPr>
        <w:t>the c</w:t>
      </w:r>
      <w:r>
        <w:rPr>
          <w:rFonts w:eastAsia="Times New Roman"/>
          <w:iCs/>
          <w:color w:val="000000"/>
          <w:lang w:val="en-GB"/>
        </w:rPr>
        <w:t>lient</w:t>
      </w:r>
      <w:r w:rsidRPr="0032349B">
        <w:rPr>
          <w:rFonts w:eastAsia="Times New Roman"/>
          <w:iCs/>
          <w:color w:val="000000"/>
          <w:lang w:val="en-GB"/>
        </w:rPr>
        <w:t xml:space="preserve"> is provided with reasonable notice that the </w:t>
      </w:r>
      <w:r w:rsidR="00482589">
        <w:rPr>
          <w:rFonts w:eastAsia="Times New Roman"/>
          <w:iCs/>
          <w:color w:val="000000"/>
          <w:lang w:val="en-GB"/>
        </w:rPr>
        <w:t>financial institution</w:t>
      </w:r>
      <w:r w:rsidRPr="0032349B">
        <w:rPr>
          <w:rFonts w:eastAsia="Times New Roman"/>
          <w:iCs/>
          <w:color w:val="000000"/>
          <w:lang w:val="en-GB"/>
        </w:rPr>
        <w:t xml:space="preserve"> intends to sell their debt and provided with clear information as to what the sale means for the product(s) that they hold with the </w:t>
      </w:r>
      <w:r w:rsidR="00482589">
        <w:rPr>
          <w:rFonts w:eastAsia="Times New Roman"/>
          <w:iCs/>
          <w:color w:val="000000"/>
          <w:lang w:val="en-GB"/>
        </w:rPr>
        <w:t>financial institution</w:t>
      </w:r>
      <w:r w:rsidRPr="0032349B">
        <w:rPr>
          <w:rFonts w:eastAsia="Times New Roman"/>
          <w:iCs/>
          <w:color w:val="000000"/>
          <w:lang w:val="en-GB"/>
        </w:rPr>
        <w:t xml:space="preserve"> and;</w:t>
      </w:r>
    </w:p>
    <w:p w14:paraId="254B9F43" w14:textId="77777777" w:rsidR="00002203" w:rsidRPr="00002203" w:rsidRDefault="0032349B" w:rsidP="00A07C92">
      <w:pPr>
        <w:pStyle w:val="ListParagraph"/>
        <w:numPr>
          <w:ilvl w:val="2"/>
          <w:numId w:val="32"/>
        </w:numPr>
        <w:spacing w:after="0" w:line="276" w:lineRule="auto"/>
        <w:jc w:val="both"/>
        <w:rPr>
          <w:rFonts w:eastAsia="Times New Roman"/>
          <w:iCs/>
          <w:color w:val="000000"/>
          <w:lang w:val="en-GB"/>
        </w:rPr>
      </w:pPr>
      <w:r w:rsidRPr="0030701B">
        <w:rPr>
          <w:rFonts w:eastAsia="Times New Roman"/>
          <w:iCs/>
          <w:color w:val="000000"/>
          <w:lang w:val="en-GB"/>
        </w:rPr>
        <w:t>if the relationship with the</w:t>
      </w:r>
      <w:r>
        <w:rPr>
          <w:rFonts w:eastAsia="Times New Roman"/>
          <w:iCs/>
          <w:color w:val="000000"/>
          <w:lang w:val="en-GB"/>
        </w:rPr>
        <w:t xml:space="preserve"> </w:t>
      </w:r>
      <w:r w:rsidRPr="0032349B">
        <w:rPr>
          <w:rFonts w:eastAsia="Times New Roman"/>
          <w:iCs/>
          <w:color w:val="000000"/>
          <w:lang w:val="en-GB"/>
        </w:rPr>
        <w:t>c</w:t>
      </w:r>
      <w:r>
        <w:rPr>
          <w:rFonts w:eastAsia="Times New Roman"/>
          <w:iCs/>
          <w:color w:val="000000"/>
          <w:lang w:val="en-GB"/>
        </w:rPr>
        <w:t>lient</w:t>
      </w:r>
      <w:r w:rsidRPr="0032349B">
        <w:rPr>
          <w:rFonts w:eastAsia="Times New Roman"/>
          <w:iCs/>
          <w:color w:val="000000"/>
          <w:lang w:val="en-GB"/>
        </w:rPr>
        <w:t xml:space="preserve"> will be serviced by the third party, full contact details for the purchaser are provided.</w:t>
      </w:r>
    </w:p>
    <w:bookmarkEnd w:id="197"/>
    <w:p w14:paraId="6129987E" w14:textId="77777777" w:rsidR="00BC0888" w:rsidRDefault="00482589"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Financial institution</w:t>
      </w:r>
      <w:r w:rsidR="00002203" w:rsidRPr="0030701B">
        <w:rPr>
          <w:rFonts w:eastAsia="Times New Roman"/>
          <w:iCs/>
          <w:color w:val="000000"/>
          <w:lang w:val="en-GB"/>
        </w:rPr>
        <w:t>s</w:t>
      </w:r>
      <w:r w:rsidR="00002203">
        <w:rPr>
          <w:rFonts w:eastAsia="Times New Roman"/>
          <w:iCs/>
          <w:color w:val="000000"/>
          <w:lang w:val="en-GB"/>
        </w:rPr>
        <w:t xml:space="preserve"> who sell </w:t>
      </w:r>
      <w:r w:rsidR="00002203" w:rsidRPr="00002203">
        <w:rPr>
          <w:rFonts w:eastAsia="Times New Roman"/>
          <w:iCs/>
          <w:color w:val="000000"/>
          <w:lang w:val="en-GB"/>
        </w:rPr>
        <w:t>non-performing debt</w:t>
      </w:r>
      <w:r w:rsidR="00002203">
        <w:rPr>
          <w:rFonts w:eastAsia="Times New Roman"/>
          <w:iCs/>
          <w:color w:val="000000"/>
          <w:lang w:val="en-GB"/>
        </w:rPr>
        <w:t xml:space="preserve"> </w:t>
      </w:r>
      <w:r w:rsidR="00002203" w:rsidRPr="00002203">
        <w:rPr>
          <w:rFonts w:eastAsia="Times New Roman"/>
          <w:iCs/>
          <w:color w:val="000000"/>
          <w:lang w:val="en-GB"/>
        </w:rPr>
        <w:t>should take appropriate and reasonable steps to ensure that the third party, to whom the c</w:t>
      </w:r>
      <w:r w:rsidR="00002203">
        <w:rPr>
          <w:rFonts w:eastAsia="Times New Roman"/>
          <w:iCs/>
          <w:color w:val="000000"/>
          <w:lang w:val="en-GB"/>
        </w:rPr>
        <w:t>lient</w:t>
      </w:r>
      <w:r w:rsidR="00002203" w:rsidRPr="00002203">
        <w:rPr>
          <w:rFonts w:eastAsia="Times New Roman"/>
          <w:iCs/>
          <w:color w:val="000000"/>
          <w:lang w:val="en-GB"/>
        </w:rPr>
        <w:t>’s debt has been sold, deals with the c</w:t>
      </w:r>
      <w:r w:rsidR="00002203">
        <w:rPr>
          <w:rFonts w:eastAsia="Times New Roman"/>
          <w:iCs/>
          <w:color w:val="000000"/>
          <w:lang w:val="en-GB"/>
        </w:rPr>
        <w:t>lient</w:t>
      </w:r>
      <w:r w:rsidR="00002203" w:rsidRPr="00002203">
        <w:rPr>
          <w:rFonts w:eastAsia="Times New Roman"/>
          <w:iCs/>
          <w:color w:val="000000"/>
          <w:lang w:val="en-GB"/>
        </w:rPr>
        <w:t xml:space="preserve"> in a manner that is consistent with the relevant requirements of the relevant contractual terms.</w:t>
      </w:r>
    </w:p>
    <w:p w14:paraId="13CBFABC" w14:textId="77777777" w:rsidR="00002203" w:rsidRDefault="00002203"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Where d</w:t>
      </w:r>
      <w:r w:rsidRPr="00002203">
        <w:rPr>
          <w:rFonts w:eastAsia="Times New Roman"/>
          <w:iCs/>
          <w:color w:val="000000"/>
          <w:lang w:val="en-GB"/>
        </w:rPr>
        <w:t>ebt is sold and during the lifetime of the original agreement, a dispute arises between the c</w:t>
      </w:r>
      <w:r>
        <w:rPr>
          <w:rFonts w:eastAsia="Times New Roman"/>
          <w:iCs/>
          <w:color w:val="000000"/>
          <w:lang w:val="en-GB"/>
        </w:rPr>
        <w:t>lient</w:t>
      </w:r>
      <w:r w:rsidRPr="00002203">
        <w:rPr>
          <w:rFonts w:eastAsia="Times New Roman"/>
          <w:iCs/>
          <w:color w:val="000000"/>
          <w:lang w:val="en-GB"/>
        </w:rPr>
        <w:t xml:space="preserve"> and the third party which the parties are unable to resolve, </w:t>
      </w:r>
      <w:r w:rsidR="00482589">
        <w:rPr>
          <w:rFonts w:eastAsia="Times New Roman"/>
          <w:iCs/>
          <w:color w:val="000000"/>
          <w:lang w:val="en-GB"/>
        </w:rPr>
        <w:t>financial institution</w:t>
      </w:r>
      <w:r>
        <w:rPr>
          <w:rFonts w:eastAsia="Times New Roman"/>
          <w:iCs/>
          <w:color w:val="000000"/>
          <w:lang w:val="en-GB"/>
        </w:rPr>
        <w:t>s</w:t>
      </w:r>
      <w:r w:rsidRPr="00002203">
        <w:rPr>
          <w:rFonts w:eastAsia="Times New Roman"/>
          <w:iCs/>
          <w:color w:val="000000"/>
          <w:lang w:val="en-GB"/>
        </w:rPr>
        <w:t xml:space="preserve"> should ensure that they have processes in place to allow the c</w:t>
      </w:r>
      <w:r>
        <w:rPr>
          <w:rFonts w:eastAsia="Times New Roman"/>
          <w:iCs/>
          <w:color w:val="000000"/>
          <w:lang w:val="en-GB"/>
        </w:rPr>
        <w:t>lient</w:t>
      </w:r>
      <w:r w:rsidRPr="00002203">
        <w:rPr>
          <w:rFonts w:eastAsia="Times New Roman"/>
          <w:iCs/>
          <w:color w:val="000000"/>
          <w:lang w:val="en-GB"/>
        </w:rPr>
        <w:t xml:space="preserve"> access to the </w:t>
      </w:r>
      <w:r w:rsidR="00482589">
        <w:rPr>
          <w:rFonts w:eastAsia="Times New Roman"/>
          <w:iCs/>
          <w:color w:val="000000"/>
          <w:lang w:val="en-GB"/>
        </w:rPr>
        <w:t>financial institution</w:t>
      </w:r>
      <w:r w:rsidRPr="00002203">
        <w:rPr>
          <w:rFonts w:eastAsia="Times New Roman"/>
          <w:iCs/>
          <w:color w:val="000000"/>
          <w:lang w:val="en-GB"/>
        </w:rPr>
        <w:t>’s complaints procedure.</w:t>
      </w:r>
    </w:p>
    <w:p w14:paraId="135EB36D" w14:textId="77777777" w:rsidR="00002203" w:rsidRDefault="00002203" w:rsidP="00A07C92">
      <w:pPr>
        <w:spacing w:after="0" w:line="276" w:lineRule="auto"/>
        <w:jc w:val="both"/>
        <w:rPr>
          <w:rFonts w:eastAsia="Times New Roman"/>
          <w:iCs/>
          <w:color w:val="000000"/>
          <w:lang w:val="en-GB"/>
        </w:rPr>
      </w:pPr>
    </w:p>
    <w:p w14:paraId="331607C2" w14:textId="77777777" w:rsidR="00002203" w:rsidRPr="00301FEA" w:rsidRDefault="00002203"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t>Vulnerability</w:t>
      </w:r>
    </w:p>
    <w:p w14:paraId="6F3468ED" w14:textId="77777777" w:rsidR="00002203" w:rsidRDefault="00482589"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Financial institution</w:t>
      </w:r>
      <w:r w:rsidR="005876C6">
        <w:rPr>
          <w:rFonts w:eastAsia="Times New Roman"/>
          <w:iCs/>
          <w:color w:val="000000"/>
          <w:lang w:val="en-GB"/>
        </w:rPr>
        <w:t xml:space="preserve">s should have a vulnerability strategy which defines their approach to the </w:t>
      </w:r>
      <w:r w:rsidR="00D5152C">
        <w:rPr>
          <w:rFonts w:eastAsia="Times New Roman"/>
          <w:iCs/>
          <w:color w:val="000000"/>
          <w:lang w:val="en-GB"/>
        </w:rPr>
        <w:t>identification</w:t>
      </w:r>
      <w:r w:rsidR="005876C6">
        <w:rPr>
          <w:rFonts w:eastAsia="Times New Roman"/>
          <w:iCs/>
          <w:color w:val="000000"/>
          <w:lang w:val="en-GB"/>
        </w:rPr>
        <w:t xml:space="preserve"> and treatment of individuals </w:t>
      </w:r>
      <w:r w:rsidR="00D5152C">
        <w:rPr>
          <w:rFonts w:eastAsia="Times New Roman"/>
          <w:iCs/>
          <w:color w:val="000000"/>
          <w:lang w:val="en-GB"/>
        </w:rPr>
        <w:t>considered</w:t>
      </w:r>
      <w:r w:rsidR="005876C6">
        <w:rPr>
          <w:rFonts w:eastAsia="Times New Roman"/>
          <w:iCs/>
          <w:color w:val="000000"/>
          <w:lang w:val="en-GB"/>
        </w:rPr>
        <w:t xml:space="preserve"> vulnerable</w:t>
      </w:r>
      <w:r w:rsidR="00D5152C">
        <w:rPr>
          <w:rFonts w:eastAsia="Times New Roman"/>
          <w:iCs/>
          <w:color w:val="000000"/>
          <w:lang w:val="en-GB"/>
        </w:rPr>
        <w:t>.</w:t>
      </w:r>
    </w:p>
    <w:p w14:paraId="48AA48EE" w14:textId="77777777" w:rsidR="00D5152C" w:rsidRDefault="00482589"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Financial institution</w:t>
      </w:r>
      <w:r w:rsidR="00D5152C">
        <w:rPr>
          <w:rFonts w:eastAsia="Times New Roman"/>
          <w:iCs/>
          <w:color w:val="000000"/>
          <w:lang w:val="en-GB"/>
        </w:rPr>
        <w:t xml:space="preserve">s should have policies and processes governing the identification and fair treatment of individuals in vulnerable circumstances. These should </w:t>
      </w:r>
      <w:r w:rsidR="00081783">
        <w:rPr>
          <w:rFonts w:eastAsia="Times New Roman"/>
          <w:iCs/>
          <w:color w:val="000000"/>
          <w:lang w:val="en-GB"/>
        </w:rPr>
        <w:t>consider</w:t>
      </w:r>
      <w:r w:rsidR="00D5152C">
        <w:rPr>
          <w:rFonts w:eastAsia="Times New Roman"/>
          <w:iCs/>
          <w:color w:val="000000"/>
          <w:lang w:val="en-GB"/>
        </w:rPr>
        <w:t xml:space="preserve"> the varying nature and degrees of permanence of different vulnerabilities.</w:t>
      </w:r>
    </w:p>
    <w:p w14:paraId="47BC9D9D" w14:textId="77777777" w:rsidR="00781610" w:rsidRDefault="00C81F7B" w:rsidP="00A07C92">
      <w:pPr>
        <w:pStyle w:val="ListParagraph"/>
        <w:numPr>
          <w:ilvl w:val="0"/>
          <w:numId w:val="39"/>
        </w:numPr>
        <w:spacing w:after="0" w:line="276" w:lineRule="auto"/>
        <w:jc w:val="both"/>
        <w:rPr>
          <w:rFonts w:eastAsia="Times New Roman"/>
          <w:iCs/>
          <w:color w:val="000000"/>
          <w:lang w:val="en-GB"/>
        </w:rPr>
      </w:pPr>
      <w:r>
        <w:rPr>
          <w:rFonts w:eastAsia="Times New Roman"/>
          <w:iCs/>
          <w:color w:val="000000"/>
          <w:lang w:val="en-GB"/>
        </w:rPr>
        <w:t xml:space="preserve">Where a </w:t>
      </w:r>
      <w:r w:rsidR="00482589">
        <w:rPr>
          <w:rFonts w:eastAsia="Times New Roman"/>
          <w:iCs/>
          <w:color w:val="000000"/>
          <w:lang w:val="en-GB"/>
        </w:rPr>
        <w:t>financial institution</w:t>
      </w:r>
      <w:r>
        <w:rPr>
          <w:rFonts w:eastAsia="Times New Roman"/>
          <w:iCs/>
          <w:color w:val="000000"/>
          <w:lang w:val="en-GB"/>
        </w:rPr>
        <w:t xml:space="preserve"> </w:t>
      </w:r>
      <w:r w:rsidRPr="00C81F7B">
        <w:rPr>
          <w:rFonts w:eastAsia="Times New Roman"/>
          <w:iCs/>
          <w:color w:val="000000"/>
          <w:lang w:val="en-GB"/>
        </w:rPr>
        <w:t>is developing a new product, or reviewing an existing product, it should consider vulnerability as part of the design or review process, paying regard to target market, clarity, accessibility and the operation of the product.</w:t>
      </w:r>
    </w:p>
    <w:p w14:paraId="29F770FE" w14:textId="77777777" w:rsidR="00781610" w:rsidRDefault="00781610" w:rsidP="00A07C92">
      <w:pPr>
        <w:spacing w:after="0" w:line="276" w:lineRule="auto"/>
        <w:jc w:val="both"/>
        <w:rPr>
          <w:rFonts w:eastAsia="Times New Roman"/>
          <w:iCs/>
          <w:color w:val="000000"/>
          <w:lang w:val="en-GB"/>
        </w:rPr>
      </w:pPr>
    </w:p>
    <w:p w14:paraId="14B69BC4" w14:textId="77777777" w:rsidR="00781610" w:rsidRDefault="00781610" w:rsidP="00A07C92">
      <w:pPr>
        <w:pStyle w:val="ListParagraph"/>
        <w:numPr>
          <w:ilvl w:val="0"/>
          <w:numId w:val="32"/>
        </w:numPr>
        <w:spacing w:after="0" w:line="276" w:lineRule="auto"/>
        <w:jc w:val="both"/>
        <w:rPr>
          <w:rFonts w:eastAsia="Times New Roman"/>
          <w:b/>
          <w:iCs/>
          <w:color w:val="000000"/>
          <w:lang w:val="en-GB"/>
        </w:rPr>
      </w:pPr>
      <w:r>
        <w:rPr>
          <w:rFonts w:eastAsia="Times New Roman"/>
          <w:b/>
          <w:iCs/>
          <w:color w:val="000000"/>
          <w:lang w:val="en-GB"/>
        </w:rPr>
        <w:t>Governance and Oversight</w:t>
      </w:r>
    </w:p>
    <w:p w14:paraId="3C82595D" w14:textId="5BC5C54E" w:rsidR="00542B12" w:rsidRPr="0030701B" w:rsidRDefault="00482589" w:rsidP="00A07C92">
      <w:pPr>
        <w:pStyle w:val="ListParagraph"/>
        <w:numPr>
          <w:ilvl w:val="0"/>
          <w:numId w:val="40"/>
        </w:numPr>
        <w:spacing w:after="0" w:line="276" w:lineRule="auto"/>
        <w:jc w:val="both"/>
        <w:rPr>
          <w:rFonts w:eastAsia="Times New Roman"/>
          <w:b/>
          <w:iCs/>
          <w:color w:val="000000"/>
          <w:lang w:val="en-GB"/>
        </w:rPr>
      </w:pPr>
      <w:r>
        <w:rPr>
          <w:rFonts w:eastAsia="Times New Roman"/>
          <w:iCs/>
          <w:color w:val="000000"/>
          <w:lang w:val="en-GB"/>
        </w:rPr>
        <w:t>Financial institution</w:t>
      </w:r>
      <w:r w:rsidR="00542B12">
        <w:rPr>
          <w:rFonts w:eastAsia="Times New Roman"/>
          <w:iCs/>
          <w:color w:val="000000"/>
          <w:lang w:val="en-GB"/>
        </w:rPr>
        <w:t xml:space="preserve">s </w:t>
      </w:r>
      <w:r w:rsidR="00C57A3D">
        <w:rPr>
          <w:rFonts w:eastAsia="Times New Roman"/>
          <w:iCs/>
          <w:color w:val="000000"/>
          <w:lang w:val="en-GB"/>
        </w:rPr>
        <w:t>must</w:t>
      </w:r>
      <w:r w:rsidR="00542B12">
        <w:rPr>
          <w:rFonts w:eastAsia="Times New Roman"/>
          <w:iCs/>
          <w:color w:val="000000"/>
          <w:lang w:val="en-GB"/>
        </w:rPr>
        <w:t xml:space="preserve"> have adequate governance, policies, processes and management information and controls to enable effective oversight of adherence to standards and delivery of fair </w:t>
      </w:r>
      <w:r>
        <w:rPr>
          <w:rFonts w:eastAsia="Times New Roman"/>
          <w:iCs/>
          <w:color w:val="000000"/>
          <w:lang w:val="en-GB"/>
        </w:rPr>
        <w:t>client</w:t>
      </w:r>
      <w:r w:rsidR="00542B12">
        <w:rPr>
          <w:rFonts w:eastAsia="Times New Roman"/>
          <w:iCs/>
          <w:color w:val="000000"/>
          <w:lang w:val="en-GB"/>
        </w:rPr>
        <w:t xml:space="preserve"> outcomes.</w:t>
      </w:r>
    </w:p>
    <w:p w14:paraId="6FAB103C" w14:textId="77777777" w:rsidR="00542B12" w:rsidRPr="0030701B" w:rsidRDefault="00482589" w:rsidP="00A07C92">
      <w:pPr>
        <w:pStyle w:val="ListParagraph"/>
        <w:numPr>
          <w:ilvl w:val="0"/>
          <w:numId w:val="40"/>
        </w:numPr>
        <w:spacing w:after="0" w:line="276" w:lineRule="auto"/>
        <w:jc w:val="both"/>
        <w:rPr>
          <w:rFonts w:eastAsia="Times New Roman"/>
          <w:b/>
          <w:iCs/>
          <w:color w:val="000000"/>
          <w:lang w:val="en-GB"/>
        </w:rPr>
      </w:pPr>
      <w:r>
        <w:rPr>
          <w:rFonts w:eastAsia="Times New Roman"/>
          <w:iCs/>
          <w:color w:val="000000"/>
          <w:lang w:val="en-GB"/>
        </w:rPr>
        <w:lastRenderedPageBreak/>
        <w:t>Financial institution</w:t>
      </w:r>
      <w:r w:rsidR="00542B12">
        <w:rPr>
          <w:rFonts w:eastAsia="Times New Roman"/>
          <w:iCs/>
          <w:color w:val="000000"/>
          <w:lang w:val="en-GB"/>
        </w:rPr>
        <w:t xml:space="preserve">s </w:t>
      </w:r>
      <w:r w:rsidR="00542B12" w:rsidRPr="00542B12">
        <w:rPr>
          <w:rFonts w:eastAsia="Times New Roman"/>
          <w:iCs/>
          <w:color w:val="000000"/>
          <w:lang w:val="en-GB"/>
        </w:rPr>
        <w:t xml:space="preserve">should have an effective risk management framework appropriate to the size of the </w:t>
      </w:r>
      <w:r w:rsidR="00081783">
        <w:rPr>
          <w:rFonts w:eastAsia="Times New Roman"/>
          <w:iCs/>
          <w:color w:val="000000"/>
          <w:lang w:val="en-GB"/>
        </w:rPr>
        <w:t>financial institution.</w:t>
      </w:r>
    </w:p>
    <w:p w14:paraId="109ACAA1" w14:textId="77777777" w:rsidR="00467AE7" w:rsidRPr="0030701B" w:rsidRDefault="00482589" w:rsidP="00A07C92">
      <w:pPr>
        <w:pStyle w:val="ListParagraph"/>
        <w:numPr>
          <w:ilvl w:val="0"/>
          <w:numId w:val="40"/>
        </w:numPr>
        <w:spacing w:after="0" w:line="276" w:lineRule="auto"/>
        <w:jc w:val="both"/>
        <w:rPr>
          <w:rFonts w:eastAsia="Times New Roman"/>
          <w:b/>
          <w:iCs/>
          <w:color w:val="000000"/>
          <w:lang w:val="en-GB"/>
        </w:rPr>
      </w:pPr>
      <w:r>
        <w:rPr>
          <w:rFonts w:eastAsia="Times New Roman"/>
          <w:iCs/>
          <w:color w:val="000000"/>
          <w:lang w:val="en-GB"/>
        </w:rPr>
        <w:t>Financial institution</w:t>
      </w:r>
      <w:r w:rsidR="00467AE7">
        <w:rPr>
          <w:rFonts w:eastAsia="Times New Roman"/>
          <w:iCs/>
          <w:color w:val="000000"/>
          <w:lang w:val="en-GB"/>
        </w:rPr>
        <w:t xml:space="preserve">s </w:t>
      </w:r>
      <w:r w:rsidR="00467AE7" w:rsidRPr="00467AE7">
        <w:rPr>
          <w:rFonts w:eastAsia="Times New Roman"/>
          <w:iCs/>
          <w:color w:val="000000"/>
          <w:lang w:val="en-GB"/>
        </w:rPr>
        <w:t>should ensure that the product design stage takes into account internal and external risks which could impact upon a c</w:t>
      </w:r>
      <w:r w:rsidR="00467AE7">
        <w:rPr>
          <w:rFonts w:eastAsia="Times New Roman"/>
          <w:iCs/>
          <w:color w:val="000000"/>
          <w:lang w:val="en-GB"/>
        </w:rPr>
        <w:t>lient</w:t>
      </w:r>
      <w:r w:rsidR="00467AE7" w:rsidRPr="00467AE7">
        <w:rPr>
          <w:rFonts w:eastAsia="Times New Roman"/>
          <w:iCs/>
          <w:color w:val="000000"/>
          <w:lang w:val="en-GB"/>
        </w:rPr>
        <w:t>’s ability to maintain their repayments so that new products do not lead to unsustainable borrowing.</w:t>
      </w:r>
    </w:p>
    <w:p w14:paraId="1D5C4DA5" w14:textId="77777777" w:rsidR="00467AE7" w:rsidRPr="0030701B" w:rsidRDefault="00482589" w:rsidP="00A07C92">
      <w:pPr>
        <w:pStyle w:val="ListParagraph"/>
        <w:numPr>
          <w:ilvl w:val="0"/>
          <w:numId w:val="40"/>
        </w:numPr>
        <w:spacing w:after="0" w:line="276" w:lineRule="auto"/>
        <w:jc w:val="both"/>
        <w:rPr>
          <w:rFonts w:eastAsia="Times New Roman"/>
          <w:b/>
          <w:iCs/>
          <w:color w:val="000000"/>
          <w:lang w:val="en-GB"/>
        </w:rPr>
      </w:pPr>
      <w:r>
        <w:rPr>
          <w:rFonts w:eastAsia="Times New Roman"/>
          <w:iCs/>
          <w:color w:val="000000"/>
          <w:lang w:val="en-GB"/>
        </w:rPr>
        <w:t>Financial institution</w:t>
      </w:r>
      <w:r w:rsidR="00467AE7">
        <w:rPr>
          <w:rFonts w:eastAsia="Times New Roman"/>
          <w:iCs/>
          <w:color w:val="000000"/>
          <w:lang w:val="en-GB"/>
        </w:rPr>
        <w:t xml:space="preserve">s </w:t>
      </w:r>
      <w:r w:rsidR="00467AE7" w:rsidRPr="00467AE7">
        <w:rPr>
          <w:rFonts w:eastAsia="Times New Roman"/>
          <w:iCs/>
          <w:color w:val="000000"/>
          <w:lang w:val="en-GB"/>
        </w:rPr>
        <w:t>should undertake both post-launch and cyclical product reviews to ensure that their products are, and remain, fit for purpose.</w:t>
      </w:r>
    </w:p>
    <w:p w14:paraId="791B6D88" w14:textId="77777777" w:rsidR="00776437" w:rsidRPr="00301FEA" w:rsidRDefault="00482589" w:rsidP="00A07C92">
      <w:pPr>
        <w:pStyle w:val="ListParagraph"/>
        <w:numPr>
          <w:ilvl w:val="0"/>
          <w:numId w:val="40"/>
        </w:numPr>
        <w:spacing w:after="0" w:line="276" w:lineRule="auto"/>
        <w:jc w:val="both"/>
        <w:rPr>
          <w:rFonts w:eastAsia="Times New Roman"/>
          <w:b/>
          <w:iCs/>
          <w:color w:val="000000"/>
          <w:lang w:val="en-GB"/>
        </w:rPr>
      </w:pPr>
      <w:r>
        <w:rPr>
          <w:rFonts w:eastAsia="Times New Roman"/>
          <w:iCs/>
          <w:color w:val="000000"/>
          <w:lang w:val="en-GB"/>
        </w:rPr>
        <w:t>Financial institution</w:t>
      </w:r>
      <w:r w:rsidR="00776437">
        <w:rPr>
          <w:rFonts w:eastAsia="Times New Roman"/>
          <w:iCs/>
          <w:color w:val="000000"/>
          <w:lang w:val="en-GB"/>
        </w:rPr>
        <w:t xml:space="preserve">s </w:t>
      </w:r>
      <w:r w:rsidR="00776437" w:rsidRPr="00776437">
        <w:rPr>
          <w:rFonts w:eastAsia="Times New Roman"/>
          <w:iCs/>
          <w:color w:val="000000"/>
          <w:lang w:val="en-GB"/>
        </w:rPr>
        <w:t xml:space="preserve">should ensure that their employees and their agents are adequately trained to deliver the </w:t>
      </w:r>
      <w:r>
        <w:rPr>
          <w:rFonts w:eastAsia="Times New Roman"/>
          <w:iCs/>
          <w:color w:val="000000"/>
          <w:lang w:val="en-GB"/>
        </w:rPr>
        <w:t>client</w:t>
      </w:r>
      <w:r w:rsidR="00776437" w:rsidRPr="00776437">
        <w:rPr>
          <w:rFonts w:eastAsia="Times New Roman"/>
          <w:iCs/>
          <w:color w:val="000000"/>
          <w:lang w:val="en-GB"/>
        </w:rPr>
        <w:t xml:space="preserve"> outcomes, and that any incentive schemes are driving the right behaviours to ensure fair </w:t>
      </w:r>
      <w:r>
        <w:rPr>
          <w:rFonts w:eastAsia="Times New Roman"/>
          <w:iCs/>
          <w:color w:val="000000"/>
          <w:lang w:val="en-GB"/>
        </w:rPr>
        <w:t>client</w:t>
      </w:r>
      <w:r w:rsidR="00776437" w:rsidRPr="00776437">
        <w:rPr>
          <w:rFonts w:eastAsia="Times New Roman"/>
          <w:iCs/>
          <w:color w:val="000000"/>
          <w:lang w:val="en-GB"/>
        </w:rPr>
        <w:t xml:space="preserve"> outcomes.</w:t>
      </w:r>
    </w:p>
    <w:p w14:paraId="61CB584B" w14:textId="168FD408" w:rsidR="00A07C92" w:rsidRDefault="00A07C92">
      <w:pPr>
        <w:rPr>
          <w:rFonts w:ascii="Calibri" w:eastAsia="Times New Roman" w:hAnsi="Calibri" w:cs="Times New Roman"/>
          <w:b/>
          <w:bCs/>
          <w:color w:val="1F497D"/>
          <w:sz w:val="28"/>
          <w:szCs w:val="28"/>
        </w:rPr>
      </w:pPr>
      <w:bookmarkStart w:id="200" w:name="_Annex_4:_Procurement"/>
      <w:bookmarkEnd w:id="200"/>
    </w:p>
    <w:p w14:paraId="7096CEEF" w14:textId="4E06467F" w:rsidR="008803B6" w:rsidRDefault="008803B6" w:rsidP="008803B6">
      <w:pPr>
        <w:pStyle w:val="Heading1"/>
        <w:numPr>
          <w:ilvl w:val="0"/>
          <w:numId w:val="0"/>
        </w:numPr>
        <w:jc w:val="center"/>
      </w:pPr>
      <w:bookmarkStart w:id="201" w:name="_Toc121313798"/>
      <w:r>
        <w:t>Annex 4: Procurement Guarantees</w:t>
      </w:r>
      <w:bookmarkEnd w:id="201"/>
    </w:p>
    <w:p w14:paraId="648D877B" w14:textId="77777777" w:rsidR="008803B6" w:rsidRPr="008803B6" w:rsidRDefault="008803B6" w:rsidP="00947459"/>
    <w:p w14:paraId="64C33F32" w14:textId="23B978F1" w:rsidR="00EF3CFA" w:rsidRDefault="008803B6" w:rsidP="008803B6">
      <w:pPr>
        <w:jc w:val="both"/>
        <w:rPr>
          <w:rFonts w:cstheme="minorHAnsi"/>
        </w:rPr>
      </w:pPr>
      <w:r>
        <w:t>UNDP’s procurement volumes and demand for procurement services in health, elections, sustainable energy and crisis-response sectors have continuously risen over the years. This is largely due to an increase in requests from governments and other development partners for procurement of essential commodities</w:t>
      </w:r>
      <w:r w:rsidR="008C23AD">
        <w:t>,</w:t>
      </w:r>
      <w:r>
        <w:t xml:space="preserve"> where the development partners lack adequate procurement capacity or where UNDP is in a position to get better value for money on high value and high-volume commodity purchases</w:t>
      </w:r>
      <w:r w:rsidR="0083238E">
        <w:rPr>
          <w:rStyle w:val="FootnoteReference"/>
        </w:rPr>
        <w:footnoteReference w:id="20"/>
      </w:r>
      <w:r>
        <w:t>. Many of t</w:t>
      </w:r>
      <w:r w:rsidRPr="002C1676">
        <w:rPr>
          <w:rFonts w:cstheme="minorHAnsi"/>
        </w:rPr>
        <w:t>hese high-volume items</w:t>
      </w:r>
      <w:r>
        <w:rPr>
          <w:rFonts w:cstheme="minorHAnsi"/>
        </w:rPr>
        <w:t xml:space="preserve"> procured by UNDP </w:t>
      </w:r>
      <w:r w:rsidRPr="002C1676">
        <w:rPr>
          <w:rFonts w:cstheme="minorHAnsi"/>
        </w:rPr>
        <w:t>have long lead times for delivery</w:t>
      </w:r>
      <w:r>
        <w:rPr>
          <w:rFonts w:cstheme="minorHAnsi"/>
        </w:rPr>
        <w:t xml:space="preserve"> to partners.  </w:t>
      </w:r>
      <w:r w:rsidR="00F50DF1">
        <w:rPr>
          <w:rFonts w:cstheme="minorHAnsi"/>
        </w:rPr>
        <w:t xml:space="preserve">Whether </w:t>
      </w:r>
      <w:r>
        <w:rPr>
          <w:rFonts w:cstheme="minorHAnsi"/>
        </w:rPr>
        <w:t xml:space="preserve">UNDP </w:t>
      </w:r>
      <w:r w:rsidR="00F50DF1">
        <w:rPr>
          <w:rFonts w:cstheme="minorHAnsi"/>
        </w:rPr>
        <w:t xml:space="preserve">undertakes </w:t>
      </w:r>
      <w:r>
        <w:rPr>
          <w:rFonts w:cstheme="minorHAnsi"/>
        </w:rPr>
        <w:t xml:space="preserve">the procurement </w:t>
      </w:r>
      <w:r w:rsidR="00F50DF1">
        <w:rPr>
          <w:rFonts w:cstheme="minorHAnsi"/>
        </w:rPr>
        <w:t>or</w:t>
      </w:r>
      <w:r>
        <w:rPr>
          <w:rFonts w:cstheme="minorHAnsi"/>
        </w:rPr>
        <w:t xml:space="preserve"> </w:t>
      </w:r>
      <w:r w:rsidR="009743A7">
        <w:rPr>
          <w:rFonts w:cstheme="minorHAnsi"/>
        </w:rPr>
        <w:t xml:space="preserve">whether </w:t>
      </w:r>
      <w:r>
        <w:rPr>
          <w:rFonts w:cstheme="minorHAnsi"/>
        </w:rPr>
        <w:t>countries procure their own supplies</w:t>
      </w:r>
      <w:r w:rsidR="004E31B7">
        <w:rPr>
          <w:rFonts w:cstheme="minorHAnsi"/>
        </w:rPr>
        <w:t>,</w:t>
      </w:r>
      <w:r>
        <w:rPr>
          <w:rFonts w:cstheme="minorHAnsi"/>
        </w:rPr>
        <w:t xml:space="preserve"> there is often a timing mismatch between the release of national budgets funds (to procure the commodities) and when the procurement and payment for commodities needs to occur. These short-term budget issues along with the high lead times for delivery to partners create technical difficulties and significant delays for implementing partners waiting for the commodities. </w:t>
      </w:r>
      <w:r w:rsidR="004E31B7">
        <w:rPr>
          <w:rFonts w:cstheme="minorHAnsi"/>
        </w:rPr>
        <w:t xml:space="preserve">Similarly, national governments alone may not have adequate purchasing power to secure </w:t>
      </w:r>
      <w:r w:rsidR="008803D0">
        <w:rPr>
          <w:rFonts w:cstheme="minorHAnsi"/>
        </w:rPr>
        <w:t xml:space="preserve">the optimal price for supplies. </w:t>
      </w:r>
      <w:r w:rsidRPr="002C1676">
        <w:rPr>
          <w:rFonts w:cstheme="minorHAnsi"/>
        </w:rPr>
        <w:t>By procuring th</w:t>
      </w:r>
      <w:r>
        <w:rPr>
          <w:rFonts w:cstheme="minorHAnsi"/>
        </w:rPr>
        <w:t>ese</w:t>
      </w:r>
      <w:r w:rsidRPr="002C1676">
        <w:rPr>
          <w:rFonts w:cstheme="minorHAnsi"/>
        </w:rPr>
        <w:t xml:space="preserve"> items globally, back</w:t>
      </w:r>
      <w:r>
        <w:rPr>
          <w:rFonts w:cstheme="minorHAnsi"/>
        </w:rPr>
        <w:t>ed</w:t>
      </w:r>
      <w:r w:rsidRPr="002C1676">
        <w:rPr>
          <w:rFonts w:cstheme="minorHAnsi"/>
        </w:rPr>
        <w:t xml:space="preserve"> by guarantees from</w:t>
      </w:r>
      <w:r>
        <w:rPr>
          <w:rFonts w:cstheme="minorHAnsi"/>
        </w:rPr>
        <w:t xml:space="preserve"> funding partner</w:t>
      </w:r>
      <w:r w:rsidRPr="002C1676">
        <w:rPr>
          <w:rFonts w:cstheme="minorHAnsi"/>
        </w:rPr>
        <w:t>s</w:t>
      </w:r>
      <w:r>
        <w:rPr>
          <w:rFonts w:cstheme="minorHAnsi"/>
        </w:rPr>
        <w:t xml:space="preserve"> and</w:t>
      </w:r>
      <w:r w:rsidR="00AA6DCC">
        <w:rPr>
          <w:rFonts w:cstheme="minorHAnsi"/>
        </w:rPr>
        <w:t>/</w:t>
      </w:r>
      <w:r>
        <w:rPr>
          <w:rFonts w:cstheme="minorHAnsi"/>
        </w:rPr>
        <w:t>or UNDP</w:t>
      </w:r>
      <w:r w:rsidRPr="002C1676">
        <w:rPr>
          <w:rFonts w:cstheme="minorHAnsi"/>
        </w:rPr>
        <w:t>, a portfolio of procurement volume could be advanced providing more planning certainty to implementing partners</w:t>
      </w:r>
      <w:r w:rsidR="00F32BF0">
        <w:rPr>
          <w:rFonts w:cstheme="minorHAnsi"/>
        </w:rPr>
        <w:t>,</w:t>
      </w:r>
      <w:r w:rsidRPr="002C1676">
        <w:rPr>
          <w:rFonts w:cstheme="minorHAnsi"/>
        </w:rPr>
        <w:t xml:space="preserve"> </w:t>
      </w:r>
      <w:r>
        <w:rPr>
          <w:rFonts w:cstheme="minorHAnsi"/>
        </w:rPr>
        <w:t xml:space="preserve">whilst also </w:t>
      </w:r>
      <w:r w:rsidRPr="002C1676">
        <w:rPr>
          <w:rFonts w:cstheme="minorHAnsi"/>
        </w:rPr>
        <w:t>provid</w:t>
      </w:r>
      <w:r>
        <w:rPr>
          <w:rFonts w:cstheme="minorHAnsi"/>
        </w:rPr>
        <w:t>ing</w:t>
      </w:r>
      <w:r w:rsidRPr="002C1676">
        <w:rPr>
          <w:rFonts w:cstheme="minorHAnsi"/>
        </w:rPr>
        <w:t xml:space="preserve"> certainty to suppliers</w:t>
      </w:r>
      <w:r>
        <w:rPr>
          <w:rFonts w:cstheme="minorHAnsi"/>
        </w:rPr>
        <w:t xml:space="preserve"> and securing </w:t>
      </w:r>
      <w:r w:rsidRPr="002C1676">
        <w:rPr>
          <w:rFonts w:cstheme="minorHAnsi"/>
        </w:rPr>
        <w:t xml:space="preserve">improved pricing. </w:t>
      </w:r>
    </w:p>
    <w:p w14:paraId="24935FD0" w14:textId="19797D29" w:rsidR="008803B6" w:rsidRDefault="008803B6" w:rsidP="008803B6">
      <w:pPr>
        <w:jc w:val="both"/>
        <w:rPr>
          <w:rFonts w:cstheme="minorHAnsi"/>
        </w:rPr>
      </w:pPr>
      <w:r>
        <w:rPr>
          <w:rFonts w:cstheme="minorHAnsi"/>
        </w:rPr>
        <w:t>UNDP and funding partners can utilize procurement guarantees to underwrite various parts of the procurement supply chain in a variety of ways which include:</w:t>
      </w:r>
    </w:p>
    <w:p w14:paraId="44CF7824" w14:textId="77777777" w:rsidR="008803B6" w:rsidRPr="00455E12" w:rsidRDefault="008803B6" w:rsidP="008803B6">
      <w:pPr>
        <w:spacing w:line="276" w:lineRule="auto"/>
        <w:jc w:val="both"/>
        <w:rPr>
          <w:rFonts w:cstheme="minorHAnsi"/>
        </w:rPr>
      </w:pPr>
    </w:p>
    <w:p w14:paraId="6640E527" w14:textId="77777777" w:rsidR="008803B6" w:rsidRPr="00D07CBD" w:rsidRDefault="008803B6" w:rsidP="0020054F">
      <w:pPr>
        <w:pStyle w:val="ListParagraph"/>
        <w:numPr>
          <w:ilvl w:val="0"/>
          <w:numId w:val="42"/>
        </w:numPr>
        <w:spacing w:line="276" w:lineRule="auto"/>
        <w:jc w:val="both"/>
        <w:rPr>
          <w:rFonts w:cstheme="minorHAnsi"/>
          <w:b/>
        </w:rPr>
      </w:pPr>
      <w:r w:rsidRPr="00D07CBD">
        <w:rPr>
          <w:rFonts w:cstheme="minorHAnsi"/>
          <w:b/>
        </w:rPr>
        <w:lastRenderedPageBreak/>
        <w:t>Option 1 – Funding partners guarantee the procurement activities of countries through a pooled procurement facility (bridge fund facility) established by UNDP</w:t>
      </w:r>
    </w:p>
    <w:p w14:paraId="082B5198" w14:textId="33C9E005" w:rsidR="00B73B7F" w:rsidRDefault="008803B6" w:rsidP="008803B6">
      <w:pPr>
        <w:spacing w:line="276" w:lineRule="auto"/>
        <w:jc w:val="both"/>
        <w:rPr>
          <w:rFonts w:cstheme="minorHAnsi"/>
        </w:rPr>
      </w:pPr>
      <w:r>
        <w:rPr>
          <w:rFonts w:cstheme="minorHAnsi"/>
        </w:rPr>
        <w:t>The UNDP</w:t>
      </w:r>
      <w:r w:rsidR="009664ED">
        <w:rPr>
          <w:rFonts w:cstheme="minorHAnsi"/>
        </w:rPr>
        <w:t>-supported</w:t>
      </w:r>
      <w:r>
        <w:rPr>
          <w:rFonts w:cstheme="minorHAnsi"/>
        </w:rPr>
        <w:t xml:space="preserve"> pooled procurement facility is a comprehensive bridge fund mechanism that allows pre-delivery financing for member countries wishing to procure supplies or commodities through UNDP. The facility </w:t>
      </w:r>
      <w:r w:rsidRPr="0075549D">
        <w:rPr>
          <w:rFonts w:cstheme="minorHAnsi"/>
        </w:rPr>
        <w:t>allow</w:t>
      </w:r>
      <w:r>
        <w:rPr>
          <w:rFonts w:cstheme="minorHAnsi"/>
        </w:rPr>
        <w:t xml:space="preserve">s countries </w:t>
      </w:r>
      <w:r w:rsidRPr="0075549D">
        <w:rPr>
          <w:rFonts w:cstheme="minorHAnsi"/>
        </w:rPr>
        <w:t xml:space="preserve">to </w:t>
      </w:r>
      <w:r>
        <w:rPr>
          <w:rFonts w:cstheme="minorHAnsi"/>
        </w:rPr>
        <w:t>re</w:t>
      </w:r>
      <w:r w:rsidRPr="0075549D">
        <w:rPr>
          <w:rFonts w:cstheme="minorHAnsi"/>
        </w:rPr>
        <w:t>pay after critical supplies are delivered</w:t>
      </w:r>
      <w:r>
        <w:rPr>
          <w:rFonts w:cstheme="minorHAnsi"/>
        </w:rPr>
        <w:t xml:space="preserve"> thereby </w:t>
      </w:r>
      <w:r w:rsidRPr="0075549D">
        <w:rPr>
          <w:rFonts w:cstheme="minorHAnsi"/>
        </w:rPr>
        <w:t>reducing stock-outs and ensuring a systematic and sustainable provision of goods</w:t>
      </w:r>
      <w:r w:rsidR="00CF4AE8">
        <w:rPr>
          <w:rFonts w:cstheme="minorHAnsi"/>
        </w:rPr>
        <w:t>, drawing upon UNDP negot</w:t>
      </w:r>
      <w:r w:rsidR="00117A9C">
        <w:rPr>
          <w:rFonts w:cstheme="minorHAnsi"/>
        </w:rPr>
        <w:t>iated LTAs</w:t>
      </w:r>
      <w:r>
        <w:rPr>
          <w:rFonts w:cstheme="minorHAnsi"/>
        </w:rPr>
        <w:t xml:space="preserve">.  The goal of the facility is to help member governments become independent in funding and procurement without disruption to the supply of essential commodities. A facility like this provides countries with assistance to strengthen their planning and budgeting processes to manage </w:t>
      </w:r>
      <w:r w:rsidR="00BA3A28">
        <w:rPr>
          <w:rFonts w:cstheme="minorHAnsi"/>
        </w:rPr>
        <w:t xml:space="preserve">procurement of </w:t>
      </w:r>
      <w:r>
        <w:rPr>
          <w:rFonts w:cstheme="minorHAnsi"/>
        </w:rPr>
        <w:t xml:space="preserve">essential supplies. The facility will pre-finance the countries </w:t>
      </w:r>
      <w:r w:rsidR="00457578">
        <w:rPr>
          <w:rFonts w:cstheme="minorHAnsi"/>
        </w:rPr>
        <w:t xml:space="preserve">commitment for </w:t>
      </w:r>
      <w:r>
        <w:rPr>
          <w:rFonts w:cstheme="minorHAnsi"/>
        </w:rPr>
        <w:t xml:space="preserve">procurement needs and allow countries to make payments </w:t>
      </w:r>
      <w:r w:rsidR="00805EC7">
        <w:rPr>
          <w:rFonts w:cstheme="minorHAnsi"/>
        </w:rPr>
        <w:t xml:space="preserve">for </w:t>
      </w:r>
      <w:r>
        <w:rPr>
          <w:rFonts w:cstheme="minorHAnsi"/>
        </w:rPr>
        <w:t xml:space="preserve">the supplies </w:t>
      </w:r>
      <w:r w:rsidR="00805EC7">
        <w:rPr>
          <w:rFonts w:cstheme="minorHAnsi"/>
        </w:rPr>
        <w:t xml:space="preserve">upon </w:t>
      </w:r>
      <w:r>
        <w:rPr>
          <w:rFonts w:cstheme="minorHAnsi"/>
        </w:rPr>
        <w:t>deliver</w:t>
      </w:r>
      <w:r w:rsidR="00805EC7">
        <w:rPr>
          <w:rFonts w:cstheme="minorHAnsi"/>
        </w:rPr>
        <w:t>y</w:t>
      </w:r>
      <w:r w:rsidR="005D5240" w:rsidRPr="005D5240">
        <w:rPr>
          <w:rFonts w:cstheme="minorHAnsi"/>
        </w:rPr>
        <w:t xml:space="preserve"> at expectedly lower prices due to longer term purchase commitment, which became possible through procurement guarantees</w:t>
      </w:r>
      <w:r>
        <w:rPr>
          <w:rFonts w:cstheme="minorHAnsi"/>
        </w:rPr>
        <w:t xml:space="preserve">. </w:t>
      </w:r>
    </w:p>
    <w:p w14:paraId="0EA31C4E" w14:textId="62A3EDAA" w:rsidR="006F08A4" w:rsidRDefault="00903F32" w:rsidP="008803B6">
      <w:pPr>
        <w:spacing w:line="276" w:lineRule="auto"/>
        <w:jc w:val="both"/>
        <w:rPr>
          <w:rFonts w:cstheme="minorHAnsi"/>
        </w:rPr>
      </w:pPr>
      <w:r w:rsidRPr="009358C0">
        <w:rPr>
          <w:rFonts w:cstheme="minorHAnsi"/>
          <w:b/>
          <w:bCs/>
        </w:rPr>
        <w:t>As with other forms of UNDP</w:t>
      </w:r>
      <w:r w:rsidR="00851EA4" w:rsidRPr="009358C0">
        <w:rPr>
          <w:rFonts w:cstheme="minorHAnsi"/>
          <w:b/>
          <w:bCs/>
        </w:rPr>
        <w:t>-supported</w:t>
      </w:r>
      <w:r w:rsidRPr="009358C0">
        <w:rPr>
          <w:rFonts w:cstheme="minorHAnsi"/>
          <w:b/>
          <w:bCs/>
        </w:rPr>
        <w:t xml:space="preserve"> guarantees, a full guarantee from funding partners would be required to establish such a facility</w:t>
      </w:r>
      <w:r w:rsidRPr="00E05A1B">
        <w:rPr>
          <w:rFonts w:cstheme="minorHAnsi"/>
        </w:rPr>
        <w:t>, such as a counter-guarantee offered by a third party (e.g.</w:t>
      </w:r>
      <w:r w:rsidR="009664ED">
        <w:rPr>
          <w:rFonts w:cstheme="minorHAnsi"/>
        </w:rPr>
        <w:t>,</w:t>
      </w:r>
      <w:r w:rsidRPr="00E05A1B">
        <w:rPr>
          <w:rFonts w:cstheme="minorHAnsi"/>
        </w:rPr>
        <w:t xml:space="preserve"> foundation, international financial institutions, etc.), against firm procurement commitments of partners across a portfolio of projects.</w:t>
      </w:r>
      <w:r>
        <w:rPr>
          <w:rFonts w:cstheme="minorHAnsi"/>
        </w:rPr>
        <w:t xml:space="preserve"> </w:t>
      </w:r>
      <w:r w:rsidR="00C673B3" w:rsidRPr="00C673B3">
        <w:rPr>
          <w:rFonts w:cstheme="minorHAnsi"/>
        </w:rPr>
        <w:t>Without a guarantee facility provided by funding partners</w:t>
      </w:r>
      <w:r w:rsidR="008803B6">
        <w:rPr>
          <w:rFonts w:cstheme="minorHAnsi"/>
        </w:rPr>
        <w:t xml:space="preserve">, UNDP will be exposed to </w:t>
      </w:r>
      <w:r w:rsidR="00594DA4">
        <w:rPr>
          <w:rFonts w:cstheme="minorHAnsi"/>
        </w:rPr>
        <w:t xml:space="preserve">the </w:t>
      </w:r>
      <w:r w:rsidR="008803B6">
        <w:rPr>
          <w:rFonts w:cstheme="minorHAnsi"/>
        </w:rPr>
        <w:t xml:space="preserve">risk of non-payment (default) and in some instances may be exposed to foreign exchange risks </w:t>
      </w:r>
      <w:r w:rsidR="00797DCD">
        <w:rPr>
          <w:rFonts w:cstheme="minorHAnsi"/>
        </w:rPr>
        <w:t xml:space="preserve">as commitments made in local currency </w:t>
      </w:r>
      <w:r w:rsidR="008803B6">
        <w:rPr>
          <w:rFonts w:cstheme="minorHAnsi"/>
        </w:rPr>
        <w:t>may lose value due to fluctuations in the market</w:t>
      </w:r>
      <w:r w:rsidR="00E005E3">
        <w:rPr>
          <w:rFonts w:cstheme="minorHAnsi"/>
        </w:rPr>
        <w:t xml:space="preserve"> compared to the currency of the procurement</w:t>
      </w:r>
      <w:r w:rsidR="008803B6">
        <w:rPr>
          <w:rFonts w:cstheme="minorHAnsi"/>
        </w:rPr>
        <w:t xml:space="preserve">. </w:t>
      </w:r>
      <w:r w:rsidR="008803B6" w:rsidRPr="009358C0">
        <w:rPr>
          <w:rFonts w:cstheme="minorHAnsi"/>
          <w:b/>
          <w:bCs/>
        </w:rPr>
        <w:t xml:space="preserve">To offset these risks, the pooled procurement facility </w:t>
      </w:r>
      <w:r w:rsidR="000E21CB" w:rsidRPr="009358C0">
        <w:rPr>
          <w:rFonts w:cstheme="minorHAnsi"/>
          <w:b/>
          <w:bCs/>
        </w:rPr>
        <w:t xml:space="preserve">should </w:t>
      </w:r>
      <w:r w:rsidR="008803B6" w:rsidRPr="009358C0">
        <w:rPr>
          <w:rFonts w:cstheme="minorHAnsi"/>
          <w:b/>
          <w:bCs/>
        </w:rPr>
        <w:t xml:space="preserve">be supported by guarantees issued by funding partners who can cover the risk </w:t>
      </w:r>
      <w:r w:rsidR="00AA56DC" w:rsidRPr="009358C0">
        <w:rPr>
          <w:rFonts w:cstheme="minorHAnsi"/>
          <w:b/>
          <w:bCs/>
        </w:rPr>
        <w:t xml:space="preserve">to UNDP </w:t>
      </w:r>
      <w:r w:rsidR="008803B6" w:rsidRPr="009358C0">
        <w:rPr>
          <w:rFonts w:cstheme="minorHAnsi"/>
          <w:b/>
          <w:bCs/>
        </w:rPr>
        <w:t xml:space="preserve">of default or risk of loss in value of the </w:t>
      </w:r>
      <w:r w:rsidR="00096AE7" w:rsidRPr="009358C0">
        <w:rPr>
          <w:rFonts w:cstheme="minorHAnsi"/>
          <w:b/>
          <w:bCs/>
        </w:rPr>
        <w:t xml:space="preserve">facilities’ </w:t>
      </w:r>
      <w:r w:rsidR="008803B6" w:rsidRPr="009358C0">
        <w:rPr>
          <w:rFonts w:cstheme="minorHAnsi"/>
          <w:b/>
          <w:bCs/>
        </w:rPr>
        <w:t xml:space="preserve">resources. </w:t>
      </w:r>
      <w:r w:rsidR="00A87CE5" w:rsidRPr="007B7D99">
        <w:rPr>
          <w:rFonts w:cstheme="minorHAnsi"/>
        </w:rPr>
        <w:t xml:space="preserve">This reduces the financial risk to UNDP - in the event that the goods are received, UNDP will be able to draw upon the guarantee. </w:t>
      </w:r>
      <w:r w:rsidR="001501E9" w:rsidRPr="007B7D99">
        <w:rPr>
          <w:rFonts w:cstheme="minorHAnsi"/>
        </w:rPr>
        <w:t>However, reputational risks with the funding partner may emerge, should the beneficiary government not be in a position to meet its financial obligations on the delivery of the procured items.</w:t>
      </w:r>
      <w:r w:rsidR="001501E9">
        <w:rPr>
          <w:rFonts w:cstheme="minorHAnsi"/>
        </w:rPr>
        <w:t xml:space="preserve"> </w:t>
      </w:r>
      <w:r w:rsidR="008803B6">
        <w:rPr>
          <w:rFonts w:cstheme="minorHAnsi"/>
        </w:rPr>
        <w:t xml:space="preserve">Funding partners therefore play a critical role by either providing funding to capitalize the facility or by underwriting the procurement and repayment activities of the facility through guarantees. </w:t>
      </w:r>
    </w:p>
    <w:p w14:paraId="17AD8CB8" w14:textId="77777777" w:rsidR="008803B6" w:rsidRDefault="008803B6" w:rsidP="008803B6">
      <w:pPr>
        <w:spacing w:line="276" w:lineRule="auto"/>
        <w:jc w:val="both"/>
        <w:rPr>
          <w:rFonts w:cstheme="minorHAnsi"/>
        </w:rPr>
      </w:pPr>
      <w:r>
        <w:rPr>
          <w:rFonts w:cstheme="minorHAnsi"/>
        </w:rPr>
        <w:t>Ensuring countries are self-reliant in procurement is increasingly important as countries graduate from donor support and invest more and more of their own resources into the procurement of essential commodities like vaccines (particularly middle-income countries). The pooled procurement facility supported by guarantees would:</w:t>
      </w:r>
    </w:p>
    <w:p w14:paraId="77FC29A9" w14:textId="77777777" w:rsidR="008803B6" w:rsidRDefault="008803B6" w:rsidP="000541CE">
      <w:pPr>
        <w:pStyle w:val="ListParagraph"/>
        <w:numPr>
          <w:ilvl w:val="0"/>
          <w:numId w:val="41"/>
        </w:numPr>
        <w:spacing w:line="276" w:lineRule="auto"/>
        <w:jc w:val="both"/>
        <w:rPr>
          <w:rFonts w:cstheme="minorHAnsi"/>
        </w:rPr>
      </w:pPr>
      <w:r>
        <w:rPr>
          <w:rFonts w:cstheme="minorHAnsi"/>
        </w:rPr>
        <w:t>Offer member countries access to a dependable and affordable procurement system</w:t>
      </w:r>
    </w:p>
    <w:p w14:paraId="1FD728CA" w14:textId="77777777" w:rsidR="008803B6" w:rsidRDefault="008803B6" w:rsidP="000541CE">
      <w:pPr>
        <w:pStyle w:val="ListParagraph"/>
        <w:numPr>
          <w:ilvl w:val="0"/>
          <w:numId w:val="41"/>
        </w:numPr>
        <w:spacing w:line="276" w:lineRule="auto"/>
        <w:jc w:val="both"/>
        <w:rPr>
          <w:rFonts w:cstheme="minorHAnsi"/>
        </w:rPr>
      </w:pPr>
      <w:r>
        <w:rPr>
          <w:rFonts w:cstheme="minorHAnsi"/>
        </w:rPr>
        <w:t xml:space="preserve">Provide alternative </w:t>
      </w:r>
      <w:r w:rsidR="00E2054B">
        <w:rPr>
          <w:rFonts w:cstheme="minorHAnsi"/>
        </w:rPr>
        <w:t xml:space="preserve">short-term </w:t>
      </w:r>
      <w:r>
        <w:rPr>
          <w:rFonts w:cstheme="minorHAnsi"/>
        </w:rPr>
        <w:t xml:space="preserve">financing terms </w:t>
      </w:r>
    </w:p>
    <w:p w14:paraId="1C44928B" w14:textId="77777777" w:rsidR="008803B6" w:rsidRDefault="008803B6" w:rsidP="000541CE">
      <w:pPr>
        <w:pStyle w:val="ListParagraph"/>
        <w:numPr>
          <w:ilvl w:val="0"/>
          <w:numId w:val="41"/>
        </w:numPr>
        <w:spacing w:line="276" w:lineRule="auto"/>
        <w:jc w:val="both"/>
        <w:rPr>
          <w:rFonts w:cstheme="minorHAnsi"/>
        </w:rPr>
      </w:pPr>
      <w:r>
        <w:rPr>
          <w:rFonts w:cstheme="minorHAnsi"/>
        </w:rPr>
        <w:t>Help ensure a continuous supply of essential commodities from reliable suppliers at better pricing</w:t>
      </w:r>
    </w:p>
    <w:p w14:paraId="0DB6AB14" w14:textId="4FDE7726" w:rsidR="008803B6" w:rsidRDefault="008803B6" w:rsidP="000541CE">
      <w:pPr>
        <w:pStyle w:val="ListParagraph"/>
        <w:numPr>
          <w:ilvl w:val="0"/>
          <w:numId w:val="41"/>
        </w:numPr>
        <w:spacing w:line="276" w:lineRule="auto"/>
        <w:jc w:val="both"/>
        <w:rPr>
          <w:rFonts w:cstheme="minorHAnsi"/>
        </w:rPr>
      </w:pPr>
      <w:r>
        <w:rPr>
          <w:rFonts w:cstheme="minorHAnsi"/>
        </w:rPr>
        <w:t>Offer pre</w:t>
      </w:r>
      <w:r w:rsidR="00ED7F92">
        <w:rPr>
          <w:rFonts w:cstheme="minorHAnsi"/>
        </w:rPr>
        <w:t>-</w:t>
      </w:r>
      <w:r>
        <w:rPr>
          <w:rFonts w:cstheme="minorHAnsi"/>
        </w:rPr>
        <w:t xml:space="preserve">planning support to countries to define procurement needs and programmatic activities earlier </w:t>
      </w:r>
    </w:p>
    <w:p w14:paraId="33CDC3CE" w14:textId="77777777" w:rsidR="008803B6" w:rsidRDefault="008803B6" w:rsidP="000541CE">
      <w:pPr>
        <w:pStyle w:val="ListParagraph"/>
        <w:numPr>
          <w:ilvl w:val="0"/>
          <w:numId w:val="41"/>
        </w:numPr>
        <w:spacing w:line="276" w:lineRule="auto"/>
        <w:jc w:val="both"/>
        <w:rPr>
          <w:rFonts w:cstheme="minorHAnsi"/>
        </w:rPr>
      </w:pPr>
      <w:r>
        <w:rPr>
          <w:rFonts w:cstheme="minorHAnsi"/>
        </w:rPr>
        <w:lastRenderedPageBreak/>
        <w:t>Strengthen member countries capacities in procurement, budgeting and planning</w:t>
      </w:r>
    </w:p>
    <w:p w14:paraId="77DD8FBF" w14:textId="77777777" w:rsidR="008803B6" w:rsidRDefault="008803B6" w:rsidP="000541CE">
      <w:pPr>
        <w:pStyle w:val="ListParagraph"/>
        <w:numPr>
          <w:ilvl w:val="0"/>
          <w:numId w:val="41"/>
        </w:numPr>
        <w:spacing w:line="276" w:lineRule="auto"/>
        <w:jc w:val="both"/>
        <w:rPr>
          <w:rFonts w:cstheme="minorHAnsi"/>
        </w:rPr>
      </w:pPr>
      <w:r>
        <w:rPr>
          <w:rFonts w:cstheme="minorHAnsi"/>
        </w:rPr>
        <w:t>Potentially improve stock management and reduce shortages due to poor planning</w:t>
      </w:r>
    </w:p>
    <w:p w14:paraId="09E09165" w14:textId="77777777" w:rsidR="008803B6" w:rsidRDefault="008803B6" w:rsidP="000541CE">
      <w:pPr>
        <w:pStyle w:val="ListParagraph"/>
        <w:numPr>
          <w:ilvl w:val="0"/>
          <w:numId w:val="41"/>
        </w:numPr>
        <w:spacing w:line="276" w:lineRule="auto"/>
        <w:jc w:val="both"/>
        <w:rPr>
          <w:rFonts w:cstheme="minorHAnsi"/>
        </w:rPr>
      </w:pPr>
      <w:r>
        <w:rPr>
          <w:rFonts w:cstheme="minorHAnsi"/>
        </w:rPr>
        <w:t>Create a pool of flexible capital in the form of revolving funds which can be replenished when funding partners contribute to the facility and member countries make repayments</w:t>
      </w:r>
    </w:p>
    <w:p w14:paraId="07367EAD" w14:textId="77777777" w:rsidR="008803B6" w:rsidRDefault="008803B6" w:rsidP="000541CE">
      <w:pPr>
        <w:pStyle w:val="ListParagraph"/>
        <w:numPr>
          <w:ilvl w:val="0"/>
          <w:numId w:val="41"/>
        </w:numPr>
        <w:spacing w:line="276" w:lineRule="auto"/>
        <w:jc w:val="both"/>
        <w:rPr>
          <w:rFonts w:cstheme="minorHAnsi"/>
        </w:rPr>
      </w:pPr>
      <w:r>
        <w:rPr>
          <w:rFonts w:cstheme="minorHAnsi"/>
        </w:rPr>
        <w:t>Accelerate and strengthen UNDP’s global procurement work</w:t>
      </w:r>
    </w:p>
    <w:p w14:paraId="50A6620D" w14:textId="77777777" w:rsidR="008803B6" w:rsidRDefault="008803B6" w:rsidP="008803B6">
      <w:pPr>
        <w:spacing w:line="276" w:lineRule="auto"/>
        <w:jc w:val="both"/>
        <w:rPr>
          <w:rFonts w:cstheme="minorHAnsi"/>
          <w:b/>
        </w:rPr>
      </w:pPr>
    </w:p>
    <w:p w14:paraId="1A0C7733" w14:textId="77777777" w:rsidR="008803B6" w:rsidRPr="00D07CBD" w:rsidRDefault="008803B6" w:rsidP="000541CE">
      <w:pPr>
        <w:pStyle w:val="ListParagraph"/>
        <w:numPr>
          <w:ilvl w:val="0"/>
          <w:numId w:val="42"/>
        </w:numPr>
        <w:spacing w:line="276" w:lineRule="auto"/>
        <w:jc w:val="both"/>
        <w:rPr>
          <w:rFonts w:cstheme="minorHAnsi"/>
          <w:i/>
        </w:rPr>
      </w:pPr>
      <w:r w:rsidRPr="00D07CBD">
        <w:rPr>
          <w:rFonts w:cstheme="minorHAnsi"/>
          <w:b/>
        </w:rPr>
        <w:t xml:space="preserve">Option 2 – UNDP and/or funding partners directly guarantee the procurement activities of individual countries or implementing partners </w:t>
      </w:r>
      <w:r w:rsidRPr="00D07CBD">
        <w:rPr>
          <w:rFonts w:cstheme="minorHAnsi"/>
          <w:i/>
        </w:rPr>
        <w:t>(outside of a pooled procurement facility described in Option 1)</w:t>
      </w:r>
    </w:p>
    <w:p w14:paraId="6B459746" w14:textId="10354450" w:rsidR="008803B6" w:rsidRDefault="008803B6" w:rsidP="008803B6">
      <w:pPr>
        <w:jc w:val="both"/>
        <w:rPr>
          <w:rFonts w:cstheme="minorHAnsi"/>
        </w:rPr>
      </w:pPr>
      <w:r w:rsidRPr="002C1676">
        <w:rPr>
          <w:rFonts w:cstheme="minorHAnsi"/>
        </w:rPr>
        <w:t xml:space="preserve">Many governments are increasingly using domestic funding to procure essential commodities </w:t>
      </w:r>
      <w:r>
        <w:rPr>
          <w:rFonts w:cstheme="minorHAnsi"/>
        </w:rPr>
        <w:t xml:space="preserve">that </w:t>
      </w:r>
      <w:r w:rsidRPr="002C1676">
        <w:rPr>
          <w:rFonts w:cstheme="minorHAnsi"/>
        </w:rPr>
        <w:t>contribute directly to development outcomes,</w:t>
      </w:r>
      <w:r>
        <w:rPr>
          <w:rFonts w:cstheme="minorHAnsi"/>
        </w:rPr>
        <w:t xml:space="preserve"> for example medical supplies, </w:t>
      </w:r>
      <w:r w:rsidRPr="009F4D65">
        <w:rPr>
          <w:rFonts w:cstheme="minorHAnsi"/>
        </w:rPr>
        <w:t>medical and laboratory equipment,</w:t>
      </w:r>
      <w:r w:rsidRPr="002C1676">
        <w:rPr>
          <w:rFonts w:cstheme="minorHAnsi"/>
        </w:rPr>
        <w:t xml:space="preserve"> </w:t>
      </w:r>
      <w:r w:rsidRPr="00E76C8A">
        <w:rPr>
          <w:rFonts w:cstheme="minorHAnsi"/>
        </w:rPr>
        <w:t>solar photovoltaic systems</w:t>
      </w:r>
      <w:r>
        <w:rPr>
          <w:rFonts w:cstheme="minorHAnsi"/>
        </w:rPr>
        <w:t xml:space="preserve">, smart cards, </w:t>
      </w:r>
      <w:r w:rsidRPr="002C1676">
        <w:rPr>
          <w:rFonts w:cstheme="minorHAnsi"/>
        </w:rPr>
        <w:t>electoral supplies</w:t>
      </w:r>
      <w:r>
        <w:rPr>
          <w:rFonts w:cstheme="minorHAnsi"/>
        </w:rPr>
        <w:t>, education materials etc</w:t>
      </w:r>
      <w:r w:rsidRPr="002C1676">
        <w:rPr>
          <w:rFonts w:cstheme="minorHAnsi"/>
        </w:rPr>
        <w:t>.</w:t>
      </w:r>
      <w:r>
        <w:rPr>
          <w:rFonts w:cstheme="minorHAnsi"/>
        </w:rPr>
        <w:t xml:space="preserve"> For countries or implementing partners procuring their own supplies, t</w:t>
      </w:r>
      <w:r w:rsidRPr="002C1676">
        <w:rPr>
          <w:rFonts w:cstheme="minorHAnsi"/>
        </w:rPr>
        <w:t xml:space="preserve">he use of guarantees </w:t>
      </w:r>
      <w:r w:rsidR="006B1AE8">
        <w:rPr>
          <w:rFonts w:cstheme="minorHAnsi"/>
        </w:rPr>
        <w:t xml:space="preserve">offered </w:t>
      </w:r>
      <w:r>
        <w:rPr>
          <w:rFonts w:cstheme="minorHAnsi"/>
        </w:rPr>
        <w:t xml:space="preserve">by UNDP and/or funding partners </w:t>
      </w:r>
      <w:r w:rsidRPr="002C1676">
        <w:rPr>
          <w:rFonts w:cstheme="minorHAnsi"/>
        </w:rPr>
        <w:t>improves credit terms for countries by helping match payment to delivery of supplies for a pre-defined period</w:t>
      </w:r>
      <w:r>
        <w:rPr>
          <w:rFonts w:cstheme="minorHAnsi"/>
        </w:rPr>
        <w:t xml:space="preserve"> and thereby</w:t>
      </w:r>
      <w:r w:rsidRPr="002C1676">
        <w:rPr>
          <w:rFonts w:cstheme="minorHAnsi"/>
        </w:rPr>
        <w:t xml:space="preserve"> </w:t>
      </w:r>
      <w:r>
        <w:rPr>
          <w:rFonts w:cstheme="minorHAnsi"/>
        </w:rPr>
        <w:t>facilitating</w:t>
      </w:r>
      <w:r w:rsidRPr="002C1676">
        <w:rPr>
          <w:rFonts w:cstheme="minorHAnsi"/>
        </w:rPr>
        <w:t xml:space="preserve"> timely procurement of essential supplies that aligns better with the timing of availability of funding. </w:t>
      </w:r>
      <w:r w:rsidRPr="009358C0">
        <w:rPr>
          <w:rFonts w:cstheme="minorHAnsi"/>
          <w:b/>
          <w:bCs/>
        </w:rPr>
        <w:t xml:space="preserve">When UNDP is solely </w:t>
      </w:r>
      <w:r w:rsidR="006C2CDB" w:rsidRPr="009358C0">
        <w:rPr>
          <w:rFonts w:cstheme="minorHAnsi"/>
          <w:b/>
          <w:bCs/>
        </w:rPr>
        <w:t>offer</w:t>
      </w:r>
      <w:r w:rsidRPr="009358C0">
        <w:rPr>
          <w:rFonts w:cstheme="minorHAnsi"/>
          <w:b/>
          <w:bCs/>
        </w:rPr>
        <w:t>ing the guarantee</w:t>
      </w:r>
      <w:r w:rsidRPr="009358C0">
        <w:rPr>
          <w:b/>
          <w:bCs/>
        </w:rPr>
        <w:t>, UNDP would require that the guarantees be fully funded by funding partners (as is the normal practice with other UNDP</w:t>
      </w:r>
      <w:r w:rsidR="00851EA4" w:rsidRPr="009358C0">
        <w:rPr>
          <w:b/>
          <w:bCs/>
        </w:rPr>
        <w:t>-supported</w:t>
      </w:r>
      <w:r w:rsidRPr="009358C0">
        <w:rPr>
          <w:b/>
          <w:bCs/>
        </w:rPr>
        <w:t xml:space="preserve"> guarantees)</w:t>
      </w:r>
      <w:r w:rsidR="00191B6B" w:rsidRPr="009358C0">
        <w:rPr>
          <w:b/>
          <w:bCs/>
        </w:rPr>
        <w:t xml:space="preserve">, </w:t>
      </w:r>
      <w:r w:rsidR="002574B9">
        <w:t xml:space="preserve">for example through </w:t>
      </w:r>
      <w:r>
        <w:t>counter-guarantees issued by third parties (e.g. foundation, international financial institutions, etc.).</w:t>
      </w:r>
    </w:p>
    <w:p w14:paraId="67C937A9" w14:textId="77777777" w:rsidR="008803B6" w:rsidRDefault="008803B6" w:rsidP="008803B6">
      <w:pPr>
        <w:spacing w:line="276" w:lineRule="auto"/>
        <w:jc w:val="both"/>
        <w:rPr>
          <w:rFonts w:cstheme="minorHAnsi"/>
        </w:rPr>
      </w:pPr>
    </w:p>
    <w:p w14:paraId="2D694981" w14:textId="77777777" w:rsidR="008803B6" w:rsidRPr="00D07CBD" w:rsidRDefault="008803B6" w:rsidP="005701FD">
      <w:pPr>
        <w:pStyle w:val="ListParagraph"/>
        <w:numPr>
          <w:ilvl w:val="0"/>
          <w:numId w:val="42"/>
        </w:numPr>
        <w:spacing w:line="276" w:lineRule="auto"/>
        <w:jc w:val="both"/>
        <w:rPr>
          <w:rFonts w:cstheme="minorHAnsi"/>
          <w:b/>
        </w:rPr>
      </w:pPr>
      <w:r w:rsidRPr="00D07CBD">
        <w:rPr>
          <w:rFonts w:cstheme="minorHAnsi"/>
          <w:b/>
        </w:rPr>
        <w:t>Option 3 – UNDP can facilitate guarantees to suppliers on sales volume and price of essential commodities</w:t>
      </w:r>
    </w:p>
    <w:p w14:paraId="3B359E0C" w14:textId="77777777" w:rsidR="008803B6" w:rsidRPr="00446480" w:rsidRDefault="008803B6" w:rsidP="00446480">
      <w:pPr>
        <w:jc w:val="both"/>
      </w:pPr>
      <w:r>
        <w:rPr>
          <w:rFonts w:cstheme="minorHAnsi"/>
        </w:rPr>
        <w:t xml:space="preserve">UNDP can also play a critical role in procurement by facilitating </w:t>
      </w:r>
      <w:r w:rsidRPr="00B23C9C">
        <w:rPr>
          <w:rFonts w:cstheme="minorHAnsi"/>
        </w:rPr>
        <w:t>arrangement</w:t>
      </w:r>
      <w:r>
        <w:rPr>
          <w:rFonts w:cstheme="minorHAnsi"/>
        </w:rPr>
        <w:t>s with funding partners</w:t>
      </w:r>
      <w:r w:rsidRPr="00B23C9C">
        <w:rPr>
          <w:rFonts w:cstheme="minorHAnsi"/>
        </w:rPr>
        <w:t xml:space="preserve"> to guarantee supplier</w:t>
      </w:r>
      <w:r>
        <w:rPr>
          <w:rFonts w:cstheme="minorHAnsi"/>
        </w:rPr>
        <w:t>s</w:t>
      </w:r>
      <w:r w:rsidRPr="00B23C9C">
        <w:rPr>
          <w:rFonts w:cstheme="minorHAnsi"/>
        </w:rPr>
        <w:t xml:space="preserve"> a certain volume of sales for several years in exchange for the supplier’s commitment to produce</w:t>
      </w:r>
      <w:r>
        <w:rPr>
          <w:rFonts w:cstheme="minorHAnsi"/>
        </w:rPr>
        <w:t xml:space="preserve"> stipulated amounts of commodities. This would</w:t>
      </w:r>
      <w:r w:rsidRPr="00B23C9C">
        <w:rPr>
          <w:rFonts w:cstheme="minorHAnsi"/>
        </w:rPr>
        <w:t xml:space="preserve"> reduce prices</w:t>
      </w:r>
      <w:r>
        <w:rPr>
          <w:rFonts w:cstheme="minorHAnsi"/>
        </w:rPr>
        <w:t xml:space="preserve"> for commodities</w:t>
      </w:r>
      <w:r w:rsidRPr="00B23C9C">
        <w:rPr>
          <w:rFonts w:cstheme="minorHAnsi"/>
        </w:rPr>
        <w:t xml:space="preserve"> </w:t>
      </w:r>
      <w:r>
        <w:rPr>
          <w:rFonts w:cstheme="minorHAnsi"/>
        </w:rPr>
        <w:t xml:space="preserve">particularly </w:t>
      </w:r>
      <w:r w:rsidRPr="00B23C9C">
        <w:rPr>
          <w:rFonts w:cstheme="minorHAnsi"/>
        </w:rPr>
        <w:t xml:space="preserve">for </w:t>
      </w:r>
      <w:r>
        <w:t xml:space="preserve">markets in energy, agriculture, education, </w:t>
      </w:r>
      <w:r w:rsidR="006F6FF9">
        <w:t xml:space="preserve">electoral support </w:t>
      </w:r>
      <w:r>
        <w:t xml:space="preserve">and women’s rights as well as healthcare. Such </w:t>
      </w:r>
      <w:r>
        <w:rPr>
          <w:rFonts w:cstheme="minorHAnsi"/>
        </w:rPr>
        <w:t>market shaping interventions which create demand (guaranteeing the offtake of X number of solar panels at Y price) encourage the production of supply in developing countries. In addition, volume g</w:t>
      </w:r>
      <w:r w:rsidRPr="00870C96">
        <w:rPr>
          <w:rFonts w:cstheme="minorHAnsi"/>
        </w:rPr>
        <w:t>uarantees like this give suppliers the certainty they need to invest in innovation and expanded production, which lowers per-unit costs</w:t>
      </w:r>
      <w:r>
        <w:rPr>
          <w:rFonts w:cstheme="minorHAnsi"/>
        </w:rPr>
        <w:t xml:space="preserve"> but still ensuring commercial viability from the higher volumes that can drive bigger profits. With a long-term fixed price contract, funding partners can guarantee to make up any shortfall in demand from buyers.  I</w:t>
      </w:r>
      <w:r w:rsidRPr="00DD70D5">
        <w:rPr>
          <w:rFonts w:cstheme="minorHAnsi"/>
        </w:rPr>
        <w:t>f demand continues to be strong, there will be no call on the f</w:t>
      </w:r>
      <w:r>
        <w:rPr>
          <w:rFonts w:cstheme="minorHAnsi"/>
        </w:rPr>
        <w:t>unding partners’</w:t>
      </w:r>
      <w:r w:rsidRPr="00DD70D5">
        <w:rPr>
          <w:rFonts w:cstheme="minorHAnsi"/>
        </w:rPr>
        <w:t xml:space="preserve"> guarantee</w:t>
      </w:r>
      <w:r>
        <w:rPr>
          <w:rFonts w:cstheme="minorHAnsi"/>
        </w:rPr>
        <w:t>. Mechanisms such as volume guarantees can help jumpstart powerful market forces and increase access to goods and services for millions of people.</w:t>
      </w:r>
    </w:p>
    <w:sectPr w:rsidR="008803B6" w:rsidRPr="00446480" w:rsidSect="006F5DE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B99A" w14:textId="77777777" w:rsidR="009340F7" w:rsidRDefault="009340F7" w:rsidP="007969B4">
      <w:pPr>
        <w:spacing w:after="0" w:line="240" w:lineRule="auto"/>
      </w:pPr>
      <w:r>
        <w:separator/>
      </w:r>
    </w:p>
  </w:endnote>
  <w:endnote w:type="continuationSeparator" w:id="0">
    <w:p w14:paraId="55D0D5AB" w14:textId="77777777" w:rsidR="009340F7" w:rsidRDefault="009340F7" w:rsidP="007969B4">
      <w:pPr>
        <w:spacing w:after="0" w:line="240" w:lineRule="auto"/>
      </w:pPr>
      <w:r>
        <w:continuationSeparator/>
      </w:r>
    </w:p>
  </w:endnote>
  <w:endnote w:type="continuationNotice" w:id="1">
    <w:p w14:paraId="270964A9" w14:textId="77777777" w:rsidR="009340F7" w:rsidRDefault="00934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17F7" w14:textId="77777777" w:rsidR="00F9724C" w:rsidRDefault="00F9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90098"/>
      <w:docPartObj>
        <w:docPartGallery w:val="Page Numbers (Bottom of Page)"/>
        <w:docPartUnique/>
      </w:docPartObj>
    </w:sdtPr>
    <w:sdtEndPr>
      <w:rPr>
        <w:noProof/>
      </w:rPr>
    </w:sdtEndPr>
    <w:sdtContent>
      <w:p w14:paraId="464B0B62" w14:textId="4E93EEAD" w:rsidR="00F9724C" w:rsidRDefault="00F972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F1D513" w14:textId="77777777" w:rsidR="00F972B1" w:rsidRDefault="00F97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3680" w14:textId="77777777" w:rsidR="00F9724C" w:rsidRDefault="00F9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5A2D9" w14:textId="77777777" w:rsidR="009340F7" w:rsidRDefault="009340F7" w:rsidP="007969B4">
      <w:pPr>
        <w:spacing w:after="0" w:line="240" w:lineRule="auto"/>
      </w:pPr>
      <w:r>
        <w:separator/>
      </w:r>
    </w:p>
  </w:footnote>
  <w:footnote w:type="continuationSeparator" w:id="0">
    <w:p w14:paraId="5B6FE811" w14:textId="77777777" w:rsidR="009340F7" w:rsidRDefault="009340F7" w:rsidP="007969B4">
      <w:pPr>
        <w:spacing w:after="0" w:line="240" w:lineRule="auto"/>
      </w:pPr>
      <w:r>
        <w:continuationSeparator/>
      </w:r>
    </w:p>
  </w:footnote>
  <w:footnote w:type="continuationNotice" w:id="1">
    <w:p w14:paraId="3B41D1DD" w14:textId="77777777" w:rsidR="009340F7" w:rsidRDefault="009340F7">
      <w:pPr>
        <w:spacing w:after="0" w:line="240" w:lineRule="auto"/>
      </w:pPr>
    </w:p>
  </w:footnote>
  <w:footnote w:id="2">
    <w:p w14:paraId="1E047643" w14:textId="77777777" w:rsidR="00270620" w:rsidRDefault="00270620" w:rsidP="00270620">
      <w:pPr>
        <w:pStyle w:val="FootnoteText"/>
      </w:pPr>
      <w:r>
        <w:rPr>
          <w:rStyle w:val="FootnoteReference"/>
        </w:rPr>
        <w:footnoteRef/>
      </w:r>
      <w:r>
        <w:t xml:space="preserve"> </w:t>
      </w:r>
      <w:r w:rsidRPr="00066070">
        <w:rPr>
          <w:sz w:val="18"/>
          <w:szCs w:val="18"/>
        </w:rPr>
        <w:t>OECD:</w:t>
      </w:r>
      <w:r w:rsidRPr="00066070">
        <w:rPr>
          <w:b/>
          <w:bCs/>
          <w:i/>
          <w:iCs/>
          <w:sz w:val="18"/>
          <w:szCs w:val="18"/>
        </w:rPr>
        <w:t xml:space="preserve"> </w:t>
      </w:r>
      <w:hyperlink r:id="rId1" w:history="1">
        <w:r w:rsidRPr="00066070">
          <w:rPr>
            <w:rStyle w:val="Hyperlink"/>
            <w:sz w:val="18"/>
            <w:szCs w:val="18"/>
          </w:rPr>
          <w:t>Amounts mobilised from the private sector by official development finance interventions in 2018-19 Highlights August 2021</w:t>
        </w:r>
      </w:hyperlink>
    </w:p>
  </w:footnote>
  <w:footnote w:id="3">
    <w:p w14:paraId="4A76D329" w14:textId="77777777" w:rsidR="00F972B1" w:rsidRDefault="00F972B1" w:rsidP="007969B4">
      <w:pPr>
        <w:pStyle w:val="FootnoteText"/>
      </w:pPr>
      <w:r>
        <w:rPr>
          <w:rStyle w:val="FootnoteReference"/>
        </w:rPr>
        <w:footnoteRef/>
      </w:r>
      <w:r>
        <w:t xml:space="preserve"> </w:t>
      </w:r>
      <w:r w:rsidRPr="007F08E4">
        <w:rPr>
          <w:bCs/>
        </w:rPr>
        <w:t>UNDP/GEF Climate Change Advisory Note: Guarantees</w:t>
      </w:r>
    </w:p>
  </w:footnote>
  <w:footnote w:id="4">
    <w:p w14:paraId="4B8F9985" w14:textId="77777777" w:rsidR="00F972B1" w:rsidRPr="00131EF2" w:rsidRDefault="00F972B1" w:rsidP="007969B4">
      <w:pPr>
        <w:pStyle w:val="FootnoteText"/>
        <w:rPr>
          <w:sz w:val="18"/>
          <w:szCs w:val="18"/>
        </w:rPr>
      </w:pPr>
      <w:r>
        <w:rPr>
          <w:rStyle w:val="FootnoteReference"/>
        </w:rPr>
        <w:footnoteRef/>
      </w:r>
      <w:r>
        <w:t xml:space="preserve"> </w:t>
      </w:r>
      <w:r w:rsidRPr="00131EF2">
        <w:rPr>
          <w:sz w:val="18"/>
          <w:szCs w:val="18"/>
        </w:rPr>
        <w:t>Source: OECD, “</w:t>
      </w:r>
      <w:hyperlink r:id="rId2" w:history="1">
        <w:r w:rsidRPr="00131EF2">
          <w:rPr>
            <w:rStyle w:val="Hyperlink"/>
            <w:i/>
            <w:sz w:val="18"/>
            <w:szCs w:val="18"/>
          </w:rPr>
          <w:t>Guarantees for Development</w:t>
        </w:r>
      </w:hyperlink>
      <w:r w:rsidRPr="00131EF2">
        <w:rPr>
          <w:sz w:val="18"/>
          <w:szCs w:val="18"/>
        </w:rPr>
        <w:t>”, 2014.</w:t>
      </w:r>
    </w:p>
  </w:footnote>
  <w:footnote w:id="5">
    <w:p w14:paraId="5F01640C" w14:textId="04FDE02F" w:rsidR="00F972B1" w:rsidRPr="0065531F" w:rsidRDefault="00F972B1" w:rsidP="0042188C">
      <w:pPr>
        <w:pStyle w:val="FootnoteText"/>
        <w:jc w:val="both"/>
        <w:rPr>
          <w:sz w:val="18"/>
        </w:rPr>
      </w:pPr>
      <w:r w:rsidRPr="0065531F">
        <w:rPr>
          <w:rStyle w:val="FootnoteReference"/>
          <w:sz w:val="18"/>
        </w:rPr>
        <w:footnoteRef/>
      </w:r>
      <w:r w:rsidRPr="0065531F">
        <w:rPr>
          <w:sz w:val="18"/>
        </w:rPr>
        <w:t xml:space="preserve"> A key argument for credit guarantee facilities is the presence of information asymmetries. Banks </w:t>
      </w:r>
      <w:r w:rsidR="00052BEA">
        <w:rPr>
          <w:sz w:val="18"/>
        </w:rPr>
        <w:t xml:space="preserve">do not </w:t>
      </w:r>
      <w:r w:rsidRPr="0065531F">
        <w:rPr>
          <w:sz w:val="18"/>
        </w:rPr>
        <w:t>have full information about their potential clients’ capacity and willingness to repay. Research has shown that this phenomenon, known as information asymmetry, affects small firms more than large firms. It leads to a relatively low allocation of credit to smaller firms and SMEs</w:t>
      </w:r>
      <w:r w:rsidR="00E140EB">
        <w:rPr>
          <w:sz w:val="18"/>
        </w:rPr>
        <w:t>,</w:t>
      </w:r>
      <w:r w:rsidRPr="0065531F">
        <w:rPr>
          <w:sz w:val="18"/>
        </w:rPr>
        <w:t xml:space="preserve"> even though such enterprises may represent a healthy economic sector. Credit guarantee funds can rectify this market imperfection.</w:t>
      </w:r>
    </w:p>
  </w:footnote>
  <w:footnote w:id="6">
    <w:p w14:paraId="53680D4E" w14:textId="1A8E1BDB" w:rsidR="00F972B1" w:rsidRDefault="00F972B1" w:rsidP="00D42AB3">
      <w:pPr>
        <w:pStyle w:val="FootnoteText"/>
        <w:jc w:val="both"/>
      </w:pPr>
      <w:r>
        <w:rPr>
          <w:rStyle w:val="FootnoteReference"/>
        </w:rPr>
        <w:footnoteRef/>
      </w:r>
      <w:r>
        <w:t xml:space="preserve"> </w:t>
      </w:r>
      <w:r w:rsidRPr="00D42AB3">
        <w:t xml:space="preserve">“Moral hazard” may occur if </w:t>
      </w:r>
      <w:r>
        <w:t>lender</w:t>
      </w:r>
      <w:r w:rsidRPr="00D42AB3">
        <w:t>s are too insulated from the risk of a project as they may take less time and effort to carefully perform their own due diligence leading to them taking on excessively high-risk projects. Similarly, borrowers may lose their incentive to repay when they feel they are well covered by the guarantee. Therefore, proper design and implementation of guarantees should ensure that moral hazard is limited by sharing the risks amongst the lender, the borrower and the guarantor.</w:t>
      </w:r>
    </w:p>
  </w:footnote>
  <w:footnote w:id="7">
    <w:p w14:paraId="3893D1B3" w14:textId="0CFA762F" w:rsidR="008408C8" w:rsidRDefault="008408C8">
      <w:pPr>
        <w:pStyle w:val="FootnoteText"/>
      </w:pPr>
      <w:r>
        <w:rPr>
          <w:rStyle w:val="FootnoteReference"/>
        </w:rPr>
        <w:footnoteRef/>
      </w:r>
      <w:r>
        <w:t xml:space="preserve"> </w:t>
      </w:r>
      <w:r w:rsidR="005869D8">
        <w:t>A</w:t>
      </w:r>
      <w:r w:rsidRPr="008408C8">
        <w:t xml:space="preserve"> diagnostic tool will be developed to support this process.</w:t>
      </w:r>
    </w:p>
  </w:footnote>
  <w:footnote w:id="8">
    <w:p w14:paraId="593BEE02" w14:textId="77777777" w:rsidR="008B42B8" w:rsidRPr="0023233C" w:rsidRDefault="008B42B8" w:rsidP="008B42B8">
      <w:pPr>
        <w:pStyle w:val="FootnoteText"/>
        <w:jc w:val="both"/>
        <w:rPr>
          <w:sz w:val="18"/>
          <w:szCs w:val="18"/>
        </w:rPr>
      </w:pPr>
      <w:r>
        <w:rPr>
          <w:rStyle w:val="FootnoteReference"/>
        </w:rPr>
        <w:footnoteRef/>
      </w:r>
      <w:r>
        <w:t xml:space="preserve"> </w:t>
      </w:r>
      <w:r w:rsidRPr="0023233C">
        <w:rPr>
          <w:sz w:val="18"/>
          <w:szCs w:val="18"/>
        </w:rPr>
        <w:t>“</w:t>
      </w:r>
      <w:r w:rsidRPr="0023233C">
        <w:rPr>
          <w:i/>
          <w:sz w:val="18"/>
          <w:szCs w:val="18"/>
        </w:rPr>
        <w:t>The “amount mobilised” by a guarantee is the full nominal value of the instrument (e.g. loan) to which the guarantee relates, regardless of the share of this value covered by the guarantee</w:t>
      </w:r>
      <w:r w:rsidRPr="0023233C">
        <w:rPr>
          <w:sz w:val="18"/>
          <w:szCs w:val="18"/>
        </w:rPr>
        <w:t xml:space="preserve">”; Source: </w:t>
      </w:r>
      <w:r w:rsidRPr="0023233C">
        <w:rPr>
          <w:rFonts w:cstheme="minorHAnsi"/>
          <w:color w:val="000000" w:themeColor="text1"/>
          <w:sz w:val="18"/>
          <w:szCs w:val="18"/>
        </w:rPr>
        <w:t>Mirabile, M., J. Benn and C. Sangaré (2013), "</w:t>
      </w:r>
      <w:hyperlink r:id="rId3" w:history="1">
        <w:r w:rsidRPr="0023233C">
          <w:rPr>
            <w:rStyle w:val="Hyperlink"/>
            <w:rFonts w:cstheme="minorHAnsi"/>
            <w:sz w:val="18"/>
            <w:szCs w:val="18"/>
          </w:rPr>
          <w:t>Guarantees for Development</w:t>
        </w:r>
      </w:hyperlink>
      <w:r w:rsidRPr="0023233C">
        <w:rPr>
          <w:rFonts w:cstheme="minorHAnsi"/>
          <w:color w:val="000000" w:themeColor="text1"/>
          <w:sz w:val="18"/>
          <w:szCs w:val="18"/>
        </w:rPr>
        <w:t xml:space="preserve">", </w:t>
      </w:r>
      <w:r w:rsidRPr="0023233C">
        <w:rPr>
          <w:rFonts w:cstheme="minorHAnsi"/>
          <w:iCs/>
          <w:color w:val="000000" w:themeColor="text1"/>
          <w:sz w:val="18"/>
          <w:szCs w:val="18"/>
        </w:rPr>
        <w:t>OECD Development Co-operation Working Papers</w:t>
      </w:r>
      <w:r w:rsidRPr="0023233C">
        <w:rPr>
          <w:rFonts w:cstheme="minorHAnsi"/>
          <w:color w:val="000000" w:themeColor="text1"/>
          <w:sz w:val="18"/>
          <w:szCs w:val="18"/>
        </w:rPr>
        <w:t>, No. 11, OECD Publishing, Paris.</w:t>
      </w:r>
    </w:p>
  </w:footnote>
  <w:footnote w:id="9">
    <w:p w14:paraId="0C8BACE4" w14:textId="3B482BAF" w:rsidR="00362AEF" w:rsidRDefault="00362AEF" w:rsidP="00362AEF">
      <w:pPr>
        <w:pStyle w:val="FootnoteText"/>
        <w:jc w:val="both"/>
      </w:pPr>
      <w:r>
        <w:rPr>
          <w:rStyle w:val="FootnoteReference"/>
        </w:rPr>
        <w:footnoteRef/>
      </w:r>
      <w:r>
        <w:t xml:space="preserve"> </w:t>
      </w:r>
      <w:r w:rsidR="00EF1185">
        <w:t>T</w:t>
      </w:r>
      <w:r w:rsidRPr="00FE0185">
        <w:t>erms of reference will be developed for the</w:t>
      </w:r>
      <w:r>
        <w:t xml:space="preserve"> Credit Risk Committee.</w:t>
      </w:r>
    </w:p>
  </w:footnote>
  <w:footnote w:id="10">
    <w:p w14:paraId="17B9DA4E" w14:textId="77777777" w:rsidR="00F972B1" w:rsidRDefault="00F972B1" w:rsidP="00362AEF">
      <w:pPr>
        <w:pStyle w:val="FootnoteText"/>
        <w:jc w:val="both"/>
      </w:pPr>
      <w:r>
        <w:rPr>
          <w:rStyle w:val="FootnoteReference"/>
        </w:rPr>
        <w:footnoteRef/>
      </w:r>
      <w:r>
        <w:t xml:space="preserve"> Special conditions may apply for UNDP-GEF where, at the request of and with the agreement of the funding partner, a limited first loss guarantee maybe approved on an exception basis. In such cases, UNCDF should be engaged to issue the guarantee.</w:t>
      </w:r>
    </w:p>
  </w:footnote>
  <w:footnote w:id="11">
    <w:p w14:paraId="4FF89E6E" w14:textId="56734654" w:rsidR="00F972B1" w:rsidRDefault="00F972B1">
      <w:pPr>
        <w:pStyle w:val="FootnoteText"/>
      </w:pPr>
      <w:r>
        <w:rPr>
          <w:rStyle w:val="FootnoteReference"/>
        </w:rPr>
        <w:footnoteRef/>
      </w:r>
      <w:r>
        <w:t xml:space="preserve"> </w:t>
      </w:r>
      <w:bookmarkStart w:id="81" w:name="_Hlk9267778"/>
      <w:r>
        <w:rPr>
          <w:sz w:val="18"/>
          <w:szCs w:val="18"/>
        </w:rPr>
        <w:t xml:space="preserve">To avoid making the guarantee costly either </w:t>
      </w:r>
      <w:r w:rsidRPr="00041D12">
        <w:rPr>
          <w:sz w:val="18"/>
          <w:szCs w:val="18"/>
        </w:rPr>
        <w:t>a</w:t>
      </w:r>
      <w:r>
        <w:rPr>
          <w:sz w:val="18"/>
          <w:szCs w:val="18"/>
        </w:rPr>
        <w:t xml:space="preserve"> i</w:t>
      </w:r>
      <w:r w:rsidRPr="00041D12">
        <w:rPr>
          <w:sz w:val="18"/>
          <w:szCs w:val="18"/>
        </w:rPr>
        <w:t xml:space="preserve">) </w:t>
      </w:r>
      <w:r>
        <w:rPr>
          <w:sz w:val="18"/>
          <w:szCs w:val="18"/>
        </w:rPr>
        <w:t>or</w:t>
      </w:r>
      <w:r w:rsidRPr="00041D12">
        <w:rPr>
          <w:sz w:val="18"/>
          <w:szCs w:val="18"/>
        </w:rPr>
        <w:t xml:space="preserve"> </w:t>
      </w:r>
      <w:r>
        <w:rPr>
          <w:sz w:val="18"/>
          <w:szCs w:val="18"/>
        </w:rPr>
        <w:t>ii</w:t>
      </w:r>
      <w:r w:rsidRPr="0083707B">
        <w:rPr>
          <w:sz w:val="18"/>
          <w:szCs w:val="18"/>
        </w:rPr>
        <w:t>)</w:t>
      </w:r>
      <w:r>
        <w:rPr>
          <w:sz w:val="18"/>
          <w:szCs w:val="18"/>
        </w:rPr>
        <w:t xml:space="preserve"> can be charged. F</w:t>
      </w:r>
      <w:r w:rsidRPr="0083707B">
        <w:rPr>
          <w:sz w:val="18"/>
          <w:szCs w:val="18"/>
        </w:rPr>
        <w:t xml:space="preserve">ees are charged either </w:t>
      </w:r>
      <w:r>
        <w:rPr>
          <w:sz w:val="18"/>
          <w:szCs w:val="18"/>
        </w:rPr>
        <w:t xml:space="preserve">to the (i) </w:t>
      </w:r>
      <w:r w:rsidRPr="0083707B">
        <w:rPr>
          <w:sz w:val="18"/>
          <w:szCs w:val="18"/>
        </w:rPr>
        <w:t>funding partner or</w:t>
      </w:r>
      <w:r>
        <w:rPr>
          <w:sz w:val="18"/>
          <w:szCs w:val="18"/>
        </w:rPr>
        <w:t xml:space="preserve"> (ii)</w:t>
      </w:r>
      <w:r w:rsidRPr="0083707B">
        <w:rPr>
          <w:sz w:val="18"/>
          <w:szCs w:val="18"/>
        </w:rPr>
        <w:t xml:space="preserve"> </w:t>
      </w:r>
      <w:r>
        <w:rPr>
          <w:sz w:val="18"/>
          <w:szCs w:val="18"/>
        </w:rPr>
        <w:t>to</w:t>
      </w:r>
      <w:r w:rsidRPr="0083707B">
        <w:rPr>
          <w:sz w:val="18"/>
          <w:szCs w:val="18"/>
        </w:rPr>
        <w:t xml:space="preserve"> the lender</w:t>
      </w:r>
      <w:r>
        <w:rPr>
          <w:sz w:val="18"/>
          <w:szCs w:val="18"/>
        </w:rPr>
        <w:t xml:space="preserve"> who can pass the fee on to the borrower</w:t>
      </w:r>
      <w:r w:rsidR="00BA5028" w:rsidRPr="004C6349">
        <w:rPr>
          <w:sz w:val="18"/>
          <w:szCs w:val="18"/>
        </w:rPr>
        <w:t xml:space="preserve"> if it is commercially viable to do so</w:t>
      </w:r>
      <w:r>
        <w:rPr>
          <w:sz w:val="18"/>
          <w:szCs w:val="18"/>
        </w:rPr>
        <w:t>.</w:t>
      </w:r>
      <w:bookmarkEnd w:id="81"/>
    </w:p>
  </w:footnote>
  <w:footnote w:id="12">
    <w:p w14:paraId="0FE2AF5D" w14:textId="77777777" w:rsidR="00F972B1" w:rsidRPr="0023233C" w:rsidRDefault="00F972B1" w:rsidP="00007847">
      <w:pPr>
        <w:pStyle w:val="FootnoteText"/>
        <w:jc w:val="both"/>
        <w:rPr>
          <w:sz w:val="18"/>
          <w:szCs w:val="18"/>
        </w:rPr>
      </w:pPr>
      <w:r>
        <w:rPr>
          <w:rStyle w:val="FootnoteReference"/>
        </w:rPr>
        <w:footnoteRef/>
      </w:r>
      <w:r>
        <w:t xml:space="preserve"> </w:t>
      </w:r>
      <w:r w:rsidRPr="0023233C">
        <w:rPr>
          <w:sz w:val="18"/>
          <w:szCs w:val="18"/>
        </w:rPr>
        <w:t>“</w:t>
      </w:r>
      <w:r w:rsidRPr="0023233C">
        <w:rPr>
          <w:i/>
          <w:sz w:val="18"/>
          <w:szCs w:val="18"/>
        </w:rPr>
        <w:t>The “amount mobilised” by a guarantee is the full nominal value of the instrument (e.g. loan) to which the guarantee relates, regardless of the share of this value covered by the guarantee</w:t>
      </w:r>
      <w:r w:rsidRPr="0023233C">
        <w:rPr>
          <w:sz w:val="18"/>
          <w:szCs w:val="18"/>
        </w:rPr>
        <w:t xml:space="preserve">”; Source: </w:t>
      </w:r>
      <w:r w:rsidRPr="0023233C">
        <w:rPr>
          <w:rFonts w:cstheme="minorHAnsi"/>
          <w:color w:val="000000" w:themeColor="text1"/>
          <w:sz w:val="18"/>
          <w:szCs w:val="18"/>
        </w:rPr>
        <w:t>Mirabile, M., J. Benn and C. Sangaré (2013), "</w:t>
      </w:r>
      <w:hyperlink r:id="rId4" w:history="1">
        <w:r w:rsidRPr="0023233C">
          <w:rPr>
            <w:rStyle w:val="Hyperlink"/>
            <w:rFonts w:cstheme="minorHAnsi"/>
            <w:sz w:val="18"/>
            <w:szCs w:val="18"/>
          </w:rPr>
          <w:t>Guarantees for Development</w:t>
        </w:r>
      </w:hyperlink>
      <w:r w:rsidRPr="0023233C">
        <w:rPr>
          <w:rFonts w:cstheme="minorHAnsi"/>
          <w:color w:val="000000" w:themeColor="text1"/>
          <w:sz w:val="18"/>
          <w:szCs w:val="18"/>
        </w:rPr>
        <w:t xml:space="preserve">", </w:t>
      </w:r>
      <w:r w:rsidRPr="0023233C">
        <w:rPr>
          <w:rFonts w:cstheme="minorHAnsi"/>
          <w:iCs/>
          <w:color w:val="000000" w:themeColor="text1"/>
          <w:sz w:val="18"/>
          <w:szCs w:val="18"/>
        </w:rPr>
        <w:t>OECD Development Co-operation Working Papers</w:t>
      </w:r>
      <w:r w:rsidRPr="0023233C">
        <w:rPr>
          <w:rFonts w:cstheme="minorHAnsi"/>
          <w:color w:val="000000" w:themeColor="text1"/>
          <w:sz w:val="18"/>
          <w:szCs w:val="18"/>
        </w:rPr>
        <w:t>, No. 11, OECD Publishing, Paris.</w:t>
      </w:r>
    </w:p>
  </w:footnote>
  <w:footnote w:id="13">
    <w:p w14:paraId="066E4E9E" w14:textId="77777777" w:rsidR="00F972B1" w:rsidRDefault="00F972B1" w:rsidP="001B4DE6">
      <w:pPr>
        <w:pStyle w:val="FootnoteText"/>
        <w:jc w:val="both"/>
      </w:pPr>
      <w:r>
        <w:rPr>
          <w:rStyle w:val="FootnoteReference"/>
        </w:rPr>
        <w:footnoteRef/>
      </w:r>
      <w:r>
        <w:t xml:space="preserve"> International Labour Organization, “</w:t>
      </w:r>
      <w:hyperlink r:id="rId5" w:history="1">
        <w:r w:rsidRPr="001B4DE6">
          <w:rPr>
            <w:rStyle w:val="Hyperlink"/>
            <w:i/>
          </w:rPr>
          <w:t>Guarantee funds for small enterprises. A manual for guarantee fund managers</w:t>
        </w:r>
      </w:hyperlink>
      <w:r>
        <w:t>”</w:t>
      </w:r>
    </w:p>
  </w:footnote>
  <w:footnote w:id="14">
    <w:p w14:paraId="50CAAFFB" w14:textId="3D31C404" w:rsidR="00F972B1" w:rsidRDefault="00F972B1">
      <w:pPr>
        <w:pStyle w:val="FootnoteText"/>
      </w:pPr>
      <w:r>
        <w:rPr>
          <w:rStyle w:val="FootnoteReference"/>
        </w:rPr>
        <w:footnoteRef/>
      </w:r>
      <w:r>
        <w:t xml:space="preserve"> </w:t>
      </w:r>
      <w:r>
        <w:rPr>
          <w:sz w:val="18"/>
          <w:szCs w:val="18"/>
        </w:rPr>
        <w:t xml:space="preserve">To avoid making the guarantee costly either </w:t>
      </w:r>
      <w:r w:rsidRPr="00041D12">
        <w:rPr>
          <w:sz w:val="18"/>
          <w:szCs w:val="18"/>
        </w:rPr>
        <w:t>a</w:t>
      </w:r>
      <w:r>
        <w:rPr>
          <w:sz w:val="18"/>
          <w:szCs w:val="18"/>
        </w:rPr>
        <w:t xml:space="preserve"> i</w:t>
      </w:r>
      <w:r w:rsidRPr="00041D12">
        <w:rPr>
          <w:sz w:val="18"/>
          <w:szCs w:val="18"/>
        </w:rPr>
        <w:t xml:space="preserve">) </w:t>
      </w:r>
      <w:r>
        <w:rPr>
          <w:sz w:val="18"/>
          <w:szCs w:val="18"/>
        </w:rPr>
        <w:t>or</w:t>
      </w:r>
      <w:r w:rsidRPr="00041D12">
        <w:rPr>
          <w:sz w:val="18"/>
          <w:szCs w:val="18"/>
        </w:rPr>
        <w:t xml:space="preserve"> </w:t>
      </w:r>
      <w:r>
        <w:rPr>
          <w:sz w:val="18"/>
          <w:szCs w:val="18"/>
        </w:rPr>
        <w:t>ii</w:t>
      </w:r>
      <w:r w:rsidRPr="00446480">
        <w:rPr>
          <w:sz w:val="18"/>
          <w:szCs w:val="18"/>
        </w:rPr>
        <w:t>)</w:t>
      </w:r>
      <w:r>
        <w:rPr>
          <w:sz w:val="18"/>
          <w:szCs w:val="18"/>
        </w:rPr>
        <w:t xml:space="preserve"> can be charged. F</w:t>
      </w:r>
      <w:r w:rsidRPr="00446480">
        <w:rPr>
          <w:sz w:val="18"/>
          <w:szCs w:val="18"/>
        </w:rPr>
        <w:t xml:space="preserve">ees are charged either </w:t>
      </w:r>
      <w:r>
        <w:rPr>
          <w:sz w:val="18"/>
          <w:szCs w:val="18"/>
        </w:rPr>
        <w:t xml:space="preserve">to the (i) </w:t>
      </w:r>
      <w:r w:rsidRPr="00446480">
        <w:rPr>
          <w:sz w:val="18"/>
          <w:szCs w:val="18"/>
        </w:rPr>
        <w:t>funding partner or</w:t>
      </w:r>
      <w:r>
        <w:rPr>
          <w:sz w:val="18"/>
          <w:szCs w:val="18"/>
        </w:rPr>
        <w:t xml:space="preserve"> (ii)</w:t>
      </w:r>
      <w:r w:rsidRPr="00446480">
        <w:rPr>
          <w:sz w:val="18"/>
          <w:szCs w:val="18"/>
        </w:rPr>
        <w:t xml:space="preserve"> </w:t>
      </w:r>
      <w:r>
        <w:rPr>
          <w:sz w:val="18"/>
          <w:szCs w:val="18"/>
        </w:rPr>
        <w:t>to</w:t>
      </w:r>
      <w:r w:rsidRPr="00446480">
        <w:rPr>
          <w:sz w:val="18"/>
          <w:szCs w:val="18"/>
        </w:rPr>
        <w:t xml:space="preserve"> the lender</w:t>
      </w:r>
      <w:r>
        <w:rPr>
          <w:sz w:val="18"/>
          <w:szCs w:val="18"/>
        </w:rPr>
        <w:t xml:space="preserve"> who can pass the fee on to the borrower</w:t>
      </w:r>
      <w:r w:rsidR="00403BEA" w:rsidRPr="00403BEA">
        <w:rPr>
          <w:sz w:val="18"/>
          <w:szCs w:val="18"/>
        </w:rPr>
        <w:t xml:space="preserve"> </w:t>
      </w:r>
      <w:r w:rsidR="00403BEA" w:rsidRPr="004C6349">
        <w:rPr>
          <w:sz w:val="18"/>
          <w:szCs w:val="18"/>
        </w:rPr>
        <w:t>if it is commercially viable to do so</w:t>
      </w:r>
      <w:r>
        <w:rPr>
          <w:sz w:val="18"/>
          <w:szCs w:val="18"/>
        </w:rPr>
        <w:t>.</w:t>
      </w:r>
    </w:p>
  </w:footnote>
  <w:footnote w:id="15">
    <w:p w14:paraId="3D1C94C7" w14:textId="77777777" w:rsidR="00235986" w:rsidRDefault="00235986" w:rsidP="00D27ACB">
      <w:pPr>
        <w:pStyle w:val="FootnoteText"/>
        <w:jc w:val="both"/>
      </w:pPr>
      <w:r>
        <w:rPr>
          <w:rStyle w:val="FootnoteReference"/>
        </w:rPr>
        <w:footnoteRef/>
      </w:r>
      <w:r>
        <w:t xml:space="preserve"> At the conclusion of the 5-year pilot phase, </w:t>
      </w:r>
      <w:r w:rsidRPr="00BA5AE0">
        <w:t xml:space="preserve">the Guarantees Project Team </w:t>
      </w:r>
      <w:r>
        <w:t xml:space="preserve">will </w:t>
      </w:r>
      <w:r w:rsidRPr="00BA5AE0">
        <w:t>be disbanded</w:t>
      </w:r>
      <w:r>
        <w:t>,</w:t>
      </w:r>
      <w:r w:rsidRPr="00BA5AE0">
        <w:t xml:space="preserve"> and specialized resources </w:t>
      </w:r>
      <w:r>
        <w:t xml:space="preserve">will be </w:t>
      </w:r>
      <w:r w:rsidRPr="00BA5AE0">
        <w:t xml:space="preserve">distributed </w:t>
      </w:r>
      <w:r>
        <w:t>across</w:t>
      </w:r>
      <w:r w:rsidRPr="00BA5AE0">
        <w:t xml:space="preserve"> </w:t>
      </w:r>
      <w:r>
        <w:t>bureaux</w:t>
      </w:r>
      <w:r w:rsidRPr="00BA5AE0">
        <w:t>.</w:t>
      </w:r>
    </w:p>
  </w:footnote>
  <w:footnote w:id="16">
    <w:p w14:paraId="0ACE0CF3" w14:textId="77777777" w:rsidR="00F972B1" w:rsidRPr="004A6877" w:rsidRDefault="00F972B1" w:rsidP="003A1C7A">
      <w:pPr>
        <w:pStyle w:val="CommentText"/>
        <w:jc w:val="both"/>
        <w:rPr>
          <w:i/>
          <w:sz w:val="18"/>
          <w:szCs w:val="18"/>
        </w:rPr>
      </w:pPr>
      <w:r>
        <w:rPr>
          <w:rStyle w:val="FootnoteReference"/>
        </w:rPr>
        <w:footnoteRef/>
      </w:r>
      <w:r>
        <w:t xml:space="preserve"> </w:t>
      </w:r>
      <w:r w:rsidRPr="00E103D2">
        <w:rPr>
          <w:sz w:val="18"/>
          <w:szCs w:val="18"/>
        </w:rPr>
        <w:t xml:space="preserve">As stated in the revised PPM, Chapter A3. Select Responsible Parties and Grantees, Paragraph </w:t>
      </w:r>
      <w:r>
        <w:rPr>
          <w:sz w:val="18"/>
          <w:szCs w:val="18"/>
        </w:rPr>
        <w:t>22</w:t>
      </w:r>
      <w:r w:rsidRPr="00E103D2">
        <w:rPr>
          <w:sz w:val="18"/>
          <w:szCs w:val="18"/>
        </w:rPr>
        <w:t xml:space="preserve">: </w:t>
      </w:r>
      <w:r>
        <w:rPr>
          <w:i/>
          <w:sz w:val="18"/>
          <w:szCs w:val="18"/>
          <w:lang w:val="en-GB"/>
        </w:rPr>
        <w:t>“</w:t>
      </w:r>
      <w:r w:rsidRPr="004A6877">
        <w:rPr>
          <w:i/>
          <w:sz w:val="18"/>
          <w:szCs w:val="18"/>
        </w:rPr>
        <w:t>Low-value grants may also be made for credit activities and can be used by the recipient organization to cover the costs of its operations, purchase equipment, hire new staff or capitalize credit funds within the financial limits set out below. On all requests related to credit or microfinance, technical consultation with UNCDF is encouraged.</w:t>
      </w:r>
      <w:r>
        <w:rPr>
          <w:i/>
          <w:sz w:val="18"/>
          <w:szCs w:val="18"/>
        </w:rPr>
        <w:t>”</w:t>
      </w:r>
    </w:p>
  </w:footnote>
  <w:footnote w:id="17">
    <w:p w14:paraId="1DD374CF" w14:textId="77777777" w:rsidR="00F972B1" w:rsidRPr="002B508C" w:rsidRDefault="00F972B1" w:rsidP="003A1C7A">
      <w:pPr>
        <w:pStyle w:val="FootnoteText"/>
        <w:jc w:val="both"/>
        <w:rPr>
          <w:sz w:val="18"/>
        </w:rPr>
      </w:pPr>
      <w:r>
        <w:rPr>
          <w:rStyle w:val="FootnoteReference"/>
        </w:rPr>
        <w:footnoteRef/>
      </w:r>
      <w:r>
        <w:t xml:space="preserve"> </w:t>
      </w:r>
      <w:r w:rsidRPr="002B508C">
        <w:rPr>
          <w:sz w:val="18"/>
        </w:rPr>
        <w:t xml:space="preserve">i.e. full cost of the liability is funded by </w:t>
      </w:r>
      <w:r>
        <w:rPr>
          <w:sz w:val="18"/>
        </w:rPr>
        <w:t>funding partner</w:t>
      </w:r>
      <w:r w:rsidRPr="002B508C">
        <w:rPr>
          <w:sz w:val="18"/>
        </w:rPr>
        <w:t xml:space="preserve">(s) in advance of the liability being incurred by UNDP. </w:t>
      </w:r>
    </w:p>
  </w:footnote>
  <w:footnote w:id="18">
    <w:p w14:paraId="5434FB52" w14:textId="77777777" w:rsidR="00F972B1" w:rsidRPr="002B508C" w:rsidRDefault="00F972B1" w:rsidP="003A1C7A">
      <w:pPr>
        <w:pStyle w:val="FootnoteText"/>
        <w:jc w:val="both"/>
        <w:rPr>
          <w:sz w:val="18"/>
        </w:rPr>
      </w:pPr>
      <w:r>
        <w:rPr>
          <w:rStyle w:val="FootnoteReference"/>
        </w:rPr>
        <w:footnoteRef/>
      </w:r>
      <w:r>
        <w:t xml:space="preserve"> </w:t>
      </w:r>
      <w:r w:rsidRPr="002B508C">
        <w:rPr>
          <w:sz w:val="18"/>
        </w:rPr>
        <w:t xml:space="preserve">Technical service provider/agent provides technical services to UNDP on a cost-sharing basis, which will be added to the project budget. </w:t>
      </w:r>
    </w:p>
  </w:footnote>
  <w:footnote w:id="19">
    <w:p w14:paraId="0F9A55A1" w14:textId="1D8EDB06" w:rsidR="00F972B1" w:rsidRDefault="00F972B1" w:rsidP="003104DB">
      <w:pPr>
        <w:pStyle w:val="FootnoteText"/>
      </w:pPr>
      <w:r>
        <w:rPr>
          <w:rStyle w:val="FootnoteReference"/>
        </w:rPr>
        <w:footnoteRef/>
      </w:r>
      <w:r>
        <w:t xml:space="preserve"> </w:t>
      </w:r>
      <w:r w:rsidRPr="0030701B">
        <w:rPr>
          <w:sz w:val="18"/>
          <w:szCs w:val="18"/>
        </w:rPr>
        <w:t xml:space="preserve">Adapted from </w:t>
      </w:r>
      <w:r w:rsidR="00933581">
        <w:rPr>
          <w:sz w:val="18"/>
          <w:szCs w:val="18"/>
        </w:rPr>
        <w:t>the British Bankers' Association (</w:t>
      </w:r>
      <w:r w:rsidRPr="0030701B">
        <w:rPr>
          <w:sz w:val="18"/>
          <w:szCs w:val="18"/>
        </w:rPr>
        <w:t>BBA</w:t>
      </w:r>
      <w:r w:rsidR="00933581">
        <w:rPr>
          <w:sz w:val="18"/>
          <w:szCs w:val="18"/>
        </w:rPr>
        <w:t>)</w:t>
      </w:r>
    </w:p>
  </w:footnote>
  <w:footnote w:id="20">
    <w:p w14:paraId="2ED3B6FD" w14:textId="77777777" w:rsidR="00F972B1" w:rsidRDefault="00F972B1">
      <w:pPr>
        <w:pStyle w:val="FootnoteText"/>
      </w:pPr>
      <w:r>
        <w:rPr>
          <w:rStyle w:val="FootnoteReference"/>
        </w:rPr>
        <w:footnoteRef/>
      </w:r>
      <w:r>
        <w:t xml:space="preserve"> It should be noted that UNDP is not a procurement agent. Rather, the procurement services should be offered for areas where UNDP has a comparative advantage and is thus already a large buyer in these markets.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3CCD" w14:textId="77777777" w:rsidR="00F9724C" w:rsidRDefault="00F97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EFFE" w14:textId="3E464AF7" w:rsidR="00F972B1" w:rsidRPr="00B32E81" w:rsidRDefault="00396EED" w:rsidP="00396EED">
    <w:pPr>
      <w:pStyle w:val="Header"/>
      <w:ind w:left="2160"/>
      <w:jc w:val="right"/>
      <w:rPr>
        <w:b/>
        <w:color w:val="767171" w:themeColor="background2" w:themeShade="80"/>
      </w:rPr>
    </w:pPr>
    <w:r>
      <w:rPr>
        <w:noProof/>
      </w:rPr>
      <w:drawing>
        <wp:inline distT="0" distB="0" distL="0" distR="0" wp14:anchorId="1E6519A2" wp14:editId="27950B22">
          <wp:extent cx="756315" cy="11520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15" cy="1152000"/>
                  </a:xfrm>
                  <a:prstGeom prst="rect">
                    <a:avLst/>
                  </a:prstGeom>
                </pic:spPr>
              </pic:pic>
            </a:graphicData>
          </a:graphic>
        </wp:inline>
      </w:drawing>
    </w:r>
  </w:p>
  <w:p w14:paraId="4F5F9F84" w14:textId="13275A80" w:rsidR="00F972B1" w:rsidRDefault="00F97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9E09" w14:textId="77777777" w:rsidR="00F9724C" w:rsidRDefault="00F9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C53"/>
    <w:multiLevelType w:val="hybridMultilevel"/>
    <w:tmpl w:val="8F7AA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634090"/>
    <w:multiLevelType w:val="hybridMultilevel"/>
    <w:tmpl w:val="05A4DF82"/>
    <w:lvl w:ilvl="0" w:tplc="04090017">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57F98"/>
    <w:multiLevelType w:val="hybridMultilevel"/>
    <w:tmpl w:val="01628D26"/>
    <w:lvl w:ilvl="0" w:tplc="EE00F394">
      <w:start w:val="1"/>
      <w:numFmt w:val="lowerRoman"/>
      <w:lvlText w:val="%1)"/>
      <w:lvlJc w:val="left"/>
      <w:pPr>
        <w:ind w:left="720" w:hanging="360"/>
      </w:pPr>
      <w:rPr>
        <w:rFonts w:ascii="Calibri" w:hAnsi="Calibri" w:hint="default"/>
        <w:b w:val="0"/>
        <w:i w:val="0"/>
        <w:sz w:val="22"/>
      </w:rPr>
    </w:lvl>
    <w:lvl w:ilvl="1" w:tplc="A3FEF9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03D0F"/>
    <w:multiLevelType w:val="hybridMultilevel"/>
    <w:tmpl w:val="6CEE5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E6D"/>
    <w:multiLevelType w:val="hybridMultilevel"/>
    <w:tmpl w:val="BECE7766"/>
    <w:lvl w:ilvl="0" w:tplc="77D0E766">
      <w:start w:val="1"/>
      <w:numFmt w:val="lowerLetter"/>
      <w:lvlText w:val="%1."/>
      <w:lvlJc w:val="left"/>
      <w:pPr>
        <w:ind w:left="720" w:hanging="360"/>
      </w:pPr>
      <w:rPr>
        <w:rFonts w:ascii="Cambria" w:hAnsi="Cambria" w:hint="default"/>
        <w:b w:val="0"/>
        <w:i w:val="0"/>
        <w:sz w:val="22"/>
      </w:rPr>
    </w:lvl>
    <w:lvl w:ilvl="1" w:tplc="37F66288">
      <w:start w:val="1"/>
      <w:numFmt w:val="lowerRoman"/>
      <w:lvlText w:val="%2."/>
      <w:lvlJc w:val="left"/>
      <w:pPr>
        <w:ind w:left="1440" w:hanging="360"/>
      </w:pPr>
      <w:rPr>
        <w:rFonts w:hint="default"/>
        <w:b w:val="0"/>
        <w:i w:val="0"/>
        <w:sz w:val="22"/>
      </w:rPr>
    </w:lvl>
    <w:lvl w:ilvl="2" w:tplc="24A898B0">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F4A"/>
    <w:multiLevelType w:val="hybridMultilevel"/>
    <w:tmpl w:val="84E6E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1A9A"/>
    <w:multiLevelType w:val="hybridMultilevel"/>
    <w:tmpl w:val="72CC9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442D1B"/>
    <w:multiLevelType w:val="multilevel"/>
    <w:tmpl w:val="480C7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D714E8B"/>
    <w:multiLevelType w:val="hybridMultilevel"/>
    <w:tmpl w:val="E3C0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63DF2"/>
    <w:multiLevelType w:val="hybridMultilevel"/>
    <w:tmpl w:val="6A42D2CC"/>
    <w:lvl w:ilvl="0" w:tplc="04090017">
      <w:start w:val="1"/>
      <w:numFmt w:val="lowerLetter"/>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0FBC59D3"/>
    <w:multiLevelType w:val="hybridMultilevel"/>
    <w:tmpl w:val="23942C36"/>
    <w:lvl w:ilvl="0" w:tplc="DC506BDA">
      <w:start w:val="1"/>
      <w:numFmt w:val="decimal"/>
      <w:lvlText w:val="6.%1"/>
      <w:lvlJc w:val="left"/>
      <w:pPr>
        <w:ind w:left="54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73D47"/>
    <w:multiLevelType w:val="hybridMultilevel"/>
    <w:tmpl w:val="78748946"/>
    <w:lvl w:ilvl="0" w:tplc="4CD4B438">
      <w:start w:val="1"/>
      <w:numFmt w:val="decimal"/>
      <w:lvlText w:val="%1."/>
      <w:lvlJc w:val="left"/>
      <w:pPr>
        <w:ind w:left="72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B5A96"/>
    <w:multiLevelType w:val="hybridMultilevel"/>
    <w:tmpl w:val="F2BEF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6C7744"/>
    <w:multiLevelType w:val="hybridMultilevel"/>
    <w:tmpl w:val="8B907B3E"/>
    <w:lvl w:ilvl="0" w:tplc="C9A071BE">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6217A"/>
    <w:multiLevelType w:val="hybridMultilevel"/>
    <w:tmpl w:val="DD28F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DB5E53"/>
    <w:multiLevelType w:val="hybridMultilevel"/>
    <w:tmpl w:val="E6CA6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D727A7"/>
    <w:multiLevelType w:val="hybridMultilevel"/>
    <w:tmpl w:val="B5B8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3041C"/>
    <w:multiLevelType w:val="hybridMultilevel"/>
    <w:tmpl w:val="D0804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70668F"/>
    <w:multiLevelType w:val="hybridMultilevel"/>
    <w:tmpl w:val="7B5CE5DE"/>
    <w:lvl w:ilvl="0" w:tplc="51B0393C">
      <w:start w:val="1"/>
      <w:numFmt w:val="upperLetter"/>
      <w:lvlText w:val="%1."/>
      <w:lvlJc w:val="left"/>
      <w:pPr>
        <w:ind w:left="720" w:hanging="360"/>
      </w:pPr>
      <w:rPr>
        <w:rFonts w:ascii="Cambria" w:hAnsi="Cambri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32B03"/>
    <w:multiLevelType w:val="hybridMultilevel"/>
    <w:tmpl w:val="E3DE6D80"/>
    <w:lvl w:ilvl="0" w:tplc="3C5AB45A">
      <w:start w:val="1"/>
      <w:numFmt w:val="low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7C2E31"/>
    <w:multiLevelType w:val="hybridMultilevel"/>
    <w:tmpl w:val="EB2EF674"/>
    <w:lvl w:ilvl="0" w:tplc="B97445C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1C74DB7"/>
    <w:multiLevelType w:val="hybridMultilevel"/>
    <w:tmpl w:val="60B0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EC7"/>
    <w:multiLevelType w:val="hybridMultilevel"/>
    <w:tmpl w:val="171252C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32AA635F"/>
    <w:multiLevelType w:val="hybridMultilevel"/>
    <w:tmpl w:val="B8DA2D9A"/>
    <w:lvl w:ilvl="0" w:tplc="6D9EA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27AEF"/>
    <w:multiLevelType w:val="hybridMultilevel"/>
    <w:tmpl w:val="CB50467A"/>
    <w:lvl w:ilvl="0" w:tplc="68E22A5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34911"/>
    <w:multiLevelType w:val="hybridMultilevel"/>
    <w:tmpl w:val="FF46D0D4"/>
    <w:lvl w:ilvl="0" w:tplc="121C2CB6">
      <w:start w:val="1"/>
      <w:numFmt w:val="decimal"/>
      <w:lvlText w:val="4.%1"/>
      <w:lvlJc w:val="left"/>
      <w:pPr>
        <w:ind w:left="720" w:hanging="360"/>
      </w:pPr>
      <w:rPr>
        <w:rFonts w:ascii="Calibri" w:hAnsi="Calibri" w:hint="default"/>
        <w:b/>
        <w:i w:val="0"/>
        <w:sz w:val="24"/>
      </w:rPr>
    </w:lvl>
    <w:lvl w:ilvl="1" w:tplc="E836EEE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83344"/>
    <w:multiLevelType w:val="hybridMultilevel"/>
    <w:tmpl w:val="F58A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F67C9"/>
    <w:multiLevelType w:val="hybridMultilevel"/>
    <w:tmpl w:val="B8DA2D9A"/>
    <w:lvl w:ilvl="0" w:tplc="6D9EA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35801"/>
    <w:multiLevelType w:val="hybridMultilevel"/>
    <w:tmpl w:val="E5E4F45E"/>
    <w:lvl w:ilvl="0" w:tplc="E528BE70">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C7323B"/>
    <w:multiLevelType w:val="hybridMultilevel"/>
    <w:tmpl w:val="D4DCA41E"/>
    <w:lvl w:ilvl="0" w:tplc="A9581248">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86A73"/>
    <w:multiLevelType w:val="hybridMultilevel"/>
    <w:tmpl w:val="518CE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360481"/>
    <w:multiLevelType w:val="hybridMultilevel"/>
    <w:tmpl w:val="EF8EC0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15:restartNumberingAfterBreak="0">
    <w:nsid w:val="4FB93819"/>
    <w:multiLevelType w:val="hybridMultilevel"/>
    <w:tmpl w:val="ACCEE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E2123"/>
    <w:multiLevelType w:val="hybridMultilevel"/>
    <w:tmpl w:val="FEF45DAA"/>
    <w:lvl w:ilvl="0" w:tplc="E528BE70">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67363"/>
    <w:multiLevelType w:val="hybridMultilevel"/>
    <w:tmpl w:val="AE7E9BA8"/>
    <w:lvl w:ilvl="0" w:tplc="FB14DC72">
      <w:start w:val="1"/>
      <w:numFmt w:val="decimal"/>
      <w:lvlText w:val="2.%1"/>
      <w:lvlJc w:val="left"/>
      <w:pPr>
        <w:ind w:left="720" w:hanging="360"/>
      </w:pPr>
      <w:rPr>
        <w:rFonts w:ascii="Calibri Light" w:hAnsi="Calibri Light" w:hint="default"/>
        <w:b/>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40741A"/>
    <w:multiLevelType w:val="hybridMultilevel"/>
    <w:tmpl w:val="BDCCB55C"/>
    <w:lvl w:ilvl="0" w:tplc="8F842870">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0153EE"/>
    <w:multiLevelType w:val="hybridMultilevel"/>
    <w:tmpl w:val="4148C5FA"/>
    <w:lvl w:ilvl="0" w:tplc="A1083264">
      <w:start w:val="1"/>
      <w:numFmt w:val="upperRoman"/>
      <w:pStyle w:val="Heading1"/>
      <w:lvlText w:val="%1."/>
      <w:lvlJc w:val="left"/>
      <w:pPr>
        <w:ind w:left="360" w:hanging="360"/>
      </w:pPr>
      <w:rPr>
        <w:rFonts w:hint="default"/>
        <w:b w:val="0"/>
        <w:bCs w:val="0"/>
        <w:i w:val="0"/>
        <w:iCs w:val="0"/>
        <w:caps w:val="0"/>
        <w:smallCaps w:val="0"/>
        <w:strike w:val="0"/>
        <w:dstrike w:val="0"/>
        <w:noProof w:val="0"/>
        <w:vanish w:val="0"/>
        <w:color w:val="000000" w:themeColor="text1"/>
        <w:spacing w:val="0"/>
        <w:kern w:val="0"/>
        <w:position w:val="0"/>
        <w:sz w:val="28"/>
        <w:szCs w:val="28"/>
        <w:u w:val="none"/>
        <w:vertAlign w:val="baseline"/>
        <w:em w:val="none"/>
      </w:rPr>
    </w:lvl>
    <w:lvl w:ilvl="1" w:tplc="04090019">
      <w:start w:val="1"/>
      <w:numFmt w:val="lowerLetter"/>
      <w:pStyle w:val="Titre2b"/>
      <w:lvlText w:val="%2."/>
      <w:lvlJc w:val="left"/>
      <w:pPr>
        <w:ind w:left="1440" w:hanging="360"/>
      </w:pPr>
    </w:lvl>
    <w:lvl w:ilvl="2" w:tplc="0409001B" w:tentative="1">
      <w:start w:val="1"/>
      <w:numFmt w:val="lowerRoman"/>
      <w:pStyle w:val="Titre3b"/>
      <w:lvlText w:val="%3."/>
      <w:lvlJc w:val="right"/>
      <w:pPr>
        <w:ind w:left="2160" w:hanging="180"/>
      </w:pPr>
    </w:lvl>
    <w:lvl w:ilvl="3" w:tplc="0409000F" w:tentative="1">
      <w:start w:val="1"/>
      <w:numFmt w:val="decimal"/>
      <w:pStyle w:val="Titre4b"/>
      <w:lvlText w:val="%4."/>
      <w:lvlJc w:val="left"/>
      <w:pPr>
        <w:ind w:left="2880" w:hanging="360"/>
      </w:pPr>
    </w:lvl>
    <w:lvl w:ilvl="4" w:tplc="04090019" w:tentative="1">
      <w:start w:val="1"/>
      <w:numFmt w:val="lowerLetter"/>
      <w:pStyle w:val="Titre5b"/>
      <w:lvlText w:val="%5."/>
      <w:lvlJc w:val="left"/>
      <w:pPr>
        <w:ind w:left="3600" w:hanging="360"/>
      </w:pPr>
    </w:lvl>
    <w:lvl w:ilvl="5" w:tplc="0409001B" w:tentative="1">
      <w:start w:val="1"/>
      <w:numFmt w:val="lowerRoman"/>
      <w:pStyle w:val="Titre6b"/>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35001"/>
    <w:multiLevelType w:val="hybridMultilevel"/>
    <w:tmpl w:val="6546A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AE96DFF"/>
    <w:multiLevelType w:val="hybridMultilevel"/>
    <w:tmpl w:val="25244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1F4F52"/>
    <w:multiLevelType w:val="hybridMultilevel"/>
    <w:tmpl w:val="41445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C555FD7"/>
    <w:multiLevelType w:val="hybridMultilevel"/>
    <w:tmpl w:val="2064F7F6"/>
    <w:lvl w:ilvl="0" w:tplc="9716C0EC">
      <w:start w:val="1"/>
      <w:numFmt w:val="lowerRoman"/>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06EA2"/>
    <w:multiLevelType w:val="hybridMultilevel"/>
    <w:tmpl w:val="7018CA04"/>
    <w:lvl w:ilvl="0" w:tplc="04090001">
      <w:start w:val="1"/>
      <w:numFmt w:val="bullet"/>
      <w:lvlText w:val=""/>
      <w:lvlJc w:val="left"/>
      <w:pPr>
        <w:ind w:left="720" w:hanging="360"/>
      </w:pPr>
      <w:rPr>
        <w:rFonts w:ascii="Symbol" w:hAnsi="Symbol" w:hint="default"/>
      </w:rPr>
    </w:lvl>
    <w:lvl w:ilvl="1" w:tplc="6310CC6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2177DC"/>
    <w:multiLevelType w:val="hybridMultilevel"/>
    <w:tmpl w:val="054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E2B77"/>
    <w:multiLevelType w:val="hybridMultilevel"/>
    <w:tmpl w:val="59AA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85132"/>
    <w:multiLevelType w:val="hybridMultilevel"/>
    <w:tmpl w:val="7318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163CBD"/>
    <w:multiLevelType w:val="multilevel"/>
    <w:tmpl w:val="6C4E7C94"/>
    <w:lvl w:ilvl="0">
      <w:start w:val="1"/>
      <w:numFmt w:val="decimal"/>
      <w:lvlText w:val="%1."/>
      <w:lvlJc w:val="left"/>
      <w:pPr>
        <w:ind w:left="720" w:hanging="360"/>
      </w:pPr>
    </w:lvl>
    <w:lvl w:ilvl="1">
      <w:start w:val="1"/>
      <w:numFmt w:val="decimal"/>
      <w:lvlText w:val="3.%2"/>
      <w:lvlJc w:val="left"/>
      <w:pPr>
        <w:ind w:left="720" w:hanging="360"/>
      </w:pPr>
      <w:rPr>
        <w:rFonts w:ascii="Calibri Light" w:hAnsi="Calibri Light" w:hint="default"/>
        <w:b/>
        <w:i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F097A75"/>
    <w:multiLevelType w:val="hybridMultilevel"/>
    <w:tmpl w:val="72B03E10"/>
    <w:lvl w:ilvl="0" w:tplc="24A898B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835048"/>
    <w:multiLevelType w:val="hybridMultilevel"/>
    <w:tmpl w:val="5F582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3A7FE9"/>
    <w:multiLevelType w:val="hybridMultilevel"/>
    <w:tmpl w:val="F5F0B650"/>
    <w:lvl w:ilvl="0" w:tplc="3C5AB45A">
      <w:start w:val="1"/>
      <w:numFmt w:val="lowerRoman"/>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CC78A1A4">
      <w:start w:val="1"/>
      <w:numFmt w:val="bullet"/>
      <w:lvlText w:val="•"/>
      <w:lvlJc w:val="left"/>
      <w:pPr>
        <w:ind w:left="2790" w:hanging="720"/>
      </w:pPr>
      <w:rPr>
        <w:rFonts w:ascii="Calibri" w:eastAsiaTheme="minorEastAsia" w:hAnsi="Calibri" w:cs="Calibri"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73E6065C"/>
    <w:multiLevelType w:val="hybridMultilevel"/>
    <w:tmpl w:val="332A5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45E09A0"/>
    <w:multiLevelType w:val="hybridMultilevel"/>
    <w:tmpl w:val="C0AE6968"/>
    <w:lvl w:ilvl="0" w:tplc="B61A82E0">
      <w:numFmt w:val="bullet"/>
      <w:lvlText w:val="–"/>
      <w:lvlJc w:val="left"/>
      <w:pPr>
        <w:ind w:left="1980" w:hanging="360"/>
      </w:pPr>
      <w:rPr>
        <w:rFonts w:ascii="Calibri" w:eastAsiaTheme="minorHAnsi" w:hAnsi="Calibri" w:cs="Calibr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1" w15:restartNumberingAfterBreak="0">
    <w:nsid w:val="76DF21CC"/>
    <w:multiLevelType w:val="hybridMultilevel"/>
    <w:tmpl w:val="A84C0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FD1ACA"/>
    <w:multiLevelType w:val="hybridMultilevel"/>
    <w:tmpl w:val="334A01D6"/>
    <w:lvl w:ilvl="0" w:tplc="31420D00">
      <w:start w:val="1"/>
      <w:numFmt w:val="lowerLetter"/>
      <w:lvlText w:val="%1."/>
      <w:lvlJc w:val="left"/>
      <w:pPr>
        <w:ind w:left="720" w:hanging="360"/>
      </w:pPr>
      <w:rPr>
        <w:rFonts w:ascii="Calibri" w:hAnsi="Calibri" w:hint="default"/>
        <w:b w:val="0"/>
        <w:i w:val="0"/>
        <w:sz w:val="22"/>
      </w:rPr>
    </w:lvl>
    <w:lvl w:ilvl="1" w:tplc="F606FE4C">
      <w:start w:val="1"/>
      <w:numFmt w:val="lowerRoman"/>
      <w:lvlText w:val="%2)"/>
      <w:lvlJc w:val="left"/>
      <w:pPr>
        <w:ind w:left="1440" w:hanging="360"/>
      </w:pPr>
      <w:rPr>
        <w:rFonts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B0EDA"/>
    <w:multiLevelType w:val="hybridMultilevel"/>
    <w:tmpl w:val="E1FC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5C63BE"/>
    <w:multiLevelType w:val="hybridMultilevel"/>
    <w:tmpl w:val="6A34EC9C"/>
    <w:lvl w:ilvl="0" w:tplc="3B1E5AAC">
      <w:start w:val="1"/>
      <w:numFmt w:val="decimal"/>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1B44F9"/>
    <w:multiLevelType w:val="hybridMultilevel"/>
    <w:tmpl w:val="70B68C40"/>
    <w:lvl w:ilvl="0" w:tplc="04090001">
      <w:start w:val="1"/>
      <w:numFmt w:val="bullet"/>
      <w:lvlText w:val=""/>
      <w:lvlJc w:val="left"/>
      <w:pPr>
        <w:ind w:left="1620" w:hanging="360"/>
      </w:pPr>
      <w:rPr>
        <w:rFonts w:ascii="Symbol" w:hAnsi="Symbol" w:hint="default"/>
      </w:rPr>
    </w:lvl>
    <w:lvl w:ilvl="1" w:tplc="B61A82E0">
      <w:numFmt w:val="bullet"/>
      <w:lvlText w:val="–"/>
      <w:lvlJc w:val="left"/>
      <w:pPr>
        <w:ind w:left="2340" w:hanging="360"/>
      </w:pPr>
      <w:rPr>
        <w:rFonts w:ascii="Calibri" w:eastAsiaTheme="minorHAnsi"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15:restartNumberingAfterBreak="0">
    <w:nsid w:val="7DAB5837"/>
    <w:multiLevelType w:val="hybridMultilevel"/>
    <w:tmpl w:val="043A626C"/>
    <w:lvl w:ilvl="0" w:tplc="DEAC1E34">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BA0A32"/>
    <w:multiLevelType w:val="hybridMultilevel"/>
    <w:tmpl w:val="916C404A"/>
    <w:lvl w:ilvl="0" w:tplc="E8B4065A">
      <w:start w:val="1"/>
      <w:numFmt w:val="lowerRoman"/>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CC78A1A4">
      <w:start w:val="1"/>
      <w:numFmt w:val="bullet"/>
      <w:lvlText w:val="•"/>
      <w:lvlJc w:val="left"/>
      <w:pPr>
        <w:ind w:left="2790" w:hanging="720"/>
      </w:pPr>
      <w:rPr>
        <w:rFonts w:ascii="Calibri" w:eastAsiaTheme="minorEastAsia" w:hAnsi="Calibri" w:cs="Calibri"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76928032">
    <w:abstractNumId w:val="36"/>
  </w:num>
  <w:num w:numId="2" w16cid:durableId="1911428509">
    <w:abstractNumId w:val="45"/>
  </w:num>
  <w:num w:numId="3" w16cid:durableId="875771408">
    <w:abstractNumId w:val="4"/>
  </w:num>
  <w:num w:numId="4" w16cid:durableId="2005276320">
    <w:abstractNumId w:val="32"/>
  </w:num>
  <w:num w:numId="5" w16cid:durableId="15665109">
    <w:abstractNumId w:val="16"/>
  </w:num>
  <w:num w:numId="6" w16cid:durableId="1840580813">
    <w:abstractNumId w:val="17"/>
  </w:num>
  <w:num w:numId="7" w16cid:durableId="1539704232">
    <w:abstractNumId w:val="44"/>
  </w:num>
  <w:num w:numId="8" w16cid:durableId="858930643">
    <w:abstractNumId w:val="51"/>
  </w:num>
  <w:num w:numId="9" w16cid:durableId="1016036589">
    <w:abstractNumId w:val="42"/>
  </w:num>
  <w:num w:numId="10" w16cid:durableId="1212576075">
    <w:abstractNumId w:val="9"/>
  </w:num>
  <w:num w:numId="11" w16cid:durableId="495268480">
    <w:abstractNumId w:val="40"/>
  </w:num>
  <w:num w:numId="12" w16cid:durableId="98378761">
    <w:abstractNumId w:val="26"/>
  </w:num>
  <w:num w:numId="13" w16cid:durableId="528449169">
    <w:abstractNumId w:val="24"/>
  </w:num>
  <w:num w:numId="14" w16cid:durableId="157842909">
    <w:abstractNumId w:val="35"/>
  </w:num>
  <w:num w:numId="15" w16cid:durableId="1436172491">
    <w:abstractNumId w:val="25"/>
  </w:num>
  <w:num w:numId="16" w16cid:durableId="447773438">
    <w:abstractNumId w:val="2"/>
  </w:num>
  <w:num w:numId="17" w16cid:durableId="597718274">
    <w:abstractNumId w:val="55"/>
  </w:num>
  <w:num w:numId="18" w16cid:durableId="4095592">
    <w:abstractNumId w:val="50"/>
  </w:num>
  <w:num w:numId="19" w16cid:durableId="2009551985">
    <w:abstractNumId w:val="34"/>
  </w:num>
  <w:num w:numId="20" w16cid:durableId="2020890551">
    <w:abstractNumId w:val="27"/>
  </w:num>
  <w:num w:numId="21" w16cid:durableId="1766657817">
    <w:abstractNumId w:val="20"/>
  </w:num>
  <w:num w:numId="22" w16cid:durableId="255867834">
    <w:abstractNumId w:val="52"/>
  </w:num>
  <w:num w:numId="23" w16cid:durableId="2128809638">
    <w:abstractNumId w:val="29"/>
  </w:num>
  <w:num w:numId="24" w16cid:durableId="1729719952">
    <w:abstractNumId w:val="18"/>
  </w:num>
  <w:num w:numId="25" w16cid:durableId="316426356">
    <w:abstractNumId w:val="31"/>
  </w:num>
  <w:num w:numId="26" w16cid:durableId="480122873">
    <w:abstractNumId w:val="23"/>
  </w:num>
  <w:num w:numId="27" w16cid:durableId="1738894286">
    <w:abstractNumId w:val="3"/>
  </w:num>
  <w:num w:numId="28" w16cid:durableId="1047489555">
    <w:abstractNumId w:val="43"/>
  </w:num>
  <w:num w:numId="29" w16cid:durableId="1821967760">
    <w:abstractNumId w:val="53"/>
  </w:num>
  <w:num w:numId="30" w16cid:durableId="207105161">
    <w:abstractNumId w:val="22"/>
  </w:num>
  <w:num w:numId="31" w16cid:durableId="489712160">
    <w:abstractNumId w:val="10"/>
  </w:num>
  <w:num w:numId="32" w16cid:durableId="377362635">
    <w:abstractNumId w:val="30"/>
  </w:num>
  <w:num w:numId="33" w16cid:durableId="1505825027">
    <w:abstractNumId w:val="6"/>
  </w:num>
  <w:num w:numId="34" w16cid:durableId="1197037278">
    <w:abstractNumId w:val="15"/>
  </w:num>
  <w:num w:numId="35" w16cid:durableId="1425614691">
    <w:abstractNumId w:val="38"/>
  </w:num>
  <w:num w:numId="36" w16cid:durableId="1344817779">
    <w:abstractNumId w:val="47"/>
  </w:num>
  <w:num w:numId="37" w16cid:durableId="1235896390">
    <w:abstractNumId w:val="0"/>
  </w:num>
  <w:num w:numId="38" w16cid:durableId="574365329">
    <w:abstractNumId w:val="14"/>
  </w:num>
  <w:num w:numId="39" w16cid:durableId="419909711">
    <w:abstractNumId w:val="49"/>
  </w:num>
  <w:num w:numId="40" w16cid:durableId="930044715">
    <w:abstractNumId w:val="12"/>
  </w:num>
  <w:num w:numId="41" w16cid:durableId="92941859">
    <w:abstractNumId w:val="21"/>
  </w:num>
  <w:num w:numId="42" w16cid:durableId="668219653">
    <w:abstractNumId w:val="5"/>
  </w:num>
  <w:num w:numId="43" w16cid:durableId="2038388275">
    <w:abstractNumId w:val="8"/>
  </w:num>
  <w:num w:numId="44" w16cid:durableId="2065834683">
    <w:abstractNumId w:val="28"/>
  </w:num>
  <w:num w:numId="45" w16cid:durableId="453519920">
    <w:abstractNumId w:val="33"/>
  </w:num>
  <w:num w:numId="46" w16cid:durableId="2089189365">
    <w:abstractNumId w:val="46"/>
  </w:num>
  <w:num w:numId="47" w16cid:durableId="747532511">
    <w:abstractNumId w:val="11"/>
  </w:num>
  <w:num w:numId="48" w16cid:durableId="766199645">
    <w:abstractNumId w:val="39"/>
  </w:num>
  <w:num w:numId="49" w16cid:durableId="827599497">
    <w:abstractNumId w:val="37"/>
  </w:num>
  <w:num w:numId="50" w16cid:durableId="1680158924">
    <w:abstractNumId w:val="41"/>
  </w:num>
  <w:num w:numId="51" w16cid:durableId="626544477">
    <w:abstractNumId w:val="56"/>
  </w:num>
  <w:num w:numId="52" w16cid:durableId="627704106">
    <w:abstractNumId w:val="48"/>
  </w:num>
  <w:num w:numId="53" w16cid:durableId="920410320">
    <w:abstractNumId w:val="7"/>
  </w:num>
  <w:num w:numId="54" w16cid:durableId="445931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6374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4252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3259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55568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0988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7460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795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8857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918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70312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8260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74374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833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41269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0999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8586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85592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10433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16349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1305441">
    <w:abstractNumId w:val="13"/>
  </w:num>
  <w:num w:numId="75" w16cid:durableId="117141989">
    <w:abstractNumId w:val="57"/>
  </w:num>
  <w:num w:numId="76" w16cid:durableId="1562255607">
    <w:abstractNumId w:val="54"/>
  </w:num>
  <w:num w:numId="77" w16cid:durableId="1993682201">
    <w:abstractNumId w:val="19"/>
  </w:num>
  <w:num w:numId="78" w16cid:durableId="593132437">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B4"/>
    <w:rsid w:val="000007C6"/>
    <w:rsid w:val="00000FE4"/>
    <w:rsid w:val="000011E1"/>
    <w:rsid w:val="000015F9"/>
    <w:rsid w:val="000019DF"/>
    <w:rsid w:val="00001DA8"/>
    <w:rsid w:val="00001DFC"/>
    <w:rsid w:val="00001EEF"/>
    <w:rsid w:val="00002203"/>
    <w:rsid w:val="0000297E"/>
    <w:rsid w:val="0000312D"/>
    <w:rsid w:val="00003991"/>
    <w:rsid w:val="00003C79"/>
    <w:rsid w:val="00003F0B"/>
    <w:rsid w:val="00004CFE"/>
    <w:rsid w:val="0000501D"/>
    <w:rsid w:val="0000530C"/>
    <w:rsid w:val="000060E8"/>
    <w:rsid w:val="000061D2"/>
    <w:rsid w:val="00006A93"/>
    <w:rsid w:val="00006CAE"/>
    <w:rsid w:val="0000739D"/>
    <w:rsid w:val="00007834"/>
    <w:rsid w:val="00007847"/>
    <w:rsid w:val="00011F9B"/>
    <w:rsid w:val="00012322"/>
    <w:rsid w:val="00012DDE"/>
    <w:rsid w:val="00012FD5"/>
    <w:rsid w:val="0001339B"/>
    <w:rsid w:val="00013A05"/>
    <w:rsid w:val="00014063"/>
    <w:rsid w:val="000140EA"/>
    <w:rsid w:val="000141B9"/>
    <w:rsid w:val="00014308"/>
    <w:rsid w:val="00014486"/>
    <w:rsid w:val="00014988"/>
    <w:rsid w:val="00014AF7"/>
    <w:rsid w:val="00014E8C"/>
    <w:rsid w:val="000150AE"/>
    <w:rsid w:val="00016182"/>
    <w:rsid w:val="000166AE"/>
    <w:rsid w:val="00016A05"/>
    <w:rsid w:val="00020078"/>
    <w:rsid w:val="0002029C"/>
    <w:rsid w:val="00020375"/>
    <w:rsid w:val="0002072B"/>
    <w:rsid w:val="0002073C"/>
    <w:rsid w:val="00020CEC"/>
    <w:rsid w:val="00020ECC"/>
    <w:rsid w:val="000210DF"/>
    <w:rsid w:val="000219D4"/>
    <w:rsid w:val="000221D2"/>
    <w:rsid w:val="00022788"/>
    <w:rsid w:val="000230B6"/>
    <w:rsid w:val="0002361A"/>
    <w:rsid w:val="00023A4C"/>
    <w:rsid w:val="00023DCD"/>
    <w:rsid w:val="00024052"/>
    <w:rsid w:val="0002422F"/>
    <w:rsid w:val="000244B8"/>
    <w:rsid w:val="00024D37"/>
    <w:rsid w:val="00025097"/>
    <w:rsid w:val="000250F9"/>
    <w:rsid w:val="00025F89"/>
    <w:rsid w:val="000261DC"/>
    <w:rsid w:val="000261FA"/>
    <w:rsid w:val="0002627A"/>
    <w:rsid w:val="00026334"/>
    <w:rsid w:val="000264DD"/>
    <w:rsid w:val="00026620"/>
    <w:rsid w:val="0002669E"/>
    <w:rsid w:val="00026B2D"/>
    <w:rsid w:val="00027C8D"/>
    <w:rsid w:val="00027EF8"/>
    <w:rsid w:val="00030ACF"/>
    <w:rsid w:val="00030DDA"/>
    <w:rsid w:val="000331D8"/>
    <w:rsid w:val="00033FDE"/>
    <w:rsid w:val="000342F7"/>
    <w:rsid w:val="0003547D"/>
    <w:rsid w:val="00035842"/>
    <w:rsid w:val="00036101"/>
    <w:rsid w:val="0003629F"/>
    <w:rsid w:val="00036418"/>
    <w:rsid w:val="0003647C"/>
    <w:rsid w:val="000367E9"/>
    <w:rsid w:val="00036A7E"/>
    <w:rsid w:val="00036FE5"/>
    <w:rsid w:val="000378FE"/>
    <w:rsid w:val="00037BF1"/>
    <w:rsid w:val="00037FD3"/>
    <w:rsid w:val="00040387"/>
    <w:rsid w:val="00040C54"/>
    <w:rsid w:val="00040D14"/>
    <w:rsid w:val="00041012"/>
    <w:rsid w:val="0004124F"/>
    <w:rsid w:val="00041D12"/>
    <w:rsid w:val="00042218"/>
    <w:rsid w:val="0004231F"/>
    <w:rsid w:val="00042644"/>
    <w:rsid w:val="00042ECB"/>
    <w:rsid w:val="00042FC6"/>
    <w:rsid w:val="00043407"/>
    <w:rsid w:val="000436D0"/>
    <w:rsid w:val="000440A7"/>
    <w:rsid w:val="000452A8"/>
    <w:rsid w:val="00045405"/>
    <w:rsid w:val="00045F6E"/>
    <w:rsid w:val="000472C7"/>
    <w:rsid w:val="000476F6"/>
    <w:rsid w:val="00047878"/>
    <w:rsid w:val="000518B3"/>
    <w:rsid w:val="00051E2F"/>
    <w:rsid w:val="00052538"/>
    <w:rsid w:val="0005257E"/>
    <w:rsid w:val="00052B7C"/>
    <w:rsid w:val="00052BEA"/>
    <w:rsid w:val="000531DC"/>
    <w:rsid w:val="00053576"/>
    <w:rsid w:val="00053828"/>
    <w:rsid w:val="00054036"/>
    <w:rsid w:val="000541CE"/>
    <w:rsid w:val="00054F58"/>
    <w:rsid w:val="000552D2"/>
    <w:rsid w:val="00055712"/>
    <w:rsid w:val="00056A94"/>
    <w:rsid w:val="000573D5"/>
    <w:rsid w:val="00057B79"/>
    <w:rsid w:val="0006013E"/>
    <w:rsid w:val="0006050E"/>
    <w:rsid w:val="00060EAA"/>
    <w:rsid w:val="000614FB"/>
    <w:rsid w:val="0006155F"/>
    <w:rsid w:val="00061B44"/>
    <w:rsid w:val="00061B8D"/>
    <w:rsid w:val="0006245F"/>
    <w:rsid w:val="00064B85"/>
    <w:rsid w:val="00064D19"/>
    <w:rsid w:val="00064D38"/>
    <w:rsid w:val="00064F5A"/>
    <w:rsid w:val="00064FB4"/>
    <w:rsid w:val="00065291"/>
    <w:rsid w:val="0006576B"/>
    <w:rsid w:val="000657F5"/>
    <w:rsid w:val="00065EB4"/>
    <w:rsid w:val="000664DD"/>
    <w:rsid w:val="00066621"/>
    <w:rsid w:val="00066D57"/>
    <w:rsid w:val="00070019"/>
    <w:rsid w:val="00070D77"/>
    <w:rsid w:val="00070EFD"/>
    <w:rsid w:val="000710CC"/>
    <w:rsid w:val="00071920"/>
    <w:rsid w:val="00073D80"/>
    <w:rsid w:val="0007451E"/>
    <w:rsid w:val="000752A0"/>
    <w:rsid w:val="00075472"/>
    <w:rsid w:val="00075E38"/>
    <w:rsid w:val="00075F1F"/>
    <w:rsid w:val="00075FAF"/>
    <w:rsid w:val="0007605F"/>
    <w:rsid w:val="0007772E"/>
    <w:rsid w:val="00077B7C"/>
    <w:rsid w:val="0008004F"/>
    <w:rsid w:val="0008090B"/>
    <w:rsid w:val="00080B8C"/>
    <w:rsid w:val="00080CD8"/>
    <w:rsid w:val="00080E00"/>
    <w:rsid w:val="0008114A"/>
    <w:rsid w:val="00081783"/>
    <w:rsid w:val="000818C4"/>
    <w:rsid w:val="00081F05"/>
    <w:rsid w:val="00083114"/>
    <w:rsid w:val="00083CE2"/>
    <w:rsid w:val="000842DA"/>
    <w:rsid w:val="000852F7"/>
    <w:rsid w:val="00085333"/>
    <w:rsid w:val="00085365"/>
    <w:rsid w:val="00085670"/>
    <w:rsid w:val="000878A5"/>
    <w:rsid w:val="000879CF"/>
    <w:rsid w:val="00087CAD"/>
    <w:rsid w:val="00087CE6"/>
    <w:rsid w:val="00090320"/>
    <w:rsid w:val="0009080B"/>
    <w:rsid w:val="00090C32"/>
    <w:rsid w:val="00090C9C"/>
    <w:rsid w:val="00090E9F"/>
    <w:rsid w:val="00091135"/>
    <w:rsid w:val="0009133D"/>
    <w:rsid w:val="00092121"/>
    <w:rsid w:val="00093666"/>
    <w:rsid w:val="000937B8"/>
    <w:rsid w:val="00093E6A"/>
    <w:rsid w:val="0009430A"/>
    <w:rsid w:val="000944F0"/>
    <w:rsid w:val="00095464"/>
    <w:rsid w:val="00096AE7"/>
    <w:rsid w:val="0009728D"/>
    <w:rsid w:val="00097F4E"/>
    <w:rsid w:val="000A0331"/>
    <w:rsid w:val="000A05C7"/>
    <w:rsid w:val="000A1EC0"/>
    <w:rsid w:val="000A247C"/>
    <w:rsid w:val="000A2B32"/>
    <w:rsid w:val="000A356A"/>
    <w:rsid w:val="000A3F97"/>
    <w:rsid w:val="000A41A4"/>
    <w:rsid w:val="000A4526"/>
    <w:rsid w:val="000A4585"/>
    <w:rsid w:val="000A4C6F"/>
    <w:rsid w:val="000A5C0D"/>
    <w:rsid w:val="000A6043"/>
    <w:rsid w:val="000A65DA"/>
    <w:rsid w:val="000A733D"/>
    <w:rsid w:val="000B00EF"/>
    <w:rsid w:val="000B0EFF"/>
    <w:rsid w:val="000B130D"/>
    <w:rsid w:val="000B139D"/>
    <w:rsid w:val="000B140C"/>
    <w:rsid w:val="000B2388"/>
    <w:rsid w:val="000B2476"/>
    <w:rsid w:val="000B2AC7"/>
    <w:rsid w:val="000B2D8A"/>
    <w:rsid w:val="000B2EE9"/>
    <w:rsid w:val="000B3D55"/>
    <w:rsid w:val="000B5E5F"/>
    <w:rsid w:val="000B706E"/>
    <w:rsid w:val="000B79DC"/>
    <w:rsid w:val="000B7CE1"/>
    <w:rsid w:val="000C038F"/>
    <w:rsid w:val="000C0B17"/>
    <w:rsid w:val="000C1765"/>
    <w:rsid w:val="000C2D2E"/>
    <w:rsid w:val="000C36CA"/>
    <w:rsid w:val="000C46E6"/>
    <w:rsid w:val="000C4A11"/>
    <w:rsid w:val="000C501F"/>
    <w:rsid w:val="000C5A07"/>
    <w:rsid w:val="000C5CE2"/>
    <w:rsid w:val="000C6157"/>
    <w:rsid w:val="000C6918"/>
    <w:rsid w:val="000C77CF"/>
    <w:rsid w:val="000C7901"/>
    <w:rsid w:val="000D01AA"/>
    <w:rsid w:val="000D0427"/>
    <w:rsid w:val="000D1BEB"/>
    <w:rsid w:val="000D2F1F"/>
    <w:rsid w:val="000D3331"/>
    <w:rsid w:val="000D3518"/>
    <w:rsid w:val="000D374C"/>
    <w:rsid w:val="000D37CE"/>
    <w:rsid w:val="000D3A0E"/>
    <w:rsid w:val="000D3BBA"/>
    <w:rsid w:val="000D3D22"/>
    <w:rsid w:val="000D3EFF"/>
    <w:rsid w:val="000D414B"/>
    <w:rsid w:val="000D48A6"/>
    <w:rsid w:val="000D495A"/>
    <w:rsid w:val="000D4E53"/>
    <w:rsid w:val="000D5439"/>
    <w:rsid w:val="000D5548"/>
    <w:rsid w:val="000D5635"/>
    <w:rsid w:val="000D740F"/>
    <w:rsid w:val="000D7D41"/>
    <w:rsid w:val="000E057D"/>
    <w:rsid w:val="000E0EFA"/>
    <w:rsid w:val="000E159A"/>
    <w:rsid w:val="000E21A9"/>
    <w:rsid w:val="000E21CB"/>
    <w:rsid w:val="000E2E8D"/>
    <w:rsid w:val="000E3330"/>
    <w:rsid w:val="000E3B8B"/>
    <w:rsid w:val="000E3C0C"/>
    <w:rsid w:val="000E4070"/>
    <w:rsid w:val="000E4972"/>
    <w:rsid w:val="000E49FD"/>
    <w:rsid w:val="000E55D9"/>
    <w:rsid w:val="000E59D0"/>
    <w:rsid w:val="000E654F"/>
    <w:rsid w:val="000E670A"/>
    <w:rsid w:val="000E6D54"/>
    <w:rsid w:val="000E6DFD"/>
    <w:rsid w:val="000E70C3"/>
    <w:rsid w:val="000E7406"/>
    <w:rsid w:val="000F1866"/>
    <w:rsid w:val="000F1BB4"/>
    <w:rsid w:val="000F2353"/>
    <w:rsid w:val="000F2954"/>
    <w:rsid w:val="000F41D3"/>
    <w:rsid w:val="000F54C5"/>
    <w:rsid w:val="000F5535"/>
    <w:rsid w:val="000F64A7"/>
    <w:rsid w:val="000F6BD9"/>
    <w:rsid w:val="000F7FBA"/>
    <w:rsid w:val="00100691"/>
    <w:rsid w:val="0010099D"/>
    <w:rsid w:val="00100A25"/>
    <w:rsid w:val="001014E0"/>
    <w:rsid w:val="00103113"/>
    <w:rsid w:val="00103450"/>
    <w:rsid w:val="00103692"/>
    <w:rsid w:val="00104759"/>
    <w:rsid w:val="00104F0D"/>
    <w:rsid w:val="00105EBE"/>
    <w:rsid w:val="001064A2"/>
    <w:rsid w:val="001064BD"/>
    <w:rsid w:val="001069C4"/>
    <w:rsid w:val="00106EED"/>
    <w:rsid w:val="001073E6"/>
    <w:rsid w:val="001106D3"/>
    <w:rsid w:val="00110C73"/>
    <w:rsid w:val="00110DB9"/>
    <w:rsid w:val="0011171F"/>
    <w:rsid w:val="00111EA1"/>
    <w:rsid w:val="00112842"/>
    <w:rsid w:val="00113026"/>
    <w:rsid w:val="0011396B"/>
    <w:rsid w:val="001139FD"/>
    <w:rsid w:val="00113DE3"/>
    <w:rsid w:val="00114590"/>
    <w:rsid w:val="00114837"/>
    <w:rsid w:val="00114AC5"/>
    <w:rsid w:val="001159A9"/>
    <w:rsid w:val="001162EF"/>
    <w:rsid w:val="0011725F"/>
    <w:rsid w:val="001172C5"/>
    <w:rsid w:val="00117389"/>
    <w:rsid w:val="00117A9C"/>
    <w:rsid w:val="00117F1E"/>
    <w:rsid w:val="00120426"/>
    <w:rsid w:val="00120E30"/>
    <w:rsid w:val="00120FF9"/>
    <w:rsid w:val="00121051"/>
    <w:rsid w:val="00121ABF"/>
    <w:rsid w:val="00121B59"/>
    <w:rsid w:val="00121C9C"/>
    <w:rsid w:val="00122128"/>
    <w:rsid w:val="00123200"/>
    <w:rsid w:val="001232E3"/>
    <w:rsid w:val="00123368"/>
    <w:rsid w:val="00123427"/>
    <w:rsid w:val="001234F8"/>
    <w:rsid w:val="00123EFE"/>
    <w:rsid w:val="00124319"/>
    <w:rsid w:val="00124622"/>
    <w:rsid w:val="00124AEB"/>
    <w:rsid w:val="00124DE4"/>
    <w:rsid w:val="0012617D"/>
    <w:rsid w:val="00126310"/>
    <w:rsid w:val="00126A00"/>
    <w:rsid w:val="00126BE1"/>
    <w:rsid w:val="00127036"/>
    <w:rsid w:val="001273F4"/>
    <w:rsid w:val="00127615"/>
    <w:rsid w:val="0012799A"/>
    <w:rsid w:val="00127B8B"/>
    <w:rsid w:val="00127C5C"/>
    <w:rsid w:val="00127F60"/>
    <w:rsid w:val="00130728"/>
    <w:rsid w:val="00130993"/>
    <w:rsid w:val="00130C35"/>
    <w:rsid w:val="001310CE"/>
    <w:rsid w:val="001311C2"/>
    <w:rsid w:val="00131C51"/>
    <w:rsid w:val="00131C75"/>
    <w:rsid w:val="00132061"/>
    <w:rsid w:val="00133B49"/>
    <w:rsid w:val="00133CD6"/>
    <w:rsid w:val="00133D03"/>
    <w:rsid w:val="00133D10"/>
    <w:rsid w:val="00133DB3"/>
    <w:rsid w:val="00134F4E"/>
    <w:rsid w:val="0013533A"/>
    <w:rsid w:val="001353C1"/>
    <w:rsid w:val="00135A02"/>
    <w:rsid w:val="00135D1B"/>
    <w:rsid w:val="00136759"/>
    <w:rsid w:val="00136BD5"/>
    <w:rsid w:val="00136C07"/>
    <w:rsid w:val="00136D93"/>
    <w:rsid w:val="00136DB2"/>
    <w:rsid w:val="0014082B"/>
    <w:rsid w:val="001409CA"/>
    <w:rsid w:val="00141053"/>
    <w:rsid w:val="0014107B"/>
    <w:rsid w:val="00141CCD"/>
    <w:rsid w:val="00141F52"/>
    <w:rsid w:val="0014208C"/>
    <w:rsid w:val="001422EA"/>
    <w:rsid w:val="0014255A"/>
    <w:rsid w:val="0014337D"/>
    <w:rsid w:val="00143404"/>
    <w:rsid w:val="00143661"/>
    <w:rsid w:val="00143945"/>
    <w:rsid w:val="00143AD4"/>
    <w:rsid w:val="00144BA9"/>
    <w:rsid w:val="001451E3"/>
    <w:rsid w:val="001452BE"/>
    <w:rsid w:val="00145A21"/>
    <w:rsid w:val="00146B71"/>
    <w:rsid w:val="00147729"/>
    <w:rsid w:val="001501E9"/>
    <w:rsid w:val="0015066E"/>
    <w:rsid w:val="001507F1"/>
    <w:rsid w:val="00150885"/>
    <w:rsid w:val="00151577"/>
    <w:rsid w:val="001517EF"/>
    <w:rsid w:val="0015241E"/>
    <w:rsid w:val="0015265A"/>
    <w:rsid w:val="001527CC"/>
    <w:rsid w:val="00152F9B"/>
    <w:rsid w:val="00153123"/>
    <w:rsid w:val="00153ADA"/>
    <w:rsid w:val="001543D2"/>
    <w:rsid w:val="0015441E"/>
    <w:rsid w:val="0015459A"/>
    <w:rsid w:val="00154EA4"/>
    <w:rsid w:val="00154EBA"/>
    <w:rsid w:val="00155538"/>
    <w:rsid w:val="00155BF5"/>
    <w:rsid w:val="00156276"/>
    <w:rsid w:val="001567CD"/>
    <w:rsid w:val="001570D3"/>
    <w:rsid w:val="001573A3"/>
    <w:rsid w:val="00157675"/>
    <w:rsid w:val="00157D26"/>
    <w:rsid w:val="0016060A"/>
    <w:rsid w:val="00160EC0"/>
    <w:rsid w:val="00161279"/>
    <w:rsid w:val="001614F9"/>
    <w:rsid w:val="00161652"/>
    <w:rsid w:val="00161FBC"/>
    <w:rsid w:val="00161FC0"/>
    <w:rsid w:val="001626DA"/>
    <w:rsid w:val="001630F7"/>
    <w:rsid w:val="001631FD"/>
    <w:rsid w:val="001633CA"/>
    <w:rsid w:val="0016403D"/>
    <w:rsid w:val="00164277"/>
    <w:rsid w:val="001642F7"/>
    <w:rsid w:val="001656A1"/>
    <w:rsid w:val="0016618B"/>
    <w:rsid w:val="001674E2"/>
    <w:rsid w:val="0016755A"/>
    <w:rsid w:val="00167568"/>
    <w:rsid w:val="001676EA"/>
    <w:rsid w:val="00170B4B"/>
    <w:rsid w:val="00170D2A"/>
    <w:rsid w:val="001711D5"/>
    <w:rsid w:val="00171A64"/>
    <w:rsid w:val="00171EBC"/>
    <w:rsid w:val="00172224"/>
    <w:rsid w:val="00172507"/>
    <w:rsid w:val="00172ECA"/>
    <w:rsid w:val="00173636"/>
    <w:rsid w:val="0017409A"/>
    <w:rsid w:val="0017441A"/>
    <w:rsid w:val="001754FA"/>
    <w:rsid w:val="00175736"/>
    <w:rsid w:val="00175C12"/>
    <w:rsid w:val="00176985"/>
    <w:rsid w:val="0017726B"/>
    <w:rsid w:val="001773B8"/>
    <w:rsid w:val="001778E1"/>
    <w:rsid w:val="00177C8D"/>
    <w:rsid w:val="00177DE3"/>
    <w:rsid w:val="0018155D"/>
    <w:rsid w:val="0018274F"/>
    <w:rsid w:val="0018328B"/>
    <w:rsid w:val="001834B5"/>
    <w:rsid w:val="00183C58"/>
    <w:rsid w:val="001846D8"/>
    <w:rsid w:val="001855C0"/>
    <w:rsid w:val="00185814"/>
    <w:rsid w:val="00186643"/>
    <w:rsid w:val="001866CF"/>
    <w:rsid w:val="001870B1"/>
    <w:rsid w:val="001871FE"/>
    <w:rsid w:val="00187A2D"/>
    <w:rsid w:val="001900BE"/>
    <w:rsid w:val="001905F1"/>
    <w:rsid w:val="00190B29"/>
    <w:rsid w:val="00190C08"/>
    <w:rsid w:val="00191A26"/>
    <w:rsid w:val="00191B6B"/>
    <w:rsid w:val="00191D61"/>
    <w:rsid w:val="00191DE9"/>
    <w:rsid w:val="00192E69"/>
    <w:rsid w:val="001931E6"/>
    <w:rsid w:val="00194301"/>
    <w:rsid w:val="001943F9"/>
    <w:rsid w:val="001949B5"/>
    <w:rsid w:val="001960B6"/>
    <w:rsid w:val="00196A50"/>
    <w:rsid w:val="00197067"/>
    <w:rsid w:val="001970F2"/>
    <w:rsid w:val="00197BC3"/>
    <w:rsid w:val="00197C66"/>
    <w:rsid w:val="001A0C74"/>
    <w:rsid w:val="001A0E72"/>
    <w:rsid w:val="001A13AC"/>
    <w:rsid w:val="001A183C"/>
    <w:rsid w:val="001A1A70"/>
    <w:rsid w:val="001A1D73"/>
    <w:rsid w:val="001A1F79"/>
    <w:rsid w:val="001A2205"/>
    <w:rsid w:val="001A2689"/>
    <w:rsid w:val="001A2D18"/>
    <w:rsid w:val="001A3C49"/>
    <w:rsid w:val="001A3D09"/>
    <w:rsid w:val="001A4233"/>
    <w:rsid w:val="001A456B"/>
    <w:rsid w:val="001A4ACC"/>
    <w:rsid w:val="001A4B2C"/>
    <w:rsid w:val="001A5D9C"/>
    <w:rsid w:val="001A65A6"/>
    <w:rsid w:val="001A6851"/>
    <w:rsid w:val="001A6D60"/>
    <w:rsid w:val="001A79AE"/>
    <w:rsid w:val="001B033C"/>
    <w:rsid w:val="001B0397"/>
    <w:rsid w:val="001B0ADC"/>
    <w:rsid w:val="001B18D6"/>
    <w:rsid w:val="001B2102"/>
    <w:rsid w:val="001B34ED"/>
    <w:rsid w:val="001B35CB"/>
    <w:rsid w:val="001B3F8B"/>
    <w:rsid w:val="001B4827"/>
    <w:rsid w:val="001B4DE6"/>
    <w:rsid w:val="001B5D54"/>
    <w:rsid w:val="001B608F"/>
    <w:rsid w:val="001B6E50"/>
    <w:rsid w:val="001B7224"/>
    <w:rsid w:val="001B7CA2"/>
    <w:rsid w:val="001C05E1"/>
    <w:rsid w:val="001C10E6"/>
    <w:rsid w:val="001C12B6"/>
    <w:rsid w:val="001C1A4B"/>
    <w:rsid w:val="001C1B1E"/>
    <w:rsid w:val="001C2217"/>
    <w:rsid w:val="001C38AF"/>
    <w:rsid w:val="001C3D63"/>
    <w:rsid w:val="001C3F26"/>
    <w:rsid w:val="001C3F71"/>
    <w:rsid w:val="001C40E6"/>
    <w:rsid w:val="001C431E"/>
    <w:rsid w:val="001C492E"/>
    <w:rsid w:val="001C4943"/>
    <w:rsid w:val="001C4A58"/>
    <w:rsid w:val="001C4F1B"/>
    <w:rsid w:val="001C5720"/>
    <w:rsid w:val="001C5C4C"/>
    <w:rsid w:val="001C5F95"/>
    <w:rsid w:val="001C6615"/>
    <w:rsid w:val="001C6F44"/>
    <w:rsid w:val="001C710C"/>
    <w:rsid w:val="001C73E5"/>
    <w:rsid w:val="001C76D3"/>
    <w:rsid w:val="001D0A05"/>
    <w:rsid w:val="001D10B4"/>
    <w:rsid w:val="001D1482"/>
    <w:rsid w:val="001D1622"/>
    <w:rsid w:val="001D1C44"/>
    <w:rsid w:val="001D246B"/>
    <w:rsid w:val="001D3040"/>
    <w:rsid w:val="001D439C"/>
    <w:rsid w:val="001D44B9"/>
    <w:rsid w:val="001D4A01"/>
    <w:rsid w:val="001D56D8"/>
    <w:rsid w:val="001D5795"/>
    <w:rsid w:val="001D5FC1"/>
    <w:rsid w:val="001D6057"/>
    <w:rsid w:val="001D61D3"/>
    <w:rsid w:val="001D6319"/>
    <w:rsid w:val="001D6DE2"/>
    <w:rsid w:val="001D6E68"/>
    <w:rsid w:val="001D7230"/>
    <w:rsid w:val="001D7284"/>
    <w:rsid w:val="001D73B7"/>
    <w:rsid w:val="001D76DF"/>
    <w:rsid w:val="001D77B3"/>
    <w:rsid w:val="001D7979"/>
    <w:rsid w:val="001D7D85"/>
    <w:rsid w:val="001E0046"/>
    <w:rsid w:val="001E08F8"/>
    <w:rsid w:val="001E0E3A"/>
    <w:rsid w:val="001E1548"/>
    <w:rsid w:val="001E164F"/>
    <w:rsid w:val="001E17DC"/>
    <w:rsid w:val="001E1D13"/>
    <w:rsid w:val="001E1DB4"/>
    <w:rsid w:val="001E2906"/>
    <w:rsid w:val="001E2991"/>
    <w:rsid w:val="001E3276"/>
    <w:rsid w:val="001E38F2"/>
    <w:rsid w:val="001E42B8"/>
    <w:rsid w:val="001E4996"/>
    <w:rsid w:val="001E4E04"/>
    <w:rsid w:val="001E50B1"/>
    <w:rsid w:val="001E69EE"/>
    <w:rsid w:val="001E6CB7"/>
    <w:rsid w:val="001E7374"/>
    <w:rsid w:val="001F076E"/>
    <w:rsid w:val="001F0B88"/>
    <w:rsid w:val="001F0E8F"/>
    <w:rsid w:val="001F1A5C"/>
    <w:rsid w:val="001F24C8"/>
    <w:rsid w:val="001F35D7"/>
    <w:rsid w:val="001F46ED"/>
    <w:rsid w:val="001F4E49"/>
    <w:rsid w:val="001F4E67"/>
    <w:rsid w:val="001F4F4A"/>
    <w:rsid w:val="001F5FE1"/>
    <w:rsid w:val="001F64B0"/>
    <w:rsid w:val="001F66D6"/>
    <w:rsid w:val="001F6AEC"/>
    <w:rsid w:val="001F72D8"/>
    <w:rsid w:val="002003F4"/>
    <w:rsid w:val="0020052D"/>
    <w:rsid w:val="0020054F"/>
    <w:rsid w:val="00200579"/>
    <w:rsid w:val="00201603"/>
    <w:rsid w:val="00201935"/>
    <w:rsid w:val="00201CC7"/>
    <w:rsid w:val="00201F69"/>
    <w:rsid w:val="00202D49"/>
    <w:rsid w:val="00203BF9"/>
    <w:rsid w:val="00203E7E"/>
    <w:rsid w:val="0020419E"/>
    <w:rsid w:val="00204355"/>
    <w:rsid w:val="00204534"/>
    <w:rsid w:val="00204777"/>
    <w:rsid w:val="00204EC7"/>
    <w:rsid w:val="002053BB"/>
    <w:rsid w:val="00207234"/>
    <w:rsid w:val="00207C7F"/>
    <w:rsid w:val="00207F21"/>
    <w:rsid w:val="00210A3F"/>
    <w:rsid w:val="00210A9A"/>
    <w:rsid w:val="00211038"/>
    <w:rsid w:val="00211116"/>
    <w:rsid w:val="00211B6F"/>
    <w:rsid w:val="0021232D"/>
    <w:rsid w:val="002123A0"/>
    <w:rsid w:val="00212542"/>
    <w:rsid w:val="00213898"/>
    <w:rsid w:val="00214ADB"/>
    <w:rsid w:val="002153F2"/>
    <w:rsid w:val="00215991"/>
    <w:rsid w:val="00215FE8"/>
    <w:rsid w:val="00216426"/>
    <w:rsid w:val="00216AB5"/>
    <w:rsid w:val="0021704A"/>
    <w:rsid w:val="002175C0"/>
    <w:rsid w:val="00217AF0"/>
    <w:rsid w:val="00217EE6"/>
    <w:rsid w:val="002203DB"/>
    <w:rsid w:val="00220D42"/>
    <w:rsid w:val="00220ED8"/>
    <w:rsid w:val="002216FD"/>
    <w:rsid w:val="002219A5"/>
    <w:rsid w:val="00222F48"/>
    <w:rsid w:val="002238B3"/>
    <w:rsid w:val="002238BD"/>
    <w:rsid w:val="00223934"/>
    <w:rsid w:val="00223DBF"/>
    <w:rsid w:val="00224529"/>
    <w:rsid w:val="00224935"/>
    <w:rsid w:val="00225035"/>
    <w:rsid w:val="0022538F"/>
    <w:rsid w:val="002256DE"/>
    <w:rsid w:val="0022589F"/>
    <w:rsid w:val="00226AA0"/>
    <w:rsid w:val="00230275"/>
    <w:rsid w:val="00230902"/>
    <w:rsid w:val="0023097D"/>
    <w:rsid w:val="00230E3C"/>
    <w:rsid w:val="00230EC2"/>
    <w:rsid w:val="00231455"/>
    <w:rsid w:val="002314E0"/>
    <w:rsid w:val="00232A33"/>
    <w:rsid w:val="002333E6"/>
    <w:rsid w:val="00233701"/>
    <w:rsid w:val="00233B2F"/>
    <w:rsid w:val="00233D5C"/>
    <w:rsid w:val="002344C7"/>
    <w:rsid w:val="00234676"/>
    <w:rsid w:val="00234987"/>
    <w:rsid w:val="00234A76"/>
    <w:rsid w:val="00234CD8"/>
    <w:rsid w:val="00234EA4"/>
    <w:rsid w:val="00234EC9"/>
    <w:rsid w:val="00234F04"/>
    <w:rsid w:val="0023528F"/>
    <w:rsid w:val="002356CF"/>
    <w:rsid w:val="00235986"/>
    <w:rsid w:val="00236BD0"/>
    <w:rsid w:val="002370E6"/>
    <w:rsid w:val="00237506"/>
    <w:rsid w:val="00237FAB"/>
    <w:rsid w:val="002404CB"/>
    <w:rsid w:val="002409CB"/>
    <w:rsid w:val="00240BEF"/>
    <w:rsid w:val="00240C34"/>
    <w:rsid w:val="00240FFE"/>
    <w:rsid w:val="0024156D"/>
    <w:rsid w:val="00241A60"/>
    <w:rsid w:val="00241AFE"/>
    <w:rsid w:val="002420A2"/>
    <w:rsid w:val="0024213A"/>
    <w:rsid w:val="002431E8"/>
    <w:rsid w:val="00243201"/>
    <w:rsid w:val="002432DA"/>
    <w:rsid w:val="00243661"/>
    <w:rsid w:val="00243E2D"/>
    <w:rsid w:val="0024433F"/>
    <w:rsid w:val="00244D72"/>
    <w:rsid w:val="0024553C"/>
    <w:rsid w:val="00245755"/>
    <w:rsid w:val="00245CE6"/>
    <w:rsid w:val="00246255"/>
    <w:rsid w:val="00246523"/>
    <w:rsid w:val="00247409"/>
    <w:rsid w:val="00251237"/>
    <w:rsid w:val="00251287"/>
    <w:rsid w:val="0025185D"/>
    <w:rsid w:val="0025202D"/>
    <w:rsid w:val="00252A1D"/>
    <w:rsid w:val="00252CC5"/>
    <w:rsid w:val="00252DF1"/>
    <w:rsid w:val="00253185"/>
    <w:rsid w:val="002538C6"/>
    <w:rsid w:val="002538CB"/>
    <w:rsid w:val="00253B9A"/>
    <w:rsid w:val="00253F5E"/>
    <w:rsid w:val="002540B8"/>
    <w:rsid w:val="0025416A"/>
    <w:rsid w:val="00254851"/>
    <w:rsid w:val="00254ED3"/>
    <w:rsid w:val="002559BD"/>
    <w:rsid w:val="00255AFB"/>
    <w:rsid w:val="00256DAD"/>
    <w:rsid w:val="00256DB6"/>
    <w:rsid w:val="002574B9"/>
    <w:rsid w:val="0026007D"/>
    <w:rsid w:val="002600B9"/>
    <w:rsid w:val="0026081A"/>
    <w:rsid w:val="00260B9C"/>
    <w:rsid w:val="00261199"/>
    <w:rsid w:val="002615FE"/>
    <w:rsid w:val="00261A0F"/>
    <w:rsid w:val="0026221B"/>
    <w:rsid w:val="00262609"/>
    <w:rsid w:val="002629BD"/>
    <w:rsid w:val="002635D9"/>
    <w:rsid w:val="002635E1"/>
    <w:rsid w:val="00263964"/>
    <w:rsid w:val="002639B8"/>
    <w:rsid w:val="00264303"/>
    <w:rsid w:val="00264470"/>
    <w:rsid w:val="0026482C"/>
    <w:rsid w:val="002653FD"/>
    <w:rsid w:val="00265625"/>
    <w:rsid w:val="00265678"/>
    <w:rsid w:val="0026576D"/>
    <w:rsid w:val="00265C6B"/>
    <w:rsid w:val="00265CE2"/>
    <w:rsid w:val="00265F26"/>
    <w:rsid w:val="0026688B"/>
    <w:rsid w:val="00266E96"/>
    <w:rsid w:val="00266F71"/>
    <w:rsid w:val="002675EB"/>
    <w:rsid w:val="0026766E"/>
    <w:rsid w:val="00267703"/>
    <w:rsid w:val="0026784C"/>
    <w:rsid w:val="00267978"/>
    <w:rsid w:val="00267C4A"/>
    <w:rsid w:val="00270397"/>
    <w:rsid w:val="00270620"/>
    <w:rsid w:val="0027095B"/>
    <w:rsid w:val="002714F4"/>
    <w:rsid w:val="002719FB"/>
    <w:rsid w:val="00271A24"/>
    <w:rsid w:val="00272053"/>
    <w:rsid w:val="00273636"/>
    <w:rsid w:val="00273A07"/>
    <w:rsid w:val="00273FE6"/>
    <w:rsid w:val="00274495"/>
    <w:rsid w:val="0027463D"/>
    <w:rsid w:val="002748A7"/>
    <w:rsid w:val="00275971"/>
    <w:rsid w:val="00276728"/>
    <w:rsid w:val="002768C1"/>
    <w:rsid w:val="00276C7C"/>
    <w:rsid w:val="00277ADF"/>
    <w:rsid w:val="00277B4F"/>
    <w:rsid w:val="00277C94"/>
    <w:rsid w:val="00280BC1"/>
    <w:rsid w:val="00282368"/>
    <w:rsid w:val="0028279D"/>
    <w:rsid w:val="002828D3"/>
    <w:rsid w:val="00283203"/>
    <w:rsid w:val="00283380"/>
    <w:rsid w:val="002836D1"/>
    <w:rsid w:val="00284E92"/>
    <w:rsid w:val="00285B5C"/>
    <w:rsid w:val="002864A1"/>
    <w:rsid w:val="00287543"/>
    <w:rsid w:val="00287FB4"/>
    <w:rsid w:val="00290CF5"/>
    <w:rsid w:val="00291A1A"/>
    <w:rsid w:val="002925B1"/>
    <w:rsid w:val="00292CC2"/>
    <w:rsid w:val="00292F12"/>
    <w:rsid w:val="002935A3"/>
    <w:rsid w:val="00293699"/>
    <w:rsid w:val="00294284"/>
    <w:rsid w:val="0029460E"/>
    <w:rsid w:val="00295647"/>
    <w:rsid w:val="002965EA"/>
    <w:rsid w:val="002A0090"/>
    <w:rsid w:val="002A0618"/>
    <w:rsid w:val="002A0725"/>
    <w:rsid w:val="002A08B2"/>
    <w:rsid w:val="002A10E9"/>
    <w:rsid w:val="002A1727"/>
    <w:rsid w:val="002A1EA6"/>
    <w:rsid w:val="002A1F00"/>
    <w:rsid w:val="002A29F8"/>
    <w:rsid w:val="002A2B8C"/>
    <w:rsid w:val="002A31CD"/>
    <w:rsid w:val="002A353C"/>
    <w:rsid w:val="002A395B"/>
    <w:rsid w:val="002A3AA4"/>
    <w:rsid w:val="002A3D69"/>
    <w:rsid w:val="002A465C"/>
    <w:rsid w:val="002A4E49"/>
    <w:rsid w:val="002A4F48"/>
    <w:rsid w:val="002A5F16"/>
    <w:rsid w:val="002A6810"/>
    <w:rsid w:val="002A6BB6"/>
    <w:rsid w:val="002A6E2D"/>
    <w:rsid w:val="002A7698"/>
    <w:rsid w:val="002B0751"/>
    <w:rsid w:val="002B0CCF"/>
    <w:rsid w:val="002B0EF7"/>
    <w:rsid w:val="002B10F7"/>
    <w:rsid w:val="002B170F"/>
    <w:rsid w:val="002B1938"/>
    <w:rsid w:val="002B2462"/>
    <w:rsid w:val="002B288D"/>
    <w:rsid w:val="002B325A"/>
    <w:rsid w:val="002B332C"/>
    <w:rsid w:val="002B3C18"/>
    <w:rsid w:val="002B419C"/>
    <w:rsid w:val="002B4A4B"/>
    <w:rsid w:val="002B4BD1"/>
    <w:rsid w:val="002B4EF0"/>
    <w:rsid w:val="002B514B"/>
    <w:rsid w:val="002B5307"/>
    <w:rsid w:val="002B55C4"/>
    <w:rsid w:val="002B565D"/>
    <w:rsid w:val="002B5820"/>
    <w:rsid w:val="002B5F62"/>
    <w:rsid w:val="002B6609"/>
    <w:rsid w:val="002B67D7"/>
    <w:rsid w:val="002B6844"/>
    <w:rsid w:val="002B76E2"/>
    <w:rsid w:val="002C0598"/>
    <w:rsid w:val="002C05BB"/>
    <w:rsid w:val="002C1676"/>
    <w:rsid w:val="002C1804"/>
    <w:rsid w:val="002C195B"/>
    <w:rsid w:val="002C20ED"/>
    <w:rsid w:val="002C21D1"/>
    <w:rsid w:val="002C3084"/>
    <w:rsid w:val="002C3FDA"/>
    <w:rsid w:val="002C4043"/>
    <w:rsid w:val="002C45F9"/>
    <w:rsid w:val="002C4AAD"/>
    <w:rsid w:val="002C4C2F"/>
    <w:rsid w:val="002C5280"/>
    <w:rsid w:val="002C5AE1"/>
    <w:rsid w:val="002C5B20"/>
    <w:rsid w:val="002C6938"/>
    <w:rsid w:val="002C704B"/>
    <w:rsid w:val="002C707D"/>
    <w:rsid w:val="002C73FC"/>
    <w:rsid w:val="002C75F0"/>
    <w:rsid w:val="002C7787"/>
    <w:rsid w:val="002D008E"/>
    <w:rsid w:val="002D0E7B"/>
    <w:rsid w:val="002D2A72"/>
    <w:rsid w:val="002D2B3F"/>
    <w:rsid w:val="002D2C3E"/>
    <w:rsid w:val="002D312E"/>
    <w:rsid w:val="002D46EA"/>
    <w:rsid w:val="002D49F9"/>
    <w:rsid w:val="002D4A6F"/>
    <w:rsid w:val="002D5390"/>
    <w:rsid w:val="002D555B"/>
    <w:rsid w:val="002D56BF"/>
    <w:rsid w:val="002D5E47"/>
    <w:rsid w:val="002D65EB"/>
    <w:rsid w:val="002D7C6F"/>
    <w:rsid w:val="002E0528"/>
    <w:rsid w:val="002E119F"/>
    <w:rsid w:val="002E1318"/>
    <w:rsid w:val="002E13C7"/>
    <w:rsid w:val="002E19D9"/>
    <w:rsid w:val="002E1D3A"/>
    <w:rsid w:val="002E2E56"/>
    <w:rsid w:val="002E3574"/>
    <w:rsid w:val="002E35FD"/>
    <w:rsid w:val="002E4496"/>
    <w:rsid w:val="002E525F"/>
    <w:rsid w:val="002E5759"/>
    <w:rsid w:val="002E7913"/>
    <w:rsid w:val="002E791A"/>
    <w:rsid w:val="002E79C7"/>
    <w:rsid w:val="002E7AF4"/>
    <w:rsid w:val="002F0238"/>
    <w:rsid w:val="002F0430"/>
    <w:rsid w:val="002F1140"/>
    <w:rsid w:val="002F122A"/>
    <w:rsid w:val="002F1472"/>
    <w:rsid w:val="002F1ACB"/>
    <w:rsid w:val="002F20DE"/>
    <w:rsid w:val="002F2143"/>
    <w:rsid w:val="002F2C99"/>
    <w:rsid w:val="002F2E97"/>
    <w:rsid w:val="002F2EB1"/>
    <w:rsid w:val="002F38F3"/>
    <w:rsid w:val="002F3CEA"/>
    <w:rsid w:val="002F4A34"/>
    <w:rsid w:val="002F65B1"/>
    <w:rsid w:val="002F685C"/>
    <w:rsid w:val="002F6ECC"/>
    <w:rsid w:val="002F751F"/>
    <w:rsid w:val="002F7F9D"/>
    <w:rsid w:val="00300258"/>
    <w:rsid w:val="00300645"/>
    <w:rsid w:val="0030093E"/>
    <w:rsid w:val="003009A8"/>
    <w:rsid w:val="00302085"/>
    <w:rsid w:val="003023B3"/>
    <w:rsid w:val="00303337"/>
    <w:rsid w:val="003035E0"/>
    <w:rsid w:val="00303705"/>
    <w:rsid w:val="00303748"/>
    <w:rsid w:val="003046F8"/>
    <w:rsid w:val="00304D06"/>
    <w:rsid w:val="00304D68"/>
    <w:rsid w:val="0030701B"/>
    <w:rsid w:val="003075E0"/>
    <w:rsid w:val="003104DB"/>
    <w:rsid w:val="00310D5A"/>
    <w:rsid w:val="003118E6"/>
    <w:rsid w:val="00312272"/>
    <w:rsid w:val="00312305"/>
    <w:rsid w:val="0031262E"/>
    <w:rsid w:val="00312817"/>
    <w:rsid w:val="00312BF5"/>
    <w:rsid w:val="00312CD5"/>
    <w:rsid w:val="003138D1"/>
    <w:rsid w:val="00313936"/>
    <w:rsid w:val="00314566"/>
    <w:rsid w:val="0031459A"/>
    <w:rsid w:val="003148D3"/>
    <w:rsid w:val="00314951"/>
    <w:rsid w:val="00314EF9"/>
    <w:rsid w:val="003154A0"/>
    <w:rsid w:val="00315E68"/>
    <w:rsid w:val="003165B0"/>
    <w:rsid w:val="003168F3"/>
    <w:rsid w:val="00316DFC"/>
    <w:rsid w:val="00320FBF"/>
    <w:rsid w:val="003216B7"/>
    <w:rsid w:val="00321EBF"/>
    <w:rsid w:val="00321ED7"/>
    <w:rsid w:val="00322346"/>
    <w:rsid w:val="00322C32"/>
    <w:rsid w:val="0032349B"/>
    <w:rsid w:val="003236DC"/>
    <w:rsid w:val="00323DEB"/>
    <w:rsid w:val="00323F05"/>
    <w:rsid w:val="003240CC"/>
    <w:rsid w:val="0032508A"/>
    <w:rsid w:val="0032510F"/>
    <w:rsid w:val="0032526E"/>
    <w:rsid w:val="00325467"/>
    <w:rsid w:val="00326437"/>
    <w:rsid w:val="00326462"/>
    <w:rsid w:val="00326F6D"/>
    <w:rsid w:val="003273F3"/>
    <w:rsid w:val="0032741F"/>
    <w:rsid w:val="003275D6"/>
    <w:rsid w:val="00330624"/>
    <w:rsid w:val="00330B40"/>
    <w:rsid w:val="003311B5"/>
    <w:rsid w:val="003313E4"/>
    <w:rsid w:val="00332057"/>
    <w:rsid w:val="00333453"/>
    <w:rsid w:val="00333A51"/>
    <w:rsid w:val="00334AD9"/>
    <w:rsid w:val="00335089"/>
    <w:rsid w:val="00335969"/>
    <w:rsid w:val="0033628B"/>
    <w:rsid w:val="003368DF"/>
    <w:rsid w:val="00336916"/>
    <w:rsid w:val="00340A6C"/>
    <w:rsid w:val="00340EC5"/>
    <w:rsid w:val="00341A3A"/>
    <w:rsid w:val="00341F3A"/>
    <w:rsid w:val="0034209B"/>
    <w:rsid w:val="00342A04"/>
    <w:rsid w:val="00342CF0"/>
    <w:rsid w:val="00342DDB"/>
    <w:rsid w:val="0034321E"/>
    <w:rsid w:val="0034352D"/>
    <w:rsid w:val="00344037"/>
    <w:rsid w:val="003444BB"/>
    <w:rsid w:val="00344AE2"/>
    <w:rsid w:val="00345737"/>
    <w:rsid w:val="00346479"/>
    <w:rsid w:val="00346750"/>
    <w:rsid w:val="00347508"/>
    <w:rsid w:val="003476AA"/>
    <w:rsid w:val="0034797A"/>
    <w:rsid w:val="00347D83"/>
    <w:rsid w:val="003504A2"/>
    <w:rsid w:val="00351D86"/>
    <w:rsid w:val="003521F9"/>
    <w:rsid w:val="00352888"/>
    <w:rsid w:val="00354552"/>
    <w:rsid w:val="00354828"/>
    <w:rsid w:val="00354C62"/>
    <w:rsid w:val="00354F8B"/>
    <w:rsid w:val="00355129"/>
    <w:rsid w:val="0035564E"/>
    <w:rsid w:val="003558B1"/>
    <w:rsid w:val="00355D92"/>
    <w:rsid w:val="00356117"/>
    <w:rsid w:val="003568F1"/>
    <w:rsid w:val="003568F9"/>
    <w:rsid w:val="00356C78"/>
    <w:rsid w:val="00357393"/>
    <w:rsid w:val="00357F8B"/>
    <w:rsid w:val="0036007A"/>
    <w:rsid w:val="00360096"/>
    <w:rsid w:val="00360319"/>
    <w:rsid w:val="00360867"/>
    <w:rsid w:val="00360A5C"/>
    <w:rsid w:val="00361329"/>
    <w:rsid w:val="00361542"/>
    <w:rsid w:val="00362AEF"/>
    <w:rsid w:val="003638A5"/>
    <w:rsid w:val="00365AB1"/>
    <w:rsid w:val="00365BB8"/>
    <w:rsid w:val="00365C21"/>
    <w:rsid w:val="003662FE"/>
    <w:rsid w:val="00367511"/>
    <w:rsid w:val="00367930"/>
    <w:rsid w:val="00367CCB"/>
    <w:rsid w:val="00367F35"/>
    <w:rsid w:val="00371145"/>
    <w:rsid w:val="003712D1"/>
    <w:rsid w:val="003718FE"/>
    <w:rsid w:val="00371DC2"/>
    <w:rsid w:val="00372459"/>
    <w:rsid w:val="00372984"/>
    <w:rsid w:val="003733B5"/>
    <w:rsid w:val="0037369D"/>
    <w:rsid w:val="00373C06"/>
    <w:rsid w:val="00373FD1"/>
    <w:rsid w:val="00375369"/>
    <w:rsid w:val="003753E0"/>
    <w:rsid w:val="00375612"/>
    <w:rsid w:val="00375A90"/>
    <w:rsid w:val="00375E63"/>
    <w:rsid w:val="0037603E"/>
    <w:rsid w:val="00376F32"/>
    <w:rsid w:val="003778FC"/>
    <w:rsid w:val="00377903"/>
    <w:rsid w:val="00377A3C"/>
    <w:rsid w:val="00377D47"/>
    <w:rsid w:val="003807DD"/>
    <w:rsid w:val="00380E48"/>
    <w:rsid w:val="00380FB7"/>
    <w:rsid w:val="00381A94"/>
    <w:rsid w:val="00381BEC"/>
    <w:rsid w:val="003820AD"/>
    <w:rsid w:val="003822D6"/>
    <w:rsid w:val="003827ED"/>
    <w:rsid w:val="0038294E"/>
    <w:rsid w:val="003829FF"/>
    <w:rsid w:val="00383368"/>
    <w:rsid w:val="00383E73"/>
    <w:rsid w:val="003842A6"/>
    <w:rsid w:val="00384ED6"/>
    <w:rsid w:val="00385808"/>
    <w:rsid w:val="00386487"/>
    <w:rsid w:val="00386718"/>
    <w:rsid w:val="00387609"/>
    <w:rsid w:val="00387C0F"/>
    <w:rsid w:val="003903C7"/>
    <w:rsid w:val="0039079F"/>
    <w:rsid w:val="00390970"/>
    <w:rsid w:val="003917FB"/>
    <w:rsid w:val="0039185E"/>
    <w:rsid w:val="00392227"/>
    <w:rsid w:val="00393CA9"/>
    <w:rsid w:val="00394C94"/>
    <w:rsid w:val="00394FA6"/>
    <w:rsid w:val="00395083"/>
    <w:rsid w:val="003956E4"/>
    <w:rsid w:val="0039576A"/>
    <w:rsid w:val="00395B65"/>
    <w:rsid w:val="003963D4"/>
    <w:rsid w:val="00396EED"/>
    <w:rsid w:val="00397058"/>
    <w:rsid w:val="00397614"/>
    <w:rsid w:val="0039780B"/>
    <w:rsid w:val="003A05B1"/>
    <w:rsid w:val="003A0FB2"/>
    <w:rsid w:val="003A138A"/>
    <w:rsid w:val="003A159F"/>
    <w:rsid w:val="003A1863"/>
    <w:rsid w:val="003A1C7A"/>
    <w:rsid w:val="003A1E44"/>
    <w:rsid w:val="003A22A3"/>
    <w:rsid w:val="003A2411"/>
    <w:rsid w:val="003A25A7"/>
    <w:rsid w:val="003A296A"/>
    <w:rsid w:val="003A3865"/>
    <w:rsid w:val="003A390C"/>
    <w:rsid w:val="003A537D"/>
    <w:rsid w:val="003A55D2"/>
    <w:rsid w:val="003A5AF8"/>
    <w:rsid w:val="003A60E3"/>
    <w:rsid w:val="003A650C"/>
    <w:rsid w:val="003A6529"/>
    <w:rsid w:val="003A685D"/>
    <w:rsid w:val="003A787D"/>
    <w:rsid w:val="003B0557"/>
    <w:rsid w:val="003B11FB"/>
    <w:rsid w:val="003B1EE1"/>
    <w:rsid w:val="003B207E"/>
    <w:rsid w:val="003B25EA"/>
    <w:rsid w:val="003B29ED"/>
    <w:rsid w:val="003B2D54"/>
    <w:rsid w:val="003B32E8"/>
    <w:rsid w:val="003B41EB"/>
    <w:rsid w:val="003B55C5"/>
    <w:rsid w:val="003B5E70"/>
    <w:rsid w:val="003B6737"/>
    <w:rsid w:val="003B6972"/>
    <w:rsid w:val="003C0733"/>
    <w:rsid w:val="003C09C0"/>
    <w:rsid w:val="003C0B27"/>
    <w:rsid w:val="003C1042"/>
    <w:rsid w:val="003C1969"/>
    <w:rsid w:val="003C28A3"/>
    <w:rsid w:val="003C2ED9"/>
    <w:rsid w:val="003C30E4"/>
    <w:rsid w:val="003C45F2"/>
    <w:rsid w:val="003C529D"/>
    <w:rsid w:val="003C5D83"/>
    <w:rsid w:val="003C6FE4"/>
    <w:rsid w:val="003C73DE"/>
    <w:rsid w:val="003C75C9"/>
    <w:rsid w:val="003C773D"/>
    <w:rsid w:val="003D00DE"/>
    <w:rsid w:val="003D0251"/>
    <w:rsid w:val="003D0489"/>
    <w:rsid w:val="003D1D2D"/>
    <w:rsid w:val="003D1D89"/>
    <w:rsid w:val="003D1E9E"/>
    <w:rsid w:val="003D2A7E"/>
    <w:rsid w:val="003D2D90"/>
    <w:rsid w:val="003D31AC"/>
    <w:rsid w:val="003D3976"/>
    <w:rsid w:val="003D402F"/>
    <w:rsid w:val="003D4868"/>
    <w:rsid w:val="003D49EA"/>
    <w:rsid w:val="003D4BA7"/>
    <w:rsid w:val="003D4C21"/>
    <w:rsid w:val="003D54E1"/>
    <w:rsid w:val="003D5E17"/>
    <w:rsid w:val="003D5FB4"/>
    <w:rsid w:val="003D62C8"/>
    <w:rsid w:val="003D6419"/>
    <w:rsid w:val="003D6455"/>
    <w:rsid w:val="003D6C03"/>
    <w:rsid w:val="003E0477"/>
    <w:rsid w:val="003E069D"/>
    <w:rsid w:val="003E0BC4"/>
    <w:rsid w:val="003E1608"/>
    <w:rsid w:val="003E1ADE"/>
    <w:rsid w:val="003E1BC4"/>
    <w:rsid w:val="003E1C92"/>
    <w:rsid w:val="003E2681"/>
    <w:rsid w:val="003E28FD"/>
    <w:rsid w:val="003E2B68"/>
    <w:rsid w:val="003E3D3B"/>
    <w:rsid w:val="003E4598"/>
    <w:rsid w:val="003E4DCD"/>
    <w:rsid w:val="003E53F0"/>
    <w:rsid w:val="003E5815"/>
    <w:rsid w:val="003E588E"/>
    <w:rsid w:val="003E60AB"/>
    <w:rsid w:val="003E6578"/>
    <w:rsid w:val="003E6985"/>
    <w:rsid w:val="003E6EC7"/>
    <w:rsid w:val="003E7241"/>
    <w:rsid w:val="003F00D7"/>
    <w:rsid w:val="003F0215"/>
    <w:rsid w:val="003F114C"/>
    <w:rsid w:val="003F1625"/>
    <w:rsid w:val="003F1885"/>
    <w:rsid w:val="003F2478"/>
    <w:rsid w:val="003F276C"/>
    <w:rsid w:val="003F29CB"/>
    <w:rsid w:val="003F2B41"/>
    <w:rsid w:val="003F2D3E"/>
    <w:rsid w:val="003F2FF9"/>
    <w:rsid w:val="003F3358"/>
    <w:rsid w:val="003F3643"/>
    <w:rsid w:val="003F3790"/>
    <w:rsid w:val="003F3A89"/>
    <w:rsid w:val="003F4136"/>
    <w:rsid w:val="003F4631"/>
    <w:rsid w:val="003F4939"/>
    <w:rsid w:val="003F4C6D"/>
    <w:rsid w:val="003F51BF"/>
    <w:rsid w:val="003F56C2"/>
    <w:rsid w:val="003F57B7"/>
    <w:rsid w:val="003F59E1"/>
    <w:rsid w:val="003F5E7C"/>
    <w:rsid w:val="003F6078"/>
    <w:rsid w:val="003F64B2"/>
    <w:rsid w:val="003F6548"/>
    <w:rsid w:val="003F65EC"/>
    <w:rsid w:val="003F7671"/>
    <w:rsid w:val="004000AD"/>
    <w:rsid w:val="00400120"/>
    <w:rsid w:val="00400E2E"/>
    <w:rsid w:val="00400EA4"/>
    <w:rsid w:val="00401B52"/>
    <w:rsid w:val="00401E1B"/>
    <w:rsid w:val="004020CC"/>
    <w:rsid w:val="00402554"/>
    <w:rsid w:val="00402C13"/>
    <w:rsid w:val="00402DCF"/>
    <w:rsid w:val="00402DE7"/>
    <w:rsid w:val="004033F0"/>
    <w:rsid w:val="0040385F"/>
    <w:rsid w:val="00403BEA"/>
    <w:rsid w:val="00403E65"/>
    <w:rsid w:val="00403FC3"/>
    <w:rsid w:val="0040419A"/>
    <w:rsid w:val="004048F7"/>
    <w:rsid w:val="00406B36"/>
    <w:rsid w:val="00406D7C"/>
    <w:rsid w:val="00406F61"/>
    <w:rsid w:val="00406FBF"/>
    <w:rsid w:val="0040715B"/>
    <w:rsid w:val="0040716E"/>
    <w:rsid w:val="00407486"/>
    <w:rsid w:val="004077AE"/>
    <w:rsid w:val="00407F76"/>
    <w:rsid w:val="00410971"/>
    <w:rsid w:val="00410F6E"/>
    <w:rsid w:val="004112C0"/>
    <w:rsid w:val="0041181F"/>
    <w:rsid w:val="00411F53"/>
    <w:rsid w:val="00412042"/>
    <w:rsid w:val="004145B7"/>
    <w:rsid w:val="0041472C"/>
    <w:rsid w:val="00414751"/>
    <w:rsid w:val="00414A1E"/>
    <w:rsid w:val="00414B36"/>
    <w:rsid w:val="004150F8"/>
    <w:rsid w:val="00415413"/>
    <w:rsid w:val="004164B1"/>
    <w:rsid w:val="00416BC1"/>
    <w:rsid w:val="00417DA9"/>
    <w:rsid w:val="004207AD"/>
    <w:rsid w:val="004207AE"/>
    <w:rsid w:val="004217D7"/>
    <w:rsid w:val="00421868"/>
    <w:rsid w:val="0042188C"/>
    <w:rsid w:val="00421902"/>
    <w:rsid w:val="0042280F"/>
    <w:rsid w:val="00422D68"/>
    <w:rsid w:val="004232B5"/>
    <w:rsid w:val="0042382B"/>
    <w:rsid w:val="00424005"/>
    <w:rsid w:val="004245E2"/>
    <w:rsid w:val="004246B4"/>
    <w:rsid w:val="00424D64"/>
    <w:rsid w:val="00425173"/>
    <w:rsid w:val="00426534"/>
    <w:rsid w:val="00426FD4"/>
    <w:rsid w:val="004276FF"/>
    <w:rsid w:val="00430482"/>
    <w:rsid w:val="00430639"/>
    <w:rsid w:val="00430A2F"/>
    <w:rsid w:val="00430B42"/>
    <w:rsid w:val="00430DCE"/>
    <w:rsid w:val="00431674"/>
    <w:rsid w:val="00431EBE"/>
    <w:rsid w:val="004322A1"/>
    <w:rsid w:val="004322BC"/>
    <w:rsid w:val="00434772"/>
    <w:rsid w:val="00434B74"/>
    <w:rsid w:val="00434C49"/>
    <w:rsid w:val="004351DD"/>
    <w:rsid w:val="0043547E"/>
    <w:rsid w:val="004354D1"/>
    <w:rsid w:val="0043597E"/>
    <w:rsid w:val="0043638F"/>
    <w:rsid w:val="0043642A"/>
    <w:rsid w:val="0043643C"/>
    <w:rsid w:val="0043658E"/>
    <w:rsid w:val="00440E4D"/>
    <w:rsid w:val="00441630"/>
    <w:rsid w:val="00441C37"/>
    <w:rsid w:val="00444330"/>
    <w:rsid w:val="004449CB"/>
    <w:rsid w:val="00444DA3"/>
    <w:rsid w:val="00444FE2"/>
    <w:rsid w:val="0044530C"/>
    <w:rsid w:val="0044585D"/>
    <w:rsid w:val="00446480"/>
    <w:rsid w:val="0045007C"/>
    <w:rsid w:val="004501B0"/>
    <w:rsid w:val="00450926"/>
    <w:rsid w:val="00450BB7"/>
    <w:rsid w:val="00450C6A"/>
    <w:rsid w:val="00450FCC"/>
    <w:rsid w:val="00451437"/>
    <w:rsid w:val="0045151D"/>
    <w:rsid w:val="00451545"/>
    <w:rsid w:val="00451818"/>
    <w:rsid w:val="00451A44"/>
    <w:rsid w:val="00451DD6"/>
    <w:rsid w:val="00452D6D"/>
    <w:rsid w:val="0045320F"/>
    <w:rsid w:val="0045337D"/>
    <w:rsid w:val="004539B9"/>
    <w:rsid w:val="00453C14"/>
    <w:rsid w:val="00454501"/>
    <w:rsid w:val="0045487D"/>
    <w:rsid w:val="00454911"/>
    <w:rsid w:val="00455D7D"/>
    <w:rsid w:val="00456E1C"/>
    <w:rsid w:val="00457375"/>
    <w:rsid w:val="00457578"/>
    <w:rsid w:val="00457A33"/>
    <w:rsid w:val="00457BC9"/>
    <w:rsid w:val="00457F84"/>
    <w:rsid w:val="00460D58"/>
    <w:rsid w:val="00462695"/>
    <w:rsid w:val="00462B4D"/>
    <w:rsid w:val="00464645"/>
    <w:rsid w:val="004646F9"/>
    <w:rsid w:val="004649EA"/>
    <w:rsid w:val="004654EC"/>
    <w:rsid w:val="0046677A"/>
    <w:rsid w:val="00467560"/>
    <w:rsid w:val="00467AE7"/>
    <w:rsid w:val="00470051"/>
    <w:rsid w:val="004700D5"/>
    <w:rsid w:val="00470365"/>
    <w:rsid w:val="004703BB"/>
    <w:rsid w:val="00470946"/>
    <w:rsid w:val="00470B54"/>
    <w:rsid w:val="00471DA0"/>
    <w:rsid w:val="00471FA6"/>
    <w:rsid w:val="00472703"/>
    <w:rsid w:val="00472842"/>
    <w:rsid w:val="00472C24"/>
    <w:rsid w:val="00473B12"/>
    <w:rsid w:val="00473BAB"/>
    <w:rsid w:val="00474792"/>
    <w:rsid w:val="004765CC"/>
    <w:rsid w:val="00477262"/>
    <w:rsid w:val="00477B11"/>
    <w:rsid w:val="00480C60"/>
    <w:rsid w:val="004813C1"/>
    <w:rsid w:val="0048240C"/>
    <w:rsid w:val="00482589"/>
    <w:rsid w:val="004828FF"/>
    <w:rsid w:val="00482A0A"/>
    <w:rsid w:val="00482C53"/>
    <w:rsid w:val="00482D3F"/>
    <w:rsid w:val="00483813"/>
    <w:rsid w:val="004841F2"/>
    <w:rsid w:val="0048437F"/>
    <w:rsid w:val="00484609"/>
    <w:rsid w:val="00484A39"/>
    <w:rsid w:val="00485285"/>
    <w:rsid w:val="00485A81"/>
    <w:rsid w:val="00485C1A"/>
    <w:rsid w:val="00486872"/>
    <w:rsid w:val="00486998"/>
    <w:rsid w:val="00486DA8"/>
    <w:rsid w:val="00487C79"/>
    <w:rsid w:val="004901F1"/>
    <w:rsid w:val="0049155A"/>
    <w:rsid w:val="004916C9"/>
    <w:rsid w:val="00491B14"/>
    <w:rsid w:val="00491C6F"/>
    <w:rsid w:val="0049216D"/>
    <w:rsid w:val="00492173"/>
    <w:rsid w:val="0049256E"/>
    <w:rsid w:val="004925AB"/>
    <w:rsid w:val="004926E3"/>
    <w:rsid w:val="00492A22"/>
    <w:rsid w:val="00492AB2"/>
    <w:rsid w:val="00494615"/>
    <w:rsid w:val="00494CB9"/>
    <w:rsid w:val="00494FCF"/>
    <w:rsid w:val="00495095"/>
    <w:rsid w:val="00495F11"/>
    <w:rsid w:val="0049618A"/>
    <w:rsid w:val="0049654D"/>
    <w:rsid w:val="00496F0D"/>
    <w:rsid w:val="00497176"/>
    <w:rsid w:val="004971BD"/>
    <w:rsid w:val="004973BF"/>
    <w:rsid w:val="00497A65"/>
    <w:rsid w:val="004A037D"/>
    <w:rsid w:val="004A0848"/>
    <w:rsid w:val="004A0A7E"/>
    <w:rsid w:val="004A181A"/>
    <w:rsid w:val="004A1D81"/>
    <w:rsid w:val="004A2EA0"/>
    <w:rsid w:val="004A31A0"/>
    <w:rsid w:val="004A34C8"/>
    <w:rsid w:val="004A3AC3"/>
    <w:rsid w:val="004A4401"/>
    <w:rsid w:val="004A4708"/>
    <w:rsid w:val="004A48F3"/>
    <w:rsid w:val="004A4B9B"/>
    <w:rsid w:val="004A5158"/>
    <w:rsid w:val="004A6877"/>
    <w:rsid w:val="004A687C"/>
    <w:rsid w:val="004A6DD2"/>
    <w:rsid w:val="004A735D"/>
    <w:rsid w:val="004B1E10"/>
    <w:rsid w:val="004B201C"/>
    <w:rsid w:val="004B29E1"/>
    <w:rsid w:val="004B322E"/>
    <w:rsid w:val="004B33BB"/>
    <w:rsid w:val="004B3BB4"/>
    <w:rsid w:val="004B3BC9"/>
    <w:rsid w:val="004B3E7E"/>
    <w:rsid w:val="004B3FA5"/>
    <w:rsid w:val="004B433B"/>
    <w:rsid w:val="004B43EA"/>
    <w:rsid w:val="004B5161"/>
    <w:rsid w:val="004B553D"/>
    <w:rsid w:val="004B5776"/>
    <w:rsid w:val="004B5C17"/>
    <w:rsid w:val="004B5EF3"/>
    <w:rsid w:val="004B63F9"/>
    <w:rsid w:val="004B6B53"/>
    <w:rsid w:val="004B6F1B"/>
    <w:rsid w:val="004B772F"/>
    <w:rsid w:val="004B7909"/>
    <w:rsid w:val="004B7F65"/>
    <w:rsid w:val="004C090C"/>
    <w:rsid w:val="004C0FAD"/>
    <w:rsid w:val="004C1272"/>
    <w:rsid w:val="004C1E69"/>
    <w:rsid w:val="004C4823"/>
    <w:rsid w:val="004C4E29"/>
    <w:rsid w:val="004C586D"/>
    <w:rsid w:val="004C5B6E"/>
    <w:rsid w:val="004C5D1B"/>
    <w:rsid w:val="004C610E"/>
    <w:rsid w:val="004C6349"/>
    <w:rsid w:val="004C64C0"/>
    <w:rsid w:val="004C66E5"/>
    <w:rsid w:val="004C6F05"/>
    <w:rsid w:val="004C7061"/>
    <w:rsid w:val="004C706C"/>
    <w:rsid w:val="004C7C49"/>
    <w:rsid w:val="004C7E94"/>
    <w:rsid w:val="004C7F3B"/>
    <w:rsid w:val="004D0574"/>
    <w:rsid w:val="004D0C2F"/>
    <w:rsid w:val="004D0E4F"/>
    <w:rsid w:val="004D226F"/>
    <w:rsid w:val="004D24A0"/>
    <w:rsid w:val="004D2A92"/>
    <w:rsid w:val="004D2CAC"/>
    <w:rsid w:val="004D39BA"/>
    <w:rsid w:val="004D4460"/>
    <w:rsid w:val="004D4A19"/>
    <w:rsid w:val="004D4E05"/>
    <w:rsid w:val="004D52C0"/>
    <w:rsid w:val="004D55E3"/>
    <w:rsid w:val="004D56DD"/>
    <w:rsid w:val="004D5E11"/>
    <w:rsid w:val="004D6082"/>
    <w:rsid w:val="004D65BF"/>
    <w:rsid w:val="004D7006"/>
    <w:rsid w:val="004D71E8"/>
    <w:rsid w:val="004E0659"/>
    <w:rsid w:val="004E0869"/>
    <w:rsid w:val="004E0CE5"/>
    <w:rsid w:val="004E0CEF"/>
    <w:rsid w:val="004E0FAB"/>
    <w:rsid w:val="004E27AA"/>
    <w:rsid w:val="004E31B7"/>
    <w:rsid w:val="004E43DF"/>
    <w:rsid w:val="004E4DE1"/>
    <w:rsid w:val="004E4E6B"/>
    <w:rsid w:val="004E5579"/>
    <w:rsid w:val="004E5D5D"/>
    <w:rsid w:val="004E61FE"/>
    <w:rsid w:val="004E65E6"/>
    <w:rsid w:val="004E66AC"/>
    <w:rsid w:val="004E700E"/>
    <w:rsid w:val="004E7B0A"/>
    <w:rsid w:val="004F0872"/>
    <w:rsid w:val="004F119E"/>
    <w:rsid w:val="004F2119"/>
    <w:rsid w:val="004F25F4"/>
    <w:rsid w:val="004F311B"/>
    <w:rsid w:val="004F587D"/>
    <w:rsid w:val="004F588C"/>
    <w:rsid w:val="004F5C46"/>
    <w:rsid w:val="004F5EE2"/>
    <w:rsid w:val="004F6044"/>
    <w:rsid w:val="004F6214"/>
    <w:rsid w:val="004F635F"/>
    <w:rsid w:val="004F64B6"/>
    <w:rsid w:val="004F653B"/>
    <w:rsid w:val="004F6C37"/>
    <w:rsid w:val="004F77A9"/>
    <w:rsid w:val="004F7C25"/>
    <w:rsid w:val="004F7DCE"/>
    <w:rsid w:val="00500666"/>
    <w:rsid w:val="00500A08"/>
    <w:rsid w:val="00500C0B"/>
    <w:rsid w:val="00501C94"/>
    <w:rsid w:val="00501D6D"/>
    <w:rsid w:val="00502414"/>
    <w:rsid w:val="0050342E"/>
    <w:rsid w:val="0050343C"/>
    <w:rsid w:val="00503F35"/>
    <w:rsid w:val="00504105"/>
    <w:rsid w:val="00504AEB"/>
    <w:rsid w:val="00504FBC"/>
    <w:rsid w:val="00505E27"/>
    <w:rsid w:val="00505E60"/>
    <w:rsid w:val="00506594"/>
    <w:rsid w:val="00506A78"/>
    <w:rsid w:val="00506BC9"/>
    <w:rsid w:val="00506EFF"/>
    <w:rsid w:val="00506F57"/>
    <w:rsid w:val="00507C5A"/>
    <w:rsid w:val="00507E6B"/>
    <w:rsid w:val="005100E4"/>
    <w:rsid w:val="005103C9"/>
    <w:rsid w:val="00510515"/>
    <w:rsid w:val="00510B31"/>
    <w:rsid w:val="00511C3A"/>
    <w:rsid w:val="00511EEC"/>
    <w:rsid w:val="005121C8"/>
    <w:rsid w:val="0051374A"/>
    <w:rsid w:val="005148F2"/>
    <w:rsid w:val="00514BEA"/>
    <w:rsid w:val="00515A18"/>
    <w:rsid w:val="00515A98"/>
    <w:rsid w:val="00515BBE"/>
    <w:rsid w:val="005164C8"/>
    <w:rsid w:val="005165CB"/>
    <w:rsid w:val="00516AC4"/>
    <w:rsid w:val="0051735E"/>
    <w:rsid w:val="00517548"/>
    <w:rsid w:val="00517AC6"/>
    <w:rsid w:val="00517F88"/>
    <w:rsid w:val="00517FB6"/>
    <w:rsid w:val="00520F01"/>
    <w:rsid w:val="00521596"/>
    <w:rsid w:val="005219E3"/>
    <w:rsid w:val="00522F50"/>
    <w:rsid w:val="00523EF7"/>
    <w:rsid w:val="00524B10"/>
    <w:rsid w:val="00524D8A"/>
    <w:rsid w:val="00524F54"/>
    <w:rsid w:val="005250CE"/>
    <w:rsid w:val="00525173"/>
    <w:rsid w:val="00525B76"/>
    <w:rsid w:val="00527605"/>
    <w:rsid w:val="0053047B"/>
    <w:rsid w:val="00530565"/>
    <w:rsid w:val="005310BD"/>
    <w:rsid w:val="005312C4"/>
    <w:rsid w:val="00531893"/>
    <w:rsid w:val="0053240A"/>
    <w:rsid w:val="0053244D"/>
    <w:rsid w:val="00532726"/>
    <w:rsid w:val="00532E12"/>
    <w:rsid w:val="00533BE8"/>
    <w:rsid w:val="0053448C"/>
    <w:rsid w:val="005346E3"/>
    <w:rsid w:val="0053478E"/>
    <w:rsid w:val="00534A0B"/>
    <w:rsid w:val="005351E3"/>
    <w:rsid w:val="00535B7D"/>
    <w:rsid w:val="00535C77"/>
    <w:rsid w:val="00535E90"/>
    <w:rsid w:val="00536BCE"/>
    <w:rsid w:val="00537205"/>
    <w:rsid w:val="00537DEE"/>
    <w:rsid w:val="00540C34"/>
    <w:rsid w:val="00541126"/>
    <w:rsid w:val="00541381"/>
    <w:rsid w:val="00542B12"/>
    <w:rsid w:val="00543AEF"/>
    <w:rsid w:val="00543DA0"/>
    <w:rsid w:val="00543F92"/>
    <w:rsid w:val="0054448D"/>
    <w:rsid w:val="00544D4E"/>
    <w:rsid w:val="00545691"/>
    <w:rsid w:val="00545B11"/>
    <w:rsid w:val="0054648C"/>
    <w:rsid w:val="005467F5"/>
    <w:rsid w:val="00546916"/>
    <w:rsid w:val="00547214"/>
    <w:rsid w:val="00550BFC"/>
    <w:rsid w:val="00551C32"/>
    <w:rsid w:val="0055212F"/>
    <w:rsid w:val="00552280"/>
    <w:rsid w:val="005529EF"/>
    <w:rsid w:val="00552CE1"/>
    <w:rsid w:val="00553EB5"/>
    <w:rsid w:val="005548C8"/>
    <w:rsid w:val="005550C8"/>
    <w:rsid w:val="00555DC7"/>
    <w:rsid w:val="00556203"/>
    <w:rsid w:val="005563FB"/>
    <w:rsid w:val="00556663"/>
    <w:rsid w:val="00557FE4"/>
    <w:rsid w:val="00560470"/>
    <w:rsid w:val="00560541"/>
    <w:rsid w:val="0056073A"/>
    <w:rsid w:val="00560AB0"/>
    <w:rsid w:val="00562320"/>
    <w:rsid w:val="00562661"/>
    <w:rsid w:val="00562A66"/>
    <w:rsid w:val="00562D2F"/>
    <w:rsid w:val="00563759"/>
    <w:rsid w:val="00563959"/>
    <w:rsid w:val="0056480B"/>
    <w:rsid w:val="00564FC7"/>
    <w:rsid w:val="00565128"/>
    <w:rsid w:val="00565B81"/>
    <w:rsid w:val="00566913"/>
    <w:rsid w:val="00566EF3"/>
    <w:rsid w:val="00567C60"/>
    <w:rsid w:val="0057015D"/>
    <w:rsid w:val="005701FD"/>
    <w:rsid w:val="0057061F"/>
    <w:rsid w:val="00570A45"/>
    <w:rsid w:val="00570DFF"/>
    <w:rsid w:val="00570E31"/>
    <w:rsid w:val="00570EF4"/>
    <w:rsid w:val="0057119F"/>
    <w:rsid w:val="00571F32"/>
    <w:rsid w:val="00572D41"/>
    <w:rsid w:val="00572FF5"/>
    <w:rsid w:val="0057354D"/>
    <w:rsid w:val="0057357F"/>
    <w:rsid w:val="005738F3"/>
    <w:rsid w:val="00573954"/>
    <w:rsid w:val="00573AEB"/>
    <w:rsid w:val="00573B84"/>
    <w:rsid w:val="005741F4"/>
    <w:rsid w:val="00574709"/>
    <w:rsid w:val="00574737"/>
    <w:rsid w:val="00574B4A"/>
    <w:rsid w:val="00574C46"/>
    <w:rsid w:val="00575CC8"/>
    <w:rsid w:val="005769C8"/>
    <w:rsid w:val="005769DB"/>
    <w:rsid w:val="00576BB9"/>
    <w:rsid w:val="00576E07"/>
    <w:rsid w:val="00576FC1"/>
    <w:rsid w:val="005771A0"/>
    <w:rsid w:val="005771AC"/>
    <w:rsid w:val="00577635"/>
    <w:rsid w:val="00577F16"/>
    <w:rsid w:val="00580EF8"/>
    <w:rsid w:val="00580FF5"/>
    <w:rsid w:val="005810DB"/>
    <w:rsid w:val="0058139D"/>
    <w:rsid w:val="00581E8E"/>
    <w:rsid w:val="00581FCE"/>
    <w:rsid w:val="0058226B"/>
    <w:rsid w:val="0058279D"/>
    <w:rsid w:val="0058334E"/>
    <w:rsid w:val="00584C27"/>
    <w:rsid w:val="00584C37"/>
    <w:rsid w:val="0058591D"/>
    <w:rsid w:val="00586260"/>
    <w:rsid w:val="005862B8"/>
    <w:rsid w:val="005869D8"/>
    <w:rsid w:val="00586AD7"/>
    <w:rsid w:val="005876C6"/>
    <w:rsid w:val="00587729"/>
    <w:rsid w:val="00587B59"/>
    <w:rsid w:val="0059021F"/>
    <w:rsid w:val="005904A9"/>
    <w:rsid w:val="00590E86"/>
    <w:rsid w:val="005912D6"/>
    <w:rsid w:val="00591926"/>
    <w:rsid w:val="00591E00"/>
    <w:rsid w:val="0059277E"/>
    <w:rsid w:val="005933F4"/>
    <w:rsid w:val="005938C8"/>
    <w:rsid w:val="00594826"/>
    <w:rsid w:val="00594C0B"/>
    <w:rsid w:val="00594DA4"/>
    <w:rsid w:val="00594EFF"/>
    <w:rsid w:val="00594FA3"/>
    <w:rsid w:val="00595169"/>
    <w:rsid w:val="00595BBC"/>
    <w:rsid w:val="00596050"/>
    <w:rsid w:val="005963A2"/>
    <w:rsid w:val="00596472"/>
    <w:rsid w:val="00596B65"/>
    <w:rsid w:val="00597185"/>
    <w:rsid w:val="005976F2"/>
    <w:rsid w:val="00597FD2"/>
    <w:rsid w:val="005A0225"/>
    <w:rsid w:val="005A2079"/>
    <w:rsid w:val="005A22AF"/>
    <w:rsid w:val="005A2306"/>
    <w:rsid w:val="005A3165"/>
    <w:rsid w:val="005A3189"/>
    <w:rsid w:val="005A33AE"/>
    <w:rsid w:val="005A37E0"/>
    <w:rsid w:val="005A3E1F"/>
    <w:rsid w:val="005A5444"/>
    <w:rsid w:val="005A56C2"/>
    <w:rsid w:val="005A63CB"/>
    <w:rsid w:val="005A6617"/>
    <w:rsid w:val="005A6692"/>
    <w:rsid w:val="005A6FB0"/>
    <w:rsid w:val="005B0ACD"/>
    <w:rsid w:val="005B163E"/>
    <w:rsid w:val="005B2BCA"/>
    <w:rsid w:val="005B394E"/>
    <w:rsid w:val="005B40F6"/>
    <w:rsid w:val="005B41C4"/>
    <w:rsid w:val="005B4C4F"/>
    <w:rsid w:val="005B52D7"/>
    <w:rsid w:val="005B5309"/>
    <w:rsid w:val="005B5401"/>
    <w:rsid w:val="005B58D5"/>
    <w:rsid w:val="005B6182"/>
    <w:rsid w:val="005B6377"/>
    <w:rsid w:val="005B6E39"/>
    <w:rsid w:val="005B7098"/>
    <w:rsid w:val="005B71A0"/>
    <w:rsid w:val="005B728B"/>
    <w:rsid w:val="005B74C9"/>
    <w:rsid w:val="005B763F"/>
    <w:rsid w:val="005B77DB"/>
    <w:rsid w:val="005B797F"/>
    <w:rsid w:val="005B7FF6"/>
    <w:rsid w:val="005C072A"/>
    <w:rsid w:val="005C0B44"/>
    <w:rsid w:val="005C0E6D"/>
    <w:rsid w:val="005C2035"/>
    <w:rsid w:val="005C2BD2"/>
    <w:rsid w:val="005C2EB9"/>
    <w:rsid w:val="005C3148"/>
    <w:rsid w:val="005C3293"/>
    <w:rsid w:val="005C3F93"/>
    <w:rsid w:val="005C477E"/>
    <w:rsid w:val="005C47F9"/>
    <w:rsid w:val="005C6479"/>
    <w:rsid w:val="005C6B87"/>
    <w:rsid w:val="005D05B6"/>
    <w:rsid w:val="005D107E"/>
    <w:rsid w:val="005D1606"/>
    <w:rsid w:val="005D1B3F"/>
    <w:rsid w:val="005D2116"/>
    <w:rsid w:val="005D34F2"/>
    <w:rsid w:val="005D4349"/>
    <w:rsid w:val="005D4376"/>
    <w:rsid w:val="005D43FC"/>
    <w:rsid w:val="005D459E"/>
    <w:rsid w:val="005D4926"/>
    <w:rsid w:val="005D49BA"/>
    <w:rsid w:val="005D4B1C"/>
    <w:rsid w:val="005D5240"/>
    <w:rsid w:val="005D584E"/>
    <w:rsid w:val="005D5981"/>
    <w:rsid w:val="005D5DD0"/>
    <w:rsid w:val="005D5EEB"/>
    <w:rsid w:val="005D65D4"/>
    <w:rsid w:val="005D736D"/>
    <w:rsid w:val="005D789A"/>
    <w:rsid w:val="005E05AB"/>
    <w:rsid w:val="005E0916"/>
    <w:rsid w:val="005E0D2C"/>
    <w:rsid w:val="005E1048"/>
    <w:rsid w:val="005E1231"/>
    <w:rsid w:val="005E2091"/>
    <w:rsid w:val="005E22CF"/>
    <w:rsid w:val="005E23D0"/>
    <w:rsid w:val="005E2B50"/>
    <w:rsid w:val="005E3C06"/>
    <w:rsid w:val="005E3C8A"/>
    <w:rsid w:val="005E40A8"/>
    <w:rsid w:val="005E4CC8"/>
    <w:rsid w:val="005E4D73"/>
    <w:rsid w:val="005E5260"/>
    <w:rsid w:val="005E5D75"/>
    <w:rsid w:val="005E5DE3"/>
    <w:rsid w:val="005E5F8B"/>
    <w:rsid w:val="005E6C4C"/>
    <w:rsid w:val="005E6EA1"/>
    <w:rsid w:val="005E7478"/>
    <w:rsid w:val="005F0AA4"/>
    <w:rsid w:val="005F2153"/>
    <w:rsid w:val="005F28D0"/>
    <w:rsid w:val="005F2E9C"/>
    <w:rsid w:val="005F3833"/>
    <w:rsid w:val="005F39CE"/>
    <w:rsid w:val="005F467A"/>
    <w:rsid w:val="005F4972"/>
    <w:rsid w:val="005F504A"/>
    <w:rsid w:val="005F5653"/>
    <w:rsid w:val="005F5A7A"/>
    <w:rsid w:val="005F5ADD"/>
    <w:rsid w:val="005F62E8"/>
    <w:rsid w:val="005F75D5"/>
    <w:rsid w:val="005F7877"/>
    <w:rsid w:val="00600049"/>
    <w:rsid w:val="00600C1A"/>
    <w:rsid w:val="00601738"/>
    <w:rsid w:val="0060177A"/>
    <w:rsid w:val="00601B5B"/>
    <w:rsid w:val="00601C5B"/>
    <w:rsid w:val="006020FD"/>
    <w:rsid w:val="006021A0"/>
    <w:rsid w:val="00602539"/>
    <w:rsid w:val="0060277C"/>
    <w:rsid w:val="00602997"/>
    <w:rsid w:val="00602E55"/>
    <w:rsid w:val="00604436"/>
    <w:rsid w:val="006044BB"/>
    <w:rsid w:val="006044ED"/>
    <w:rsid w:val="006048AB"/>
    <w:rsid w:val="00604F8B"/>
    <w:rsid w:val="006050D6"/>
    <w:rsid w:val="0060512F"/>
    <w:rsid w:val="006056A3"/>
    <w:rsid w:val="006059AE"/>
    <w:rsid w:val="00605AAB"/>
    <w:rsid w:val="00606733"/>
    <w:rsid w:val="00606971"/>
    <w:rsid w:val="00606F42"/>
    <w:rsid w:val="00607012"/>
    <w:rsid w:val="00607D9D"/>
    <w:rsid w:val="00607E59"/>
    <w:rsid w:val="006107EE"/>
    <w:rsid w:val="00611830"/>
    <w:rsid w:val="00611E45"/>
    <w:rsid w:val="006123BD"/>
    <w:rsid w:val="00612ADD"/>
    <w:rsid w:val="0061452F"/>
    <w:rsid w:val="00615422"/>
    <w:rsid w:val="00617074"/>
    <w:rsid w:val="0061732B"/>
    <w:rsid w:val="006174F9"/>
    <w:rsid w:val="00620CD9"/>
    <w:rsid w:val="006214E5"/>
    <w:rsid w:val="00621809"/>
    <w:rsid w:val="00621A15"/>
    <w:rsid w:val="00621DA0"/>
    <w:rsid w:val="006220A5"/>
    <w:rsid w:val="006222CD"/>
    <w:rsid w:val="00622ECD"/>
    <w:rsid w:val="0062390B"/>
    <w:rsid w:val="006247C7"/>
    <w:rsid w:val="00625241"/>
    <w:rsid w:val="00625567"/>
    <w:rsid w:val="00625FF7"/>
    <w:rsid w:val="00626156"/>
    <w:rsid w:val="00626301"/>
    <w:rsid w:val="00626A15"/>
    <w:rsid w:val="00626B02"/>
    <w:rsid w:val="00626FB3"/>
    <w:rsid w:val="006273CA"/>
    <w:rsid w:val="00627E04"/>
    <w:rsid w:val="006300CF"/>
    <w:rsid w:val="006301C7"/>
    <w:rsid w:val="00630C30"/>
    <w:rsid w:val="00630EB0"/>
    <w:rsid w:val="00631074"/>
    <w:rsid w:val="006311B0"/>
    <w:rsid w:val="00631D5E"/>
    <w:rsid w:val="00632796"/>
    <w:rsid w:val="00632995"/>
    <w:rsid w:val="006332DE"/>
    <w:rsid w:val="00633531"/>
    <w:rsid w:val="00633872"/>
    <w:rsid w:val="006338F6"/>
    <w:rsid w:val="00633AC8"/>
    <w:rsid w:val="00633B73"/>
    <w:rsid w:val="00633DEB"/>
    <w:rsid w:val="00634238"/>
    <w:rsid w:val="0063436F"/>
    <w:rsid w:val="006347D8"/>
    <w:rsid w:val="0063570B"/>
    <w:rsid w:val="00635E40"/>
    <w:rsid w:val="006361C9"/>
    <w:rsid w:val="00636819"/>
    <w:rsid w:val="00636B85"/>
    <w:rsid w:val="00636E9F"/>
    <w:rsid w:val="00637C00"/>
    <w:rsid w:val="006409B7"/>
    <w:rsid w:val="00640CD5"/>
    <w:rsid w:val="00640FAD"/>
    <w:rsid w:val="00641E65"/>
    <w:rsid w:val="006421B6"/>
    <w:rsid w:val="0064222B"/>
    <w:rsid w:val="00642DF8"/>
    <w:rsid w:val="00643CB4"/>
    <w:rsid w:val="006446C4"/>
    <w:rsid w:val="006446CC"/>
    <w:rsid w:val="00645587"/>
    <w:rsid w:val="00645DA2"/>
    <w:rsid w:val="00645DF4"/>
    <w:rsid w:val="00646284"/>
    <w:rsid w:val="00646F9E"/>
    <w:rsid w:val="0064763E"/>
    <w:rsid w:val="00647C2F"/>
    <w:rsid w:val="006500CD"/>
    <w:rsid w:val="00652256"/>
    <w:rsid w:val="00652663"/>
    <w:rsid w:val="006526C0"/>
    <w:rsid w:val="00652AC6"/>
    <w:rsid w:val="00653487"/>
    <w:rsid w:val="00653506"/>
    <w:rsid w:val="00653BDC"/>
    <w:rsid w:val="00654643"/>
    <w:rsid w:val="006549C3"/>
    <w:rsid w:val="0065531F"/>
    <w:rsid w:val="00655433"/>
    <w:rsid w:val="00655E35"/>
    <w:rsid w:val="006569AB"/>
    <w:rsid w:val="00657F23"/>
    <w:rsid w:val="0066028E"/>
    <w:rsid w:val="0066071D"/>
    <w:rsid w:val="00660B0F"/>
    <w:rsid w:val="0066104E"/>
    <w:rsid w:val="00661731"/>
    <w:rsid w:val="00661C08"/>
    <w:rsid w:val="00661C79"/>
    <w:rsid w:val="00661F0E"/>
    <w:rsid w:val="00662087"/>
    <w:rsid w:val="00662DAE"/>
    <w:rsid w:val="00662DF9"/>
    <w:rsid w:val="00663790"/>
    <w:rsid w:val="0066426B"/>
    <w:rsid w:val="006647A7"/>
    <w:rsid w:val="00664ABA"/>
    <w:rsid w:val="006650FB"/>
    <w:rsid w:val="00665337"/>
    <w:rsid w:val="00665791"/>
    <w:rsid w:val="006662CB"/>
    <w:rsid w:val="00667413"/>
    <w:rsid w:val="0066761D"/>
    <w:rsid w:val="006678C0"/>
    <w:rsid w:val="00667952"/>
    <w:rsid w:val="00667F2F"/>
    <w:rsid w:val="00667F72"/>
    <w:rsid w:val="00670E56"/>
    <w:rsid w:val="0067132A"/>
    <w:rsid w:val="00671744"/>
    <w:rsid w:val="006724F6"/>
    <w:rsid w:val="006729D9"/>
    <w:rsid w:val="00672ECA"/>
    <w:rsid w:val="00673461"/>
    <w:rsid w:val="006745CF"/>
    <w:rsid w:val="00674CA3"/>
    <w:rsid w:val="00675472"/>
    <w:rsid w:val="00675732"/>
    <w:rsid w:val="00675C66"/>
    <w:rsid w:val="00676A99"/>
    <w:rsid w:val="00676E50"/>
    <w:rsid w:val="0067724B"/>
    <w:rsid w:val="006774CD"/>
    <w:rsid w:val="00677684"/>
    <w:rsid w:val="00680173"/>
    <w:rsid w:val="00681371"/>
    <w:rsid w:val="006816B4"/>
    <w:rsid w:val="00681AD0"/>
    <w:rsid w:val="006823FD"/>
    <w:rsid w:val="0068284E"/>
    <w:rsid w:val="00683013"/>
    <w:rsid w:val="006831D6"/>
    <w:rsid w:val="00683768"/>
    <w:rsid w:val="00683F6F"/>
    <w:rsid w:val="00684037"/>
    <w:rsid w:val="006840D2"/>
    <w:rsid w:val="006840FC"/>
    <w:rsid w:val="00684155"/>
    <w:rsid w:val="00684654"/>
    <w:rsid w:val="00685249"/>
    <w:rsid w:val="00685377"/>
    <w:rsid w:val="0068548B"/>
    <w:rsid w:val="00685CD6"/>
    <w:rsid w:val="00685F17"/>
    <w:rsid w:val="00685F6F"/>
    <w:rsid w:val="00686271"/>
    <w:rsid w:val="00687416"/>
    <w:rsid w:val="00687DA6"/>
    <w:rsid w:val="00690CAE"/>
    <w:rsid w:val="00690F02"/>
    <w:rsid w:val="00691A54"/>
    <w:rsid w:val="00691B73"/>
    <w:rsid w:val="00692B0E"/>
    <w:rsid w:val="00692D1F"/>
    <w:rsid w:val="00693A70"/>
    <w:rsid w:val="00693C12"/>
    <w:rsid w:val="00693C92"/>
    <w:rsid w:val="00693E44"/>
    <w:rsid w:val="006945AC"/>
    <w:rsid w:val="0069496A"/>
    <w:rsid w:val="00694CB2"/>
    <w:rsid w:val="006955A8"/>
    <w:rsid w:val="006957F0"/>
    <w:rsid w:val="00696278"/>
    <w:rsid w:val="006962B0"/>
    <w:rsid w:val="00696717"/>
    <w:rsid w:val="00697867"/>
    <w:rsid w:val="006A0257"/>
    <w:rsid w:val="006A182E"/>
    <w:rsid w:val="006A1868"/>
    <w:rsid w:val="006A1B51"/>
    <w:rsid w:val="006A2DFF"/>
    <w:rsid w:val="006A3559"/>
    <w:rsid w:val="006A37F9"/>
    <w:rsid w:val="006A3A27"/>
    <w:rsid w:val="006A3C54"/>
    <w:rsid w:val="006A3D05"/>
    <w:rsid w:val="006A3E01"/>
    <w:rsid w:val="006A4BBA"/>
    <w:rsid w:val="006A4FCC"/>
    <w:rsid w:val="006A56B1"/>
    <w:rsid w:val="006A56DC"/>
    <w:rsid w:val="006A56EA"/>
    <w:rsid w:val="006A577A"/>
    <w:rsid w:val="006A6136"/>
    <w:rsid w:val="006A647C"/>
    <w:rsid w:val="006A66E5"/>
    <w:rsid w:val="006A6DEF"/>
    <w:rsid w:val="006A6FC8"/>
    <w:rsid w:val="006A7377"/>
    <w:rsid w:val="006A7880"/>
    <w:rsid w:val="006B07A3"/>
    <w:rsid w:val="006B0B12"/>
    <w:rsid w:val="006B10DF"/>
    <w:rsid w:val="006B1244"/>
    <w:rsid w:val="006B15EB"/>
    <w:rsid w:val="006B1AE8"/>
    <w:rsid w:val="006B1E36"/>
    <w:rsid w:val="006B2D2A"/>
    <w:rsid w:val="006B3BBE"/>
    <w:rsid w:val="006B426A"/>
    <w:rsid w:val="006B4281"/>
    <w:rsid w:val="006B42E8"/>
    <w:rsid w:val="006B44F3"/>
    <w:rsid w:val="006B4964"/>
    <w:rsid w:val="006B4A2B"/>
    <w:rsid w:val="006B5CDB"/>
    <w:rsid w:val="006B654E"/>
    <w:rsid w:val="006B6946"/>
    <w:rsid w:val="006B7B5E"/>
    <w:rsid w:val="006B7BC2"/>
    <w:rsid w:val="006C0B16"/>
    <w:rsid w:val="006C1540"/>
    <w:rsid w:val="006C1FE8"/>
    <w:rsid w:val="006C2B2B"/>
    <w:rsid w:val="006C2CDB"/>
    <w:rsid w:val="006C3BE4"/>
    <w:rsid w:val="006C5149"/>
    <w:rsid w:val="006C5374"/>
    <w:rsid w:val="006C55BB"/>
    <w:rsid w:val="006C5948"/>
    <w:rsid w:val="006C62CF"/>
    <w:rsid w:val="006C69EB"/>
    <w:rsid w:val="006C71A3"/>
    <w:rsid w:val="006C7612"/>
    <w:rsid w:val="006D0E0C"/>
    <w:rsid w:val="006D1380"/>
    <w:rsid w:val="006D15F0"/>
    <w:rsid w:val="006D16C5"/>
    <w:rsid w:val="006D1F1F"/>
    <w:rsid w:val="006D2486"/>
    <w:rsid w:val="006D36AE"/>
    <w:rsid w:val="006D4292"/>
    <w:rsid w:val="006D4813"/>
    <w:rsid w:val="006D489C"/>
    <w:rsid w:val="006D589A"/>
    <w:rsid w:val="006D6DEC"/>
    <w:rsid w:val="006D6F21"/>
    <w:rsid w:val="006D6F88"/>
    <w:rsid w:val="006D72B1"/>
    <w:rsid w:val="006D72EA"/>
    <w:rsid w:val="006D75DB"/>
    <w:rsid w:val="006D795A"/>
    <w:rsid w:val="006D7CB5"/>
    <w:rsid w:val="006D7F3B"/>
    <w:rsid w:val="006E0410"/>
    <w:rsid w:val="006E1A9C"/>
    <w:rsid w:val="006E1DB3"/>
    <w:rsid w:val="006E42E6"/>
    <w:rsid w:val="006E46FB"/>
    <w:rsid w:val="006E5915"/>
    <w:rsid w:val="006E5A93"/>
    <w:rsid w:val="006E5CE3"/>
    <w:rsid w:val="006E6FE2"/>
    <w:rsid w:val="006F08A4"/>
    <w:rsid w:val="006F0994"/>
    <w:rsid w:val="006F0BD9"/>
    <w:rsid w:val="006F118D"/>
    <w:rsid w:val="006F132B"/>
    <w:rsid w:val="006F19EC"/>
    <w:rsid w:val="006F2DD4"/>
    <w:rsid w:val="006F2EE9"/>
    <w:rsid w:val="006F4975"/>
    <w:rsid w:val="006F4FFB"/>
    <w:rsid w:val="006F524D"/>
    <w:rsid w:val="006F570B"/>
    <w:rsid w:val="006F57FC"/>
    <w:rsid w:val="006F5842"/>
    <w:rsid w:val="006F5DE9"/>
    <w:rsid w:val="006F6FF9"/>
    <w:rsid w:val="006F7329"/>
    <w:rsid w:val="006F7A47"/>
    <w:rsid w:val="006F7BE9"/>
    <w:rsid w:val="006F7E87"/>
    <w:rsid w:val="007000AE"/>
    <w:rsid w:val="0070012A"/>
    <w:rsid w:val="007001CC"/>
    <w:rsid w:val="0070033E"/>
    <w:rsid w:val="00700B6C"/>
    <w:rsid w:val="00700B96"/>
    <w:rsid w:val="00700FF6"/>
    <w:rsid w:val="0070101F"/>
    <w:rsid w:val="00701D26"/>
    <w:rsid w:val="00702EEA"/>
    <w:rsid w:val="007033F7"/>
    <w:rsid w:val="00703675"/>
    <w:rsid w:val="00704E67"/>
    <w:rsid w:val="00704EE0"/>
    <w:rsid w:val="00705587"/>
    <w:rsid w:val="007055C9"/>
    <w:rsid w:val="007056A3"/>
    <w:rsid w:val="007059CE"/>
    <w:rsid w:val="007063F4"/>
    <w:rsid w:val="007068FA"/>
    <w:rsid w:val="00706A1D"/>
    <w:rsid w:val="00706B2B"/>
    <w:rsid w:val="007070B5"/>
    <w:rsid w:val="00707208"/>
    <w:rsid w:val="007072B9"/>
    <w:rsid w:val="0071017D"/>
    <w:rsid w:val="007101C2"/>
    <w:rsid w:val="00710D7E"/>
    <w:rsid w:val="007113B9"/>
    <w:rsid w:val="00712035"/>
    <w:rsid w:val="0071221B"/>
    <w:rsid w:val="007126BC"/>
    <w:rsid w:val="007128D0"/>
    <w:rsid w:val="00712F75"/>
    <w:rsid w:val="00712FAB"/>
    <w:rsid w:val="007133FE"/>
    <w:rsid w:val="00713755"/>
    <w:rsid w:val="00714002"/>
    <w:rsid w:val="007144B9"/>
    <w:rsid w:val="007145C2"/>
    <w:rsid w:val="007149CB"/>
    <w:rsid w:val="00714C2A"/>
    <w:rsid w:val="00714C77"/>
    <w:rsid w:val="00714E49"/>
    <w:rsid w:val="0071630D"/>
    <w:rsid w:val="00716372"/>
    <w:rsid w:val="007167BD"/>
    <w:rsid w:val="0071709E"/>
    <w:rsid w:val="00717A40"/>
    <w:rsid w:val="00717D08"/>
    <w:rsid w:val="007203B7"/>
    <w:rsid w:val="00720E8B"/>
    <w:rsid w:val="00721831"/>
    <w:rsid w:val="00721842"/>
    <w:rsid w:val="007219AD"/>
    <w:rsid w:val="00721E18"/>
    <w:rsid w:val="00721FEB"/>
    <w:rsid w:val="00722038"/>
    <w:rsid w:val="00722302"/>
    <w:rsid w:val="007225A5"/>
    <w:rsid w:val="00722A6A"/>
    <w:rsid w:val="00723887"/>
    <w:rsid w:val="0072389D"/>
    <w:rsid w:val="00723CE6"/>
    <w:rsid w:val="00725299"/>
    <w:rsid w:val="00725A62"/>
    <w:rsid w:val="00725E27"/>
    <w:rsid w:val="00726192"/>
    <w:rsid w:val="007264BE"/>
    <w:rsid w:val="007266CD"/>
    <w:rsid w:val="00726723"/>
    <w:rsid w:val="007268D2"/>
    <w:rsid w:val="00727103"/>
    <w:rsid w:val="00727494"/>
    <w:rsid w:val="007276D7"/>
    <w:rsid w:val="00727ACE"/>
    <w:rsid w:val="007308FF"/>
    <w:rsid w:val="00730C4C"/>
    <w:rsid w:val="00730FDA"/>
    <w:rsid w:val="00731381"/>
    <w:rsid w:val="00732466"/>
    <w:rsid w:val="00732CA8"/>
    <w:rsid w:val="007334B2"/>
    <w:rsid w:val="007338A6"/>
    <w:rsid w:val="00733BBC"/>
    <w:rsid w:val="00733FC5"/>
    <w:rsid w:val="00734557"/>
    <w:rsid w:val="00734748"/>
    <w:rsid w:val="007354BB"/>
    <w:rsid w:val="007354E2"/>
    <w:rsid w:val="00735BFA"/>
    <w:rsid w:val="00736B87"/>
    <w:rsid w:val="00737029"/>
    <w:rsid w:val="0073711A"/>
    <w:rsid w:val="00737617"/>
    <w:rsid w:val="00740E87"/>
    <w:rsid w:val="00741527"/>
    <w:rsid w:val="00741DD4"/>
    <w:rsid w:val="0074233A"/>
    <w:rsid w:val="007423AF"/>
    <w:rsid w:val="007431EE"/>
    <w:rsid w:val="00743CF5"/>
    <w:rsid w:val="00743CF6"/>
    <w:rsid w:val="00745021"/>
    <w:rsid w:val="0074538E"/>
    <w:rsid w:val="007453E0"/>
    <w:rsid w:val="00745860"/>
    <w:rsid w:val="007459D9"/>
    <w:rsid w:val="00745BA8"/>
    <w:rsid w:val="00746178"/>
    <w:rsid w:val="007467DF"/>
    <w:rsid w:val="00746FD3"/>
    <w:rsid w:val="00747204"/>
    <w:rsid w:val="00750CBF"/>
    <w:rsid w:val="00750D26"/>
    <w:rsid w:val="00750E73"/>
    <w:rsid w:val="00751074"/>
    <w:rsid w:val="007510C8"/>
    <w:rsid w:val="007524C0"/>
    <w:rsid w:val="007527AD"/>
    <w:rsid w:val="00752CD4"/>
    <w:rsid w:val="007539DF"/>
    <w:rsid w:val="00753BC7"/>
    <w:rsid w:val="00753DF0"/>
    <w:rsid w:val="0075443E"/>
    <w:rsid w:val="00754CD5"/>
    <w:rsid w:val="00754F88"/>
    <w:rsid w:val="007559F7"/>
    <w:rsid w:val="00755A97"/>
    <w:rsid w:val="00755CAC"/>
    <w:rsid w:val="00755F9B"/>
    <w:rsid w:val="0075633B"/>
    <w:rsid w:val="00756C73"/>
    <w:rsid w:val="00756D61"/>
    <w:rsid w:val="00756F3E"/>
    <w:rsid w:val="00757B66"/>
    <w:rsid w:val="00757B80"/>
    <w:rsid w:val="007602B7"/>
    <w:rsid w:val="00760578"/>
    <w:rsid w:val="00761294"/>
    <w:rsid w:val="00761B2F"/>
    <w:rsid w:val="0076279D"/>
    <w:rsid w:val="00762D92"/>
    <w:rsid w:val="007636BC"/>
    <w:rsid w:val="00763D4C"/>
    <w:rsid w:val="00764FA8"/>
    <w:rsid w:val="007651CA"/>
    <w:rsid w:val="00765905"/>
    <w:rsid w:val="00765D85"/>
    <w:rsid w:val="007663D6"/>
    <w:rsid w:val="0076649E"/>
    <w:rsid w:val="007664E9"/>
    <w:rsid w:val="00766D3E"/>
    <w:rsid w:val="00766F0E"/>
    <w:rsid w:val="00767578"/>
    <w:rsid w:val="00767A3B"/>
    <w:rsid w:val="00767F36"/>
    <w:rsid w:val="007722D3"/>
    <w:rsid w:val="007725F3"/>
    <w:rsid w:val="00772B61"/>
    <w:rsid w:val="0077313D"/>
    <w:rsid w:val="00773200"/>
    <w:rsid w:val="00773A1C"/>
    <w:rsid w:val="00773D2F"/>
    <w:rsid w:val="007740B3"/>
    <w:rsid w:val="007740BA"/>
    <w:rsid w:val="007747F8"/>
    <w:rsid w:val="007756DB"/>
    <w:rsid w:val="00775D47"/>
    <w:rsid w:val="00776437"/>
    <w:rsid w:val="00776771"/>
    <w:rsid w:val="00776B9B"/>
    <w:rsid w:val="00776C4C"/>
    <w:rsid w:val="00776DD5"/>
    <w:rsid w:val="00776FC8"/>
    <w:rsid w:val="00780171"/>
    <w:rsid w:val="0078149B"/>
    <w:rsid w:val="00781610"/>
    <w:rsid w:val="007817DE"/>
    <w:rsid w:val="007818FA"/>
    <w:rsid w:val="00781FED"/>
    <w:rsid w:val="0078200E"/>
    <w:rsid w:val="00782C4D"/>
    <w:rsid w:val="00782D82"/>
    <w:rsid w:val="007843C6"/>
    <w:rsid w:val="00784BD7"/>
    <w:rsid w:val="00786A84"/>
    <w:rsid w:val="00786B40"/>
    <w:rsid w:val="00786CB8"/>
    <w:rsid w:val="00787010"/>
    <w:rsid w:val="00787D4E"/>
    <w:rsid w:val="00790165"/>
    <w:rsid w:val="00790597"/>
    <w:rsid w:val="0079180B"/>
    <w:rsid w:val="00791B1A"/>
    <w:rsid w:val="007925CF"/>
    <w:rsid w:val="0079516E"/>
    <w:rsid w:val="007954A7"/>
    <w:rsid w:val="0079626F"/>
    <w:rsid w:val="0079641C"/>
    <w:rsid w:val="0079676C"/>
    <w:rsid w:val="007969B4"/>
    <w:rsid w:val="007979E5"/>
    <w:rsid w:val="00797CDE"/>
    <w:rsid w:val="00797DCD"/>
    <w:rsid w:val="007A016E"/>
    <w:rsid w:val="007A0487"/>
    <w:rsid w:val="007A1128"/>
    <w:rsid w:val="007A1548"/>
    <w:rsid w:val="007A198D"/>
    <w:rsid w:val="007A1E97"/>
    <w:rsid w:val="007A21C7"/>
    <w:rsid w:val="007A2C0F"/>
    <w:rsid w:val="007A3DA5"/>
    <w:rsid w:val="007A5039"/>
    <w:rsid w:val="007A5374"/>
    <w:rsid w:val="007A566E"/>
    <w:rsid w:val="007A64DC"/>
    <w:rsid w:val="007A668A"/>
    <w:rsid w:val="007A675B"/>
    <w:rsid w:val="007A6930"/>
    <w:rsid w:val="007A6C7F"/>
    <w:rsid w:val="007A6FAD"/>
    <w:rsid w:val="007A7117"/>
    <w:rsid w:val="007A777B"/>
    <w:rsid w:val="007B06C6"/>
    <w:rsid w:val="007B0BE0"/>
    <w:rsid w:val="007B0C6F"/>
    <w:rsid w:val="007B1105"/>
    <w:rsid w:val="007B13BD"/>
    <w:rsid w:val="007B1490"/>
    <w:rsid w:val="007B1671"/>
    <w:rsid w:val="007B17FA"/>
    <w:rsid w:val="007B18E5"/>
    <w:rsid w:val="007B2800"/>
    <w:rsid w:val="007B338A"/>
    <w:rsid w:val="007B3408"/>
    <w:rsid w:val="007B3AC1"/>
    <w:rsid w:val="007B44D6"/>
    <w:rsid w:val="007B450A"/>
    <w:rsid w:val="007B4C78"/>
    <w:rsid w:val="007B4D9D"/>
    <w:rsid w:val="007B517E"/>
    <w:rsid w:val="007B6647"/>
    <w:rsid w:val="007B6B58"/>
    <w:rsid w:val="007B6CCD"/>
    <w:rsid w:val="007B7125"/>
    <w:rsid w:val="007B726D"/>
    <w:rsid w:val="007B74CE"/>
    <w:rsid w:val="007B7910"/>
    <w:rsid w:val="007B7D99"/>
    <w:rsid w:val="007C04F8"/>
    <w:rsid w:val="007C0D18"/>
    <w:rsid w:val="007C1557"/>
    <w:rsid w:val="007C212D"/>
    <w:rsid w:val="007C293F"/>
    <w:rsid w:val="007C3A11"/>
    <w:rsid w:val="007C4865"/>
    <w:rsid w:val="007C4CA6"/>
    <w:rsid w:val="007C4F22"/>
    <w:rsid w:val="007C5D81"/>
    <w:rsid w:val="007C6192"/>
    <w:rsid w:val="007C64D7"/>
    <w:rsid w:val="007C6969"/>
    <w:rsid w:val="007C6B17"/>
    <w:rsid w:val="007C6E2E"/>
    <w:rsid w:val="007C7D0C"/>
    <w:rsid w:val="007D2383"/>
    <w:rsid w:val="007D2C6E"/>
    <w:rsid w:val="007D3730"/>
    <w:rsid w:val="007D37F6"/>
    <w:rsid w:val="007D4285"/>
    <w:rsid w:val="007D43EA"/>
    <w:rsid w:val="007D4483"/>
    <w:rsid w:val="007D4B04"/>
    <w:rsid w:val="007D526D"/>
    <w:rsid w:val="007D57F8"/>
    <w:rsid w:val="007D5E0E"/>
    <w:rsid w:val="007D5EE4"/>
    <w:rsid w:val="007D6B0A"/>
    <w:rsid w:val="007D6C16"/>
    <w:rsid w:val="007D707E"/>
    <w:rsid w:val="007D70BB"/>
    <w:rsid w:val="007D70EE"/>
    <w:rsid w:val="007D717D"/>
    <w:rsid w:val="007E03E2"/>
    <w:rsid w:val="007E05F6"/>
    <w:rsid w:val="007E097C"/>
    <w:rsid w:val="007E1B4A"/>
    <w:rsid w:val="007E1D23"/>
    <w:rsid w:val="007E1E42"/>
    <w:rsid w:val="007E1EAB"/>
    <w:rsid w:val="007E210F"/>
    <w:rsid w:val="007E27D8"/>
    <w:rsid w:val="007E377F"/>
    <w:rsid w:val="007E37A0"/>
    <w:rsid w:val="007E3C72"/>
    <w:rsid w:val="007E4568"/>
    <w:rsid w:val="007E480F"/>
    <w:rsid w:val="007E5509"/>
    <w:rsid w:val="007E5823"/>
    <w:rsid w:val="007E5F83"/>
    <w:rsid w:val="007E6990"/>
    <w:rsid w:val="007E6D48"/>
    <w:rsid w:val="007F03F1"/>
    <w:rsid w:val="007F0E75"/>
    <w:rsid w:val="007F1022"/>
    <w:rsid w:val="007F13AB"/>
    <w:rsid w:val="007F17AB"/>
    <w:rsid w:val="007F1C6E"/>
    <w:rsid w:val="007F37DD"/>
    <w:rsid w:val="007F4027"/>
    <w:rsid w:val="007F49DF"/>
    <w:rsid w:val="007F504B"/>
    <w:rsid w:val="007F532A"/>
    <w:rsid w:val="007F55D0"/>
    <w:rsid w:val="007F5BA7"/>
    <w:rsid w:val="007F5BC3"/>
    <w:rsid w:val="007F65FF"/>
    <w:rsid w:val="00800C6A"/>
    <w:rsid w:val="00801181"/>
    <w:rsid w:val="00801676"/>
    <w:rsid w:val="0080175F"/>
    <w:rsid w:val="0080268F"/>
    <w:rsid w:val="00802CCE"/>
    <w:rsid w:val="00803C67"/>
    <w:rsid w:val="00803D6A"/>
    <w:rsid w:val="0080451B"/>
    <w:rsid w:val="008048AD"/>
    <w:rsid w:val="00805712"/>
    <w:rsid w:val="00805EC7"/>
    <w:rsid w:val="00806D58"/>
    <w:rsid w:val="008102B6"/>
    <w:rsid w:val="00810AC2"/>
    <w:rsid w:val="00812631"/>
    <w:rsid w:val="00812872"/>
    <w:rsid w:val="00812B2B"/>
    <w:rsid w:val="00813154"/>
    <w:rsid w:val="00814DA7"/>
    <w:rsid w:val="00814EC0"/>
    <w:rsid w:val="00814F9C"/>
    <w:rsid w:val="00815575"/>
    <w:rsid w:val="0081610B"/>
    <w:rsid w:val="008171BC"/>
    <w:rsid w:val="0081740B"/>
    <w:rsid w:val="00817B3A"/>
    <w:rsid w:val="00820C2C"/>
    <w:rsid w:val="00820F66"/>
    <w:rsid w:val="00821BB3"/>
    <w:rsid w:val="008223E4"/>
    <w:rsid w:val="00822995"/>
    <w:rsid w:val="00822F43"/>
    <w:rsid w:val="00822FCE"/>
    <w:rsid w:val="00823EF5"/>
    <w:rsid w:val="0082419E"/>
    <w:rsid w:val="008249A6"/>
    <w:rsid w:val="00830263"/>
    <w:rsid w:val="0083026F"/>
    <w:rsid w:val="00831088"/>
    <w:rsid w:val="0083238E"/>
    <w:rsid w:val="00832EFC"/>
    <w:rsid w:val="00833769"/>
    <w:rsid w:val="00833929"/>
    <w:rsid w:val="00834094"/>
    <w:rsid w:val="008340C1"/>
    <w:rsid w:val="00834823"/>
    <w:rsid w:val="008352E9"/>
    <w:rsid w:val="00835391"/>
    <w:rsid w:val="00835665"/>
    <w:rsid w:val="008359F7"/>
    <w:rsid w:val="008366AB"/>
    <w:rsid w:val="008369FD"/>
    <w:rsid w:val="00836E94"/>
    <w:rsid w:val="008374AF"/>
    <w:rsid w:val="00837746"/>
    <w:rsid w:val="008402D0"/>
    <w:rsid w:val="008408C8"/>
    <w:rsid w:val="00840BC2"/>
    <w:rsid w:val="00840C40"/>
    <w:rsid w:val="00840EA3"/>
    <w:rsid w:val="0084130A"/>
    <w:rsid w:val="00841E24"/>
    <w:rsid w:val="00842A05"/>
    <w:rsid w:val="00842B18"/>
    <w:rsid w:val="00842D4C"/>
    <w:rsid w:val="008433FC"/>
    <w:rsid w:val="0084388F"/>
    <w:rsid w:val="00843CEB"/>
    <w:rsid w:val="00843D74"/>
    <w:rsid w:val="00844175"/>
    <w:rsid w:val="00844D85"/>
    <w:rsid w:val="00845498"/>
    <w:rsid w:val="008457D9"/>
    <w:rsid w:val="00845A07"/>
    <w:rsid w:val="00845F5B"/>
    <w:rsid w:val="00845F97"/>
    <w:rsid w:val="008462DA"/>
    <w:rsid w:val="008465D7"/>
    <w:rsid w:val="00846FD5"/>
    <w:rsid w:val="008470CF"/>
    <w:rsid w:val="008476FE"/>
    <w:rsid w:val="0084785B"/>
    <w:rsid w:val="00850D49"/>
    <w:rsid w:val="00851221"/>
    <w:rsid w:val="00851EA4"/>
    <w:rsid w:val="008525AC"/>
    <w:rsid w:val="0085266F"/>
    <w:rsid w:val="0085305E"/>
    <w:rsid w:val="00853B6B"/>
    <w:rsid w:val="00853F39"/>
    <w:rsid w:val="00854172"/>
    <w:rsid w:val="0085462D"/>
    <w:rsid w:val="00855B8C"/>
    <w:rsid w:val="00855FFF"/>
    <w:rsid w:val="00856049"/>
    <w:rsid w:val="0085648E"/>
    <w:rsid w:val="0085684E"/>
    <w:rsid w:val="0085689C"/>
    <w:rsid w:val="008571D2"/>
    <w:rsid w:val="008574DC"/>
    <w:rsid w:val="00857B03"/>
    <w:rsid w:val="00860E1D"/>
    <w:rsid w:val="00861AE4"/>
    <w:rsid w:val="00861E45"/>
    <w:rsid w:val="00862818"/>
    <w:rsid w:val="00862833"/>
    <w:rsid w:val="00862C53"/>
    <w:rsid w:val="0086301B"/>
    <w:rsid w:val="008633AF"/>
    <w:rsid w:val="0086347D"/>
    <w:rsid w:val="00864582"/>
    <w:rsid w:val="00864879"/>
    <w:rsid w:val="00864997"/>
    <w:rsid w:val="00864FBF"/>
    <w:rsid w:val="0086547B"/>
    <w:rsid w:val="008659F0"/>
    <w:rsid w:val="008662A1"/>
    <w:rsid w:val="0086672C"/>
    <w:rsid w:val="00867192"/>
    <w:rsid w:val="008700A9"/>
    <w:rsid w:val="008701B9"/>
    <w:rsid w:val="0087022C"/>
    <w:rsid w:val="0087063E"/>
    <w:rsid w:val="00870D44"/>
    <w:rsid w:val="00871CBE"/>
    <w:rsid w:val="00872F80"/>
    <w:rsid w:val="0087371B"/>
    <w:rsid w:val="00875369"/>
    <w:rsid w:val="0087573F"/>
    <w:rsid w:val="00875A4F"/>
    <w:rsid w:val="00875C2F"/>
    <w:rsid w:val="0087662D"/>
    <w:rsid w:val="008769A7"/>
    <w:rsid w:val="00876A16"/>
    <w:rsid w:val="00876C60"/>
    <w:rsid w:val="00876D3C"/>
    <w:rsid w:val="00877F4A"/>
    <w:rsid w:val="00880195"/>
    <w:rsid w:val="008803B6"/>
    <w:rsid w:val="008803D0"/>
    <w:rsid w:val="00881197"/>
    <w:rsid w:val="00881DCD"/>
    <w:rsid w:val="008827CD"/>
    <w:rsid w:val="00882881"/>
    <w:rsid w:val="00882E42"/>
    <w:rsid w:val="00883EA1"/>
    <w:rsid w:val="00884C2B"/>
    <w:rsid w:val="00884DFB"/>
    <w:rsid w:val="00885626"/>
    <w:rsid w:val="00885BC6"/>
    <w:rsid w:val="0088691E"/>
    <w:rsid w:val="00886DF1"/>
    <w:rsid w:val="00886EE8"/>
    <w:rsid w:val="00886F17"/>
    <w:rsid w:val="00887121"/>
    <w:rsid w:val="00887F83"/>
    <w:rsid w:val="0089015B"/>
    <w:rsid w:val="00890930"/>
    <w:rsid w:val="00890B49"/>
    <w:rsid w:val="00890F7B"/>
    <w:rsid w:val="008921F1"/>
    <w:rsid w:val="008934D0"/>
    <w:rsid w:val="00893DBD"/>
    <w:rsid w:val="008945C2"/>
    <w:rsid w:val="008952D2"/>
    <w:rsid w:val="00895A8D"/>
    <w:rsid w:val="00895CDA"/>
    <w:rsid w:val="008960A3"/>
    <w:rsid w:val="0089675B"/>
    <w:rsid w:val="00896ADB"/>
    <w:rsid w:val="0089782F"/>
    <w:rsid w:val="008978E7"/>
    <w:rsid w:val="008A0314"/>
    <w:rsid w:val="008A2403"/>
    <w:rsid w:val="008A2F2A"/>
    <w:rsid w:val="008A3705"/>
    <w:rsid w:val="008A3F73"/>
    <w:rsid w:val="008A449B"/>
    <w:rsid w:val="008A44B7"/>
    <w:rsid w:val="008A4BA0"/>
    <w:rsid w:val="008A520D"/>
    <w:rsid w:val="008A56BD"/>
    <w:rsid w:val="008A5AA0"/>
    <w:rsid w:val="008A5B04"/>
    <w:rsid w:val="008A642A"/>
    <w:rsid w:val="008A78B2"/>
    <w:rsid w:val="008B01BB"/>
    <w:rsid w:val="008B06AD"/>
    <w:rsid w:val="008B1812"/>
    <w:rsid w:val="008B19DE"/>
    <w:rsid w:val="008B2657"/>
    <w:rsid w:val="008B36C4"/>
    <w:rsid w:val="008B42B8"/>
    <w:rsid w:val="008B4353"/>
    <w:rsid w:val="008B4876"/>
    <w:rsid w:val="008B491A"/>
    <w:rsid w:val="008B4BEE"/>
    <w:rsid w:val="008B4CAC"/>
    <w:rsid w:val="008B5261"/>
    <w:rsid w:val="008B5362"/>
    <w:rsid w:val="008C0658"/>
    <w:rsid w:val="008C0988"/>
    <w:rsid w:val="008C0995"/>
    <w:rsid w:val="008C0A79"/>
    <w:rsid w:val="008C0BA1"/>
    <w:rsid w:val="008C1533"/>
    <w:rsid w:val="008C15E4"/>
    <w:rsid w:val="008C22A6"/>
    <w:rsid w:val="008C239D"/>
    <w:rsid w:val="008C23AD"/>
    <w:rsid w:val="008C2419"/>
    <w:rsid w:val="008C2AC5"/>
    <w:rsid w:val="008C2BB4"/>
    <w:rsid w:val="008C31C8"/>
    <w:rsid w:val="008C329A"/>
    <w:rsid w:val="008C4054"/>
    <w:rsid w:val="008C441C"/>
    <w:rsid w:val="008C4598"/>
    <w:rsid w:val="008C6423"/>
    <w:rsid w:val="008C66BF"/>
    <w:rsid w:val="008C6993"/>
    <w:rsid w:val="008C7274"/>
    <w:rsid w:val="008C7B59"/>
    <w:rsid w:val="008C7F9C"/>
    <w:rsid w:val="008D1146"/>
    <w:rsid w:val="008D1761"/>
    <w:rsid w:val="008D18E2"/>
    <w:rsid w:val="008D2534"/>
    <w:rsid w:val="008D34E5"/>
    <w:rsid w:val="008D3C7E"/>
    <w:rsid w:val="008D3F9B"/>
    <w:rsid w:val="008D41ED"/>
    <w:rsid w:val="008D53DD"/>
    <w:rsid w:val="008D5F43"/>
    <w:rsid w:val="008D60D9"/>
    <w:rsid w:val="008D6498"/>
    <w:rsid w:val="008D6AA6"/>
    <w:rsid w:val="008D729F"/>
    <w:rsid w:val="008D731F"/>
    <w:rsid w:val="008D78DB"/>
    <w:rsid w:val="008D7CAE"/>
    <w:rsid w:val="008D7CC0"/>
    <w:rsid w:val="008E0890"/>
    <w:rsid w:val="008E09A6"/>
    <w:rsid w:val="008E0B63"/>
    <w:rsid w:val="008E0C2D"/>
    <w:rsid w:val="008E1369"/>
    <w:rsid w:val="008E13A2"/>
    <w:rsid w:val="008E1841"/>
    <w:rsid w:val="008E1DA1"/>
    <w:rsid w:val="008E2A9B"/>
    <w:rsid w:val="008E2EAE"/>
    <w:rsid w:val="008E54B7"/>
    <w:rsid w:val="008E59EE"/>
    <w:rsid w:val="008E6133"/>
    <w:rsid w:val="008E71B3"/>
    <w:rsid w:val="008E7AA5"/>
    <w:rsid w:val="008F0862"/>
    <w:rsid w:val="008F0864"/>
    <w:rsid w:val="008F0BAE"/>
    <w:rsid w:val="008F1280"/>
    <w:rsid w:val="008F1293"/>
    <w:rsid w:val="008F1E0C"/>
    <w:rsid w:val="008F2036"/>
    <w:rsid w:val="008F2753"/>
    <w:rsid w:val="008F2D4F"/>
    <w:rsid w:val="008F3C04"/>
    <w:rsid w:val="008F3D40"/>
    <w:rsid w:val="008F46C3"/>
    <w:rsid w:val="008F4737"/>
    <w:rsid w:val="008F4F80"/>
    <w:rsid w:val="008F57B6"/>
    <w:rsid w:val="008F58E8"/>
    <w:rsid w:val="008F58EC"/>
    <w:rsid w:val="008F5F98"/>
    <w:rsid w:val="00900638"/>
    <w:rsid w:val="00900DC1"/>
    <w:rsid w:val="00900E54"/>
    <w:rsid w:val="00900E55"/>
    <w:rsid w:val="00900E67"/>
    <w:rsid w:val="009010EC"/>
    <w:rsid w:val="009017D9"/>
    <w:rsid w:val="00903378"/>
    <w:rsid w:val="00903734"/>
    <w:rsid w:val="00903DC3"/>
    <w:rsid w:val="00903DF2"/>
    <w:rsid w:val="00903F32"/>
    <w:rsid w:val="0090455B"/>
    <w:rsid w:val="00905647"/>
    <w:rsid w:val="00905790"/>
    <w:rsid w:val="00905B36"/>
    <w:rsid w:val="00905C16"/>
    <w:rsid w:val="00905D0D"/>
    <w:rsid w:val="00905E96"/>
    <w:rsid w:val="00906246"/>
    <w:rsid w:val="00906435"/>
    <w:rsid w:val="0090664F"/>
    <w:rsid w:val="00907BE7"/>
    <w:rsid w:val="00910023"/>
    <w:rsid w:val="0091085F"/>
    <w:rsid w:val="0091147D"/>
    <w:rsid w:val="00912F7B"/>
    <w:rsid w:val="0091341C"/>
    <w:rsid w:val="00914077"/>
    <w:rsid w:val="009140E5"/>
    <w:rsid w:val="0091418B"/>
    <w:rsid w:val="00914415"/>
    <w:rsid w:val="00914D49"/>
    <w:rsid w:val="00914FB4"/>
    <w:rsid w:val="0091530A"/>
    <w:rsid w:val="00915701"/>
    <w:rsid w:val="00915879"/>
    <w:rsid w:val="0091667C"/>
    <w:rsid w:val="00917381"/>
    <w:rsid w:val="00917488"/>
    <w:rsid w:val="00917A49"/>
    <w:rsid w:val="00917D41"/>
    <w:rsid w:val="00920C99"/>
    <w:rsid w:val="0092149D"/>
    <w:rsid w:val="00921D2A"/>
    <w:rsid w:val="00923142"/>
    <w:rsid w:val="00924381"/>
    <w:rsid w:val="00924EEB"/>
    <w:rsid w:val="00925129"/>
    <w:rsid w:val="00925309"/>
    <w:rsid w:val="0092595C"/>
    <w:rsid w:val="00925BD3"/>
    <w:rsid w:val="00925CB5"/>
    <w:rsid w:val="00925E46"/>
    <w:rsid w:val="0092635A"/>
    <w:rsid w:val="009263DD"/>
    <w:rsid w:val="009267FE"/>
    <w:rsid w:val="00926D47"/>
    <w:rsid w:val="00927250"/>
    <w:rsid w:val="009272E3"/>
    <w:rsid w:val="009272E8"/>
    <w:rsid w:val="00927629"/>
    <w:rsid w:val="00927C53"/>
    <w:rsid w:val="0093018C"/>
    <w:rsid w:val="00930492"/>
    <w:rsid w:val="00930796"/>
    <w:rsid w:val="00930ACF"/>
    <w:rsid w:val="0093107D"/>
    <w:rsid w:val="009315F3"/>
    <w:rsid w:val="0093192F"/>
    <w:rsid w:val="0093217E"/>
    <w:rsid w:val="0093357F"/>
    <w:rsid w:val="00933581"/>
    <w:rsid w:val="009338FE"/>
    <w:rsid w:val="00933DC0"/>
    <w:rsid w:val="009340F7"/>
    <w:rsid w:val="009342F2"/>
    <w:rsid w:val="00934353"/>
    <w:rsid w:val="009354B9"/>
    <w:rsid w:val="00935709"/>
    <w:rsid w:val="009358C0"/>
    <w:rsid w:val="00935C9D"/>
    <w:rsid w:val="00936109"/>
    <w:rsid w:val="0093677C"/>
    <w:rsid w:val="00936846"/>
    <w:rsid w:val="009368E0"/>
    <w:rsid w:val="00936B46"/>
    <w:rsid w:val="009370D6"/>
    <w:rsid w:val="009377A7"/>
    <w:rsid w:val="009406B9"/>
    <w:rsid w:val="00940D55"/>
    <w:rsid w:val="00941272"/>
    <w:rsid w:val="00941707"/>
    <w:rsid w:val="00941C23"/>
    <w:rsid w:val="00941F2C"/>
    <w:rsid w:val="0094300D"/>
    <w:rsid w:val="009435CE"/>
    <w:rsid w:val="0094367D"/>
    <w:rsid w:val="00945D62"/>
    <w:rsid w:val="0094651C"/>
    <w:rsid w:val="00946633"/>
    <w:rsid w:val="00946BD8"/>
    <w:rsid w:val="00946D56"/>
    <w:rsid w:val="0094726B"/>
    <w:rsid w:val="00947459"/>
    <w:rsid w:val="00947EC2"/>
    <w:rsid w:val="00950641"/>
    <w:rsid w:val="00950BF4"/>
    <w:rsid w:val="00950C50"/>
    <w:rsid w:val="00950ED4"/>
    <w:rsid w:val="00951F3C"/>
    <w:rsid w:val="009521AC"/>
    <w:rsid w:val="00952B1E"/>
    <w:rsid w:val="009556F0"/>
    <w:rsid w:val="00955BAD"/>
    <w:rsid w:val="00955BCB"/>
    <w:rsid w:val="00956139"/>
    <w:rsid w:val="00957064"/>
    <w:rsid w:val="009576D2"/>
    <w:rsid w:val="00957E8F"/>
    <w:rsid w:val="009603B7"/>
    <w:rsid w:val="00960C6B"/>
    <w:rsid w:val="00960DD7"/>
    <w:rsid w:val="009610D8"/>
    <w:rsid w:val="00962D0D"/>
    <w:rsid w:val="00962D16"/>
    <w:rsid w:val="0096304B"/>
    <w:rsid w:val="00963088"/>
    <w:rsid w:val="00963463"/>
    <w:rsid w:val="00963A68"/>
    <w:rsid w:val="00963E47"/>
    <w:rsid w:val="00964186"/>
    <w:rsid w:val="00964629"/>
    <w:rsid w:val="009658A8"/>
    <w:rsid w:val="00966172"/>
    <w:rsid w:val="009664ED"/>
    <w:rsid w:val="009670A8"/>
    <w:rsid w:val="009670F0"/>
    <w:rsid w:val="00967111"/>
    <w:rsid w:val="009702DD"/>
    <w:rsid w:val="00970529"/>
    <w:rsid w:val="00970893"/>
    <w:rsid w:val="00970E15"/>
    <w:rsid w:val="00973103"/>
    <w:rsid w:val="00973769"/>
    <w:rsid w:val="009743A7"/>
    <w:rsid w:val="009746CA"/>
    <w:rsid w:val="00974E66"/>
    <w:rsid w:val="009754D0"/>
    <w:rsid w:val="00975A6E"/>
    <w:rsid w:val="00975AD5"/>
    <w:rsid w:val="00975D3C"/>
    <w:rsid w:val="0097634F"/>
    <w:rsid w:val="00976E6A"/>
    <w:rsid w:val="009775B3"/>
    <w:rsid w:val="00977ED9"/>
    <w:rsid w:val="0098054B"/>
    <w:rsid w:val="00980F1A"/>
    <w:rsid w:val="0098147B"/>
    <w:rsid w:val="00982170"/>
    <w:rsid w:val="00982313"/>
    <w:rsid w:val="009823F9"/>
    <w:rsid w:val="00982677"/>
    <w:rsid w:val="00982EF4"/>
    <w:rsid w:val="009836B0"/>
    <w:rsid w:val="00983812"/>
    <w:rsid w:val="00983A37"/>
    <w:rsid w:val="00984393"/>
    <w:rsid w:val="009844E9"/>
    <w:rsid w:val="00984D39"/>
    <w:rsid w:val="00986495"/>
    <w:rsid w:val="00986793"/>
    <w:rsid w:val="00986E22"/>
    <w:rsid w:val="0098798A"/>
    <w:rsid w:val="00987BA8"/>
    <w:rsid w:val="00987C1B"/>
    <w:rsid w:val="00990AD3"/>
    <w:rsid w:val="00990EEE"/>
    <w:rsid w:val="00991794"/>
    <w:rsid w:val="00991CB0"/>
    <w:rsid w:val="00991F6A"/>
    <w:rsid w:val="009920DB"/>
    <w:rsid w:val="00992359"/>
    <w:rsid w:val="009924FD"/>
    <w:rsid w:val="00993702"/>
    <w:rsid w:val="00993AE9"/>
    <w:rsid w:val="00993BAA"/>
    <w:rsid w:val="009947FB"/>
    <w:rsid w:val="00994D22"/>
    <w:rsid w:val="0099589C"/>
    <w:rsid w:val="00995A23"/>
    <w:rsid w:val="00995C30"/>
    <w:rsid w:val="009977FA"/>
    <w:rsid w:val="00997C91"/>
    <w:rsid w:val="009A1016"/>
    <w:rsid w:val="009A27E5"/>
    <w:rsid w:val="009A2C90"/>
    <w:rsid w:val="009A3133"/>
    <w:rsid w:val="009A3548"/>
    <w:rsid w:val="009A3E07"/>
    <w:rsid w:val="009A3E23"/>
    <w:rsid w:val="009A3E78"/>
    <w:rsid w:val="009A46A5"/>
    <w:rsid w:val="009A48F3"/>
    <w:rsid w:val="009A49D4"/>
    <w:rsid w:val="009A51D3"/>
    <w:rsid w:val="009A528F"/>
    <w:rsid w:val="009A53A8"/>
    <w:rsid w:val="009A5484"/>
    <w:rsid w:val="009A7D5F"/>
    <w:rsid w:val="009B021F"/>
    <w:rsid w:val="009B024B"/>
    <w:rsid w:val="009B03CA"/>
    <w:rsid w:val="009B06A1"/>
    <w:rsid w:val="009B117C"/>
    <w:rsid w:val="009B120B"/>
    <w:rsid w:val="009B12BC"/>
    <w:rsid w:val="009B14C8"/>
    <w:rsid w:val="009B17DC"/>
    <w:rsid w:val="009B1933"/>
    <w:rsid w:val="009B1A4D"/>
    <w:rsid w:val="009B1C97"/>
    <w:rsid w:val="009B1E77"/>
    <w:rsid w:val="009B3032"/>
    <w:rsid w:val="009B3113"/>
    <w:rsid w:val="009B35D8"/>
    <w:rsid w:val="009B5034"/>
    <w:rsid w:val="009B5BA7"/>
    <w:rsid w:val="009B62DE"/>
    <w:rsid w:val="009B6B8B"/>
    <w:rsid w:val="009B77D3"/>
    <w:rsid w:val="009C19F0"/>
    <w:rsid w:val="009C38C0"/>
    <w:rsid w:val="009C3DCE"/>
    <w:rsid w:val="009C4594"/>
    <w:rsid w:val="009C46DF"/>
    <w:rsid w:val="009C4994"/>
    <w:rsid w:val="009C4CF8"/>
    <w:rsid w:val="009C5225"/>
    <w:rsid w:val="009C5905"/>
    <w:rsid w:val="009C6DB8"/>
    <w:rsid w:val="009C6F4C"/>
    <w:rsid w:val="009C7AFD"/>
    <w:rsid w:val="009D1221"/>
    <w:rsid w:val="009D173C"/>
    <w:rsid w:val="009D20B0"/>
    <w:rsid w:val="009D3507"/>
    <w:rsid w:val="009D384F"/>
    <w:rsid w:val="009D42BD"/>
    <w:rsid w:val="009D4725"/>
    <w:rsid w:val="009D4B05"/>
    <w:rsid w:val="009D56A0"/>
    <w:rsid w:val="009D587E"/>
    <w:rsid w:val="009D5A4C"/>
    <w:rsid w:val="009D61FC"/>
    <w:rsid w:val="009D632B"/>
    <w:rsid w:val="009D7D5D"/>
    <w:rsid w:val="009E06DE"/>
    <w:rsid w:val="009E0FAB"/>
    <w:rsid w:val="009E10BD"/>
    <w:rsid w:val="009E1362"/>
    <w:rsid w:val="009E19DB"/>
    <w:rsid w:val="009E1FE5"/>
    <w:rsid w:val="009E240E"/>
    <w:rsid w:val="009E2D6E"/>
    <w:rsid w:val="009E3730"/>
    <w:rsid w:val="009E3D85"/>
    <w:rsid w:val="009E4437"/>
    <w:rsid w:val="009E44B9"/>
    <w:rsid w:val="009E4D8F"/>
    <w:rsid w:val="009E4DE7"/>
    <w:rsid w:val="009E5750"/>
    <w:rsid w:val="009E5947"/>
    <w:rsid w:val="009E632A"/>
    <w:rsid w:val="009E66BD"/>
    <w:rsid w:val="009E6700"/>
    <w:rsid w:val="009E6C15"/>
    <w:rsid w:val="009E76DD"/>
    <w:rsid w:val="009E7712"/>
    <w:rsid w:val="009F041D"/>
    <w:rsid w:val="009F072C"/>
    <w:rsid w:val="009F1324"/>
    <w:rsid w:val="009F34A3"/>
    <w:rsid w:val="009F3AAD"/>
    <w:rsid w:val="009F3E79"/>
    <w:rsid w:val="009F441B"/>
    <w:rsid w:val="009F45DB"/>
    <w:rsid w:val="009F46E6"/>
    <w:rsid w:val="009F4D65"/>
    <w:rsid w:val="009F5A65"/>
    <w:rsid w:val="009F5D45"/>
    <w:rsid w:val="009F5F03"/>
    <w:rsid w:val="009F6794"/>
    <w:rsid w:val="009F6C0B"/>
    <w:rsid w:val="009F7168"/>
    <w:rsid w:val="009F7524"/>
    <w:rsid w:val="009F7BAC"/>
    <w:rsid w:val="00A00C57"/>
    <w:rsid w:val="00A00D1F"/>
    <w:rsid w:val="00A01349"/>
    <w:rsid w:val="00A018E9"/>
    <w:rsid w:val="00A01ADD"/>
    <w:rsid w:val="00A027BD"/>
    <w:rsid w:val="00A032BE"/>
    <w:rsid w:val="00A0337B"/>
    <w:rsid w:val="00A059DD"/>
    <w:rsid w:val="00A06109"/>
    <w:rsid w:val="00A063E0"/>
    <w:rsid w:val="00A0700C"/>
    <w:rsid w:val="00A072CF"/>
    <w:rsid w:val="00A078DF"/>
    <w:rsid w:val="00A07C92"/>
    <w:rsid w:val="00A11196"/>
    <w:rsid w:val="00A122E1"/>
    <w:rsid w:val="00A1423E"/>
    <w:rsid w:val="00A14545"/>
    <w:rsid w:val="00A14F5E"/>
    <w:rsid w:val="00A14F73"/>
    <w:rsid w:val="00A1515D"/>
    <w:rsid w:val="00A15622"/>
    <w:rsid w:val="00A156E1"/>
    <w:rsid w:val="00A15C5A"/>
    <w:rsid w:val="00A16937"/>
    <w:rsid w:val="00A16E79"/>
    <w:rsid w:val="00A176F2"/>
    <w:rsid w:val="00A17D2D"/>
    <w:rsid w:val="00A17F07"/>
    <w:rsid w:val="00A20263"/>
    <w:rsid w:val="00A20744"/>
    <w:rsid w:val="00A21D12"/>
    <w:rsid w:val="00A22F68"/>
    <w:rsid w:val="00A2348A"/>
    <w:rsid w:val="00A237BE"/>
    <w:rsid w:val="00A24E2D"/>
    <w:rsid w:val="00A250AB"/>
    <w:rsid w:val="00A25624"/>
    <w:rsid w:val="00A2603E"/>
    <w:rsid w:val="00A26897"/>
    <w:rsid w:val="00A26B2B"/>
    <w:rsid w:val="00A27267"/>
    <w:rsid w:val="00A273BF"/>
    <w:rsid w:val="00A27645"/>
    <w:rsid w:val="00A30EFF"/>
    <w:rsid w:val="00A313C9"/>
    <w:rsid w:val="00A31E0B"/>
    <w:rsid w:val="00A320E4"/>
    <w:rsid w:val="00A32320"/>
    <w:rsid w:val="00A32686"/>
    <w:rsid w:val="00A32A19"/>
    <w:rsid w:val="00A32B0B"/>
    <w:rsid w:val="00A32C5A"/>
    <w:rsid w:val="00A3391E"/>
    <w:rsid w:val="00A33A6D"/>
    <w:rsid w:val="00A33D2A"/>
    <w:rsid w:val="00A340B3"/>
    <w:rsid w:val="00A34B3D"/>
    <w:rsid w:val="00A35250"/>
    <w:rsid w:val="00A35560"/>
    <w:rsid w:val="00A356B8"/>
    <w:rsid w:val="00A35EC9"/>
    <w:rsid w:val="00A36395"/>
    <w:rsid w:val="00A36646"/>
    <w:rsid w:val="00A3674E"/>
    <w:rsid w:val="00A36760"/>
    <w:rsid w:val="00A36797"/>
    <w:rsid w:val="00A36D71"/>
    <w:rsid w:val="00A36F69"/>
    <w:rsid w:val="00A3711C"/>
    <w:rsid w:val="00A3742F"/>
    <w:rsid w:val="00A40186"/>
    <w:rsid w:val="00A4076C"/>
    <w:rsid w:val="00A4082E"/>
    <w:rsid w:val="00A42240"/>
    <w:rsid w:val="00A42377"/>
    <w:rsid w:val="00A42ADD"/>
    <w:rsid w:val="00A42FD9"/>
    <w:rsid w:val="00A433EB"/>
    <w:rsid w:val="00A43926"/>
    <w:rsid w:val="00A43972"/>
    <w:rsid w:val="00A4398F"/>
    <w:rsid w:val="00A43A6F"/>
    <w:rsid w:val="00A43D9B"/>
    <w:rsid w:val="00A43E3D"/>
    <w:rsid w:val="00A45DA4"/>
    <w:rsid w:val="00A45DE4"/>
    <w:rsid w:val="00A46113"/>
    <w:rsid w:val="00A461F6"/>
    <w:rsid w:val="00A46CA5"/>
    <w:rsid w:val="00A46D12"/>
    <w:rsid w:val="00A47B31"/>
    <w:rsid w:val="00A50AD0"/>
    <w:rsid w:val="00A50CAF"/>
    <w:rsid w:val="00A5195A"/>
    <w:rsid w:val="00A51F1C"/>
    <w:rsid w:val="00A528DF"/>
    <w:rsid w:val="00A52F17"/>
    <w:rsid w:val="00A556DD"/>
    <w:rsid w:val="00A55973"/>
    <w:rsid w:val="00A562ED"/>
    <w:rsid w:val="00A56C00"/>
    <w:rsid w:val="00A57D1D"/>
    <w:rsid w:val="00A57EF2"/>
    <w:rsid w:val="00A57F40"/>
    <w:rsid w:val="00A601E4"/>
    <w:rsid w:val="00A6040D"/>
    <w:rsid w:val="00A6078F"/>
    <w:rsid w:val="00A60F9D"/>
    <w:rsid w:val="00A616AA"/>
    <w:rsid w:val="00A61DF1"/>
    <w:rsid w:val="00A62070"/>
    <w:rsid w:val="00A621D4"/>
    <w:rsid w:val="00A6286B"/>
    <w:rsid w:val="00A633C7"/>
    <w:rsid w:val="00A63430"/>
    <w:rsid w:val="00A63432"/>
    <w:rsid w:val="00A63815"/>
    <w:rsid w:val="00A63B4E"/>
    <w:rsid w:val="00A64910"/>
    <w:rsid w:val="00A65D04"/>
    <w:rsid w:val="00A65D9F"/>
    <w:rsid w:val="00A66096"/>
    <w:rsid w:val="00A66770"/>
    <w:rsid w:val="00A66EC7"/>
    <w:rsid w:val="00A67EC2"/>
    <w:rsid w:val="00A70EF2"/>
    <w:rsid w:val="00A713B7"/>
    <w:rsid w:val="00A713FF"/>
    <w:rsid w:val="00A71474"/>
    <w:rsid w:val="00A71985"/>
    <w:rsid w:val="00A7372F"/>
    <w:rsid w:val="00A7399E"/>
    <w:rsid w:val="00A7461C"/>
    <w:rsid w:val="00A74DAD"/>
    <w:rsid w:val="00A75473"/>
    <w:rsid w:val="00A7620D"/>
    <w:rsid w:val="00A76A5E"/>
    <w:rsid w:val="00A76B7D"/>
    <w:rsid w:val="00A77B8E"/>
    <w:rsid w:val="00A77C44"/>
    <w:rsid w:val="00A800D1"/>
    <w:rsid w:val="00A808FF"/>
    <w:rsid w:val="00A81821"/>
    <w:rsid w:val="00A818E1"/>
    <w:rsid w:val="00A81E0E"/>
    <w:rsid w:val="00A81FAF"/>
    <w:rsid w:val="00A82771"/>
    <w:rsid w:val="00A83558"/>
    <w:rsid w:val="00A8383C"/>
    <w:rsid w:val="00A83989"/>
    <w:rsid w:val="00A83C6B"/>
    <w:rsid w:val="00A83CB6"/>
    <w:rsid w:val="00A845BA"/>
    <w:rsid w:val="00A8482A"/>
    <w:rsid w:val="00A84AED"/>
    <w:rsid w:val="00A85B9F"/>
    <w:rsid w:val="00A87A6A"/>
    <w:rsid w:val="00A87CE5"/>
    <w:rsid w:val="00A916D7"/>
    <w:rsid w:val="00A9170E"/>
    <w:rsid w:val="00A92B91"/>
    <w:rsid w:val="00A92E5B"/>
    <w:rsid w:val="00A93223"/>
    <w:rsid w:val="00A93D30"/>
    <w:rsid w:val="00A9438B"/>
    <w:rsid w:val="00A95008"/>
    <w:rsid w:val="00A9575F"/>
    <w:rsid w:val="00A95A66"/>
    <w:rsid w:val="00A95CDD"/>
    <w:rsid w:val="00A96002"/>
    <w:rsid w:val="00A96221"/>
    <w:rsid w:val="00A963DC"/>
    <w:rsid w:val="00A964E4"/>
    <w:rsid w:val="00A96613"/>
    <w:rsid w:val="00A96DE7"/>
    <w:rsid w:val="00A9737B"/>
    <w:rsid w:val="00A973DA"/>
    <w:rsid w:val="00A979F5"/>
    <w:rsid w:val="00A97F35"/>
    <w:rsid w:val="00AA11B6"/>
    <w:rsid w:val="00AA1901"/>
    <w:rsid w:val="00AA2315"/>
    <w:rsid w:val="00AA280E"/>
    <w:rsid w:val="00AA2BC7"/>
    <w:rsid w:val="00AA3D1A"/>
    <w:rsid w:val="00AA465C"/>
    <w:rsid w:val="00AA551A"/>
    <w:rsid w:val="00AA56DC"/>
    <w:rsid w:val="00AA5958"/>
    <w:rsid w:val="00AA5AD0"/>
    <w:rsid w:val="00AA632E"/>
    <w:rsid w:val="00AA691A"/>
    <w:rsid w:val="00AA6DCC"/>
    <w:rsid w:val="00AA7938"/>
    <w:rsid w:val="00AB082D"/>
    <w:rsid w:val="00AB0D52"/>
    <w:rsid w:val="00AB0D95"/>
    <w:rsid w:val="00AB1079"/>
    <w:rsid w:val="00AB1796"/>
    <w:rsid w:val="00AB1850"/>
    <w:rsid w:val="00AB1E0E"/>
    <w:rsid w:val="00AB2B2B"/>
    <w:rsid w:val="00AB322B"/>
    <w:rsid w:val="00AB3C8A"/>
    <w:rsid w:val="00AB3D45"/>
    <w:rsid w:val="00AB54C0"/>
    <w:rsid w:val="00AB5B2E"/>
    <w:rsid w:val="00AB5F48"/>
    <w:rsid w:val="00AB5F67"/>
    <w:rsid w:val="00AB64B7"/>
    <w:rsid w:val="00AB65C6"/>
    <w:rsid w:val="00AB6800"/>
    <w:rsid w:val="00AB681F"/>
    <w:rsid w:val="00AB69F2"/>
    <w:rsid w:val="00AB709D"/>
    <w:rsid w:val="00AC05B6"/>
    <w:rsid w:val="00AC098B"/>
    <w:rsid w:val="00AC09F1"/>
    <w:rsid w:val="00AC0CF9"/>
    <w:rsid w:val="00AC1B67"/>
    <w:rsid w:val="00AC1C17"/>
    <w:rsid w:val="00AC25E2"/>
    <w:rsid w:val="00AC274B"/>
    <w:rsid w:val="00AC363A"/>
    <w:rsid w:val="00AC4D93"/>
    <w:rsid w:val="00AC4DB6"/>
    <w:rsid w:val="00AC51C3"/>
    <w:rsid w:val="00AC55AD"/>
    <w:rsid w:val="00AC5D51"/>
    <w:rsid w:val="00AC6669"/>
    <w:rsid w:val="00AC6A68"/>
    <w:rsid w:val="00AC72C4"/>
    <w:rsid w:val="00AC77EB"/>
    <w:rsid w:val="00AC7939"/>
    <w:rsid w:val="00AD0766"/>
    <w:rsid w:val="00AD0897"/>
    <w:rsid w:val="00AD14C2"/>
    <w:rsid w:val="00AD1516"/>
    <w:rsid w:val="00AD1E43"/>
    <w:rsid w:val="00AD1E57"/>
    <w:rsid w:val="00AD25BB"/>
    <w:rsid w:val="00AD2B7C"/>
    <w:rsid w:val="00AD3734"/>
    <w:rsid w:val="00AD450F"/>
    <w:rsid w:val="00AD45AE"/>
    <w:rsid w:val="00AD4D8C"/>
    <w:rsid w:val="00AD5465"/>
    <w:rsid w:val="00AD5611"/>
    <w:rsid w:val="00AD565F"/>
    <w:rsid w:val="00AD595C"/>
    <w:rsid w:val="00AD5F06"/>
    <w:rsid w:val="00AD7233"/>
    <w:rsid w:val="00AD73CC"/>
    <w:rsid w:val="00AE0717"/>
    <w:rsid w:val="00AE177F"/>
    <w:rsid w:val="00AE1A03"/>
    <w:rsid w:val="00AE1AE5"/>
    <w:rsid w:val="00AE234D"/>
    <w:rsid w:val="00AE304B"/>
    <w:rsid w:val="00AE3894"/>
    <w:rsid w:val="00AE46CD"/>
    <w:rsid w:val="00AE47D7"/>
    <w:rsid w:val="00AE4A17"/>
    <w:rsid w:val="00AE4B2C"/>
    <w:rsid w:val="00AE546D"/>
    <w:rsid w:val="00AE55A1"/>
    <w:rsid w:val="00AE5B6E"/>
    <w:rsid w:val="00AE6A83"/>
    <w:rsid w:val="00AE754F"/>
    <w:rsid w:val="00AE782A"/>
    <w:rsid w:val="00AE7E4D"/>
    <w:rsid w:val="00AF00B8"/>
    <w:rsid w:val="00AF0C37"/>
    <w:rsid w:val="00AF0EE7"/>
    <w:rsid w:val="00AF155C"/>
    <w:rsid w:val="00AF18F6"/>
    <w:rsid w:val="00AF2607"/>
    <w:rsid w:val="00AF34F5"/>
    <w:rsid w:val="00AF3787"/>
    <w:rsid w:val="00AF3F2F"/>
    <w:rsid w:val="00AF4C12"/>
    <w:rsid w:val="00AF4EDB"/>
    <w:rsid w:val="00AF56A0"/>
    <w:rsid w:val="00AF5AC8"/>
    <w:rsid w:val="00AF5E37"/>
    <w:rsid w:val="00AF6055"/>
    <w:rsid w:val="00AF6999"/>
    <w:rsid w:val="00AF6E45"/>
    <w:rsid w:val="00AF7431"/>
    <w:rsid w:val="00AF7725"/>
    <w:rsid w:val="00B00393"/>
    <w:rsid w:val="00B00940"/>
    <w:rsid w:val="00B00CBB"/>
    <w:rsid w:val="00B00D52"/>
    <w:rsid w:val="00B013D2"/>
    <w:rsid w:val="00B0143D"/>
    <w:rsid w:val="00B01C7D"/>
    <w:rsid w:val="00B01DC8"/>
    <w:rsid w:val="00B022E7"/>
    <w:rsid w:val="00B02472"/>
    <w:rsid w:val="00B02DA4"/>
    <w:rsid w:val="00B031FC"/>
    <w:rsid w:val="00B03EC4"/>
    <w:rsid w:val="00B0473A"/>
    <w:rsid w:val="00B04AB9"/>
    <w:rsid w:val="00B04F53"/>
    <w:rsid w:val="00B055B3"/>
    <w:rsid w:val="00B07A19"/>
    <w:rsid w:val="00B07DAC"/>
    <w:rsid w:val="00B1007B"/>
    <w:rsid w:val="00B100AC"/>
    <w:rsid w:val="00B100E2"/>
    <w:rsid w:val="00B1063B"/>
    <w:rsid w:val="00B10656"/>
    <w:rsid w:val="00B1103E"/>
    <w:rsid w:val="00B1181A"/>
    <w:rsid w:val="00B12B36"/>
    <w:rsid w:val="00B12B61"/>
    <w:rsid w:val="00B12E55"/>
    <w:rsid w:val="00B130FE"/>
    <w:rsid w:val="00B132B0"/>
    <w:rsid w:val="00B13929"/>
    <w:rsid w:val="00B13A4B"/>
    <w:rsid w:val="00B13CAE"/>
    <w:rsid w:val="00B142D4"/>
    <w:rsid w:val="00B14470"/>
    <w:rsid w:val="00B147D0"/>
    <w:rsid w:val="00B149DB"/>
    <w:rsid w:val="00B15443"/>
    <w:rsid w:val="00B1553A"/>
    <w:rsid w:val="00B15F3A"/>
    <w:rsid w:val="00B166C0"/>
    <w:rsid w:val="00B16F4A"/>
    <w:rsid w:val="00B17077"/>
    <w:rsid w:val="00B171E3"/>
    <w:rsid w:val="00B174C2"/>
    <w:rsid w:val="00B17803"/>
    <w:rsid w:val="00B17B95"/>
    <w:rsid w:val="00B20858"/>
    <w:rsid w:val="00B20AC6"/>
    <w:rsid w:val="00B20F95"/>
    <w:rsid w:val="00B2108D"/>
    <w:rsid w:val="00B2163C"/>
    <w:rsid w:val="00B219B6"/>
    <w:rsid w:val="00B21A82"/>
    <w:rsid w:val="00B21D2F"/>
    <w:rsid w:val="00B21D87"/>
    <w:rsid w:val="00B21D94"/>
    <w:rsid w:val="00B22FF5"/>
    <w:rsid w:val="00B23372"/>
    <w:rsid w:val="00B24312"/>
    <w:rsid w:val="00B24C45"/>
    <w:rsid w:val="00B2510B"/>
    <w:rsid w:val="00B2510C"/>
    <w:rsid w:val="00B253CF"/>
    <w:rsid w:val="00B256A5"/>
    <w:rsid w:val="00B25D03"/>
    <w:rsid w:val="00B263D3"/>
    <w:rsid w:val="00B2718D"/>
    <w:rsid w:val="00B27B57"/>
    <w:rsid w:val="00B27E09"/>
    <w:rsid w:val="00B30122"/>
    <w:rsid w:val="00B304F2"/>
    <w:rsid w:val="00B31D08"/>
    <w:rsid w:val="00B31D5C"/>
    <w:rsid w:val="00B32149"/>
    <w:rsid w:val="00B32E81"/>
    <w:rsid w:val="00B33096"/>
    <w:rsid w:val="00B336AC"/>
    <w:rsid w:val="00B336EE"/>
    <w:rsid w:val="00B33DB4"/>
    <w:rsid w:val="00B33F88"/>
    <w:rsid w:val="00B34B9D"/>
    <w:rsid w:val="00B34C22"/>
    <w:rsid w:val="00B34E49"/>
    <w:rsid w:val="00B355B1"/>
    <w:rsid w:val="00B36496"/>
    <w:rsid w:val="00B367FC"/>
    <w:rsid w:val="00B37DF7"/>
    <w:rsid w:val="00B4034B"/>
    <w:rsid w:val="00B415AE"/>
    <w:rsid w:val="00B42148"/>
    <w:rsid w:val="00B422E5"/>
    <w:rsid w:val="00B4235F"/>
    <w:rsid w:val="00B42907"/>
    <w:rsid w:val="00B42AB6"/>
    <w:rsid w:val="00B42CCC"/>
    <w:rsid w:val="00B42E8D"/>
    <w:rsid w:val="00B43CF0"/>
    <w:rsid w:val="00B44B35"/>
    <w:rsid w:val="00B44DBE"/>
    <w:rsid w:val="00B44E07"/>
    <w:rsid w:val="00B453F9"/>
    <w:rsid w:val="00B45FCB"/>
    <w:rsid w:val="00B47D54"/>
    <w:rsid w:val="00B501B1"/>
    <w:rsid w:val="00B509C3"/>
    <w:rsid w:val="00B50C5D"/>
    <w:rsid w:val="00B5168B"/>
    <w:rsid w:val="00B519D4"/>
    <w:rsid w:val="00B51A9B"/>
    <w:rsid w:val="00B52831"/>
    <w:rsid w:val="00B52BC4"/>
    <w:rsid w:val="00B53197"/>
    <w:rsid w:val="00B531A4"/>
    <w:rsid w:val="00B53613"/>
    <w:rsid w:val="00B53F90"/>
    <w:rsid w:val="00B54571"/>
    <w:rsid w:val="00B547BC"/>
    <w:rsid w:val="00B55655"/>
    <w:rsid w:val="00B55C04"/>
    <w:rsid w:val="00B55C17"/>
    <w:rsid w:val="00B55D2E"/>
    <w:rsid w:val="00B55F06"/>
    <w:rsid w:val="00B560CB"/>
    <w:rsid w:val="00B60640"/>
    <w:rsid w:val="00B6082F"/>
    <w:rsid w:val="00B61741"/>
    <w:rsid w:val="00B61A3E"/>
    <w:rsid w:val="00B61D3C"/>
    <w:rsid w:val="00B61F52"/>
    <w:rsid w:val="00B626CA"/>
    <w:rsid w:val="00B63CFB"/>
    <w:rsid w:val="00B643F3"/>
    <w:rsid w:val="00B64A57"/>
    <w:rsid w:val="00B64D59"/>
    <w:rsid w:val="00B65B16"/>
    <w:rsid w:val="00B65CDC"/>
    <w:rsid w:val="00B66089"/>
    <w:rsid w:val="00B66C24"/>
    <w:rsid w:val="00B66E18"/>
    <w:rsid w:val="00B67164"/>
    <w:rsid w:val="00B671A9"/>
    <w:rsid w:val="00B6773A"/>
    <w:rsid w:val="00B67B67"/>
    <w:rsid w:val="00B67CD1"/>
    <w:rsid w:val="00B67E73"/>
    <w:rsid w:val="00B701A9"/>
    <w:rsid w:val="00B704C9"/>
    <w:rsid w:val="00B70650"/>
    <w:rsid w:val="00B70AA1"/>
    <w:rsid w:val="00B70E0D"/>
    <w:rsid w:val="00B718F2"/>
    <w:rsid w:val="00B72AC6"/>
    <w:rsid w:val="00B72DD5"/>
    <w:rsid w:val="00B72E8F"/>
    <w:rsid w:val="00B73B7F"/>
    <w:rsid w:val="00B74212"/>
    <w:rsid w:val="00B74F00"/>
    <w:rsid w:val="00B75F42"/>
    <w:rsid w:val="00B76641"/>
    <w:rsid w:val="00B76D0F"/>
    <w:rsid w:val="00B77690"/>
    <w:rsid w:val="00B77A41"/>
    <w:rsid w:val="00B80A2D"/>
    <w:rsid w:val="00B8149F"/>
    <w:rsid w:val="00B81A12"/>
    <w:rsid w:val="00B81D13"/>
    <w:rsid w:val="00B8204A"/>
    <w:rsid w:val="00B8240C"/>
    <w:rsid w:val="00B82497"/>
    <w:rsid w:val="00B829DF"/>
    <w:rsid w:val="00B83705"/>
    <w:rsid w:val="00B83953"/>
    <w:rsid w:val="00B83DC6"/>
    <w:rsid w:val="00B85671"/>
    <w:rsid w:val="00B85A72"/>
    <w:rsid w:val="00B85F1C"/>
    <w:rsid w:val="00B865E4"/>
    <w:rsid w:val="00B869EA"/>
    <w:rsid w:val="00B87567"/>
    <w:rsid w:val="00B875FC"/>
    <w:rsid w:val="00B878E1"/>
    <w:rsid w:val="00B87AE3"/>
    <w:rsid w:val="00B87E6D"/>
    <w:rsid w:val="00B901DF"/>
    <w:rsid w:val="00B90928"/>
    <w:rsid w:val="00B90D36"/>
    <w:rsid w:val="00B9103C"/>
    <w:rsid w:val="00B91CC7"/>
    <w:rsid w:val="00B91F5F"/>
    <w:rsid w:val="00B93338"/>
    <w:rsid w:val="00B9488B"/>
    <w:rsid w:val="00B948A3"/>
    <w:rsid w:val="00B95065"/>
    <w:rsid w:val="00B952E7"/>
    <w:rsid w:val="00B95899"/>
    <w:rsid w:val="00B95A33"/>
    <w:rsid w:val="00B95C73"/>
    <w:rsid w:val="00B95CAE"/>
    <w:rsid w:val="00B960E3"/>
    <w:rsid w:val="00B96572"/>
    <w:rsid w:val="00B9684A"/>
    <w:rsid w:val="00B96CC0"/>
    <w:rsid w:val="00B97229"/>
    <w:rsid w:val="00B9789A"/>
    <w:rsid w:val="00B97955"/>
    <w:rsid w:val="00BA01CC"/>
    <w:rsid w:val="00BA0A1E"/>
    <w:rsid w:val="00BA0E04"/>
    <w:rsid w:val="00BA15C0"/>
    <w:rsid w:val="00BA1A30"/>
    <w:rsid w:val="00BA1E51"/>
    <w:rsid w:val="00BA2823"/>
    <w:rsid w:val="00BA2FB7"/>
    <w:rsid w:val="00BA388E"/>
    <w:rsid w:val="00BA3A28"/>
    <w:rsid w:val="00BA5028"/>
    <w:rsid w:val="00BA5219"/>
    <w:rsid w:val="00BA5403"/>
    <w:rsid w:val="00BA5552"/>
    <w:rsid w:val="00BA5AD7"/>
    <w:rsid w:val="00BA6981"/>
    <w:rsid w:val="00BA6B3C"/>
    <w:rsid w:val="00BA73C8"/>
    <w:rsid w:val="00BA76B3"/>
    <w:rsid w:val="00BA76CB"/>
    <w:rsid w:val="00BA7A65"/>
    <w:rsid w:val="00BA7DA9"/>
    <w:rsid w:val="00BB0AB7"/>
    <w:rsid w:val="00BB0CFB"/>
    <w:rsid w:val="00BB0E8D"/>
    <w:rsid w:val="00BB1BBC"/>
    <w:rsid w:val="00BB1BE9"/>
    <w:rsid w:val="00BB1CC3"/>
    <w:rsid w:val="00BB1DCE"/>
    <w:rsid w:val="00BB289E"/>
    <w:rsid w:val="00BB3471"/>
    <w:rsid w:val="00BB3975"/>
    <w:rsid w:val="00BB3B9F"/>
    <w:rsid w:val="00BB3D86"/>
    <w:rsid w:val="00BB4EA8"/>
    <w:rsid w:val="00BB5158"/>
    <w:rsid w:val="00BB5CA7"/>
    <w:rsid w:val="00BB5D5A"/>
    <w:rsid w:val="00BB6684"/>
    <w:rsid w:val="00BB673B"/>
    <w:rsid w:val="00BB7343"/>
    <w:rsid w:val="00BB75F2"/>
    <w:rsid w:val="00BB7B09"/>
    <w:rsid w:val="00BB7EF2"/>
    <w:rsid w:val="00BC0488"/>
    <w:rsid w:val="00BC0888"/>
    <w:rsid w:val="00BC0D92"/>
    <w:rsid w:val="00BC1112"/>
    <w:rsid w:val="00BC16BD"/>
    <w:rsid w:val="00BC222D"/>
    <w:rsid w:val="00BC22CB"/>
    <w:rsid w:val="00BC2CFD"/>
    <w:rsid w:val="00BC2D7A"/>
    <w:rsid w:val="00BC344C"/>
    <w:rsid w:val="00BC362D"/>
    <w:rsid w:val="00BC4189"/>
    <w:rsid w:val="00BC4A4F"/>
    <w:rsid w:val="00BC56DA"/>
    <w:rsid w:val="00BC72A1"/>
    <w:rsid w:val="00BC77DA"/>
    <w:rsid w:val="00BC7EBE"/>
    <w:rsid w:val="00BD07FC"/>
    <w:rsid w:val="00BD0811"/>
    <w:rsid w:val="00BD092A"/>
    <w:rsid w:val="00BD1372"/>
    <w:rsid w:val="00BD15F7"/>
    <w:rsid w:val="00BD169C"/>
    <w:rsid w:val="00BD2139"/>
    <w:rsid w:val="00BD2E69"/>
    <w:rsid w:val="00BD2F23"/>
    <w:rsid w:val="00BD3B15"/>
    <w:rsid w:val="00BD51C4"/>
    <w:rsid w:val="00BD536D"/>
    <w:rsid w:val="00BD5F9F"/>
    <w:rsid w:val="00BD621A"/>
    <w:rsid w:val="00BD6265"/>
    <w:rsid w:val="00BD6371"/>
    <w:rsid w:val="00BD6A30"/>
    <w:rsid w:val="00BD70AD"/>
    <w:rsid w:val="00BD7447"/>
    <w:rsid w:val="00BE082C"/>
    <w:rsid w:val="00BE0C87"/>
    <w:rsid w:val="00BE19D0"/>
    <w:rsid w:val="00BE1BBB"/>
    <w:rsid w:val="00BE1D1D"/>
    <w:rsid w:val="00BE1FD6"/>
    <w:rsid w:val="00BE2237"/>
    <w:rsid w:val="00BE2868"/>
    <w:rsid w:val="00BE2C2D"/>
    <w:rsid w:val="00BE39A1"/>
    <w:rsid w:val="00BE3D44"/>
    <w:rsid w:val="00BE3E62"/>
    <w:rsid w:val="00BE42CD"/>
    <w:rsid w:val="00BE4A75"/>
    <w:rsid w:val="00BE5164"/>
    <w:rsid w:val="00BE558C"/>
    <w:rsid w:val="00BE69F4"/>
    <w:rsid w:val="00BE6B10"/>
    <w:rsid w:val="00BE70CA"/>
    <w:rsid w:val="00BE7E42"/>
    <w:rsid w:val="00BF019C"/>
    <w:rsid w:val="00BF0561"/>
    <w:rsid w:val="00BF066D"/>
    <w:rsid w:val="00BF0EDD"/>
    <w:rsid w:val="00BF1817"/>
    <w:rsid w:val="00BF19BA"/>
    <w:rsid w:val="00BF1D98"/>
    <w:rsid w:val="00BF25B4"/>
    <w:rsid w:val="00BF2A50"/>
    <w:rsid w:val="00BF3092"/>
    <w:rsid w:val="00BF388F"/>
    <w:rsid w:val="00BF39AF"/>
    <w:rsid w:val="00BF3BA2"/>
    <w:rsid w:val="00BF3BCD"/>
    <w:rsid w:val="00BF3C63"/>
    <w:rsid w:val="00BF4829"/>
    <w:rsid w:val="00BF4AC2"/>
    <w:rsid w:val="00BF4BD7"/>
    <w:rsid w:val="00BF4CF6"/>
    <w:rsid w:val="00BF4D79"/>
    <w:rsid w:val="00BF57A1"/>
    <w:rsid w:val="00BF59D4"/>
    <w:rsid w:val="00BF6B73"/>
    <w:rsid w:val="00BF6CBA"/>
    <w:rsid w:val="00BF75DB"/>
    <w:rsid w:val="00C00136"/>
    <w:rsid w:val="00C01133"/>
    <w:rsid w:val="00C0138A"/>
    <w:rsid w:val="00C01457"/>
    <w:rsid w:val="00C018A5"/>
    <w:rsid w:val="00C01C1A"/>
    <w:rsid w:val="00C02C1D"/>
    <w:rsid w:val="00C0343E"/>
    <w:rsid w:val="00C035A2"/>
    <w:rsid w:val="00C03B75"/>
    <w:rsid w:val="00C03CBA"/>
    <w:rsid w:val="00C04610"/>
    <w:rsid w:val="00C04770"/>
    <w:rsid w:val="00C0502D"/>
    <w:rsid w:val="00C05BBB"/>
    <w:rsid w:val="00C05BDE"/>
    <w:rsid w:val="00C05CA4"/>
    <w:rsid w:val="00C05CF4"/>
    <w:rsid w:val="00C05E37"/>
    <w:rsid w:val="00C062E1"/>
    <w:rsid w:val="00C062E2"/>
    <w:rsid w:val="00C07286"/>
    <w:rsid w:val="00C0744A"/>
    <w:rsid w:val="00C0773E"/>
    <w:rsid w:val="00C1004B"/>
    <w:rsid w:val="00C107B9"/>
    <w:rsid w:val="00C10AC6"/>
    <w:rsid w:val="00C10B40"/>
    <w:rsid w:val="00C116CA"/>
    <w:rsid w:val="00C11979"/>
    <w:rsid w:val="00C12062"/>
    <w:rsid w:val="00C125DF"/>
    <w:rsid w:val="00C125F5"/>
    <w:rsid w:val="00C1301E"/>
    <w:rsid w:val="00C138ED"/>
    <w:rsid w:val="00C138F2"/>
    <w:rsid w:val="00C14097"/>
    <w:rsid w:val="00C150E6"/>
    <w:rsid w:val="00C156B9"/>
    <w:rsid w:val="00C15962"/>
    <w:rsid w:val="00C16744"/>
    <w:rsid w:val="00C16D7F"/>
    <w:rsid w:val="00C16F2E"/>
    <w:rsid w:val="00C17201"/>
    <w:rsid w:val="00C176F9"/>
    <w:rsid w:val="00C17C36"/>
    <w:rsid w:val="00C21957"/>
    <w:rsid w:val="00C21C30"/>
    <w:rsid w:val="00C21EB1"/>
    <w:rsid w:val="00C22A9C"/>
    <w:rsid w:val="00C22D7B"/>
    <w:rsid w:val="00C23072"/>
    <w:rsid w:val="00C233B5"/>
    <w:rsid w:val="00C2404E"/>
    <w:rsid w:val="00C2433F"/>
    <w:rsid w:val="00C244BA"/>
    <w:rsid w:val="00C24838"/>
    <w:rsid w:val="00C24B40"/>
    <w:rsid w:val="00C25476"/>
    <w:rsid w:val="00C25497"/>
    <w:rsid w:val="00C25505"/>
    <w:rsid w:val="00C258A3"/>
    <w:rsid w:val="00C25C31"/>
    <w:rsid w:val="00C25FD7"/>
    <w:rsid w:val="00C262E0"/>
    <w:rsid w:val="00C267F3"/>
    <w:rsid w:val="00C27120"/>
    <w:rsid w:val="00C27AE1"/>
    <w:rsid w:val="00C27CBC"/>
    <w:rsid w:val="00C27F61"/>
    <w:rsid w:val="00C306DD"/>
    <w:rsid w:val="00C308BA"/>
    <w:rsid w:val="00C30ED7"/>
    <w:rsid w:val="00C31DB4"/>
    <w:rsid w:val="00C31DEB"/>
    <w:rsid w:val="00C325D4"/>
    <w:rsid w:val="00C32B4C"/>
    <w:rsid w:val="00C32D2D"/>
    <w:rsid w:val="00C33223"/>
    <w:rsid w:val="00C3388E"/>
    <w:rsid w:val="00C33D05"/>
    <w:rsid w:val="00C33DC3"/>
    <w:rsid w:val="00C34020"/>
    <w:rsid w:val="00C3670B"/>
    <w:rsid w:val="00C37DAA"/>
    <w:rsid w:val="00C40167"/>
    <w:rsid w:val="00C4078A"/>
    <w:rsid w:val="00C410D3"/>
    <w:rsid w:val="00C41245"/>
    <w:rsid w:val="00C41682"/>
    <w:rsid w:val="00C423AF"/>
    <w:rsid w:val="00C44670"/>
    <w:rsid w:val="00C4501E"/>
    <w:rsid w:val="00C45114"/>
    <w:rsid w:val="00C45C45"/>
    <w:rsid w:val="00C467A8"/>
    <w:rsid w:val="00C46C70"/>
    <w:rsid w:val="00C47732"/>
    <w:rsid w:val="00C5079B"/>
    <w:rsid w:val="00C50820"/>
    <w:rsid w:val="00C5084B"/>
    <w:rsid w:val="00C50D81"/>
    <w:rsid w:val="00C5105A"/>
    <w:rsid w:val="00C5112F"/>
    <w:rsid w:val="00C512C0"/>
    <w:rsid w:val="00C512CF"/>
    <w:rsid w:val="00C5160F"/>
    <w:rsid w:val="00C5165A"/>
    <w:rsid w:val="00C51ECE"/>
    <w:rsid w:val="00C523B0"/>
    <w:rsid w:val="00C52798"/>
    <w:rsid w:val="00C528BB"/>
    <w:rsid w:val="00C52E14"/>
    <w:rsid w:val="00C53118"/>
    <w:rsid w:val="00C53815"/>
    <w:rsid w:val="00C54B02"/>
    <w:rsid w:val="00C54E08"/>
    <w:rsid w:val="00C55321"/>
    <w:rsid w:val="00C55D47"/>
    <w:rsid w:val="00C568BA"/>
    <w:rsid w:val="00C56F93"/>
    <w:rsid w:val="00C57145"/>
    <w:rsid w:val="00C57299"/>
    <w:rsid w:val="00C5740D"/>
    <w:rsid w:val="00C57814"/>
    <w:rsid w:val="00C57A3D"/>
    <w:rsid w:val="00C57D15"/>
    <w:rsid w:val="00C60C67"/>
    <w:rsid w:val="00C6175E"/>
    <w:rsid w:val="00C61768"/>
    <w:rsid w:val="00C621C9"/>
    <w:rsid w:val="00C62A5C"/>
    <w:rsid w:val="00C640A7"/>
    <w:rsid w:val="00C6567E"/>
    <w:rsid w:val="00C656B9"/>
    <w:rsid w:val="00C6570B"/>
    <w:rsid w:val="00C659DC"/>
    <w:rsid w:val="00C664CC"/>
    <w:rsid w:val="00C6694B"/>
    <w:rsid w:val="00C66E97"/>
    <w:rsid w:val="00C673B3"/>
    <w:rsid w:val="00C67743"/>
    <w:rsid w:val="00C67CEF"/>
    <w:rsid w:val="00C67E02"/>
    <w:rsid w:val="00C70086"/>
    <w:rsid w:val="00C7008A"/>
    <w:rsid w:val="00C7017B"/>
    <w:rsid w:val="00C704CA"/>
    <w:rsid w:val="00C7055A"/>
    <w:rsid w:val="00C70A38"/>
    <w:rsid w:val="00C70D98"/>
    <w:rsid w:val="00C71080"/>
    <w:rsid w:val="00C71515"/>
    <w:rsid w:val="00C718E3"/>
    <w:rsid w:val="00C71976"/>
    <w:rsid w:val="00C71C92"/>
    <w:rsid w:val="00C7251A"/>
    <w:rsid w:val="00C729E3"/>
    <w:rsid w:val="00C73D97"/>
    <w:rsid w:val="00C74755"/>
    <w:rsid w:val="00C74FD5"/>
    <w:rsid w:val="00C7515C"/>
    <w:rsid w:val="00C76062"/>
    <w:rsid w:val="00C761EA"/>
    <w:rsid w:val="00C772A1"/>
    <w:rsid w:val="00C773DC"/>
    <w:rsid w:val="00C77AF7"/>
    <w:rsid w:val="00C804C8"/>
    <w:rsid w:val="00C80504"/>
    <w:rsid w:val="00C805D9"/>
    <w:rsid w:val="00C805F1"/>
    <w:rsid w:val="00C80ACB"/>
    <w:rsid w:val="00C80B2D"/>
    <w:rsid w:val="00C81294"/>
    <w:rsid w:val="00C812CC"/>
    <w:rsid w:val="00C815EC"/>
    <w:rsid w:val="00C81900"/>
    <w:rsid w:val="00C81CAF"/>
    <w:rsid w:val="00C81F7B"/>
    <w:rsid w:val="00C83C9D"/>
    <w:rsid w:val="00C83F37"/>
    <w:rsid w:val="00C84C82"/>
    <w:rsid w:val="00C84D1E"/>
    <w:rsid w:val="00C85218"/>
    <w:rsid w:val="00C857B1"/>
    <w:rsid w:val="00C86232"/>
    <w:rsid w:val="00C8723B"/>
    <w:rsid w:val="00C874B9"/>
    <w:rsid w:val="00C877C6"/>
    <w:rsid w:val="00C87C90"/>
    <w:rsid w:val="00C87ED8"/>
    <w:rsid w:val="00C87EE9"/>
    <w:rsid w:val="00C902B2"/>
    <w:rsid w:val="00C908B4"/>
    <w:rsid w:val="00C91552"/>
    <w:rsid w:val="00C91B90"/>
    <w:rsid w:val="00C920BE"/>
    <w:rsid w:val="00C928DA"/>
    <w:rsid w:val="00C92A19"/>
    <w:rsid w:val="00C9309E"/>
    <w:rsid w:val="00C937E7"/>
    <w:rsid w:val="00C93865"/>
    <w:rsid w:val="00C93BCA"/>
    <w:rsid w:val="00C93D4E"/>
    <w:rsid w:val="00C944D3"/>
    <w:rsid w:val="00C95096"/>
    <w:rsid w:val="00C96313"/>
    <w:rsid w:val="00C96473"/>
    <w:rsid w:val="00C968AA"/>
    <w:rsid w:val="00C9709D"/>
    <w:rsid w:val="00C97580"/>
    <w:rsid w:val="00C97B0C"/>
    <w:rsid w:val="00CA081C"/>
    <w:rsid w:val="00CA0B57"/>
    <w:rsid w:val="00CA0B8E"/>
    <w:rsid w:val="00CA0C07"/>
    <w:rsid w:val="00CA0EFC"/>
    <w:rsid w:val="00CA47C8"/>
    <w:rsid w:val="00CA4A40"/>
    <w:rsid w:val="00CA4CFB"/>
    <w:rsid w:val="00CA577A"/>
    <w:rsid w:val="00CA5FD5"/>
    <w:rsid w:val="00CA6102"/>
    <w:rsid w:val="00CA61D1"/>
    <w:rsid w:val="00CA69D8"/>
    <w:rsid w:val="00CA6A9A"/>
    <w:rsid w:val="00CA702A"/>
    <w:rsid w:val="00CA7E2A"/>
    <w:rsid w:val="00CB0585"/>
    <w:rsid w:val="00CB06AD"/>
    <w:rsid w:val="00CB0B0F"/>
    <w:rsid w:val="00CB2085"/>
    <w:rsid w:val="00CB2A33"/>
    <w:rsid w:val="00CB4724"/>
    <w:rsid w:val="00CB54C1"/>
    <w:rsid w:val="00CB5C37"/>
    <w:rsid w:val="00CB5DED"/>
    <w:rsid w:val="00CB5E1C"/>
    <w:rsid w:val="00CB78E4"/>
    <w:rsid w:val="00CB7A60"/>
    <w:rsid w:val="00CB7EFE"/>
    <w:rsid w:val="00CC0635"/>
    <w:rsid w:val="00CC0818"/>
    <w:rsid w:val="00CC1E3A"/>
    <w:rsid w:val="00CC205B"/>
    <w:rsid w:val="00CC247B"/>
    <w:rsid w:val="00CC3611"/>
    <w:rsid w:val="00CC3D92"/>
    <w:rsid w:val="00CC49CE"/>
    <w:rsid w:val="00CC51A6"/>
    <w:rsid w:val="00CC5E76"/>
    <w:rsid w:val="00CC67F1"/>
    <w:rsid w:val="00CC68D2"/>
    <w:rsid w:val="00CC7B96"/>
    <w:rsid w:val="00CC7C2E"/>
    <w:rsid w:val="00CC7F7A"/>
    <w:rsid w:val="00CD06B4"/>
    <w:rsid w:val="00CD099E"/>
    <w:rsid w:val="00CD285A"/>
    <w:rsid w:val="00CD2D08"/>
    <w:rsid w:val="00CD2F9F"/>
    <w:rsid w:val="00CD3781"/>
    <w:rsid w:val="00CD3F30"/>
    <w:rsid w:val="00CD3F40"/>
    <w:rsid w:val="00CD4BE9"/>
    <w:rsid w:val="00CD4C53"/>
    <w:rsid w:val="00CD4F5F"/>
    <w:rsid w:val="00CD537E"/>
    <w:rsid w:val="00CD6387"/>
    <w:rsid w:val="00CD69B5"/>
    <w:rsid w:val="00CD6BE9"/>
    <w:rsid w:val="00CD774D"/>
    <w:rsid w:val="00CD775D"/>
    <w:rsid w:val="00CD78BB"/>
    <w:rsid w:val="00CE1978"/>
    <w:rsid w:val="00CE2054"/>
    <w:rsid w:val="00CE2FB7"/>
    <w:rsid w:val="00CE39F1"/>
    <w:rsid w:val="00CE3A0C"/>
    <w:rsid w:val="00CE3D48"/>
    <w:rsid w:val="00CE3EF4"/>
    <w:rsid w:val="00CE4121"/>
    <w:rsid w:val="00CE41E3"/>
    <w:rsid w:val="00CE46ED"/>
    <w:rsid w:val="00CE4C32"/>
    <w:rsid w:val="00CE56DD"/>
    <w:rsid w:val="00CE6314"/>
    <w:rsid w:val="00CE63FE"/>
    <w:rsid w:val="00CE66E3"/>
    <w:rsid w:val="00CE6DA0"/>
    <w:rsid w:val="00CE6EDD"/>
    <w:rsid w:val="00CE71C4"/>
    <w:rsid w:val="00CF0504"/>
    <w:rsid w:val="00CF095A"/>
    <w:rsid w:val="00CF20DA"/>
    <w:rsid w:val="00CF2ABB"/>
    <w:rsid w:val="00CF2C68"/>
    <w:rsid w:val="00CF32DF"/>
    <w:rsid w:val="00CF332B"/>
    <w:rsid w:val="00CF3783"/>
    <w:rsid w:val="00CF3EE3"/>
    <w:rsid w:val="00CF4007"/>
    <w:rsid w:val="00CF424B"/>
    <w:rsid w:val="00CF45F3"/>
    <w:rsid w:val="00CF4AE8"/>
    <w:rsid w:val="00CF4B52"/>
    <w:rsid w:val="00CF4EBB"/>
    <w:rsid w:val="00CF5270"/>
    <w:rsid w:val="00CF52ED"/>
    <w:rsid w:val="00CF5810"/>
    <w:rsid w:val="00CF5B68"/>
    <w:rsid w:val="00CF646F"/>
    <w:rsid w:val="00CF6655"/>
    <w:rsid w:val="00CF66AD"/>
    <w:rsid w:val="00CF6F0E"/>
    <w:rsid w:val="00CF7051"/>
    <w:rsid w:val="00CF740E"/>
    <w:rsid w:val="00CF7BAE"/>
    <w:rsid w:val="00D0133C"/>
    <w:rsid w:val="00D01CDC"/>
    <w:rsid w:val="00D0204B"/>
    <w:rsid w:val="00D02800"/>
    <w:rsid w:val="00D02942"/>
    <w:rsid w:val="00D02CBC"/>
    <w:rsid w:val="00D03579"/>
    <w:rsid w:val="00D037AA"/>
    <w:rsid w:val="00D0387C"/>
    <w:rsid w:val="00D05286"/>
    <w:rsid w:val="00D05364"/>
    <w:rsid w:val="00D05BD5"/>
    <w:rsid w:val="00D05F11"/>
    <w:rsid w:val="00D05F93"/>
    <w:rsid w:val="00D06BF8"/>
    <w:rsid w:val="00D06CDD"/>
    <w:rsid w:val="00D06CE1"/>
    <w:rsid w:val="00D07EAD"/>
    <w:rsid w:val="00D10405"/>
    <w:rsid w:val="00D10C2C"/>
    <w:rsid w:val="00D11BD7"/>
    <w:rsid w:val="00D1213C"/>
    <w:rsid w:val="00D1223B"/>
    <w:rsid w:val="00D1229B"/>
    <w:rsid w:val="00D127EF"/>
    <w:rsid w:val="00D12BF4"/>
    <w:rsid w:val="00D12CDE"/>
    <w:rsid w:val="00D12CF1"/>
    <w:rsid w:val="00D12E61"/>
    <w:rsid w:val="00D1352E"/>
    <w:rsid w:val="00D13EFC"/>
    <w:rsid w:val="00D14019"/>
    <w:rsid w:val="00D145ED"/>
    <w:rsid w:val="00D1489E"/>
    <w:rsid w:val="00D14EEC"/>
    <w:rsid w:val="00D15368"/>
    <w:rsid w:val="00D16657"/>
    <w:rsid w:val="00D17328"/>
    <w:rsid w:val="00D17620"/>
    <w:rsid w:val="00D17A29"/>
    <w:rsid w:val="00D20365"/>
    <w:rsid w:val="00D20E30"/>
    <w:rsid w:val="00D20FC8"/>
    <w:rsid w:val="00D2116C"/>
    <w:rsid w:val="00D21A90"/>
    <w:rsid w:val="00D21C4E"/>
    <w:rsid w:val="00D2232D"/>
    <w:rsid w:val="00D23296"/>
    <w:rsid w:val="00D234BB"/>
    <w:rsid w:val="00D234C1"/>
    <w:rsid w:val="00D238BA"/>
    <w:rsid w:val="00D23AD2"/>
    <w:rsid w:val="00D2417F"/>
    <w:rsid w:val="00D24B88"/>
    <w:rsid w:val="00D25C57"/>
    <w:rsid w:val="00D26690"/>
    <w:rsid w:val="00D267E3"/>
    <w:rsid w:val="00D26AEB"/>
    <w:rsid w:val="00D26F48"/>
    <w:rsid w:val="00D27238"/>
    <w:rsid w:val="00D27490"/>
    <w:rsid w:val="00D2753B"/>
    <w:rsid w:val="00D27889"/>
    <w:rsid w:val="00D27ACB"/>
    <w:rsid w:val="00D27DFB"/>
    <w:rsid w:val="00D27E6F"/>
    <w:rsid w:val="00D30FF7"/>
    <w:rsid w:val="00D31D7D"/>
    <w:rsid w:val="00D329C1"/>
    <w:rsid w:val="00D33231"/>
    <w:rsid w:val="00D3351A"/>
    <w:rsid w:val="00D336DC"/>
    <w:rsid w:val="00D33D19"/>
    <w:rsid w:val="00D33DBB"/>
    <w:rsid w:val="00D33FF6"/>
    <w:rsid w:val="00D352B8"/>
    <w:rsid w:val="00D359E2"/>
    <w:rsid w:val="00D35CCF"/>
    <w:rsid w:val="00D35F4F"/>
    <w:rsid w:val="00D365B7"/>
    <w:rsid w:val="00D36866"/>
    <w:rsid w:val="00D372B1"/>
    <w:rsid w:val="00D37427"/>
    <w:rsid w:val="00D37F39"/>
    <w:rsid w:val="00D4047C"/>
    <w:rsid w:val="00D4061E"/>
    <w:rsid w:val="00D40856"/>
    <w:rsid w:val="00D4143B"/>
    <w:rsid w:val="00D421E7"/>
    <w:rsid w:val="00D42AB3"/>
    <w:rsid w:val="00D43658"/>
    <w:rsid w:val="00D437D5"/>
    <w:rsid w:val="00D437E7"/>
    <w:rsid w:val="00D43FCB"/>
    <w:rsid w:val="00D4431E"/>
    <w:rsid w:val="00D44B26"/>
    <w:rsid w:val="00D45010"/>
    <w:rsid w:val="00D45923"/>
    <w:rsid w:val="00D46217"/>
    <w:rsid w:val="00D463FC"/>
    <w:rsid w:val="00D46605"/>
    <w:rsid w:val="00D46DF0"/>
    <w:rsid w:val="00D474C8"/>
    <w:rsid w:val="00D5020B"/>
    <w:rsid w:val="00D50430"/>
    <w:rsid w:val="00D50603"/>
    <w:rsid w:val="00D5152C"/>
    <w:rsid w:val="00D51BD7"/>
    <w:rsid w:val="00D52047"/>
    <w:rsid w:val="00D54761"/>
    <w:rsid w:val="00D55B9E"/>
    <w:rsid w:val="00D55CAE"/>
    <w:rsid w:val="00D55DBA"/>
    <w:rsid w:val="00D56637"/>
    <w:rsid w:val="00D56E8A"/>
    <w:rsid w:val="00D57614"/>
    <w:rsid w:val="00D57C97"/>
    <w:rsid w:val="00D57E3B"/>
    <w:rsid w:val="00D6040E"/>
    <w:rsid w:val="00D60462"/>
    <w:rsid w:val="00D614A9"/>
    <w:rsid w:val="00D615C9"/>
    <w:rsid w:val="00D61C2A"/>
    <w:rsid w:val="00D61C8D"/>
    <w:rsid w:val="00D6259E"/>
    <w:rsid w:val="00D62DC7"/>
    <w:rsid w:val="00D63617"/>
    <w:rsid w:val="00D637CD"/>
    <w:rsid w:val="00D63892"/>
    <w:rsid w:val="00D638A9"/>
    <w:rsid w:val="00D63B1F"/>
    <w:rsid w:val="00D63C88"/>
    <w:rsid w:val="00D63DDA"/>
    <w:rsid w:val="00D64462"/>
    <w:rsid w:val="00D64DCB"/>
    <w:rsid w:val="00D6539E"/>
    <w:rsid w:val="00D6556D"/>
    <w:rsid w:val="00D65EE0"/>
    <w:rsid w:val="00D66878"/>
    <w:rsid w:val="00D67239"/>
    <w:rsid w:val="00D67D25"/>
    <w:rsid w:val="00D70A99"/>
    <w:rsid w:val="00D71007"/>
    <w:rsid w:val="00D71DD6"/>
    <w:rsid w:val="00D720C7"/>
    <w:rsid w:val="00D72109"/>
    <w:rsid w:val="00D7210D"/>
    <w:rsid w:val="00D726E7"/>
    <w:rsid w:val="00D72C7B"/>
    <w:rsid w:val="00D734B8"/>
    <w:rsid w:val="00D73533"/>
    <w:rsid w:val="00D7359C"/>
    <w:rsid w:val="00D736D3"/>
    <w:rsid w:val="00D73A27"/>
    <w:rsid w:val="00D73C80"/>
    <w:rsid w:val="00D74628"/>
    <w:rsid w:val="00D7477F"/>
    <w:rsid w:val="00D74888"/>
    <w:rsid w:val="00D75403"/>
    <w:rsid w:val="00D75C03"/>
    <w:rsid w:val="00D75CB9"/>
    <w:rsid w:val="00D75D5B"/>
    <w:rsid w:val="00D760BE"/>
    <w:rsid w:val="00D761F8"/>
    <w:rsid w:val="00D76AA0"/>
    <w:rsid w:val="00D76C78"/>
    <w:rsid w:val="00D76D29"/>
    <w:rsid w:val="00D76DBE"/>
    <w:rsid w:val="00D775A0"/>
    <w:rsid w:val="00D776B4"/>
    <w:rsid w:val="00D77B28"/>
    <w:rsid w:val="00D80DAE"/>
    <w:rsid w:val="00D82BC3"/>
    <w:rsid w:val="00D82C5F"/>
    <w:rsid w:val="00D83221"/>
    <w:rsid w:val="00D838AB"/>
    <w:rsid w:val="00D8399A"/>
    <w:rsid w:val="00D84032"/>
    <w:rsid w:val="00D841D7"/>
    <w:rsid w:val="00D84CF8"/>
    <w:rsid w:val="00D8536D"/>
    <w:rsid w:val="00D86EAE"/>
    <w:rsid w:val="00D86F80"/>
    <w:rsid w:val="00D872B9"/>
    <w:rsid w:val="00D901D8"/>
    <w:rsid w:val="00D904A2"/>
    <w:rsid w:val="00D9069D"/>
    <w:rsid w:val="00D910C2"/>
    <w:rsid w:val="00D911A9"/>
    <w:rsid w:val="00D9248A"/>
    <w:rsid w:val="00D92F30"/>
    <w:rsid w:val="00D92FEF"/>
    <w:rsid w:val="00D93021"/>
    <w:rsid w:val="00D9402B"/>
    <w:rsid w:val="00D9503A"/>
    <w:rsid w:val="00D95D94"/>
    <w:rsid w:val="00D95EB0"/>
    <w:rsid w:val="00D95FCF"/>
    <w:rsid w:val="00D9671D"/>
    <w:rsid w:val="00D96891"/>
    <w:rsid w:val="00D97118"/>
    <w:rsid w:val="00D9720A"/>
    <w:rsid w:val="00D97C71"/>
    <w:rsid w:val="00DA009F"/>
    <w:rsid w:val="00DA0788"/>
    <w:rsid w:val="00DA0DE8"/>
    <w:rsid w:val="00DA11C9"/>
    <w:rsid w:val="00DA1DC3"/>
    <w:rsid w:val="00DA2013"/>
    <w:rsid w:val="00DA247B"/>
    <w:rsid w:val="00DA2CE2"/>
    <w:rsid w:val="00DA2EF7"/>
    <w:rsid w:val="00DA353C"/>
    <w:rsid w:val="00DA359B"/>
    <w:rsid w:val="00DA48C2"/>
    <w:rsid w:val="00DA5609"/>
    <w:rsid w:val="00DA5C3A"/>
    <w:rsid w:val="00DA5CA4"/>
    <w:rsid w:val="00DA6459"/>
    <w:rsid w:val="00DA6B35"/>
    <w:rsid w:val="00DA6D95"/>
    <w:rsid w:val="00DA7327"/>
    <w:rsid w:val="00DA74EE"/>
    <w:rsid w:val="00DB0194"/>
    <w:rsid w:val="00DB073B"/>
    <w:rsid w:val="00DB07FD"/>
    <w:rsid w:val="00DB0BF1"/>
    <w:rsid w:val="00DB2819"/>
    <w:rsid w:val="00DB2C2A"/>
    <w:rsid w:val="00DB3408"/>
    <w:rsid w:val="00DB3925"/>
    <w:rsid w:val="00DB3FA4"/>
    <w:rsid w:val="00DB4700"/>
    <w:rsid w:val="00DB5595"/>
    <w:rsid w:val="00DB594B"/>
    <w:rsid w:val="00DB6293"/>
    <w:rsid w:val="00DB65CD"/>
    <w:rsid w:val="00DB7392"/>
    <w:rsid w:val="00DC04B7"/>
    <w:rsid w:val="00DC08FC"/>
    <w:rsid w:val="00DC2DCF"/>
    <w:rsid w:val="00DC2E48"/>
    <w:rsid w:val="00DC3183"/>
    <w:rsid w:val="00DC320A"/>
    <w:rsid w:val="00DC4645"/>
    <w:rsid w:val="00DC4786"/>
    <w:rsid w:val="00DC4B07"/>
    <w:rsid w:val="00DC4FBD"/>
    <w:rsid w:val="00DC5AA8"/>
    <w:rsid w:val="00DC7130"/>
    <w:rsid w:val="00DC7983"/>
    <w:rsid w:val="00DC7B04"/>
    <w:rsid w:val="00DD0AB8"/>
    <w:rsid w:val="00DD0B3F"/>
    <w:rsid w:val="00DD0EBE"/>
    <w:rsid w:val="00DD0FFE"/>
    <w:rsid w:val="00DD26F1"/>
    <w:rsid w:val="00DD372B"/>
    <w:rsid w:val="00DD399C"/>
    <w:rsid w:val="00DD3C0A"/>
    <w:rsid w:val="00DD47A9"/>
    <w:rsid w:val="00DD4A94"/>
    <w:rsid w:val="00DD4ABF"/>
    <w:rsid w:val="00DD4F4D"/>
    <w:rsid w:val="00DD552C"/>
    <w:rsid w:val="00DD5749"/>
    <w:rsid w:val="00DD5BAD"/>
    <w:rsid w:val="00DD65AC"/>
    <w:rsid w:val="00DE02DE"/>
    <w:rsid w:val="00DE039D"/>
    <w:rsid w:val="00DE0A24"/>
    <w:rsid w:val="00DE11EE"/>
    <w:rsid w:val="00DE1C99"/>
    <w:rsid w:val="00DE2641"/>
    <w:rsid w:val="00DE3256"/>
    <w:rsid w:val="00DE3421"/>
    <w:rsid w:val="00DE36FD"/>
    <w:rsid w:val="00DE3894"/>
    <w:rsid w:val="00DE453F"/>
    <w:rsid w:val="00DE4ADE"/>
    <w:rsid w:val="00DE505A"/>
    <w:rsid w:val="00DE514A"/>
    <w:rsid w:val="00DE5294"/>
    <w:rsid w:val="00DE5297"/>
    <w:rsid w:val="00DE548A"/>
    <w:rsid w:val="00DE5766"/>
    <w:rsid w:val="00DE5AAB"/>
    <w:rsid w:val="00DE5C0F"/>
    <w:rsid w:val="00DE652B"/>
    <w:rsid w:val="00DE6FC8"/>
    <w:rsid w:val="00DE7501"/>
    <w:rsid w:val="00DE7C76"/>
    <w:rsid w:val="00DF0686"/>
    <w:rsid w:val="00DF1572"/>
    <w:rsid w:val="00DF1AB4"/>
    <w:rsid w:val="00DF1DEB"/>
    <w:rsid w:val="00DF26A9"/>
    <w:rsid w:val="00DF2C0D"/>
    <w:rsid w:val="00DF32B4"/>
    <w:rsid w:val="00DF438F"/>
    <w:rsid w:val="00DF5216"/>
    <w:rsid w:val="00DF53FE"/>
    <w:rsid w:val="00DF56CB"/>
    <w:rsid w:val="00DF5DAD"/>
    <w:rsid w:val="00DF60A2"/>
    <w:rsid w:val="00DF6617"/>
    <w:rsid w:val="00DF6B1E"/>
    <w:rsid w:val="00DF6F98"/>
    <w:rsid w:val="00DF783A"/>
    <w:rsid w:val="00E00363"/>
    <w:rsid w:val="00E005E3"/>
    <w:rsid w:val="00E01008"/>
    <w:rsid w:val="00E014D6"/>
    <w:rsid w:val="00E019B4"/>
    <w:rsid w:val="00E01CDC"/>
    <w:rsid w:val="00E01D5C"/>
    <w:rsid w:val="00E01EA6"/>
    <w:rsid w:val="00E0287F"/>
    <w:rsid w:val="00E029E2"/>
    <w:rsid w:val="00E02F75"/>
    <w:rsid w:val="00E03E9F"/>
    <w:rsid w:val="00E04724"/>
    <w:rsid w:val="00E04C5E"/>
    <w:rsid w:val="00E0500D"/>
    <w:rsid w:val="00E05A1B"/>
    <w:rsid w:val="00E06537"/>
    <w:rsid w:val="00E06B32"/>
    <w:rsid w:val="00E06E72"/>
    <w:rsid w:val="00E07C63"/>
    <w:rsid w:val="00E1015C"/>
    <w:rsid w:val="00E10281"/>
    <w:rsid w:val="00E10471"/>
    <w:rsid w:val="00E10DD2"/>
    <w:rsid w:val="00E1331A"/>
    <w:rsid w:val="00E1336B"/>
    <w:rsid w:val="00E13473"/>
    <w:rsid w:val="00E13B3D"/>
    <w:rsid w:val="00E13C12"/>
    <w:rsid w:val="00E14039"/>
    <w:rsid w:val="00E140EB"/>
    <w:rsid w:val="00E14120"/>
    <w:rsid w:val="00E141D4"/>
    <w:rsid w:val="00E14258"/>
    <w:rsid w:val="00E1466A"/>
    <w:rsid w:val="00E14EB5"/>
    <w:rsid w:val="00E1516F"/>
    <w:rsid w:val="00E154D5"/>
    <w:rsid w:val="00E156B0"/>
    <w:rsid w:val="00E15711"/>
    <w:rsid w:val="00E158D7"/>
    <w:rsid w:val="00E15EA0"/>
    <w:rsid w:val="00E15F4A"/>
    <w:rsid w:val="00E161FD"/>
    <w:rsid w:val="00E1670A"/>
    <w:rsid w:val="00E168F4"/>
    <w:rsid w:val="00E1693B"/>
    <w:rsid w:val="00E16FA5"/>
    <w:rsid w:val="00E16FC1"/>
    <w:rsid w:val="00E17371"/>
    <w:rsid w:val="00E179ED"/>
    <w:rsid w:val="00E17B1B"/>
    <w:rsid w:val="00E2054B"/>
    <w:rsid w:val="00E20F2D"/>
    <w:rsid w:val="00E2212A"/>
    <w:rsid w:val="00E22ECA"/>
    <w:rsid w:val="00E23E6C"/>
    <w:rsid w:val="00E23F0C"/>
    <w:rsid w:val="00E24099"/>
    <w:rsid w:val="00E24898"/>
    <w:rsid w:val="00E24914"/>
    <w:rsid w:val="00E2550E"/>
    <w:rsid w:val="00E25547"/>
    <w:rsid w:val="00E257D4"/>
    <w:rsid w:val="00E25DA9"/>
    <w:rsid w:val="00E2613B"/>
    <w:rsid w:val="00E26E2C"/>
    <w:rsid w:val="00E301A6"/>
    <w:rsid w:val="00E304CB"/>
    <w:rsid w:val="00E308CC"/>
    <w:rsid w:val="00E30A10"/>
    <w:rsid w:val="00E30D96"/>
    <w:rsid w:val="00E3118D"/>
    <w:rsid w:val="00E312D0"/>
    <w:rsid w:val="00E313ED"/>
    <w:rsid w:val="00E31627"/>
    <w:rsid w:val="00E3194F"/>
    <w:rsid w:val="00E31E59"/>
    <w:rsid w:val="00E31E6E"/>
    <w:rsid w:val="00E32229"/>
    <w:rsid w:val="00E32259"/>
    <w:rsid w:val="00E32273"/>
    <w:rsid w:val="00E339DF"/>
    <w:rsid w:val="00E340D4"/>
    <w:rsid w:val="00E340F8"/>
    <w:rsid w:val="00E34132"/>
    <w:rsid w:val="00E341D0"/>
    <w:rsid w:val="00E34E8C"/>
    <w:rsid w:val="00E35022"/>
    <w:rsid w:val="00E351C0"/>
    <w:rsid w:val="00E3589B"/>
    <w:rsid w:val="00E35C3F"/>
    <w:rsid w:val="00E35C7B"/>
    <w:rsid w:val="00E367AA"/>
    <w:rsid w:val="00E36953"/>
    <w:rsid w:val="00E37290"/>
    <w:rsid w:val="00E3778C"/>
    <w:rsid w:val="00E37A43"/>
    <w:rsid w:val="00E37C3D"/>
    <w:rsid w:val="00E40030"/>
    <w:rsid w:val="00E401E7"/>
    <w:rsid w:val="00E402D4"/>
    <w:rsid w:val="00E40352"/>
    <w:rsid w:val="00E40497"/>
    <w:rsid w:val="00E40507"/>
    <w:rsid w:val="00E40B99"/>
    <w:rsid w:val="00E42606"/>
    <w:rsid w:val="00E42902"/>
    <w:rsid w:val="00E42919"/>
    <w:rsid w:val="00E42AD9"/>
    <w:rsid w:val="00E42CEE"/>
    <w:rsid w:val="00E42F6F"/>
    <w:rsid w:val="00E43886"/>
    <w:rsid w:val="00E438CC"/>
    <w:rsid w:val="00E43B5B"/>
    <w:rsid w:val="00E43D58"/>
    <w:rsid w:val="00E44AEC"/>
    <w:rsid w:val="00E44F52"/>
    <w:rsid w:val="00E4592C"/>
    <w:rsid w:val="00E45B96"/>
    <w:rsid w:val="00E463F1"/>
    <w:rsid w:val="00E46645"/>
    <w:rsid w:val="00E46768"/>
    <w:rsid w:val="00E46D5D"/>
    <w:rsid w:val="00E51414"/>
    <w:rsid w:val="00E51460"/>
    <w:rsid w:val="00E521BB"/>
    <w:rsid w:val="00E52800"/>
    <w:rsid w:val="00E53AAF"/>
    <w:rsid w:val="00E53E4D"/>
    <w:rsid w:val="00E548FE"/>
    <w:rsid w:val="00E54F27"/>
    <w:rsid w:val="00E54FAE"/>
    <w:rsid w:val="00E5541D"/>
    <w:rsid w:val="00E5576B"/>
    <w:rsid w:val="00E56023"/>
    <w:rsid w:val="00E56353"/>
    <w:rsid w:val="00E565C7"/>
    <w:rsid w:val="00E57359"/>
    <w:rsid w:val="00E60035"/>
    <w:rsid w:val="00E60958"/>
    <w:rsid w:val="00E61BE4"/>
    <w:rsid w:val="00E625BF"/>
    <w:rsid w:val="00E62961"/>
    <w:rsid w:val="00E63825"/>
    <w:rsid w:val="00E64232"/>
    <w:rsid w:val="00E646C9"/>
    <w:rsid w:val="00E6479A"/>
    <w:rsid w:val="00E64F09"/>
    <w:rsid w:val="00E6531E"/>
    <w:rsid w:val="00E653B6"/>
    <w:rsid w:val="00E65C86"/>
    <w:rsid w:val="00E66588"/>
    <w:rsid w:val="00E66982"/>
    <w:rsid w:val="00E66E98"/>
    <w:rsid w:val="00E66F46"/>
    <w:rsid w:val="00E67176"/>
    <w:rsid w:val="00E67579"/>
    <w:rsid w:val="00E707AC"/>
    <w:rsid w:val="00E708B0"/>
    <w:rsid w:val="00E70D07"/>
    <w:rsid w:val="00E71C1C"/>
    <w:rsid w:val="00E72AB5"/>
    <w:rsid w:val="00E7314E"/>
    <w:rsid w:val="00E73628"/>
    <w:rsid w:val="00E740B4"/>
    <w:rsid w:val="00E74231"/>
    <w:rsid w:val="00E7425D"/>
    <w:rsid w:val="00E74710"/>
    <w:rsid w:val="00E74D26"/>
    <w:rsid w:val="00E74F58"/>
    <w:rsid w:val="00E754A7"/>
    <w:rsid w:val="00E75A3C"/>
    <w:rsid w:val="00E76860"/>
    <w:rsid w:val="00E76C8A"/>
    <w:rsid w:val="00E77929"/>
    <w:rsid w:val="00E77E86"/>
    <w:rsid w:val="00E8042D"/>
    <w:rsid w:val="00E80734"/>
    <w:rsid w:val="00E80FF5"/>
    <w:rsid w:val="00E8135A"/>
    <w:rsid w:val="00E822B2"/>
    <w:rsid w:val="00E832A4"/>
    <w:rsid w:val="00E83422"/>
    <w:rsid w:val="00E834D2"/>
    <w:rsid w:val="00E83AB8"/>
    <w:rsid w:val="00E83F19"/>
    <w:rsid w:val="00E84430"/>
    <w:rsid w:val="00E84701"/>
    <w:rsid w:val="00E84764"/>
    <w:rsid w:val="00E84875"/>
    <w:rsid w:val="00E84E80"/>
    <w:rsid w:val="00E8564D"/>
    <w:rsid w:val="00E857C8"/>
    <w:rsid w:val="00E8625F"/>
    <w:rsid w:val="00E87530"/>
    <w:rsid w:val="00E8767E"/>
    <w:rsid w:val="00E87832"/>
    <w:rsid w:val="00E878A5"/>
    <w:rsid w:val="00E87D9A"/>
    <w:rsid w:val="00E9004B"/>
    <w:rsid w:val="00E902DF"/>
    <w:rsid w:val="00E9040E"/>
    <w:rsid w:val="00E90D1B"/>
    <w:rsid w:val="00E914D2"/>
    <w:rsid w:val="00E9191E"/>
    <w:rsid w:val="00E92BA5"/>
    <w:rsid w:val="00E93FE9"/>
    <w:rsid w:val="00E94023"/>
    <w:rsid w:val="00E944F7"/>
    <w:rsid w:val="00E94A94"/>
    <w:rsid w:val="00E95539"/>
    <w:rsid w:val="00E95B1A"/>
    <w:rsid w:val="00E96045"/>
    <w:rsid w:val="00E960AB"/>
    <w:rsid w:val="00E96DA2"/>
    <w:rsid w:val="00E9761B"/>
    <w:rsid w:val="00EA0192"/>
    <w:rsid w:val="00EA0403"/>
    <w:rsid w:val="00EA0A6C"/>
    <w:rsid w:val="00EA18D0"/>
    <w:rsid w:val="00EA19C1"/>
    <w:rsid w:val="00EA200F"/>
    <w:rsid w:val="00EA21FA"/>
    <w:rsid w:val="00EA22E2"/>
    <w:rsid w:val="00EA2638"/>
    <w:rsid w:val="00EA29EE"/>
    <w:rsid w:val="00EA309E"/>
    <w:rsid w:val="00EA30C8"/>
    <w:rsid w:val="00EA317D"/>
    <w:rsid w:val="00EA3946"/>
    <w:rsid w:val="00EA3F62"/>
    <w:rsid w:val="00EA50E7"/>
    <w:rsid w:val="00EA5157"/>
    <w:rsid w:val="00EA5339"/>
    <w:rsid w:val="00EA632C"/>
    <w:rsid w:val="00EA7593"/>
    <w:rsid w:val="00EA7680"/>
    <w:rsid w:val="00EA77BE"/>
    <w:rsid w:val="00EB05B5"/>
    <w:rsid w:val="00EB1386"/>
    <w:rsid w:val="00EB1428"/>
    <w:rsid w:val="00EB1E2D"/>
    <w:rsid w:val="00EB2BD3"/>
    <w:rsid w:val="00EB2DA4"/>
    <w:rsid w:val="00EB3813"/>
    <w:rsid w:val="00EB3C09"/>
    <w:rsid w:val="00EB4347"/>
    <w:rsid w:val="00EB4A71"/>
    <w:rsid w:val="00EB57FD"/>
    <w:rsid w:val="00EB70FE"/>
    <w:rsid w:val="00EB7473"/>
    <w:rsid w:val="00EB7FA4"/>
    <w:rsid w:val="00EC05DA"/>
    <w:rsid w:val="00EC0E37"/>
    <w:rsid w:val="00EC1781"/>
    <w:rsid w:val="00EC195D"/>
    <w:rsid w:val="00EC1AE3"/>
    <w:rsid w:val="00EC1AF2"/>
    <w:rsid w:val="00EC2955"/>
    <w:rsid w:val="00EC2F9E"/>
    <w:rsid w:val="00EC38A1"/>
    <w:rsid w:val="00EC39D4"/>
    <w:rsid w:val="00EC4081"/>
    <w:rsid w:val="00EC4769"/>
    <w:rsid w:val="00EC496E"/>
    <w:rsid w:val="00EC4A72"/>
    <w:rsid w:val="00EC4AE8"/>
    <w:rsid w:val="00EC4E56"/>
    <w:rsid w:val="00EC517C"/>
    <w:rsid w:val="00EC545D"/>
    <w:rsid w:val="00EC64D4"/>
    <w:rsid w:val="00EC65EE"/>
    <w:rsid w:val="00EC684A"/>
    <w:rsid w:val="00EC6C91"/>
    <w:rsid w:val="00EC794F"/>
    <w:rsid w:val="00ED0747"/>
    <w:rsid w:val="00ED0A4E"/>
    <w:rsid w:val="00ED1186"/>
    <w:rsid w:val="00ED19D4"/>
    <w:rsid w:val="00ED1FB3"/>
    <w:rsid w:val="00ED2D81"/>
    <w:rsid w:val="00ED3BDB"/>
    <w:rsid w:val="00ED3DFF"/>
    <w:rsid w:val="00ED462B"/>
    <w:rsid w:val="00ED485F"/>
    <w:rsid w:val="00ED4ED6"/>
    <w:rsid w:val="00ED5C01"/>
    <w:rsid w:val="00ED6257"/>
    <w:rsid w:val="00ED6927"/>
    <w:rsid w:val="00ED6A45"/>
    <w:rsid w:val="00ED6E76"/>
    <w:rsid w:val="00ED6FA9"/>
    <w:rsid w:val="00ED702B"/>
    <w:rsid w:val="00ED74F8"/>
    <w:rsid w:val="00ED76D4"/>
    <w:rsid w:val="00ED7730"/>
    <w:rsid w:val="00ED7D61"/>
    <w:rsid w:val="00ED7F92"/>
    <w:rsid w:val="00EE0127"/>
    <w:rsid w:val="00EE0E31"/>
    <w:rsid w:val="00EE1056"/>
    <w:rsid w:val="00EE1AB2"/>
    <w:rsid w:val="00EE1C35"/>
    <w:rsid w:val="00EE2B12"/>
    <w:rsid w:val="00EE4AC7"/>
    <w:rsid w:val="00EE53AA"/>
    <w:rsid w:val="00EE5458"/>
    <w:rsid w:val="00EE575F"/>
    <w:rsid w:val="00EE5BF1"/>
    <w:rsid w:val="00EE62A4"/>
    <w:rsid w:val="00EE64AE"/>
    <w:rsid w:val="00EE7095"/>
    <w:rsid w:val="00EE729D"/>
    <w:rsid w:val="00EE78B4"/>
    <w:rsid w:val="00EE797A"/>
    <w:rsid w:val="00EE7AD0"/>
    <w:rsid w:val="00EE7F7A"/>
    <w:rsid w:val="00EF0A1D"/>
    <w:rsid w:val="00EF0A63"/>
    <w:rsid w:val="00EF0F93"/>
    <w:rsid w:val="00EF1185"/>
    <w:rsid w:val="00EF11CE"/>
    <w:rsid w:val="00EF13BF"/>
    <w:rsid w:val="00EF13C1"/>
    <w:rsid w:val="00EF15AE"/>
    <w:rsid w:val="00EF1DBF"/>
    <w:rsid w:val="00EF1EDE"/>
    <w:rsid w:val="00EF29BE"/>
    <w:rsid w:val="00EF2C98"/>
    <w:rsid w:val="00EF36AF"/>
    <w:rsid w:val="00EF3B84"/>
    <w:rsid w:val="00EF3BC4"/>
    <w:rsid w:val="00EF3CFA"/>
    <w:rsid w:val="00EF3DAE"/>
    <w:rsid w:val="00EF4428"/>
    <w:rsid w:val="00EF469F"/>
    <w:rsid w:val="00EF4F19"/>
    <w:rsid w:val="00EF53BB"/>
    <w:rsid w:val="00EF5451"/>
    <w:rsid w:val="00EF5B8A"/>
    <w:rsid w:val="00EF5FA0"/>
    <w:rsid w:val="00EF689C"/>
    <w:rsid w:val="00EF6B16"/>
    <w:rsid w:val="00EF6D93"/>
    <w:rsid w:val="00EF6DC3"/>
    <w:rsid w:val="00EF705A"/>
    <w:rsid w:val="00EF7466"/>
    <w:rsid w:val="00F0115C"/>
    <w:rsid w:val="00F014C8"/>
    <w:rsid w:val="00F01658"/>
    <w:rsid w:val="00F01885"/>
    <w:rsid w:val="00F01AD3"/>
    <w:rsid w:val="00F01C4B"/>
    <w:rsid w:val="00F022F4"/>
    <w:rsid w:val="00F024C7"/>
    <w:rsid w:val="00F0293E"/>
    <w:rsid w:val="00F0325A"/>
    <w:rsid w:val="00F03284"/>
    <w:rsid w:val="00F03682"/>
    <w:rsid w:val="00F03831"/>
    <w:rsid w:val="00F04C15"/>
    <w:rsid w:val="00F04E2D"/>
    <w:rsid w:val="00F058B5"/>
    <w:rsid w:val="00F05D76"/>
    <w:rsid w:val="00F06658"/>
    <w:rsid w:val="00F0680C"/>
    <w:rsid w:val="00F06A03"/>
    <w:rsid w:val="00F073FE"/>
    <w:rsid w:val="00F07A3B"/>
    <w:rsid w:val="00F100E8"/>
    <w:rsid w:val="00F10F99"/>
    <w:rsid w:val="00F1271F"/>
    <w:rsid w:val="00F133D3"/>
    <w:rsid w:val="00F13728"/>
    <w:rsid w:val="00F1391D"/>
    <w:rsid w:val="00F1475F"/>
    <w:rsid w:val="00F14989"/>
    <w:rsid w:val="00F14C2D"/>
    <w:rsid w:val="00F152BC"/>
    <w:rsid w:val="00F15953"/>
    <w:rsid w:val="00F15F2F"/>
    <w:rsid w:val="00F16237"/>
    <w:rsid w:val="00F1725B"/>
    <w:rsid w:val="00F17473"/>
    <w:rsid w:val="00F17CEF"/>
    <w:rsid w:val="00F20395"/>
    <w:rsid w:val="00F2054F"/>
    <w:rsid w:val="00F206A5"/>
    <w:rsid w:val="00F207D6"/>
    <w:rsid w:val="00F20995"/>
    <w:rsid w:val="00F210FC"/>
    <w:rsid w:val="00F211EA"/>
    <w:rsid w:val="00F212EE"/>
    <w:rsid w:val="00F213B2"/>
    <w:rsid w:val="00F215CB"/>
    <w:rsid w:val="00F218A7"/>
    <w:rsid w:val="00F21DFF"/>
    <w:rsid w:val="00F221AF"/>
    <w:rsid w:val="00F22831"/>
    <w:rsid w:val="00F22D5B"/>
    <w:rsid w:val="00F232A7"/>
    <w:rsid w:val="00F2342E"/>
    <w:rsid w:val="00F23DF1"/>
    <w:rsid w:val="00F241F5"/>
    <w:rsid w:val="00F24439"/>
    <w:rsid w:val="00F24CF2"/>
    <w:rsid w:val="00F25395"/>
    <w:rsid w:val="00F25D08"/>
    <w:rsid w:val="00F25E73"/>
    <w:rsid w:val="00F2607F"/>
    <w:rsid w:val="00F264C1"/>
    <w:rsid w:val="00F26E19"/>
    <w:rsid w:val="00F27183"/>
    <w:rsid w:val="00F27B73"/>
    <w:rsid w:val="00F301DB"/>
    <w:rsid w:val="00F30CC6"/>
    <w:rsid w:val="00F30D12"/>
    <w:rsid w:val="00F310A0"/>
    <w:rsid w:val="00F319FC"/>
    <w:rsid w:val="00F32780"/>
    <w:rsid w:val="00F32A26"/>
    <w:rsid w:val="00F32BF0"/>
    <w:rsid w:val="00F32CD2"/>
    <w:rsid w:val="00F33053"/>
    <w:rsid w:val="00F33DED"/>
    <w:rsid w:val="00F34AC7"/>
    <w:rsid w:val="00F352B0"/>
    <w:rsid w:val="00F35871"/>
    <w:rsid w:val="00F359E9"/>
    <w:rsid w:val="00F35E73"/>
    <w:rsid w:val="00F36847"/>
    <w:rsid w:val="00F372CB"/>
    <w:rsid w:val="00F374CD"/>
    <w:rsid w:val="00F404A3"/>
    <w:rsid w:val="00F4086F"/>
    <w:rsid w:val="00F40947"/>
    <w:rsid w:val="00F409D6"/>
    <w:rsid w:val="00F40AFB"/>
    <w:rsid w:val="00F40C54"/>
    <w:rsid w:val="00F40E60"/>
    <w:rsid w:val="00F40FC9"/>
    <w:rsid w:val="00F4100F"/>
    <w:rsid w:val="00F410C3"/>
    <w:rsid w:val="00F4126B"/>
    <w:rsid w:val="00F4185D"/>
    <w:rsid w:val="00F419A9"/>
    <w:rsid w:val="00F41D38"/>
    <w:rsid w:val="00F425E4"/>
    <w:rsid w:val="00F42670"/>
    <w:rsid w:val="00F43B22"/>
    <w:rsid w:val="00F43D7B"/>
    <w:rsid w:val="00F44B72"/>
    <w:rsid w:val="00F4653D"/>
    <w:rsid w:val="00F4701F"/>
    <w:rsid w:val="00F4709D"/>
    <w:rsid w:val="00F4710C"/>
    <w:rsid w:val="00F4729B"/>
    <w:rsid w:val="00F47414"/>
    <w:rsid w:val="00F50527"/>
    <w:rsid w:val="00F50DF1"/>
    <w:rsid w:val="00F5139E"/>
    <w:rsid w:val="00F514EA"/>
    <w:rsid w:val="00F520DF"/>
    <w:rsid w:val="00F5220E"/>
    <w:rsid w:val="00F526D8"/>
    <w:rsid w:val="00F529EE"/>
    <w:rsid w:val="00F52A04"/>
    <w:rsid w:val="00F535D0"/>
    <w:rsid w:val="00F535D5"/>
    <w:rsid w:val="00F5534F"/>
    <w:rsid w:val="00F55C10"/>
    <w:rsid w:val="00F57043"/>
    <w:rsid w:val="00F571E2"/>
    <w:rsid w:val="00F57541"/>
    <w:rsid w:val="00F57919"/>
    <w:rsid w:val="00F600AD"/>
    <w:rsid w:val="00F60221"/>
    <w:rsid w:val="00F60B5D"/>
    <w:rsid w:val="00F60F3B"/>
    <w:rsid w:val="00F612FD"/>
    <w:rsid w:val="00F61970"/>
    <w:rsid w:val="00F61C1C"/>
    <w:rsid w:val="00F622E6"/>
    <w:rsid w:val="00F62C87"/>
    <w:rsid w:val="00F635E6"/>
    <w:rsid w:val="00F64EEC"/>
    <w:rsid w:val="00F65448"/>
    <w:rsid w:val="00F65971"/>
    <w:rsid w:val="00F659AA"/>
    <w:rsid w:val="00F65FF4"/>
    <w:rsid w:val="00F66031"/>
    <w:rsid w:val="00F6626F"/>
    <w:rsid w:val="00F664D0"/>
    <w:rsid w:val="00F668F5"/>
    <w:rsid w:val="00F66FD3"/>
    <w:rsid w:val="00F675C3"/>
    <w:rsid w:val="00F679C2"/>
    <w:rsid w:val="00F67BD5"/>
    <w:rsid w:val="00F70160"/>
    <w:rsid w:val="00F7023F"/>
    <w:rsid w:val="00F7048D"/>
    <w:rsid w:val="00F716C7"/>
    <w:rsid w:val="00F717E9"/>
    <w:rsid w:val="00F718DB"/>
    <w:rsid w:val="00F71C59"/>
    <w:rsid w:val="00F726AF"/>
    <w:rsid w:val="00F729F5"/>
    <w:rsid w:val="00F72BC1"/>
    <w:rsid w:val="00F730D5"/>
    <w:rsid w:val="00F73E75"/>
    <w:rsid w:val="00F74067"/>
    <w:rsid w:val="00F74CD6"/>
    <w:rsid w:val="00F74CE3"/>
    <w:rsid w:val="00F75421"/>
    <w:rsid w:val="00F75734"/>
    <w:rsid w:val="00F75E8B"/>
    <w:rsid w:val="00F7601D"/>
    <w:rsid w:val="00F76267"/>
    <w:rsid w:val="00F7645D"/>
    <w:rsid w:val="00F77896"/>
    <w:rsid w:val="00F778BD"/>
    <w:rsid w:val="00F77F7A"/>
    <w:rsid w:val="00F80998"/>
    <w:rsid w:val="00F81937"/>
    <w:rsid w:val="00F81A08"/>
    <w:rsid w:val="00F81E2C"/>
    <w:rsid w:val="00F81FF5"/>
    <w:rsid w:val="00F827DD"/>
    <w:rsid w:val="00F8333E"/>
    <w:rsid w:val="00F83DAF"/>
    <w:rsid w:val="00F83EC9"/>
    <w:rsid w:val="00F8418A"/>
    <w:rsid w:val="00F84627"/>
    <w:rsid w:val="00F851FA"/>
    <w:rsid w:val="00F8528A"/>
    <w:rsid w:val="00F85440"/>
    <w:rsid w:val="00F861B1"/>
    <w:rsid w:val="00F8647D"/>
    <w:rsid w:val="00F86EA3"/>
    <w:rsid w:val="00F86F82"/>
    <w:rsid w:val="00F87385"/>
    <w:rsid w:val="00F87E4B"/>
    <w:rsid w:val="00F91242"/>
    <w:rsid w:val="00F91763"/>
    <w:rsid w:val="00F923B2"/>
    <w:rsid w:val="00F927DB"/>
    <w:rsid w:val="00F93793"/>
    <w:rsid w:val="00F93B95"/>
    <w:rsid w:val="00F93DBA"/>
    <w:rsid w:val="00F93F88"/>
    <w:rsid w:val="00F94165"/>
    <w:rsid w:val="00F9474B"/>
    <w:rsid w:val="00F9496D"/>
    <w:rsid w:val="00F956BF"/>
    <w:rsid w:val="00F95935"/>
    <w:rsid w:val="00F95B94"/>
    <w:rsid w:val="00F95DE7"/>
    <w:rsid w:val="00F96578"/>
    <w:rsid w:val="00F96A04"/>
    <w:rsid w:val="00F97137"/>
    <w:rsid w:val="00F971B1"/>
    <w:rsid w:val="00F9724C"/>
    <w:rsid w:val="00F972B1"/>
    <w:rsid w:val="00F9789E"/>
    <w:rsid w:val="00F9794C"/>
    <w:rsid w:val="00F97CF7"/>
    <w:rsid w:val="00FA0227"/>
    <w:rsid w:val="00FA0831"/>
    <w:rsid w:val="00FA138E"/>
    <w:rsid w:val="00FA1722"/>
    <w:rsid w:val="00FA1FE0"/>
    <w:rsid w:val="00FA2051"/>
    <w:rsid w:val="00FA2492"/>
    <w:rsid w:val="00FA27A9"/>
    <w:rsid w:val="00FA2D81"/>
    <w:rsid w:val="00FA2F02"/>
    <w:rsid w:val="00FA335C"/>
    <w:rsid w:val="00FA366E"/>
    <w:rsid w:val="00FA36CD"/>
    <w:rsid w:val="00FA4303"/>
    <w:rsid w:val="00FA4384"/>
    <w:rsid w:val="00FA4B7B"/>
    <w:rsid w:val="00FA4E3E"/>
    <w:rsid w:val="00FA50DD"/>
    <w:rsid w:val="00FA514A"/>
    <w:rsid w:val="00FA52B6"/>
    <w:rsid w:val="00FA5BDD"/>
    <w:rsid w:val="00FA6216"/>
    <w:rsid w:val="00FA623F"/>
    <w:rsid w:val="00FA630F"/>
    <w:rsid w:val="00FA70A9"/>
    <w:rsid w:val="00FA73BF"/>
    <w:rsid w:val="00FA798F"/>
    <w:rsid w:val="00FA79C4"/>
    <w:rsid w:val="00FA7B03"/>
    <w:rsid w:val="00FB01ED"/>
    <w:rsid w:val="00FB0701"/>
    <w:rsid w:val="00FB0B96"/>
    <w:rsid w:val="00FB0F3C"/>
    <w:rsid w:val="00FB1229"/>
    <w:rsid w:val="00FB1584"/>
    <w:rsid w:val="00FB1D90"/>
    <w:rsid w:val="00FB2030"/>
    <w:rsid w:val="00FB2907"/>
    <w:rsid w:val="00FB2BAF"/>
    <w:rsid w:val="00FB30ED"/>
    <w:rsid w:val="00FB5281"/>
    <w:rsid w:val="00FB5370"/>
    <w:rsid w:val="00FB6080"/>
    <w:rsid w:val="00FB6D75"/>
    <w:rsid w:val="00FB766C"/>
    <w:rsid w:val="00FB7AB2"/>
    <w:rsid w:val="00FB7EC2"/>
    <w:rsid w:val="00FC015D"/>
    <w:rsid w:val="00FC0D1A"/>
    <w:rsid w:val="00FC0F2C"/>
    <w:rsid w:val="00FC13EC"/>
    <w:rsid w:val="00FC1A93"/>
    <w:rsid w:val="00FC1E56"/>
    <w:rsid w:val="00FC212F"/>
    <w:rsid w:val="00FC2515"/>
    <w:rsid w:val="00FC3D07"/>
    <w:rsid w:val="00FC41F1"/>
    <w:rsid w:val="00FC4917"/>
    <w:rsid w:val="00FC4C5F"/>
    <w:rsid w:val="00FC4D3E"/>
    <w:rsid w:val="00FC549B"/>
    <w:rsid w:val="00FC5913"/>
    <w:rsid w:val="00FC5EC0"/>
    <w:rsid w:val="00FC6042"/>
    <w:rsid w:val="00FC6150"/>
    <w:rsid w:val="00FC6D59"/>
    <w:rsid w:val="00FC7CEE"/>
    <w:rsid w:val="00FD02BB"/>
    <w:rsid w:val="00FD1125"/>
    <w:rsid w:val="00FD15D8"/>
    <w:rsid w:val="00FD1AAE"/>
    <w:rsid w:val="00FD1C50"/>
    <w:rsid w:val="00FD1D5D"/>
    <w:rsid w:val="00FD2F3F"/>
    <w:rsid w:val="00FD329D"/>
    <w:rsid w:val="00FD4646"/>
    <w:rsid w:val="00FD46FD"/>
    <w:rsid w:val="00FD485F"/>
    <w:rsid w:val="00FD4C6E"/>
    <w:rsid w:val="00FD4E06"/>
    <w:rsid w:val="00FD545C"/>
    <w:rsid w:val="00FD5CE2"/>
    <w:rsid w:val="00FD66EE"/>
    <w:rsid w:val="00FD6B99"/>
    <w:rsid w:val="00FD7038"/>
    <w:rsid w:val="00FD719D"/>
    <w:rsid w:val="00FD7C06"/>
    <w:rsid w:val="00FD7CBB"/>
    <w:rsid w:val="00FD7F86"/>
    <w:rsid w:val="00FE00A8"/>
    <w:rsid w:val="00FE0677"/>
    <w:rsid w:val="00FE0AA4"/>
    <w:rsid w:val="00FE1387"/>
    <w:rsid w:val="00FE1571"/>
    <w:rsid w:val="00FE20E1"/>
    <w:rsid w:val="00FE2433"/>
    <w:rsid w:val="00FE2E1B"/>
    <w:rsid w:val="00FE312C"/>
    <w:rsid w:val="00FE343D"/>
    <w:rsid w:val="00FE3CB5"/>
    <w:rsid w:val="00FE4077"/>
    <w:rsid w:val="00FE47B5"/>
    <w:rsid w:val="00FE4956"/>
    <w:rsid w:val="00FE4B8C"/>
    <w:rsid w:val="00FE4FB6"/>
    <w:rsid w:val="00FE5955"/>
    <w:rsid w:val="00FE5FB9"/>
    <w:rsid w:val="00FE6338"/>
    <w:rsid w:val="00FE6466"/>
    <w:rsid w:val="00FE6604"/>
    <w:rsid w:val="00FE6E77"/>
    <w:rsid w:val="00FE70EC"/>
    <w:rsid w:val="00FE73A7"/>
    <w:rsid w:val="00FE73DD"/>
    <w:rsid w:val="00FE767F"/>
    <w:rsid w:val="00FF03A8"/>
    <w:rsid w:val="00FF065F"/>
    <w:rsid w:val="00FF177C"/>
    <w:rsid w:val="00FF18DC"/>
    <w:rsid w:val="00FF26E3"/>
    <w:rsid w:val="00FF35DC"/>
    <w:rsid w:val="00FF3657"/>
    <w:rsid w:val="00FF3975"/>
    <w:rsid w:val="00FF3D8F"/>
    <w:rsid w:val="00FF4CF0"/>
    <w:rsid w:val="00FF6905"/>
    <w:rsid w:val="00FF6DCD"/>
    <w:rsid w:val="00FF6E15"/>
    <w:rsid w:val="00FF7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C1D7"/>
  <w15:chartTrackingRefBased/>
  <w15:docId w15:val="{841F397B-6A79-450E-8B66-57218419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B4"/>
  </w:style>
  <w:style w:type="paragraph" w:styleId="Heading1">
    <w:name w:val="heading 1"/>
    <w:basedOn w:val="Normal"/>
    <w:next w:val="Normal"/>
    <w:link w:val="Heading1Char"/>
    <w:uiPriority w:val="9"/>
    <w:qFormat/>
    <w:rsid w:val="007969B4"/>
    <w:pPr>
      <w:keepNext/>
      <w:keepLines/>
      <w:numPr>
        <w:numId w:val="1"/>
      </w:numPr>
      <w:spacing w:before="360" w:after="0" w:line="240" w:lineRule="auto"/>
      <w:jc w:val="both"/>
      <w:outlineLvl w:val="0"/>
    </w:pPr>
    <w:rPr>
      <w:rFonts w:ascii="Calibri" w:eastAsia="Times New Roman" w:hAnsi="Calibri" w:cs="Times New Roman"/>
      <w:b/>
      <w:bCs/>
      <w:color w:val="1F497D"/>
      <w:sz w:val="28"/>
      <w:szCs w:val="28"/>
    </w:rPr>
  </w:style>
  <w:style w:type="paragraph" w:styleId="Heading2">
    <w:name w:val="heading 2"/>
    <w:basedOn w:val="Normal"/>
    <w:next w:val="Normal"/>
    <w:link w:val="Heading2Char"/>
    <w:uiPriority w:val="9"/>
    <w:unhideWhenUsed/>
    <w:qFormat/>
    <w:rsid w:val="007969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69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69B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69B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69B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9B4"/>
    <w:rPr>
      <w:rFonts w:ascii="Calibri" w:eastAsia="Times New Roman" w:hAnsi="Calibri" w:cs="Times New Roman"/>
      <w:b/>
      <w:bCs/>
      <w:color w:val="1F497D"/>
      <w:sz w:val="28"/>
      <w:szCs w:val="28"/>
    </w:rPr>
  </w:style>
  <w:style w:type="character" w:customStyle="1" w:styleId="Heading2Char">
    <w:name w:val="Heading 2 Char"/>
    <w:basedOn w:val="DefaultParagraphFont"/>
    <w:link w:val="Heading2"/>
    <w:uiPriority w:val="9"/>
    <w:rsid w:val="007969B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69B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69B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969B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969B4"/>
    <w:rPr>
      <w:rFonts w:asciiTheme="majorHAnsi" w:eastAsiaTheme="majorEastAsia" w:hAnsiTheme="majorHAnsi" w:cstheme="majorBidi"/>
      <w:color w:val="1F3763" w:themeColor="accent1" w:themeShade="7F"/>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3"/>
    <w:basedOn w:val="Normal"/>
    <w:link w:val="ListParagraphChar"/>
    <w:uiPriority w:val="34"/>
    <w:qFormat/>
    <w:rsid w:val="007969B4"/>
    <w:pPr>
      <w:ind w:left="720"/>
      <w:contextualSpacing/>
    </w:pPr>
  </w:style>
  <w:style w:type="paragraph" w:styleId="BalloonText">
    <w:name w:val="Balloon Text"/>
    <w:basedOn w:val="Normal"/>
    <w:link w:val="BalloonTextChar"/>
    <w:uiPriority w:val="99"/>
    <w:semiHidden/>
    <w:unhideWhenUsed/>
    <w:rsid w:val="00796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9B4"/>
    <w:rPr>
      <w:rFonts w:ascii="Segoe UI" w:hAnsi="Segoe UI" w:cs="Segoe UI"/>
      <w:sz w:val="18"/>
      <w:szCs w:val="18"/>
    </w:rPr>
  </w:style>
  <w:style w:type="paragraph" w:styleId="Header">
    <w:name w:val="header"/>
    <w:aliases w:val="Numbered"/>
    <w:basedOn w:val="Normal"/>
    <w:link w:val="HeaderChar"/>
    <w:unhideWhenUsed/>
    <w:rsid w:val="007969B4"/>
    <w:pPr>
      <w:tabs>
        <w:tab w:val="center" w:pos="4680"/>
        <w:tab w:val="right" w:pos="9360"/>
      </w:tabs>
      <w:spacing w:after="0" w:line="240" w:lineRule="auto"/>
    </w:pPr>
  </w:style>
  <w:style w:type="character" w:customStyle="1" w:styleId="HeaderChar">
    <w:name w:val="Header Char"/>
    <w:aliases w:val="Numbered Char"/>
    <w:basedOn w:val="DefaultParagraphFont"/>
    <w:link w:val="Header"/>
    <w:rsid w:val="007969B4"/>
  </w:style>
  <w:style w:type="paragraph" w:styleId="Footer">
    <w:name w:val="footer"/>
    <w:basedOn w:val="Normal"/>
    <w:link w:val="FooterChar"/>
    <w:uiPriority w:val="99"/>
    <w:unhideWhenUsed/>
    <w:rsid w:val="0079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9B4"/>
  </w:style>
  <w:style w:type="paragraph" w:customStyle="1" w:styleId="Titre2b">
    <w:name w:val="Titre2b"/>
    <w:basedOn w:val="Heading2"/>
    <w:next w:val="BodyText"/>
    <w:uiPriority w:val="4"/>
    <w:qFormat/>
    <w:rsid w:val="007969B4"/>
    <w:pPr>
      <w:keepLines w:val="0"/>
      <w:numPr>
        <w:ilvl w:val="1"/>
        <w:numId w:val="1"/>
      </w:numPr>
      <w:tabs>
        <w:tab w:val="num" w:pos="851"/>
      </w:tabs>
      <w:spacing w:before="0" w:after="200" w:line="240" w:lineRule="auto"/>
      <w:ind w:left="851"/>
      <w:jc w:val="both"/>
    </w:pPr>
    <w:rPr>
      <w:rFonts w:ascii="Times New Roman" w:eastAsia="Times New Roman" w:hAnsi="Times New Roman" w:cs="Times New Roman"/>
      <w:bCs/>
      <w:color w:val="auto"/>
      <w:sz w:val="22"/>
      <w:lang w:val="fr-FR"/>
    </w:rPr>
  </w:style>
  <w:style w:type="paragraph" w:customStyle="1" w:styleId="Titre3b">
    <w:name w:val="Titre3b"/>
    <w:basedOn w:val="Heading3"/>
    <w:next w:val="BodyText"/>
    <w:uiPriority w:val="4"/>
    <w:qFormat/>
    <w:rsid w:val="007969B4"/>
    <w:pPr>
      <w:keepLines w:val="0"/>
      <w:numPr>
        <w:ilvl w:val="2"/>
        <w:numId w:val="1"/>
      </w:numPr>
      <w:spacing w:before="0" w:after="200" w:line="240" w:lineRule="auto"/>
      <w:jc w:val="both"/>
    </w:pPr>
    <w:rPr>
      <w:rFonts w:ascii="Times New Roman" w:eastAsia="Times New Roman" w:hAnsi="Times New Roman" w:cs="Times New Roman"/>
      <w:bCs/>
      <w:color w:val="auto"/>
      <w:sz w:val="22"/>
      <w:szCs w:val="22"/>
      <w:lang w:val="fr-FR"/>
    </w:rPr>
  </w:style>
  <w:style w:type="paragraph" w:customStyle="1" w:styleId="Titre4b">
    <w:name w:val="Titre4b"/>
    <w:basedOn w:val="Heading4"/>
    <w:next w:val="BodyText"/>
    <w:uiPriority w:val="4"/>
    <w:qFormat/>
    <w:rsid w:val="007969B4"/>
    <w:pPr>
      <w:keepLines w:val="0"/>
      <w:numPr>
        <w:ilvl w:val="3"/>
        <w:numId w:val="1"/>
      </w:numPr>
      <w:spacing w:before="0" w:after="240" w:line="240" w:lineRule="auto"/>
      <w:jc w:val="both"/>
    </w:pPr>
    <w:rPr>
      <w:rFonts w:ascii="Times New Roman" w:eastAsia="Times New Roman" w:hAnsi="Times New Roman" w:cs="Times New Roman"/>
      <w:bCs/>
      <w:i w:val="0"/>
      <w:color w:val="auto"/>
      <w:lang w:val="fr-FR"/>
    </w:rPr>
  </w:style>
  <w:style w:type="paragraph" w:customStyle="1" w:styleId="Titre5b">
    <w:name w:val="Titre5b"/>
    <w:basedOn w:val="Heading5"/>
    <w:next w:val="Normal"/>
    <w:uiPriority w:val="4"/>
    <w:qFormat/>
    <w:rsid w:val="007969B4"/>
    <w:pPr>
      <w:keepNext w:val="0"/>
      <w:keepLines w:val="0"/>
      <w:numPr>
        <w:ilvl w:val="4"/>
        <w:numId w:val="1"/>
      </w:numPr>
      <w:tabs>
        <w:tab w:val="left" w:pos="1418"/>
      </w:tabs>
      <w:spacing w:before="0" w:after="240" w:line="240" w:lineRule="auto"/>
      <w:jc w:val="both"/>
    </w:pPr>
    <w:rPr>
      <w:rFonts w:ascii="Times New Roman" w:eastAsia="Times New Roman" w:hAnsi="Times New Roman" w:cs="Times New Roman"/>
      <w:color w:val="auto"/>
      <w:lang w:val="fr-FR"/>
    </w:rPr>
  </w:style>
  <w:style w:type="paragraph" w:customStyle="1" w:styleId="Titre6b">
    <w:name w:val="Titre6b"/>
    <w:basedOn w:val="Heading6"/>
    <w:next w:val="Normal"/>
    <w:uiPriority w:val="4"/>
    <w:qFormat/>
    <w:rsid w:val="007969B4"/>
    <w:pPr>
      <w:keepNext w:val="0"/>
      <w:keepLines w:val="0"/>
      <w:numPr>
        <w:ilvl w:val="5"/>
        <w:numId w:val="1"/>
      </w:numPr>
      <w:tabs>
        <w:tab w:val="left" w:pos="1985"/>
      </w:tabs>
      <w:spacing w:before="0" w:after="240" w:line="240" w:lineRule="auto"/>
      <w:jc w:val="both"/>
    </w:pPr>
    <w:rPr>
      <w:rFonts w:ascii="Times New Roman" w:eastAsia="Times New Roman" w:hAnsi="Times New Roman" w:cs="Times New Roman"/>
      <w:iCs/>
      <w:color w:val="auto"/>
      <w:lang w:val="fr-FR"/>
    </w:rPr>
  </w:style>
  <w:style w:type="paragraph" w:styleId="FootnoteText">
    <w:name w:val="footnote text"/>
    <w:basedOn w:val="Normal"/>
    <w:link w:val="FootnoteTextChar"/>
    <w:uiPriority w:val="99"/>
    <w:unhideWhenUsed/>
    <w:rsid w:val="007969B4"/>
    <w:pPr>
      <w:spacing w:after="0" w:line="240" w:lineRule="auto"/>
    </w:pPr>
    <w:rPr>
      <w:sz w:val="20"/>
      <w:szCs w:val="20"/>
    </w:rPr>
  </w:style>
  <w:style w:type="character" w:customStyle="1" w:styleId="FootnoteTextChar">
    <w:name w:val="Footnote Text Char"/>
    <w:basedOn w:val="DefaultParagraphFont"/>
    <w:link w:val="FootnoteText"/>
    <w:uiPriority w:val="99"/>
    <w:rsid w:val="007969B4"/>
    <w:rPr>
      <w:sz w:val="20"/>
      <w:szCs w:val="20"/>
    </w:rPr>
  </w:style>
  <w:style w:type="character" w:styleId="FootnoteReference">
    <w:name w:val="footnote reference"/>
    <w:basedOn w:val="DefaultParagraphFont"/>
    <w:uiPriority w:val="99"/>
    <w:unhideWhenUsed/>
    <w:rsid w:val="007969B4"/>
    <w:rPr>
      <w:vertAlign w:val="superscript"/>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7969B4"/>
  </w:style>
  <w:style w:type="character" w:styleId="Hyperlink">
    <w:name w:val="Hyperlink"/>
    <w:basedOn w:val="DefaultParagraphFont"/>
    <w:uiPriority w:val="99"/>
    <w:unhideWhenUsed/>
    <w:rsid w:val="007969B4"/>
    <w:rPr>
      <w:color w:val="0563C1" w:themeColor="hyperlink"/>
      <w:u w:val="single"/>
    </w:rPr>
  </w:style>
  <w:style w:type="paragraph" w:styleId="BodyText">
    <w:name w:val="Body Text"/>
    <w:basedOn w:val="Normal"/>
    <w:link w:val="BodyTextChar"/>
    <w:uiPriority w:val="99"/>
    <w:semiHidden/>
    <w:unhideWhenUsed/>
    <w:rsid w:val="007969B4"/>
    <w:pPr>
      <w:spacing w:after="120"/>
    </w:pPr>
  </w:style>
  <w:style w:type="character" w:customStyle="1" w:styleId="BodyTextChar">
    <w:name w:val="Body Text Char"/>
    <w:basedOn w:val="DefaultParagraphFont"/>
    <w:link w:val="BodyText"/>
    <w:uiPriority w:val="99"/>
    <w:semiHidden/>
    <w:rsid w:val="007969B4"/>
  </w:style>
  <w:style w:type="paragraph" w:styleId="NoSpacing">
    <w:name w:val="No Spacing"/>
    <w:link w:val="NoSpacingChar"/>
    <w:uiPriority w:val="1"/>
    <w:qFormat/>
    <w:rsid w:val="007969B4"/>
    <w:pPr>
      <w:spacing w:after="0" w:line="240" w:lineRule="auto"/>
    </w:pPr>
  </w:style>
  <w:style w:type="character" w:customStyle="1" w:styleId="NoSpacingChar">
    <w:name w:val="No Spacing Char"/>
    <w:basedOn w:val="DefaultParagraphFont"/>
    <w:link w:val="NoSpacing"/>
    <w:uiPriority w:val="1"/>
    <w:rsid w:val="007969B4"/>
    <w:rPr>
      <w:rFonts w:eastAsiaTheme="minorEastAsia"/>
    </w:rPr>
  </w:style>
  <w:style w:type="character" w:styleId="CommentReference">
    <w:name w:val="annotation reference"/>
    <w:basedOn w:val="DefaultParagraphFont"/>
    <w:uiPriority w:val="99"/>
    <w:semiHidden/>
    <w:unhideWhenUsed/>
    <w:rsid w:val="007969B4"/>
    <w:rPr>
      <w:sz w:val="16"/>
      <w:szCs w:val="16"/>
    </w:rPr>
  </w:style>
  <w:style w:type="paragraph" w:styleId="CommentText">
    <w:name w:val="annotation text"/>
    <w:basedOn w:val="Normal"/>
    <w:link w:val="CommentTextChar"/>
    <w:uiPriority w:val="99"/>
    <w:unhideWhenUsed/>
    <w:rsid w:val="007969B4"/>
    <w:pPr>
      <w:spacing w:line="240" w:lineRule="auto"/>
    </w:pPr>
    <w:rPr>
      <w:sz w:val="20"/>
      <w:szCs w:val="20"/>
    </w:rPr>
  </w:style>
  <w:style w:type="character" w:customStyle="1" w:styleId="CommentTextChar">
    <w:name w:val="Comment Text Char"/>
    <w:basedOn w:val="DefaultParagraphFont"/>
    <w:link w:val="CommentText"/>
    <w:uiPriority w:val="99"/>
    <w:rsid w:val="007969B4"/>
    <w:rPr>
      <w:sz w:val="20"/>
      <w:szCs w:val="20"/>
    </w:rPr>
  </w:style>
  <w:style w:type="paragraph" w:styleId="CommentSubject">
    <w:name w:val="annotation subject"/>
    <w:basedOn w:val="CommentText"/>
    <w:next w:val="CommentText"/>
    <w:link w:val="CommentSubjectChar"/>
    <w:uiPriority w:val="99"/>
    <w:semiHidden/>
    <w:unhideWhenUsed/>
    <w:rsid w:val="007969B4"/>
    <w:rPr>
      <w:b/>
      <w:bCs/>
    </w:rPr>
  </w:style>
  <w:style w:type="character" w:customStyle="1" w:styleId="CommentSubjectChar">
    <w:name w:val="Comment Subject Char"/>
    <w:basedOn w:val="CommentTextChar"/>
    <w:link w:val="CommentSubject"/>
    <w:uiPriority w:val="99"/>
    <w:semiHidden/>
    <w:rsid w:val="007969B4"/>
    <w:rPr>
      <w:b/>
      <w:bCs/>
      <w:sz w:val="20"/>
      <w:szCs w:val="20"/>
    </w:rPr>
  </w:style>
  <w:style w:type="character" w:customStyle="1" w:styleId="UnresolvedMention1">
    <w:name w:val="Unresolved Mention1"/>
    <w:basedOn w:val="DefaultParagraphFont"/>
    <w:uiPriority w:val="99"/>
    <w:semiHidden/>
    <w:unhideWhenUsed/>
    <w:rsid w:val="007969B4"/>
    <w:rPr>
      <w:color w:val="808080"/>
      <w:shd w:val="clear" w:color="auto" w:fill="E6E6E6"/>
    </w:rPr>
  </w:style>
  <w:style w:type="character" w:styleId="FollowedHyperlink">
    <w:name w:val="FollowedHyperlink"/>
    <w:basedOn w:val="DefaultParagraphFont"/>
    <w:uiPriority w:val="99"/>
    <w:semiHidden/>
    <w:unhideWhenUsed/>
    <w:rsid w:val="007969B4"/>
    <w:rPr>
      <w:color w:val="954F72" w:themeColor="followedHyperlink"/>
      <w:u w:val="single"/>
    </w:rPr>
  </w:style>
  <w:style w:type="paragraph" w:customStyle="1" w:styleId="Number">
    <w:name w:val="Number"/>
    <w:basedOn w:val="Header"/>
    <w:rsid w:val="007969B4"/>
    <w:pPr>
      <w:tabs>
        <w:tab w:val="clear" w:pos="4680"/>
        <w:tab w:val="clear" w:pos="9360"/>
      </w:tabs>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120426"/>
    <w:pPr>
      <w:tabs>
        <w:tab w:val="left" w:pos="440"/>
        <w:tab w:val="right" w:leader="dot" w:pos="9350"/>
      </w:tabs>
      <w:spacing w:before="120" w:after="120"/>
    </w:pPr>
    <w:rPr>
      <w:rFonts w:cstheme="minorHAnsi"/>
      <w:b/>
      <w:bCs/>
      <w:caps/>
      <w:sz w:val="20"/>
      <w:szCs w:val="20"/>
    </w:rPr>
  </w:style>
  <w:style w:type="paragraph" w:styleId="TOCHeading">
    <w:name w:val="TOC Heading"/>
    <w:basedOn w:val="Heading1"/>
    <w:next w:val="Normal"/>
    <w:uiPriority w:val="39"/>
    <w:unhideWhenUsed/>
    <w:qFormat/>
    <w:rsid w:val="00564FC7"/>
    <w:pPr>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120426"/>
    <w:pPr>
      <w:tabs>
        <w:tab w:val="left" w:pos="88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564FC7"/>
    <w:pPr>
      <w:spacing w:after="0"/>
      <w:ind w:left="440"/>
    </w:pPr>
    <w:rPr>
      <w:rFonts w:cstheme="minorHAnsi"/>
      <w:i/>
      <w:iCs/>
      <w:sz w:val="20"/>
      <w:szCs w:val="20"/>
    </w:rPr>
  </w:style>
  <w:style w:type="paragraph" w:styleId="TOC4">
    <w:name w:val="toc 4"/>
    <w:basedOn w:val="Normal"/>
    <w:next w:val="Normal"/>
    <w:autoRedefine/>
    <w:uiPriority w:val="39"/>
    <w:unhideWhenUsed/>
    <w:rsid w:val="00564FC7"/>
    <w:pPr>
      <w:spacing w:after="0"/>
      <w:ind w:left="660"/>
    </w:pPr>
    <w:rPr>
      <w:rFonts w:cstheme="minorHAnsi"/>
      <w:sz w:val="18"/>
      <w:szCs w:val="18"/>
    </w:rPr>
  </w:style>
  <w:style w:type="paragraph" w:styleId="TOC5">
    <w:name w:val="toc 5"/>
    <w:basedOn w:val="Normal"/>
    <w:next w:val="Normal"/>
    <w:autoRedefine/>
    <w:uiPriority w:val="39"/>
    <w:unhideWhenUsed/>
    <w:rsid w:val="00564FC7"/>
    <w:pPr>
      <w:spacing w:after="0"/>
      <w:ind w:left="880"/>
    </w:pPr>
    <w:rPr>
      <w:rFonts w:cstheme="minorHAnsi"/>
      <w:sz w:val="18"/>
      <w:szCs w:val="18"/>
    </w:rPr>
  </w:style>
  <w:style w:type="paragraph" w:styleId="TOC6">
    <w:name w:val="toc 6"/>
    <w:basedOn w:val="Normal"/>
    <w:next w:val="Normal"/>
    <w:autoRedefine/>
    <w:uiPriority w:val="39"/>
    <w:unhideWhenUsed/>
    <w:rsid w:val="00564FC7"/>
    <w:pPr>
      <w:spacing w:after="0"/>
      <w:ind w:left="1100"/>
    </w:pPr>
    <w:rPr>
      <w:rFonts w:cstheme="minorHAnsi"/>
      <w:sz w:val="18"/>
      <w:szCs w:val="18"/>
    </w:rPr>
  </w:style>
  <w:style w:type="paragraph" w:styleId="TOC7">
    <w:name w:val="toc 7"/>
    <w:basedOn w:val="Normal"/>
    <w:next w:val="Normal"/>
    <w:autoRedefine/>
    <w:uiPriority w:val="39"/>
    <w:unhideWhenUsed/>
    <w:rsid w:val="00564FC7"/>
    <w:pPr>
      <w:spacing w:after="0"/>
      <w:ind w:left="1320"/>
    </w:pPr>
    <w:rPr>
      <w:rFonts w:cstheme="minorHAnsi"/>
      <w:sz w:val="18"/>
      <w:szCs w:val="18"/>
    </w:rPr>
  </w:style>
  <w:style w:type="paragraph" w:styleId="TOC8">
    <w:name w:val="toc 8"/>
    <w:basedOn w:val="Normal"/>
    <w:next w:val="Normal"/>
    <w:autoRedefine/>
    <w:uiPriority w:val="39"/>
    <w:unhideWhenUsed/>
    <w:rsid w:val="00564FC7"/>
    <w:pPr>
      <w:spacing w:after="0"/>
      <w:ind w:left="1540"/>
    </w:pPr>
    <w:rPr>
      <w:rFonts w:cstheme="minorHAnsi"/>
      <w:sz w:val="18"/>
      <w:szCs w:val="18"/>
    </w:rPr>
  </w:style>
  <w:style w:type="paragraph" w:styleId="TOC9">
    <w:name w:val="toc 9"/>
    <w:basedOn w:val="Normal"/>
    <w:next w:val="Normal"/>
    <w:autoRedefine/>
    <w:uiPriority w:val="39"/>
    <w:unhideWhenUsed/>
    <w:rsid w:val="00564FC7"/>
    <w:pPr>
      <w:spacing w:after="0"/>
      <w:ind w:left="1760"/>
    </w:pPr>
    <w:rPr>
      <w:rFonts w:cstheme="minorHAnsi"/>
      <w:sz w:val="18"/>
      <w:szCs w:val="18"/>
    </w:rPr>
  </w:style>
  <w:style w:type="table" w:styleId="GridTable4-Accent1">
    <w:name w:val="Grid Table 4 Accent 1"/>
    <w:basedOn w:val="TableNormal"/>
    <w:uiPriority w:val="49"/>
    <w:rsid w:val="0021389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C65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B519D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Revision">
    <w:name w:val="Revision"/>
    <w:hidden/>
    <w:uiPriority w:val="99"/>
    <w:semiHidden/>
    <w:rsid w:val="00A963DC"/>
    <w:pPr>
      <w:spacing w:after="0" w:line="240" w:lineRule="auto"/>
    </w:pPr>
  </w:style>
  <w:style w:type="paragraph" w:styleId="NormalWeb">
    <w:name w:val="Normal (Web)"/>
    <w:basedOn w:val="Normal"/>
    <w:uiPriority w:val="99"/>
    <w:semiHidden/>
    <w:unhideWhenUsed/>
    <w:rsid w:val="005B797F"/>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60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978">
      <w:bodyDiv w:val="1"/>
      <w:marLeft w:val="0"/>
      <w:marRight w:val="0"/>
      <w:marTop w:val="0"/>
      <w:marBottom w:val="0"/>
      <w:divBdr>
        <w:top w:val="none" w:sz="0" w:space="0" w:color="auto"/>
        <w:left w:val="none" w:sz="0" w:space="0" w:color="auto"/>
        <w:bottom w:val="none" w:sz="0" w:space="0" w:color="auto"/>
        <w:right w:val="none" w:sz="0" w:space="0" w:color="auto"/>
      </w:divBdr>
    </w:div>
    <w:div w:id="71701531">
      <w:bodyDiv w:val="1"/>
      <w:marLeft w:val="0"/>
      <w:marRight w:val="0"/>
      <w:marTop w:val="0"/>
      <w:marBottom w:val="0"/>
      <w:divBdr>
        <w:top w:val="none" w:sz="0" w:space="0" w:color="auto"/>
        <w:left w:val="none" w:sz="0" w:space="0" w:color="auto"/>
        <w:bottom w:val="none" w:sz="0" w:space="0" w:color="auto"/>
        <w:right w:val="none" w:sz="0" w:space="0" w:color="auto"/>
      </w:divBdr>
    </w:div>
    <w:div w:id="118455473">
      <w:bodyDiv w:val="1"/>
      <w:marLeft w:val="0"/>
      <w:marRight w:val="0"/>
      <w:marTop w:val="0"/>
      <w:marBottom w:val="0"/>
      <w:divBdr>
        <w:top w:val="none" w:sz="0" w:space="0" w:color="auto"/>
        <w:left w:val="none" w:sz="0" w:space="0" w:color="auto"/>
        <w:bottom w:val="none" w:sz="0" w:space="0" w:color="auto"/>
        <w:right w:val="none" w:sz="0" w:space="0" w:color="auto"/>
      </w:divBdr>
    </w:div>
    <w:div w:id="122356573">
      <w:bodyDiv w:val="1"/>
      <w:marLeft w:val="0"/>
      <w:marRight w:val="0"/>
      <w:marTop w:val="0"/>
      <w:marBottom w:val="0"/>
      <w:divBdr>
        <w:top w:val="none" w:sz="0" w:space="0" w:color="auto"/>
        <w:left w:val="none" w:sz="0" w:space="0" w:color="auto"/>
        <w:bottom w:val="none" w:sz="0" w:space="0" w:color="auto"/>
        <w:right w:val="none" w:sz="0" w:space="0" w:color="auto"/>
      </w:divBdr>
    </w:div>
    <w:div w:id="141897896">
      <w:bodyDiv w:val="1"/>
      <w:marLeft w:val="0"/>
      <w:marRight w:val="0"/>
      <w:marTop w:val="0"/>
      <w:marBottom w:val="0"/>
      <w:divBdr>
        <w:top w:val="none" w:sz="0" w:space="0" w:color="auto"/>
        <w:left w:val="none" w:sz="0" w:space="0" w:color="auto"/>
        <w:bottom w:val="none" w:sz="0" w:space="0" w:color="auto"/>
        <w:right w:val="none" w:sz="0" w:space="0" w:color="auto"/>
      </w:divBdr>
    </w:div>
    <w:div w:id="278949960">
      <w:bodyDiv w:val="1"/>
      <w:marLeft w:val="0"/>
      <w:marRight w:val="0"/>
      <w:marTop w:val="0"/>
      <w:marBottom w:val="0"/>
      <w:divBdr>
        <w:top w:val="none" w:sz="0" w:space="0" w:color="auto"/>
        <w:left w:val="none" w:sz="0" w:space="0" w:color="auto"/>
        <w:bottom w:val="none" w:sz="0" w:space="0" w:color="auto"/>
        <w:right w:val="none" w:sz="0" w:space="0" w:color="auto"/>
      </w:divBdr>
    </w:div>
    <w:div w:id="404454734">
      <w:bodyDiv w:val="1"/>
      <w:marLeft w:val="0"/>
      <w:marRight w:val="0"/>
      <w:marTop w:val="0"/>
      <w:marBottom w:val="0"/>
      <w:divBdr>
        <w:top w:val="none" w:sz="0" w:space="0" w:color="auto"/>
        <w:left w:val="none" w:sz="0" w:space="0" w:color="auto"/>
        <w:bottom w:val="none" w:sz="0" w:space="0" w:color="auto"/>
        <w:right w:val="none" w:sz="0" w:space="0" w:color="auto"/>
      </w:divBdr>
    </w:div>
    <w:div w:id="509567922">
      <w:bodyDiv w:val="1"/>
      <w:marLeft w:val="0"/>
      <w:marRight w:val="0"/>
      <w:marTop w:val="0"/>
      <w:marBottom w:val="0"/>
      <w:divBdr>
        <w:top w:val="none" w:sz="0" w:space="0" w:color="auto"/>
        <w:left w:val="none" w:sz="0" w:space="0" w:color="auto"/>
        <w:bottom w:val="none" w:sz="0" w:space="0" w:color="auto"/>
        <w:right w:val="none" w:sz="0" w:space="0" w:color="auto"/>
      </w:divBdr>
    </w:div>
    <w:div w:id="721321940">
      <w:bodyDiv w:val="1"/>
      <w:marLeft w:val="0"/>
      <w:marRight w:val="0"/>
      <w:marTop w:val="0"/>
      <w:marBottom w:val="0"/>
      <w:divBdr>
        <w:top w:val="none" w:sz="0" w:space="0" w:color="auto"/>
        <w:left w:val="none" w:sz="0" w:space="0" w:color="auto"/>
        <w:bottom w:val="none" w:sz="0" w:space="0" w:color="auto"/>
        <w:right w:val="none" w:sz="0" w:space="0" w:color="auto"/>
      </w:divBdr>
    </w:div>
    <w:div w:id="744759673">
      <w:bodyDiv w:val="1"/>
      <w:marLeft w:val="0"/>
      <w:marRight w:val="0"/>
      <w:marTop w:val="0"/>
      <w:marBottom w:val="0"/>
      <w:divBdr>
        <w:top w:val="none" w:sz="0" w:space="0" w:color="auto"/>
        <w:left w:val="none" w:sz="0" w:space="0" w:color="auto"/>
        <w:bottom w:val="none" w:sz="0" w:space="0" w:color="auto"/>
        <w:right w:val="none" w:sz="0" w:space="0" w:color="auto"/>
      </w:divBdr>
    </w:div>
    <w:div w:id="754787149">
      <w:bodyDiv w:val="1"/>
      <w:marLeft w:val="0"/>
      <w:marRight w:val="0"/>
      <w:marTop w:val="0"/>
      <w:marBottom w:val="0"/>
      <w:divBdr>
        <w:top w:val="none" w:sz="0" w:space="0" w:color="auto"/>
        <w:left w:val="none" w:sz="0" w:space="0" w:color="auto"/>
        <w:bottom w:val="none" w:sz="0" w:space="0" w:color="auto"/>
        <w:right w:val="none" w:sz="0" w:space="0" w:color="auto"/>
      </w:divBdr>
    </w:div>
    <w:div w:id="820584895">
      <w:bodyDiv w:val="1"/>
      <w:marLeft w:val="0"/>
      <w:marRight w:val="0"/>
      <w:marTop w:val="0"/>
      <w:marBottom w:val="0"/>
      <w:divBdr>
        <w:top w:val="none" w:sz="0" w:space="0" w:color="auto"/>
        <w:left w:val="none" w:sz="0" w:space="0" w:color="auto"/>
        <w:bottom w:val="none" w:sz="0" w:space="0" w:color="auto"/>
        <w:right w:val="none" w:sz="0" w:space="0" w:color="auto"/>
      </w:divBdr>
    </w:div>
    <w:div w:id="825171623">
      <w:bodyDiv w:val="1"/>
      <w:marLeft w:val="0"/>
      <w:marRight w:val="0"/>
      <w:marTop w:val="0"/>
      <w:marBottom w:val="0"/>
      <w:divBdr>
        <w:top w:val="none" w:sz="0" w:space="0" w:color="auto"/>
        <w:left w:val="none" w:sz="0" w:space="0" w:color="auto"/>
        <w:bottom w:val="none" w:sz="0" w:space="0" w:color="auto"/>
        <w:right w:val="none" w:sz="0" w:space="0" w:color="auto"/>
      </w:divBdr>
    </w:div>
    <w:div w:id="840781429">
      <w:bodyDiv w:val="1"/>
      <w:marLeft w:val="0"/>
      <w:marRight w:val="0"/>
      <w:marTop w:val="0"/>
      <w:marBottom w:val="0"/>
      <w:divBdr>
        <w:top w:val="none" w:sz="0" w:space="0" w:color="auto"/>
        <w:left w:val="none" w:sz="0" w:space="0" w:color="auto"/>
        <w:bottom w:val="none" w:sz="0" w:space="0" w:color="auto"/>
        <w:right w:val="none" w:sz="0" w:space="0" w:color="auto"/>
      </w:divBdr>
    </w:div>
    <w:div w:id="1002439806">
      <w:bodyDiv w:val="1"/>
      <w:marLeft w:val="0"/>
      <w:marRight w:val="0"/>
      <w:marTop w:val="0"/>
      <w:marBottom w:val="0"/>
      <w:divBdr>
        <w:top w:val="none" w:sz="0" w:space="0" w:color="auto"/>
        <w:left w:val="none" w:sz="0" w:space="0" w:color="auto"/>
        <w:bottom w:val="none" w:sz="0" w:space="0" w:color="auto"/>
        <w:right w:val="none" w:sz="0" w:space="0" w:color="auto"/>
      </w:divBdr>
    </w:div>
    <w:div w:id="1052580144">
      <w:bodyDiv w:val="1"/>
      <w:marLeft w:val="0"/>
      <w:marRight w:val="0"/>
      <w:marTop w:val="0"/>
      <w:marBottom w:val="0"/>
      <w:divBdr>
        <w:top w:val="none" w:sz="0" w:space="0" w:color="auto"/>
        <w:left w:val="none" w:sz="0" w:space="0" w:color="auto"/>
        <w:bottom w:val="none" w:sz="0" w:space="0" w:color="auto"/>
        <w:right w:val="none" w:sz="0" w:space="0" w:color="auto"/>
      </w:divBdr>
    </w:div>
    <w:div w:id="1185023790">
      <w:bodyDiv w:val="1"/>
      <w:marLeft w:val="0"/>
      <w:marRight w:val="0"/>
      <w:marTop w:val="0"/>
      <w:marBottom w:val="0"/>
      <w:divBdr>
        <w:top w:val="none" w:sz="0" w:space="0" w:color="auto"/>
        <w:left w:val="none" w:sz="0" w:space="0" w:color="auto"/>
        <w:bottom w:val="none" w:sz="0" w:space="0" w:color="auto"/>
        <w:right w:val="none" w:sz="0" w:space="0" w:color="auto"/>
      </w:divBdr>
    </w:div>
    <w:div w:id="1252471252">
      <w:bodyDiv w:val="1"/>
      <w:marLeft w:val="0"/>
      <w:marRight w:val="0"/>
      <w:marTop w:val="0"/>
      <w:marBottom w:val="0"/>
      <w:divBdr>
        <w:top w:val="none" w:sz="0" w:space="0" w:color="auto"/>
        <w:left w:val="none" w:sz="0" w:space="0" w:color="auto"/>
        <w:bottom w:val="none" w:sz="0" w:space="0" w:color="auto"/>
        <w:right w:val="none" w:sz="0" w:space="0" w:color="auto"/>
      </w:divBdr>
    </w:div>
    <w:div w:id="1386297457">
      <w:bodyDiv w:val="1"/>
      <w:marLeft w:val="0"/>
      <w:marRight w:val="0"/>
      <w:marTop w:val="0"/>
      <w:marBottom w:val="0"/>
      <w:divBdr>
        <w:top w:val="none" w:sz="0" w:space="0" w:color="auto"/>
        <w:left w:val="none" w:sz="0" w:space="0" w:color="auto"/>
        <w:bottom w:val="none" w:sz="0" w:space="0" w:color="auto"/>
        <w:right w:val="none" w:sz="0" w:space="0" w:color="auto"/>
      </w:divBdr>
    </w:div>
    <w:div w:id="1391029353">
      <w:bodyDiv w:val="1"/>
      <w:marLeft w:val="0"/>
      <w:marRight w:val="0"/>
      <w:marTop w:val="0"/>
      <w:marBottom w:val="0"/>
      <w:divBdr>
        <w:top w:val="none" w:sz="0" w:space="0" w:color="auto"/>
        <w:left w:val="none" w:sz="0" w:space="0" w:color="auto"/>
        <w:bottom w:val="none" w:sz="0" w:space="0" w:color="auto"/>
        <w:right w:val="none" w:sz="0" w:space="0" w:color="auto"/>
      </w:divBdr>
    </w:div>
    <w:div w:id="1441533559">
      <w:bodyDiv w:val="1"/>
      <w:marLeft w:val="0"/>
      <w:marRight w:val="0"/>
      <w:marTop w:val="0"/>
      <w:marBottom w:val="0"/>
      <w:divBdr>
        <w:top w:val="none" w:sz="0" w:space="0" w:color="auto"/>
        <w:left w:val="none" w:sz="0" w:space="0" w:color="auto"/>
        <w:bottom w:val="none" w:sz="0" w:space="0" w:color="auto"/>
        <w:right w:val="none" w:sz="0" w:space="0" w:color="auto"/>
      </w:divBdr>
    </w:div>
    <w:div w:id="1577085914">
      <w:bodyDiv w:val="1"/>
      <w:marLeft w:val="0"/>
      <w:marRight w:val="0"/>
      <w:marTop w:val="0"/>
      <w:marBottom w:val="0"/>
      <w:divBdr>
        <w:top w:val="none" w:sz="0" w:space="0" w:color="auto"/>
        <w:left w:val="none" w:sz="0" w:space="0" w:color="auto"/>
        <w:bottom w:val="none" w:sz="0" w:space="0" w:color="auto"/>
        <w:right w:val="none" w:sz="0" w:space="0" w:color="auto"/>
      </w:divBdr>
    </w:div>
    <w:div w:id="1633360682">
      <w:bodyDiv w:val="1"/>
      <w:marLeft w:val="0"/>
      <w:marRight w:val="0"/>
      <w:marTop w:val="0"/>
      <w:marBottom w:val="0"/>
      <w:divBdr>
        <w:top w:val="none" w:sz="0" w:space="0" w:color="auto"/>
        <w:left w:val="none" w:sz="0" w:space="0" w:color="auto"/>
        <w:bottom w:val="none" w:sz="0" w:space="0" w:color="auto"/>
        <w:right w:val="none" w:sz="0" w:space="0" w:color="auto"/>
      </w:divBdr>
    </w:div>
    <w:div w:id="1782333100">
      <w:bodyDiv w:val="1"/>
      <w:marLeft w:val="0"/>
      <w:marRight w:val="0"/>
      <w:marTop w:val="0"/>
      <w:marBottom w:val="0"/>
      <w:divBdr>
        <w:top w:val="none" w:sz="0" w:space="0" w:color="auto"/>
        <w:left w:val="none" w:sz="0" w:space="0" w:color="auto"/>
        <w:bottom w:val="none" w:sz="0" w:space="0" w:color="auto"/>
        <w:right w:val="none" w:sz="0" w:space="0" w:color="auto"/>
      </w:divBdr>
    </w:div>
    <w:div w:id="1880240365">
      <w:bodyDiv w:val="1"/>
      <w:marLeft w:val="0"/>
      <w:marRight w:val="0"/>
      <w:marTop w:val="0"/>
      <w:marBottom w:val="0"/>
      <w:divBdr>
        <w:top w:val="none" w:sz="0" w:space="0" w:color="auto"/>
        <w:left w:val="none" w:sz="0" w:space="0" w:color="auto"/>
        <w:bottom w:val="none" w:sz="0" w:space="0" w:color="auto"/>
        <w:right w:val="none" w:sz="0" w:space="0" w:color="auto"/>
      </w:divBdr>
    </w:div>
    <w:div w:id="20560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onstance.chitanda/AppData/Local/Microsoft/Windows/INetCache/Content.Outlook/2PIUN0DM/Escrow%20acct%20-%20perfromance%20guarantee%20agreement.pdf" TargetMode="External"/><Relationship Id="rId18" Type="http://schemas.openxmlformats.org/officeDocument/2006/relationships/hyperlink" Target="file:///C:/Users/constance.chitanda/AppData/Local/Microsoft/Windows/INetCache/Content.Outlook/2PIUN0DM/insert%20new%20lin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file:///C:/Users/constance.chitanda/Desktop/business%20continuity/innovations%20and%20solutions/Loans%20and%20guarantees/Escrow%20acct%20-%20perfromance%20guarantee%20agreement.pdf" TargetMode="External"/><Relationship Id="rId25" Type="http://schemas.openxmlformats.org/officeDocument/2006/relationships/header" Target="header3.xm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file:///C:/Users/constance.chitanda/AppData/Local/Microsoft/Windows/INetCache/Content.Outlook/2PIUN0DM/INSERT%20HYPERLINK" TargetMode="External"/><Relationship Id="rId20" Type="http://schemas.openxmlformats.org/officeDocument/2006/relationships/hyperlink" Target="file:///C:/Users/madhurima.barman/AppData/Local/Microsoft/Windows/INetCache/Content.Outlook/H765EVBO/link"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file:///C:/Users/constance.chitanda/AppData/Local/Microsoft/Windows/INetCache/Content.Outlook/2PIUN0DM/insert%20new%20link" TargetMode="External"/><Relationship Id="rId23" Type="http://schemas.openxmlformats.org/officeDocument/2006/relationships/footer" Target="footer1.xm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file:///C:/Users/constance.chitanda/AppData/Local/Microsoft/Windows/INetCache/Content.Outlook/2PIUN0DM/y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onstance.chitanda/AppData/Local/Microsoft/Windows/INetCache/Content.Outlook/2PIUN0DM/insert%20new%20link" TargetMode="External"/><Relationship Id="rId22" Type="http://schemas.openxmlformats.org/officeDocument/2006/relationships/header" Target="header2.xml"/><Relationship Id="rId27" Type="http://schemas.openxmlformats.org/officeDocument/2006/relationships/image" Target="media/image4.emf"/><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787/5k407lx5b8f8-en" TargetMode="External"/><Relationship Id="rId2" Type="http://schemas.openxmlformats.org/officeDocument/2006/relationships/hyperlink" Target="https://www.oecd.org/dac/financing-sustainable-development/GURANTEES%20report%20FOUR%20PAGER%20Final%2010%20Mar%2014.pdf" TargetMode="External"/><Relationship Id="rId1" Type="http://schemas.openxmlformats.org/officeDocument/2006/relationships/hyperlink" Target="https://www.oecd.org/dac/financing-sustainable-development/development-finance-standards/mobilisation.htm" TargetMode="External"/><Relationship Id="rId5" Type="http://schemas.openxmlformats.org/officeDocument/2006/relationships/hyperlink" Target="https://www.ilo.org/global/publications/ilo-bookstore/order-online/books/WCMS_PUBL_9221160335_EN/lang--en/index.htm" TargetMode="External"/><Relationship Id="rId4" Type="http://schemas.openxmlformats.org/officeDocument/2006/relationships/hyperlink" Target="https://doi.org/10.1787/5k407lx5b8f8-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UNDP-supported Guarantees Operational Manual</UNDP_POPP_TITLE_EN>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2022-12-18T23:00:00+00:00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POPP-11-3895</_dlc_DocId>
    <_dlc_DocIdUrl xmlns="8264c5cc-ec60-4b56-8111-ce635d3d139a">
      <Url>https://popp.undp.org/_layouts/15/DocIdRedir.aspx?ID=POPP-11-3895</Url>
      <Description>POPP-11-3895</Description>
    </_dlc_DocIdUrl>
    <DLCPolicyLabelValue xmlns="e560140e-7b2f-4392-90df-e7567e3021a3">Effective Date: 19/12/2022                                                Version #: {POPPRefItemVersion}</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DE71C79-00B9-4743-9DB3-72043E227EDE}">
  <ds:schemaRefs>
    <ds:schemaRef ds:uri="http://schemas.openxmlformats.org/officeDocument/2006/bibliography"/>
  </ds:schemaRefs>
</ds:datastoreItem>
</file>

<file path=customXml/itemProps2.xml><?xml version="1.0" encoding="utf-8"?>
<ds:datastoreItem xmlns:ds="http://schemas.openxmlformats.org/officeDocument/2006/customXml" ds:itemID="{D1FB4CC1-B72D-48E2-8A1E-97E26F78666B}"/>
</file>

<file path=customXml/itemProps3.xml><?xml version="1.0" encoding="utf-8"?>
<ds:datastoreItem xmlns:ds="http://schemas.openxmlformats.org/officeDocument/2006/customXml" ds:itemID="{D516B255-7543-4185-899E-F97AC85729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1D7C9-BD80-421F-88D4-8C25D57FC1AA}">
  <ds:schemaRefs>
    <ds:schemaRef ds:uri="http://schemas.microsoft.com/sharepoint/v3/contenttype/forms"/>
  </ds:schemaRefs>
</ds:datastoreItem>
</file>

<file path=customXml/itemProps5.xml><?xml version="1.0" encoding="utf-8"?>
<ds:datastoreItem xmlns:ds="http://schemas.openxmlformats.org/officeDocument/2006/customXml" ds:itemID="{7627366B-0A80-45E4-AD63-383C8F9D0F75}"/>
</file>

<file path=customXml/itemProps6.xml><?xml version="1.0" encoding="utf-8"?>
<ds:datastoreItem xmlns:ds="http://schemas.openxmlformats.org/officeDocument/2006/customXml" ds:itemID="{C27239F6-0255-4F0B-A4C5-72944E02EC31}"/>
</file>

<file path=docProps/app.xml><?xml version="1.0" encoding="utf-8"?>
<Properties xmlns="http://schemas.openxmlformats.org/officeDocument/2006/extended-properties" xmlns:vt="http://schemas.openxmlformats.org/officeDocument/2006/docPropsVTypes">
  <Template>Normal</Template>
  <TotalTime>1216</TotalTime>
  <Pages>61</Pages>
  <Words>19117</Words>
  <Characters>108967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Madhurima Barman</dc:creator>
  <cp:keywords/>
  <dc:description/>
  <cp:lastModifiedBy>Pablo Morete</cp:lastModifiedBy>
  <cp:revision>16</cp:revision>
  <cp:lastPrinted>2019-03-22T18:54:00Z</cp:lastPrinted>
  <dcterms:created xsi:type="dcterms:W3CDTF">2022-12-06T20:55:00Z</dcterms:created>
  <dcterms:modified xsi:type="dcterms:W3CDTF">2022-12-19T15:18:00Z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_dlc_DocIdItemGuid">
    <vt:lpwstr>3fd01641-55af-4e7d-a6f2-757f35e0690f</vt:lpwstr>
  </property>
</Properties>
</file>