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2FB88" w14:textId="77777777" w:rsidR="00F90119" w:rsidRPr="00F90119" w:rsidRDefault="00F90119" w:rsidP="00F90119">
      <w:pPr>
        <w:shd w:val="clear" w:color="auto" w:fill="FFFFFF"/>
        <w:spacing w:after="0" w:line="270" w:lineRule="atLeast"/>
        <w:textAlignment w:val="top"/>
        <w:rPr>
          <w:rFonts w:ascii="Calibri" w:eastAsia="Times New Roman" w:hAnsi="Calibri" w:cs="Arial"/>
          <w:b/>
          <w:bCs/>
          <w:kern w:val="0"/>
          <w:sz w:val="28"/>
          <w:szCs w:val="22"/>
          <w:lang w:val="fr-FR"/>
          <w14:ligatures w14:val="none"/>
        </w:rPr>
      </w:pPr>
      <w:r w:rsidRPr="00F90119">
        <w:rPr>
          <w:rFonts w:ascii="Calibri" w:eastAsia="Calibri" w:hAnsi="Calibri" w:cs="Times New Roman"/>
          <w:b/>
          <w:bCs/>
          <w:kern w:val="0"/>
          <w:sz w:val="28"/>
          <w:szCs w:val="22"/>
          <w:lang w:val="fr-FR"/>
          <w14:ligatures w14:val="none"/>
        </w:rPr>
        <w:t>Achats responsables</w:t>
      </w:r>
    </w:p>
    <w:p w14:paraId="60E8344C" w14:textId="77777777" w:rsidR="00F90119" w:rsidRPr="00F90119" w:rsidRDefault="00F90119" w:rsidP="00F90119">
      <w:pPr>
        <w:shd w:val="clear" w:color="auto" w:fill="FFFFFF"/>
        <w:spacing w:after="0" w:line="270" w:lineRule="atLeast"/>
        <w:textAlignment w:val="top"/>
        <w:rPr>
          <w:rFonts w:ascii="Calibri" w:eastAsia="Times New Roman" w:hAnsi="Calibri" w:cs="Arial"/>
          <w:b/>
          <w:bCs/>
          <w:kern w:val="0"/>
          <w:sz w:val="22"/>
          <w:szCs w:val="22"/>
          <w:lang w:val="fr-FR"/>
          <w14:ligatures w14:val="none"/>
        </w:rPr>
      </w:pPr>
      <w:bookmarkStart w:id="0" w:name="Procedures"/>
      <w:bookmarkEnd w:id="0"/>
    </w:p>
    <w:p w14:paraId="472B21AC" w14:textId="77777777" w:rsidR="00F90119" w:rsidRPr="00F90119" w:rsidRDefault="00F90119" w:rsidP="00F90119">
      <w:pPr>
        <w:numPr>
          <w:ilvl w:val="0"/>
          <w:numId w:val="1"/>
        </w:numPr>
        <w:shd w:val="clear" w:color="auto" w:fill="FFFFFF"/>
        <w:spacing w:after="0" w:line="270" w:lineRule="atLeast"/>
        <w:contextualSpacing/>
        <w:jc w:val="both"/>
        <w:textAlignment w:val="top"/>
        <w:rPr>
          <w:rFonts w:ascii="Calibri" w:eastAsia="Times New Roman" w:hAnsi="Calibri" w:cs="Arial"/>
          <w:kern w:val="0"/>
          <w:sz w:val="22"/>
          <w:szCs w:val="22"/>
          <w:lang w:val="fr-FR"/>
          <w14:ligatures w14:val="none"/>
        </w:rPr>
      </w:pPr>
      <w:r w:rsidRPr="00F90119">
        <w:rPr>
          <w:rFonts w:ascii="Calibri" w:eastAsia="Calibri" w:hAnsi="Calibri" w:cs="Times New Roman"/>
          <w:kern w:val="0"/>
          <w:sz w:val="22"/>
          <w:szCs w:val="22"/>
          <w:lang w:val="fr-FR"/>
          <w14:ligatures w14:val="none"/>
        </w:rPr>
        <w:t>Le Programme des Nations Unies pour le développement (PNUD) a adopté une politique de gestion écologiquement responsable de ses activités. Il s’efforce de protéger la qualité et la diversité de l’environnement, et d’améliorer continuellement ses performances à cet égard. Ce qui implique la prise en compte des coûts de sécurisation des matières premières, de fabrication, de transport, de stockage, de manutention, d’utilisation et d’élimination des produits achetés.</w:t>
      </w:r>
    </w:p>
    <w:p w14:paraId="5CB7AA0F" w14:textId="77777777" w:rsidR="00F90119" w:rsidRPr="00F90119" w:rsidRDefault="00F90119" w:rsidP="00F90119">
      <w:pPr>
        <w:shd w:val="clear" w:color="auto" w:fill="FFFFFF"/>
        <w:spacing w:after="0" w:line="270" w:lineRule="atLeast"/>
        <w:ind w:left="360"/>
        <w:jc w:val="both"/>
        <w:textAlignment w:val="top"/>
        <w:rPr>
          <w:rFonts w:ascii="Calibri" w:eastAsia="Times New Roman" w:hAnsi="Calibri" w:cs="Arial"/>
          <w:kern w:val="0"/>
          <w:sz w:val="22"/>
          <w:szCs w:val="22"/>
          <w:lang w:val="fr-FR"/>
          <w14:ligatures w14:val="none"/>
        </w:rPr>
      </w:pPr>
    </w:p>
    <w:p w14:paraId="0D03F4D8" w14:textId="77777777" w:rsidR="00F90119" w:rsidRPr="00F90119" w:rsidRDefault="00F90119" w:rsidP="00F90119">
      <w:pPr>
        <w:numPr>
          <w:ilvl w:val="0"/>
          <w:numId w:val="1"/>
        </w:numPr>
        <w:shd w:val="clear" w:color="auto" w:fill="FFFFFF"/>
        <w:spacing w:after="0" w:line="270" w:lineRule="atLeast"/>
        <w:contextualSpacing/>
        <w:jc w:val="both"/>
        <w:textAlignment w:val="top"/>
        <w:rPr>
          <w:rFonts w:ascii="Calibri" w:eastAsia="Times New Roman" w:hAnsi="Calibri" w:cs="Arial"/>
          <w:kern w:val="0"/>
          <w:sz w:val="22"/>
          <w:szCs w:val="22"/>
          <w:lang w:val="fr-FR"/>
          <w14:ligatures w14:val="none"/>
        </w:rPr>
      </w:pPr>
      <w:r w:rsidRPr="00F90119">
        <w:rPr>
          <w:rFonts w:ascii="Calibri" w:eastAsia="Calibri" w:hAnsi="Calibri" w:cs="Times New Roman"/>
          <w:kern w:val="0"/>
          <w:sz w:val="22"/>
          <w:szCs w:val="22"/>
          <w:lang w:val="fr-FR"/>
          <w14:ligatures w14:val="none"/>
        </w:rPr>
        <w:t>Le PNUD s’est engagé en faveur des achats responsables et prendra en compte les considérations environnementales, sociales (y compris les droits humains, ainsi que l’intégration de personnes handicapées, le genre) et économiques dans le processus d’achat dès que possible.</w:t>
      </w:r>
      <w:r w:rsidRPr="00F90119">
        <w:rPr>
          <w:rFonts w:ascii="Calibri" w:eastAsia="Calibri" w:hAnsi="Calibri" w:cs="Times New Roman"/>
          <w:kern w:val="0"/>
          <w:sz w:val="22"/>
          <w:szCs w:val="22"/>
          <w:lang w:val="fr-FR"/>
          <w14:ligatures w14:val="none"/>
        </w:rPr>
        <w:br/>
      </w:r>
    </w:p>
    <w:p w14:paraId="6BD4AB74" w14:textId="77777777" w:rsidR="00F90119" w:rsidRPr="00F90119" w:rsidRDefault="00F90119" w:rsidP="00F90119">
      <w:pPr>
        <w:numPr>
          <w:ilvl w:val="0"/>
          <w:numId w:val="1"/>
        </w:numPr>
        <w:shd w:val="clear" w:color="auto" w:fill="FFFFFF"/>
        <w:spacing w:after="0" w:line="270" w:lineRule="atLeast"/>
        <w:contextualSpacing/>
        <w:jc w:val="both"/>
        <w:textAlignment w:val="top"/>
        <w:rPr>
          <w:rFonts w:ascii="Calibri" w:eastAsia="Times New Roman" w:hAnsi="Calibri" w:cs="Arial"/>
          <w:kern w:val="0"/>
          <w:sz w:val="22"/>
          <w:szCs w:val="22"/>
          <w:lang w:val="fr-FR"/>
          <w14:ligatures w14:val="none"/>
        </w:rPr>
      </w:pPr>
      <w:r w:rsidRPr="00F90119">
        <w:rPr>
          <w:rFonts w:ascii="Calibri" w:eastAsia="Calibri" w:hAnsi="Calibri" w:cs="Times New Roman"/>
          <w:kern w:val="0"/>
          <w:sz w:val="22"/>
          <w:szCs w:val="22"/>
          <w:lang w:val="fr-FR"/>
          <w14:ligatures w14:val="none"/>
        </w:rPr>
        <w:t>Tous les programmes financés ou administrés par le PNUD doivent avoir pour objectif la mise en œuvre des achats responsables.</w:t>
      </w:r>
    </w:p>
    <w:p w14:paraId="58C268B1" w14:textId="77777777" w:rsidR="00F90119" w:rsidRPr="00F90119" w:rsidRDefault="00F90119" w:rsidP="00F90119">
      <w:pPr>
        <w:shd w:val="clear" w:color="auto" w:fill="FFFFFF"/>
        <w:spacing w:after="0" w:line="270" w:lineRule="atLeast"/>
        <w:ind w:left="720"/>
        <w:contextualSpacing/>
        <w:jc w:val="both"/>
        <w:textAlignment w:val="top"/>
        <w:rPr>
          <w:rFonts w:ascii="Calibri" w:eastAsia="Times New Roman" w:hAnsi="Calibri" w:cs="Arial"/>
          <w:kern w:val="0"/>
          <w:sz w:val="22"/>
          <w:szCs w:val="22"/>
          <w:lang w:val="fr-FR"/>
          <w14:ligatures w14:val="none"/>
        </w:rPr>
      </w:pPr>
    </w:p>
    <w:p w14:paraId="35372957" w14:textId="77777777" w:rsidR="00F90119" w:rsidRPr="00F90119" w:rsidRDefault="00F90119" w:rsidP="00F90119">
      <w:pPr>
        <w:shd w:val="clear" w:color="auto" w:fill="FFFFFF"/>
        <w:spacing w:after="0" w:line="270" w:lineRule="atLeast"/>
        <w:textAlignment w:val="top"/>
        <w:rPr>
          <w:rFonts w:ascii="Calibri" w:eastAsia="Times New Roman" w:hAnsi="Calibri" w:cs="Arial"/>
          <w:b/>
          <w:bCs/>
          <w:kern w:val="0"/>
          <w:sz w:val="22"/>
          <w:szCs w:val="22"/>
          <w:lang w:val="fr-FR"/>
          <w14:ligatures w14:val="none"/>
        </w:rPr>
      </w:pPr>
      <w:r w:rsidRPr="00F90119">
        <w:rPr>
          <w:rFonts w:ascii="Calibri" w:eastAsia="Calibri" w:hAnsi="Calibri" w:cs="Times New Roman"/>
          <w:b/>
          <w:bCs/>
          <w:kern w:val="0"/>
          <w:sz w:val="22"/>
          <w:szCs w:val="22"/>
          <w:lang w:val="fr-FR"/>
          <w14:ligatures w14:val="none"/>
        </w:rPr>
        <w:t>Principes généraux</w:t>
      </w:r>
      <w:r w:rsidRPr="00F90119">
        <w:rPr>
          <w:rFonts w:ascii="Calibri" w:eastAsia="Calibri" w:hAnsi="Calibri" w:cs="Times New Roman"/>
          <w:b/>
          <w:bCs/>
          <w:kern w:val="0"/>
          <w:sz w:val="22"/>
          <w:szCs w:val="22"/>
          <w:lang w:val="fr-FR"/>
          <w14:ligatures w14:val="none"/>
        </w:rPr>
        <w:br/>
      </w:r>
    </w:p>
    <w:p w14:paraId="2039BCAF" w14:textId="77777777" w:rsidR="00F90119" w:rsidRPr="00F90119" w:rsidRDefault="00F90119" w:rsidP="00F90119">
      <w:pPr>
        <w:numPr>
          <w:ilvl w:val="0"/>
          <w:numId w:val="1"/>
        </w:numPr>
        <w:shd w:val="clear" w:color="auto" w:fill="FFFFFF"/>
        <w:spacing w:after="0" w:line="270" w:lineRule="atLeast"/>
        <w:contextualSpacing/>
        <w:jc w:val="both"/>
        <w:textAlignment w:val="top"/>
        <w:rPr>
          <w:rFonts w:ascii="Calibri" w:eastAsia="Times New Roman" w:hAnsi="Calibri" w:cs="Arial"/>
          <w:kern w:val="0"/>
          <w:sz w:val="22"/>
          <w:szCs w:val="22"/>
          <w:lang w:val="fr-FR"/>
          <w14:ligatures w14:val="none"/>
        </w:rPr>
      </w:pPr>
      <w:r w:rsidRPr="00F90119">
        <w:rPr>
          <w:rFonts w:ascii="Calibri" w:eastAsia="Calibri" w:hAnsi="Calibri" w:cs="Times New Roman"/>
          <w:kern w:val="0"/>
          <w:sz w:val="22"/>
          <w:szCs w:val="22"/>
          <w:lang w:val="fr-FR"/>
          <w14:ligatures w14:val="none"/>
        </w:rPr>
        <w:t>Les achats responsables intègrent des exigences, des spécifications et des critères compatibles avec la protection de l’environnement, le progrès social et le développement économique. Les achats responsables ont pour objectif d’assurer une utilisation efficace des ressources, une meilleure qualité des produits et des services, et des coûts optimisés.</w:t>
      </w:r>
    </w:p>
    <w:p w14:paraId="62084363" w14:textId="77777777" w:rsidR="00F90119" w:rsidRPr="00F90119" w:rsidRDefault="00F90119" w:rsidP="00F90119">
      <w:pPr>
        <w:shd w:val="clear" w:color="auto" w:fill="FFFFFF"/>
        <w:spacing w:after="0" w:line="270" w:lineRule="atLeast"/>
        <w:ind w:left="720"/>
        <w:contextualSpacing/>
        <w:jc w:val="both"/>
        <w:textAlignment w:val="top"/>
        <w:rPr>
          <w:rFonts w:ascii="Calibri" w:eastAsia="Times New Roman" w:hAnsi="Calibri" w:cs="Arial"/>
          <w:kern w:val="0"/>
          <w:sz w:val="22"/>
          <w:szCs w:val="22"/>
          <w:lang w:val="fr-FR"/>
          <w14:ligatures w14:val="none"/>
        </w:rPr>
      </w:pPr>
    </w:p>
    <w:p w14:paraId="720E278B" w14:textId="77777777" w:rsidR="00F90119" w:rsidRPr="00F90119" w:rsidRDefault="00F90119" w:rsidP="00F90119">
      <w:pPr>
        <w:numPr>
          <w:ilvl w:val="0"/>
          <w:numId w:val="1"/>
        </w:numPr>
        <w:shd w:val="clear" w:color="auto" w:fill="FFFFFF"/>
        <w:spacing w:after="0" w:line="270" w:lineRule="atLeast"/>
        <w:contextualSpacing/>
        <w:jc w:val="both"/>
        <w:textAlignment w:val="top"/>
        <w:rPr>
          <w:rFonts w:ascii="Calibri" w:eastAsia="Times New Roman" w:hAnsi="Calibri" w:cs="Arial"/>
          <w:kern w:val="0"/>
          <w:sz w:val="22"/>
          <w:szCs w:val="22"/>
          <w:lang w:val="fr-FR"/>
          <w14:ligatures w14:val="none"/>
        </w:rPr>
      </w:pPr>
      <w:r w:rsidRPr="00F90119">
        <w:rPr>
          <w:rFonts w:ascii="Calibri" w:eastAsia="Calibri" w:hAnsi="Calibri" w:cs="Times New Roman"/>
          <w:kern w:val="0"/>
          <w:sz w:val="22"/>
          <w:szCs w:val="22"/>
          <w:lang w:val="fr-FR"/>
          <w14:ligatures w14:val="none"/>
        </w:rPr>
        <w:t xml:space="preserve">Les achats responsables sont conformes aux principes généraux des achats de l’Organisation des Nations Unies (ONU) et du PNUD, à savoir : </w:t>
      </w:r>
    </w:p>
    <w:p w14:paraId="241005FF" w14:textId="77777777" w:rsidR="00F90119" w:rsidRPr="00F90119" w:rsidRDefault="00F90119" w:rsidP="00F90119">
      <w:pPr>
        <w:shd w:val="clear" w:color="auto" w:fill="FFFFFF"/>
        <w:spacing w:after="0" w:line="270" w:lineRule="atLeast"/>
        <w:ind w:left="720"/>
        <w:contextualSpacing/>
        <w:jc w:val="both"/>
        <w:textAlignment w:val="top"/>
        <w:rPr>
          <w:rFonts w:ascii="Calibri" w:eastAsia="Times New Roman" w:hAnsi="Calibri" w:cs="Arial"/>
          <w:kern w:val="0"/>
          <w:sz w:val="22"/>
          <w:szCs w:val="22"/>
          <w:lang w:val="fr-FR"/>
          <w14:ligatures w14:val="none"/>
        </w:rPr>
      </w:pPr>
    </w:p>
    <w:p w14:paraId="15C2BCEA" w14:textId="77777777" w:rsidR="00F90119" w:rsidRPr="00F90119" w:rsidRDefault="00F90119" w:rsidP="00F90119">
      <w:pPr>
        <w:numPr>
          <w:ilvl w:val="1"/>
          <w:numId w:val="4"/>
        </w:numPr>
        <w:shd w:val="clear" w:color="auto" w:fill="FFFFFF"/>
        <w:spacing w:after="0" w:line="240" w:lineRule="auto"/>
        <w:ind w:left="1800"/>
        <w:contextualSpacing/>
        <w:jc w:val="both"/>
        <w:textAlignment w:val="top"/>
        <w:rPr>
          <w:rFonts w:ascii="Calibri" w:eastAsia="Times New Roman" w:hAnsi="Calibri" w:cs="Arial"/>
          <w:kern w:val="0"/>
          <w:sz w:val="22"/>
          <w:szCs w:val="22"/>
          <w:lang w:val="fr-FR"/>
          <w14:ligatures w14:val="none"/>
        </w:rPr>
      </w:pPr>
      <w:r w:rsidRPr="00F90119">
        <w:rPr>
          <w:rFonts w:ascii="Calibri" w:eastAsia="Calibri" w:hAnsi="Calibri" w:cs="Times New Roman"/>
          <w:kern w:val="0"/>
          <w:sz w:val="22"/>
          <w:szCs w:val="22"/>
          <w:lang w:val="fr-FR"/>
          <w14:ligatures w14:val="none"/>
        </w:rPr>
        <w:t>Le meilleur rapport qualité-prix : c’est-à-dire la sélection des offres présentant la combinaison optimale de facteurs tels que la qualité, les coûts du cycle de vie, les considérations environnementales et sociales et d’autres paramètres. La réduction de la consommation d’énergie et de ressources tout au long du cycle de vie se traduit par une plus grande efficacité et des économies à long terme ;</w:t>
      </w:r>
    </w:p>
    <w:p w14:paraId="6AD6161A" w14:textId="77777777" w:rsidR="00F90119" w:rsidRPr="00F90119" w:rsidRDefault="00F90119" w:rsidP="00F90119">
      <w:pPr>
        <w:shd w:val="clear" w:color="auto" w:fill="FFFFFF"/>
        <w:spacing w:after="0" w:line="240" w:lineRule="auto"/>
        <w:ind w:left="1800"/>
        <w:contextualSpacing/>
        <w:jc w:val="both"/>
        <w:textAlignment w:val="top"/>
        <w:rPr>
          <w:rFonts w:ascii="Calibri" w:eastAsia="Times New Roman" w:hAnsi="Calibri" w:cs="Arial"/>
          <w:kern w:val="0"/>
          <w:sz w:val="22"/>
          <w:szCs w:val="22"/>
          <w:lang w:val="fr-FR"/>
          <w14:ligatures w14:val="none"/>
        </w:rPr>
      </w:pPr>
    </w:p>
    <w:p w14:paraId="321ACD05" w14:textId="77777777" w:rsidR="00F90119" w:rsidRPr="00F90119" w:rsidRDefault="00F90119" w:rsidP="00F90119">
      <w:pPr>
        <w:numPr>
          <w:ilvl w:val="1"/>
          <w:numId w:val="4"/>
        </w:numPr>
        <w:shd w:val="clear" w:color="auto" w:fill="FFFFFF"/>
        <w:spacing w:before="100" w:beforeAutospacing="1" w:after="100" w:afterAutospacing="1" w:line="240" w:lineRule="auto"/>
        <w:ind w:left="1800"/>
        <w:contextualSpacing/>
        <w:jc w:val="both"/>
        <w:textAlignment w:val="top"/>
        <w:rPr>
          <w:rFonts w:ascii="Calibri" w:eastAsia="Times New Roman" w:hAnsi="Calibri" w:cs="Arial"/>
          <w:kern w:val="0"/>
          <w:sz w:val="22"/>
          <w:szCs w:val="22"/>
          <w:lang w:val="fr-FR"/>
          <w14:ligatures w14:val="none"/>
        </w:rPr>
      </w:pPr>
      <w:r w:rsidRPr="00F90119">
        <w:rPr>
          <w:rFonts w:ascii="Calibri" w:eastAsia="Calibri" w:hAnsi="Calibri" w:cs="Times New Roman"/>
          <w:kern w:val="0"/>
          <w:sz w:val="22"/>
          <w:szCs w:val="22"/>
          <w:lang w:val="fr-FR"/>
          <w14:ligatures w14:val="none"/>
        </w:rPr>
        <w:t>L’équité, l’intégrité et la transparence : ces principes sont garantis par l’intégration de critères de durabilité dès les premiers stades de l’approvisionnement. Les achats responsables contribuent à réduire le risque de ternir la réputation et renforcent l’image publique d’intégrité et de responsabilité du PNUD ;</w:t>
      </w:r>
    </w:p>
    <w:p w14:paraId="4938101C" w14:textId="77777777" w:rsidR="00F90119" w:rsidRPr="00F90119" w:rsidRDefault="00F90119" w:rsidP="00F90119">
      <w:pPr>
        <w:shd w:val="clear" w:color="auto" w:fill="FFFFFF"/>
        <w:spacing w:before="100" w:beforeAutospacing="1" w:after="100" w:afterAutospacing="1" w:line="240" w:lineRule="auto"/>
        <w:ind w:left="1800"/>
        <w:contextualSpacing/>
        <w:jc w:val="both"/>
        <w:textAlignment w:val="top"/>
        <w:rPr>
          <w:rFonts w:ascii="Calibri" w:eastAsia="Times New Roman" w:hAnsi="Calibri" w:cs="Arial"/>
          <w:kern w:val="0"/>
          <w:sz w:val="22"/>
          <w:szCs w:val="22"/>
          <w:lang w:val="fr-FR"/>
          <w14:ligatures w14:val="none"/>
        </w:rPr>
      </w:pPr>
    </w:p>
    <w:p w14:paraId="06CECD1B" w14:textId="77777777" w:rsidR="00F90119" w:rsidRPr="00F90119" w:rsidRDefault="00F90119" w:rsidP="00F90119">
      <w:pPr>
        <w:numPr>
          <w:ilvl w:val="1"/>
          <w:numId w:val="4"/>
        </w:numPr>
        <w:shd w:val="clear" w:color="auto" w:fill="FFFFFF"/>
        <w:spacing w:before="100" w:beforeAutospacing="1" w:after="100" w:afterAutospacing="1" w:line="240" w:lineRule="auto"/>
        <w:ind w:left="1800"/>
        <w:contextualSpacing/>
        <w:jc w:val="both"/>
        <w:textAlignment w:val="top"/>
        <w:rPr>
          <w:rFonts w:ascii="Calibri" w:eastAsia="Times New Roman" w:hAnsi="Calibri" w:cs="Arial"/>
          <w:kern w:val="0"/>
          <w:sz w:val="22"/>
          <w:szCs w:val="22"/>
          <w:lang w:val="fr-FR"/>
          <w14:ligatures w14:val="none"/>
        </w:rPr>
      </w:pPr>
      <w:r w:rsidRPr="00F90119">
        <w:rPr>
          <w:rFonts w:ascii="Calibri" w:eastAsia="Calibri" w:hAnsi="Calibri" w:cs="Times New Roman"/>
          <w:kern w:val="0"/>
          <w:sz w:val="22"/>
          <w:szCs w:val="22"/>
          <w:lang w:val="fr-FR"/>
          <w14:ligatures w14:val="none"/>
        </w:rPr>
        <w:t>La mise en concurrence internationale effective : ces achats responsables doivent être mis en œuvre progressivement et en respectant pleinement le droit d’accès au marché des Nations Unies aux fournisseurs des pays en développement et des pays à économie en transition ;</w:t>
      </w:r>
    </w:p>
    <w:p w14:paraId="469F2A7F" w14:textId="77777777" w:rsidR="00F90119" w:rsidRPr="00F90119" w:rsidRDefault="00F90119" w:rsidP="00F90119">
      <w:pPr>
        <w:shd w:val="clear" w:color="auto" w:fill="FFFFFF"/>
        <w:spacing w:before="100" w:beforeAutospacing="1" w:after="100" w:afterAutospacing="1" w:line="240" w:lineRule="auto"/>
        <w:ind w:left="1800"/>
        <w:contextualSpacing/>
        <w:jc w:val="both"/>
        <w:textAlignment w:val="top"/>
        <w:rPr>
          <w:rFonts w:ascii="Calibri" w:eastAsia="Times New Roman" w:hAnsi="Calibri" w:cs="Arial"/>
          <w:kern w:val="0"/>
          <w:sz w:val="22"/>
          <w:szCs w:val="22"/>
          <w:lang w:val="fr-FR"/>
          <w14:ligatures w14:val="none"/>
        </w:rPr>
      </w:pPr>
    </w:p>
    <w:p w14:paraId="632E31FC" w14:textId="77777777" w:rsidR="00F90119" w:rsidRPr="00F90119" w:rsidRDefault="00F90119" w:rsidP="00F90119">
      <w:pPr>
        <w:numPr>
          <w:ilvl w:val="1"/>
          <w:numId w:val="4"/>
        </w:numPr>
        <w:shd w:val="clear" w:color="auto" w:fill="FFFFFF"/>
        <w:spacing w:after="0" w:line="240" w:lineRule="auto"/>
        <w:ind w:left="1800"/>
        <w:contextualSpacing/>
        <w:jc w:val="both"/>
        <w:textAlignment w:val="top"/>
        <w:rPr>
          <w:rFonts w:ascii="Calibri" w:eastAsia="Times New Roman" w:hAnsi="Calibri" w:cs="Arial"/>
          <w:kern w:val="0"/>
          <w:sz w:val="22"/>
          <w:szCs w:val="22"/>
          <w:lang w:val="fr-FR"/>
          <w14:ligatures w14:val="none"/>
        </w:rPr>
      </w:pPr>
      <w:r w:rsidRPr="00F90119">
        <w:rPr>
          <w:rFonts w:ascii="Calibri" w:eastAsia="Calibri" w:hAnsi="Calibri" w:cs="Times New Roman"/>
          <w:kern w:val="0"/>
          <w:sz w:val="22"/>
          <w:szCs w:val="22"/>
          <w:lang w:val="fr-FR"/>
          <w14:ligatures w14:val="none"/>
        </w:rPr>
        <w:t>Le meilleur intérêt du PNUD : ces achats responsables alignent les achats sur la mission principale du PNUD, à savoir le développement durable ;</w:t>
      </w:r>
    </w:p>
    <w:p w14:paraId="12E5B83F" w14:textId="5267BA1F" w:rsidR="00F90119" w:rsidRDefault="00F90119" w:rsidP="00F90119">
      <w:pPr>
        <w:shd w:val="clear" w:color="auto" w:fill="FFFFFF"/>
        <w:spacing w:after="0" w:line="270" w:lineRule="atLeast"/>
        <w:textAlignment w:val="top"/>
        <w:rPr>
          <w:rFonts w:ascii="Calibri" w:eastAsia="Calibri" w:hAnsi="Calibri" w:cs="Times New Roman"/>
          <w:kern w:val="0"/>
          <w:sz w:val="22"/>
          <w:szCs w:val="22"/>
          <w:lang w:val="fr-FR"/>
          <w14:ligatures w14:val="none"/>
        </w:rPr>
      </w:pPr>
    </w:p>
    <w:p w14:paraId="4B420249" w14:textId="77777777" w:rsidR="00F90119" w:rsidRDefault="00F90119" w:rsidP="00F90119">
      <w:pPr>
        <w:shd w:val="clear" w:color="auto" w:fill="FFFFFF"/>
        <w:spacing w:after="0" w:line="270" w:lineRule="atLeast"/>
        <w:textAlignment w:val="top"/>
        <w:rPr>
          <w:rFonts w:ascii="Calibri" w:eastAsia="Calibri" w:hAnsi="Calibri" w:cs="Times New Roman"/>
          <w:kern w:val="0"/>
          <w:sz w:val="22"/>
          <w:szCs w:val="22"/>
          <w:lang w:val="fr-FR"/>
          <w14:ligatures w14:val="none"/>
        </w:rPr>
      </w:pPr>
    </w:p>
    <w:p w14:paraId="60D0229B" w14:textId="77777777" w:rsidR="00F90119" w:rsidRPr="00622981" w:rsidRDefault="00F90119" w:rsidP="00F90119">
      <w:pPr>
        <w:shd w:val="clear" w:color="auto" w:fill="FFFFFF"/>
        <w:spacing w:after="0" w:line="270" w:lineRule="atLeast"/>
        <w:textAlignment w:val="top"/>
        <w:rPr>
          <w:rFonts w:ascii="Calibri" w:eastAsia="Calibri" w:hAnsi="Calibri" w:cs="Times New Roman"/>
          <w:kern w:val="0"/>
          <w:sz w:val="22"/>
          <w:szCs w:val="22"/>
          <w:lang w:val="fr-FR"/>
          <w14:ligatures w14:val="none"/>
        </w:rPr>
      </w:pPr>
    </w:p>
    <w:p w14:paraId="0C93B7B8" w14:textId="77777777" w:rsidR="00F90119" w:rsidRPr="00F90119" w:rsidRDefault="00F90119" w:rsidP="00F90119">
      <w:pPr>
        <w:shd w:val="clear" w:color="auto" w:fill="FFFFFF"/>
        <w:spacing w:after="0" w:line="270" w:lineRule="atLeast"/>
        <w:textAlignment w:val="top"/>
        <w:rPr>
          <w:rFonts w:ascii="Calibri" w:eastAsia="Times New Roman" w:hAnsi="Calibri" w:cs="Arial"/>
          <w:kern w:val="0"/>
          <w:sz w:val="22"/>
          <w:szCs w:val="22"/>
          <w:lang w:val="fr-FR"/>
          <w14:ligatures w14:val="none"/>
        </w:rPr>
      </w:pPr>
      <w:r w:rsidRPr="00F90119">
        <w:rPr>
          <w:rFonts w:ascii="Calibri" w:eastAsia="Calibri" w:hAnsi="Calibri" w:cs="Times New Roman"/>
          <w:b/>
          <w:bCs/>
          <w:kern w:val="0"/>
          <w:sz w:val="22"/>
          <w:szCs w:val="22"/>
          <w:lang w:val="fr-FR"/>
          <w14:ligatures w14:val="none"/>
        </w:rPr>
        <w:lastRenderedPageBreak/>
        <w:t>Considérations générales</w:t>
      </w:r>
      <w:r w:rsidRPr="00F90119">
        <w:rPr>
          <w:rFonts w:ascii="Calibri" w:eastAsia="Calibri" w:hAnsi="Calibri" w:cs="Times New Roman"/>
          <w:b/>
          <w:bCs/>
          <w:kern w:val="0"/>
          <w:sz w:val="22"/>
          <w:szCs w:val="22"/>
          <w:lang w:val="fr-FR"/>
          <w14:ligatures w14:val="none"/>
        </w:rPr>
        <w:br/>
      </w:r>
    </w:p>
    <w:p w14:paraId="19FBD567" w14:textId="77777777" w:rsidR="00F90119" w:rsidRPr="00F90119" w:rsidRDefault="00F90119" w:rsidP="00F90119">
      <w:pPr>
        <w:numPr>
          <w:ilvl w:val="0"/>
          <w:numId w:val="1"/>
        </w:numPr>
        <w:shd w:val="clear" w:color="auto" w:fill="FFFFFF"/>
        <w:spacing w:after="0" w:line="270" w:lineRule="atLeast"/>
        <w:contextualSpacing/>
        <w:jc w:val="both"/>
        <w:textAlignment w:val="top"/>
        <w:rPr>
          <w:rFonts w:ascii="Calibri" w:eastAsia="Times New Roman" w:hAnsi="Calibri" w:cs="Arial"/>
          <w:kern w:val="0"/>
          <w:sz w:val="22"/>
          <w:szCs w:val="22"/>
          <w:lang w:val="fr-FR"/>
          <w14:ligatures w14:val="none"/>
        </w:rPr>
      </w:pPr>
      <w:r w:rsidRPr="00F90119">
        <w:rPr>
          <w:rFonts w:ascii="Calibri" w:eastAsia="Calibri" w:hAnsi="Calibri" w:cs="Times New Roman"/>
          <w:kern w:val="0"/>
          <w:sz w:val="22"/>
          <w:szCs w:val="22"/>
          <w:lang w:val="fr-FR"/>
          <w14:ligatures w14:val="none"/>
        </w:rPr>
        <w:t>Un certain nombre de facteurs influent sur les achats responsables. Les facteurs économiques durables comprennent les coûts des produits et des services pendant toute la durée de leur cycle de vie - coûts d’acquisition, d’entretien, d’utilisation et de gestion en fin de vie, y compris l’élimination des déchets, conformément à une bonne gestion financière ;</w:t>
      </w:r>
    </w:p>
    <w:p w14:paraId="6D3695CD" w14:textId="77777777" w:rsidR="00F90119" w:rsidRPr="00F90119" w:rsidRDefault="00F90119" w:rsidP="00F90119">
      <w:pPr>
        <w:shd w:val="clear" w:color="auto" w:fill="FFFFFF"/>
        <w:spacing w:after="0" w:line="270" w:lineRule="atLeast"/>
        <w:ind w:left="720"/>
        <w:contextualSpacing/>
        <w:jc w:val="both"/>
        <w:textAlignment w:val="top"/>
        <w:rPr>
          <w:rFonts w:ascii="Calibri" w:eastAsia="Times New Roman" w:hAnsi="Calibri" w:cs="Arial"/>
          <w:kern w:val="0"/>
          <w:sz w:val="22"/>
          <w:szCs w:val="22"/>
          <w:lang w:val="fr-FR"/>
          <w14:ligatures w14:val="none"/>
        </w:rPr>
      </w:pPr>
    </w:p>
    <w:p w14:paraId="621DBAF4" w14:textId="77777777" w:rsidR="00F90119" w:rsidRPr="00F90119" w:rsidRDefault="00F90119" w:rsidP="00F90119">
      <w:pPr>
        <w:numPr>
          <w:ilvl w:val="0"/>
          <w:numId w:val="1"/>
        </w:numPr>
        <w:shd w:val="clear" w:color="auto" w:fill="FFFFFF"/>
        <w:spacing w:after="0" w:line="270" w:lineRule="atLeast"/>
        <w:contextualSpacing/>
        <w:jc w:val="both"/>
        <w:textAlignment w:val="top"/>
        <w:rPr>
          <w:rFonts w:ascii="Calibri" w:eastAsia="Times New Roman" w:hAnsi="Calibri" w:cs="Arial"/>
          <w:kern w:val="0"/>
          <w:sz w:val="22"/>
          <w:szCs w:val="22"/>
          <w:lang w:val="fr-FR"/>
          <w14:ligatures w14:val="none"/>
        </w:rPr>
      </w:pPr>
      <w:r w:rsidRPr="00F90119">
        <w:rPr>
          <w:rFonts w:ascii="Calibri" w:eastAsia="Calibri" w:hAnsi="Calibri" w:cs="Times New Roman"/>
          <w:kern w:val="0"/>
          <w:sz w:val="22"/>
          <w:szCs w:val="22"/>
          <w:lang w:val="fr-FR"/>
          <w14:ligatures w14:val="none"/>
        </w:rPr>
        <w:t>Les facteurs sociaux et d’emploi durables englobent la reconnaissance de l’égalité et de la diversité, le respect des normes fondamentales du travail, la garantie de conditions de travail équitables, la croissance de l’emploi et des compétences, et le développement des communautés locales et de leurs infrastructures physiques ;</w:t>
      </w:r>
    </w:p>
    <w:p w14:paraId="299A089F" w14:textId="77777777" w:rsidR="00F90119" w:rsidRPr="00F90119" w:rsidRDefault="00F90119" w:rsidP="00F90119">
      <w:pPr>
        <w:shd w:val="clear" w:color="auto" w:fill="FFFFFF"/>
        <w:spacing w:after="0" w:line="270" w:lineRule="atLeast"/>
        <w:ind w:left="360"/>
        <w:jc w:val="both"/>
        <w:textAlignment w:val="top"/>
        <w:rPr>
          <w:rFonts w:ascii="Calibri" w:eastAsia="Times New Roman" w:hAnsi="Calibri" w:cs="Arial"/>
          <w:kern w:val="0"/>
          <w:sz w:val="22"/>
          <w:szCs w:val="22"/>
          <w:lang w:val="fr-FR"/>
          <w14:ligatures w14:val="none"/>
        </w:rPr>
      </w:pPr>
    </w:p>
    <w:p w14:paraId="15497768" w14:textId="77777777" w:rsidR="00F90119" w:rsidRPr="00F90119" w:rsidRDefault="00F90119" w:rsidP="00F90119">
      <w:pPr>
        <w:numPr>
          <w:ilvl w:val="0"/>
          <w:numId w:val="1"/>
        </w:numPr>
        <w:shd w:val="clear" w:color="auto" w:fill="FFFFFF"/>
        <w:spacing w:after="0" w:line="270" w:lineRule="atLeast"/>
        <w:contextualSpacing/>
        <w:jc w:val="both"/>
        <w:textAlignment w:val="top"/>
        <w:rPr>
          <w:rFonts w:ascii="Calibri" w:eastAsia="Times New Roman" w:hAnsi="Calibri" w:cs="Arial"/>
          <w:kern w:val="0"/>
          <w:sz w:val="22"/>
          <w:szCs w:val="22"/>
          <w:lang w:val="fr-FR"/>
          <w14:ligatures w14:val="none"/>
        </w:rPr>
      </w:pPr>
      <w:r w:rsidRPr="00F90119">
        <w:rPr>
          <w:rFonts w:ascii="Calibri" w:eastAsia="Calibri" w:hAnsi="Calibri" w:cs="Times New Roman"/>
          <w:kern w:val="0"/>
          <w:sz w:val="22"/>
          <w:szCs w:val="22"/>
          <w:lang w:val="fr-FR"/>
          <w14:ligatures w14:val="none"/>
        </w:rPr>
        <w:t>Les facteurs environnementaux durables comprennent l’utilisation des ressources naturelles et la rareté de l’eau, les émissions, le changement climatique et la biodiversité tout au long du cycle de vie du produit ;</w:t>
      </w:r>
    </w:p>
    <w:p w14:paraId="3E769ABC" w14:textId="77777777" w:rsidR="00F90119" w:rsidRPr="00F90119" w:rsidRDefault="00F90119" w:rsidP="00F90119">
      <w:pPr>
        <w:shd w:val="clear" w:color="auto" w:fill="FFFFFF"/>
        <w:spacing w:after="0" w:line="270" w:lineRule="atLeast"/>
        <w:jc w:val="both"/>
        <w:textAlignment w:val="top"/>
        <w:rPr>
          <w:rFonts w:ascii="Calibri" w:eastAsia="Times New Roman" w:hAnsi="Calibri" w:cs="Arial"/>
          <w:kern w:val="0"/>
          <w:sz w:val="22"/>
          <w:szCs w:val="22"/>
          <w:lang w:val="fr-FR"/>
          <w14:ligatures w14:val="none"/>
        </w:rPr>
      </w:pPr>
    </w:p>
    <w:p w14:paraId="671B02D9" w14:textId="77777777" w:rsidR="00F90119" w:rsidRPr="00F90119" w:rsidRDefault="00F90119" w:rsidP="00F90119">
      <w:pPr>
        <w:numPr>
          <w:ilvl w:val="0"/>
          <w:numId w:val="1"/>
        </w:numPr>
        <w:shd w:val="clear" w:color="auto" w:fill="FFFFFF"/>
        <w:spacing w:after="0" w:line="270" w:lineRule="atLeast"/>
        <w:contextualSpacing/>
        <w:jc w:val="both"/>
        <w:textAlignment w:val="top"/>
        <w:rPr>
          <w:rFonts w:ascii="Calibri" w:eastAsia="Times New Roman" w:hAnsi="Calibri" w:cs="Arial"/>
          <w:kern w:val="0"/>
          <w:sz w:val="22"/>
          <w:szCs w:val="22"/>
          <w:lang w:val="fr-FR"/>
          <w14:ligatures w14:val="none"/>
        </w:rPr>
      </w:pPr>
      <w:r w:rsidRPr="00F90119">
        <w:rPr>
          <w:rFonts w:ascii="Calibri" w:eastAsia="Calibri" w:hAnsi="Calibri" w:cs="Times New Roman"/>
          <w:kern w:val="0"/>
          <w:sz w:val="22"/>
          <w:szCs w:val="22"/>
          <w:lang w:val="fr-FR"/>
          <w14:ligatures w14:val="none"/>
        </w:rPr>
        <w:t>L’identification des impacts sociaux et environnementaux négatifs des produits et services est une tâche importante. Étant donné que chaque solution d’approvisionnement et chaque marché sont différents, il est important que le personnel chargé des achats et les demandeurs travaillent ensemble pour définir ces impacts parallèlement aux considérations économiques et d’efficacité traditionnelles.</w:t>
      </w:r>
    </w:p>
    <w:p w14:paraId="124935E5" w14:textId="77777777" w:rsidR="00F90119" w:rsidRPr="00F90119" w:rsidRDefault="00F90119" w:rsidP="00F90119">
      <w:pPr>
        <w:shd w:val="clear" w:color="auto" w:fill="FFFFFF"/>
        <w:spacing w:after="0" w:line="270" w:lineRule="atLeast"/>
        <w:ind w:left="720"/>
        <w:contextualSpacing/>
        <w:jc w:val="both"/>
        <w:textAlignment w:val="top"/>
        <w:rPr>
          <w:rFonts w:ascii="Calibri" w:eastAsia="Times New Roman" w:hAnsi="Calibri" w:cs="Arial"/>
          <w:kern w:val="0"/>
          <w:sz w:val="22"/>
          <w:szCs w:val="22"/>
          <w:lang w:val="fr-FR"/>
          <w14:ligatures w14:val="none"/>
        </w:rPr>
      </w:pPr>
    </w:p>
    <w:p w14:paraId="1DA55DB9" w14:textId="77777777" w:rsidR="00F90119" w:rsidRPr="00F90119" w:rsidRDefault="00F90119" w:rsidP="00F90119">
      <w:pPr>
        <w:shd w:val="clear" w:color="auto" w:fill="FFFFFF"/>
        <w:spacing w:after="0" w:line="270" w:lineRule="atLeast"/>
        <w:textAlignment w:val="top"/>
        <w:rPr>
          <w:rFonts w:ascii="Calibri" w:eastAsia="Times New Roman" w:hAnsi="Calibri" w:cs="Arial"/>
          <w:kern w:val="0"/>
          <w:sz w:val="22"/>
          <w:szCs w:val="22"/>
          <w:lang w:val="fr-FR"/>
          <w14:ligatures w14:val="none"/>
        </w:rPr>
      </w:pPr>
      <w:r w:rsidRPr="00F90119">
        <w:rPr>
          <w:rFonts w:ascii="Calibri" w:eastAsia="Calibri" w:hAnsi="Calibri" w:cs="Times New Roman"/>
          <w:b/>
          <w:bCs/>
          <w:kern w:val="0"/>
          <w:sz w:val="22"/>
          <w:szCs w:val="22"/>
          <w:lang w:val="fr-FR"/>
          <w14:ligatures w14:val="none"/>
        </w:rPr>
        <w:t>Intégration anticipée des achats responsables</w:t>
      </w:r>
      <w:r w:rsidRPr="00F90119">
        <w:rPr>
          <w:rFonts w:ascii="Calibri" w:eastAsia="Calibri" w:hAnsi="Calibri" w:cs="Times New Roman"/>
          <w:b/>
          <w:bCs/>
          <w:kern w:val="0"/>
          <w:sz w:val="22"/>
          <w:szCs w:val="22"/>
          <w:lang w:val="fr-FR"/>
          <w14:ligatures w14:val="none"/>
        </w:rPr>
        <w:br/>
      </w:r>
    </w:p>
    <w:p w14:paraId="6C093947" w14:textId="77777777" w:rsidR="00F90119" w:rsidRPr="00F90119" w:rsidRDefault="00F90119" w:rsidP="00F90119">
      <w:pPr>
        <w:numPr>
          <w:ilvl w:val="0"/>
          <w:numId w:val="1"/>
        </w:numPr>
        <w:shd w:val="clear" w:color="auto" w:fill="FFFFFF"/>
        <w:spacing w:after="0" w:line="270" w:lineRule="atLeast"/>
        <w:contextualSpacing/>
        <w:jc w:val="both"/>
        <w:textAlignment w:val="top"/>
        <w:rPr>
          <w:rFonts w:ascii="Calibri" w:eastAsia="Times New Roman" w:hAnsi="Calibri" w:cs="Arial"/>
          <w:kern w:val="0"/>
          <w:sz w:val="22"/>
          <w:szCs w:val="22"/>
          <w:lang w:val="fr-FR"/>
          <w14:ligatures w14:val="none"/>
        </w:rPr>
      </w:pPr>
      <w:r w:rsidRPr="00F90119">
        <w:rPr>
          <w:rFonts w:ascii="Calibri" w:eastAsia="Calibri" w:hAnsi="Calibri" w:cs="Times New Roman"/>
          <w:kern w:val="0"/>
          <w:sz w:val="22"/>
          <w:szCs w:val="22"/>
          <w:lang w:val="fr-FR"/>
          <w14:ligatures w14:val="none"/>
        </w:rPr>
        <w:t>L’intégration anticipée des achats durables dans la planification des approvisionnements contribue à assurer l’équité, la transparence et l’efficacité. Il y a plusieurs façons d’intégrer des considérations de durabilité :</w:t>
      </w:r>
    </w:p>
    <w:p w14:paraId="38E7460A" w14:textId="77777777" w:rsidR="00F90119" w:rsidRPr="00F90119" w:rsidRDefault="00F90119" w:rsidP="00F90119">
      <w:pPr>
        <w:shd w:val="clear" w:color="auto" w:fill="FFFFFF"/>
        <w:spacing w:after="0" w:line="270" w:lineRule="atLeast"/>
        <w:ind w:left="720"/>
        <w:contextualSpacing/>
        <w:jc w:val="both"/>
        <w:textAlignment w:val="top"/>
        <w:rPr>
          <w:rFonts w:ascii="Calibri" w:eastAsia="Times New Roman" w:hAnsi="Calibri" w:cs="Arial"/>
          <w:kern w:val="0"/>
          <w:sz w:val="22"/>
          <w:szCs w:val="22"/>
          <w:lang w:val="fr-FR"/>
          <w14:ligatures w14:val="none"/>
        </w:rPr>
      </w:pPr>
    </w:p>
    <w:p w14:paraId="1B76C12E" w14:textId="77777777" w:rsidR="00F90119" w:rsidRPr="00F90119" w:rsidRDefault="00F90119" w:rsidP="00F90119">
      <w:pPr>
        <w:numPr>
          <w:ilvl w:val="1"/>
          <w:numId w:val="3"/>
        </w:numPr>
        <w:shd w:val="clear" w:color="auto" w:fill="FFFFFF"/>
        <w:spacing w:after="0" w:line="270" w:lineRule="atLeast"/>
        <w:ind w:left="1800"/>
        <w:contextualSpacing/>
        <w:jc w:val="both"/>
        <w:textAlignment w:val="top"/>
        <w:rPr>
          <w:rFonts w:ascii="Calibri" w:eastAsia="Times New Roman" w:hAnsi="Calibri" w:cs="Arial"/>
          <w:kern w:val="0"/>
          <w:sz w:val="22"/>
          <w:szCs w:val="22"/>
          <w:lang w:val="fr-FR"/>
          <w14:ligatures w14:val="none"/>
        </w:rPr>
      </w:pPr>
      <w:r w:rsidRPr="00F90119">
        <w:rPr>
          <w:rFonts w:ascii="Calibri" w:eastAsia="Calibri" w:hAnsi="Calibri" w:cs="Times New Roman"/>
          <w:kern w:val="0"/>
          <w:sz w:val="22"/>
          <w:szCs w:val="22"/>
          <w:lang w:val="fr-FR"/>
          <w14:ligatures w14:val="none"/>
        </w:rPr>
        <w:t>Reconsidérer les besoins ;</w:t>
      </w:r>
    </w:p>
    <w:p w14:paraId="35DDC97E" w14:textId="77777777" w:rsidR="00F90119" w:rsidRPr="00F90119" w:rsidRDefault="00F90119" w:rsidP="00F90119">
      <w:pPr>
        <w:shd w:val="clear" w:color="auto" w:fill="FFFFFF"/>
        <w:spacing w:after="0" w:line="270" w:lineRule="atLeast"/>
        <w:ind w:left="1800"/>
        <w:contextualSpacing/>
        <w:jc w:val="both"/>
        <w:textAlignment w:val="top"/>
        <w:rPr>
          <w:rFonts w:ascii="Calibri" w:eastAsia="Times New Roman" w:hAnsi="Calibri" w:cs="Arial"/>
          <w:kern w:val="0"/>
          <w:sz w:val="22"/>
          <w:szCs w:val="22"/>
          <w:lang w:val="fr-FR"/>
          <w14:ligatures w14:val="none"/>
        </w:rPr>
      </w:pPr>
    </w:p>
    <w:p w14:paraId="1887C111" w14:textId="77777777" w:rsidR="00F90119" w:rsidRPr="00F90119" w:rsidRDefault="00F90119" w:rsidP="00F90119">
      <w:pPr>
        <w:numPr>
          <w:ilvl w:val="1"/>
          <w:numId w:val="3"/>
        </w:numPr>
        <w:shd w:val="clear" w:color="auto" w:fill="FFFFFF"/>
        <w:spacing w:before="100" w:beforeAutospacing="1" w:after="100" w:afterAutospacing="1" w:line="240" w:lineRule="auto"/>
        <w:ind w:left="1800"/>
        <w:contextualSpacing/>
        <w:jc w:val="both"/>
        <w:textAlignment w:val="top"/>
        <w:rPr>
          <w:rFonts w:ascii="Calibri" w:eastAsia="Times New Roman" w:hAnsi="Calibri" w:cs="Arial"/>
          <w:kern w:val="0"/>
          <w:sz w:val="22"/>
          <w:szCs w:val="22"/>
          <w:lang w:val="fr-FR"/>
          <w14:ligatures w14:val="none"/>
        </w:rPr>
      </w:pPr>
      <w:r w:rsidRPr="00F90119">
        <w:rPr>
          <w:rFonts w:ascii="Calibri" w:eastAsia="Calibri" w:hAnsi="Calibri" w:cs="Times New Roman"/>
          <w:kern w:val="0"/>
          <w:sz w:val="22"/>
          <w:szCs w:val="22"/>
          <w:lang w:val="fr-FR"/>
          <w14:ligatures w14:val="none"/>
        </w:rPr>
        <w:t>Un titre de contrat qui traduit la pertinence de la durabilité dans l’appel d’offres ;</w:t>
      </w:r>
    </w:p>
    <w:p w14:paraId="2B0657EF" w14:textId="77777777" w:rsidR="00F90119" w:rsidRPr="00F90119" w:rsidRDefault="00F90119" w:rsidP="00F90119">
      <w:pPr>
        <w:shd w:val="clear" w:color="auto" w:fill="FFFFFF"/>
        <w:spacing w:before="100" w:beforeAutospacing="1" w:after="100" w:afterAutospacing="1" w:line="240" w:lineRule="auto"/>
        <w:ind w:left="1800"/>
        <w:contextualSpacing/>
        <w:jc w:val="both"/>
        <w:textAlignment w:val="top"/>
        <w:rPr>
          <w:rFonts w:ascii="Calibri" w:eastAsia="Times New Roman" w:hAnsi="Calibri" w:cs="Arial"/>
          <w:kern w:val="0"/>
          <w:sz w:val="22"/>
          <w:szCs w:val="22"/>
          <w:lang w:val="fr-FR"/>
          <w14:ligatures w14:val="none"/>
        </w:rPr>
      </w:pPr>
    </w:p>
    <w:p w14:paraId="2D682C7D" w14:textId="77777777" w:rsidR="00F90119" w:rsidRPr="00F90119" w:rsidRDefault="00F90119" w:rsidP="00F90119">
      <w:pPr>
        <w:numPr>
          <w:ilvl w:val="1"/>
          <w:numId w:val="3"/>
        </w:numPr>
        <w:shd w:val="clear" w:color="auto" w:fill="FFFFFF"/>
        <w:spacing w:before="100" w:beforeAutospacing="1" w:after="100" w:afterAutospacing="1" w:line="240" w:lineRule="auto"/>
        <w:ind w:left="1800"/>
        <w:contextualSpacing/>
        <w:jc w:val="both"/>
        <w:textAlignment w:val="top"/>
        <w:rPr>
          <w:rFonts w:ascii="Calibri" w:eastAsia="Times New Roman" w:hAnsi="Calibri" w:cs="Arial"/>
          <w:kern w:val="0"/>
          <w:sz w:val="22"/>
          <w:szCs w:val="22"/>
          <w:lang w:val="fr-FR"/>
          <w14:ligatures w14:val="none"/>
        </w:rPr>
      </w:pPr>
      <w:r w:rsidRPr="00F90119">
        <w:rPr>
          <w:rFonts w:ascii="Calibri" w:eastAsia="Calibri" w:hAnsi="Calibri" w:cs="Times New Roman"/>
          <w:kern w:val="0"/>
          <w:sz w:val="22"/>
          <w:szCs w:val="22"/>
          <w:lang w:val="fr-FR"/>
          <w14:ligatures w14:val="none"/>
        </w:rPr>
        <w:t>Mener une évaluation des risques liés à la durabilité ;</w:t>
      </w:r>
    </w:p>
    <w:p w14:paraId="107F87E3" w14:textId="77777777" w:rsidR="00F90119" w:rsidRPr="00F90119" w:rsidRDefault="00F90119" w:rsidP="00F90119">
      <w:pPr>
        <w:shd w:val="clear" w:color="auto" w:fill="FFFFFF"/>
        <w:spacing w:before="100" w:beforeAutospacing="1" w:after="100" w:afterAutospacing="1" w:line="240" w:lineRule="auto"/>
        <w:ind w:left="1800"/>
        <w:contextualSpacing/>
        <w:jc w:val="both"/>
        <w:textAlignment w:val="top"/>
        <w:rPr>
          <w:rFonts w:ascii="Calibri" w:eastAsia="Times New Roman" w:hAnsi="Calibri" w:cs="Arial"/>
          <w:kern w:val="0"/>
          <w:sz w:val="22"/>
          <w:szCs w:val="22"/>
          <w:lang w:val="fr-FR"/>
          <w14:ligatures w14:val="none"/>
        </w:rPr>
      </w:pPr>
    </w:p>
    <w:p w14:paraId="078CC617" w14:textId="77777777" w:rsidR="00F90119" w:rsidRPr="00F90119" w:rsidRDefault="00F90119" w:rsidP="00F90119">
      <w:pPr>
        <w:numPr>
          <w:ilvl w:val="1"/>
          <w:numId w:val="3"/>
        </w:numPr>
        <w:shd w:val="clear" w:color="auto" w:fill="FFFFFF"/>
        <w:spacing w:before="100" w:beforeAutospacing="1" w:after="100" w:afterAutospacing="1" w:line="240" w:lineRule="auto"/>
        <w:ind w:left="1800"/>
        <w:contextualSpacing/>
        <w:jc w:val="both"/>
        <w:textAlignment w:val="top"/>
        <w:rPr>
          <w:rFonts w:ascii="Calibri" w:eastAsia="Times New Roman" w:hAnsi="Calibri" w:cs="Arial"/>
          <w:kern w:val="0"/>
          <w:sz w:val="22"/>
          <w:szCs w:val="22"/>
          <w:lang w:val="fr-FR"/>
          <w14:ligatures w14:val="none"/>
        </w:rPr>
      </w:pPr>
      <w:r w:rsidRPr="00F90119">
        <w:rPr>
          <w:rFonts w:ascii="Calibri" w:eastAsia="Calibri" w:hAnsi="Calibri" w:cs="Times New Roman"/>
          <w:kern w:val="0"/>
          <w:sz w:val="22"/>
          <w:szCs w:val="22"/>
          <w:lang w:val="fr-FR"/>
          <w14:ligatures w14:val="none"/>
        </w:rPr>
        <w:t>Effectuer une analyse de marché pour évaluer la disponibilité de produits et services durables.</w:t>
      </w:r>
    </w:p>
    <w:p w14:paraId="3E9823CB" w14:textId="77777777" w:rsidR="00F90119" w:rsidRPr="00F90119" w:rsidRDefault="00F90119" w:rsidP="00F90119">
      <w:pPr>
        <w:shd w:val="clear" w:color="auto" w:fill="FFFFFF"/>
        <w:spacing w:before="100" w:beforeAutospacing="1" w:after="100" w:afterAutospacing="1" w:line="240" w:lineRule="auto"/>
        <w:ind w:left="2160"/>
        <w:contextualSpacing/>
        <w:jc w:val="both"/>
        <w:textAlignment w:val="top"/>
        <w:rPr>
          <w:rFonts w:ascii="Calibri" w:eastAsia="Times New Roman" w:hAnsi="Calibri" w:cs="Arial"/>
          <w:kern w:val="0"/>
          <w:sz w:val="22"/>
          <w:szCs w:val="22"/>
          <w:lang w:val="fr-FR"/>
          <w14:ligatures w14:val="none"/>
        </w:rPr>
      </w:pPr>
    </w:p>
    <w:p w14:paraId="6DA1E880" w14:textId="77777777" w:rsidR="00F90119" w:rsidRPr="00F90119" w:rsidRDefault="00F90119" w:rsidP="00F90119">
      <w:pPr>
        <w:numPr>
          <w:ilvl w:val="0"/>
          <w:numId w:val="1"/>
        </w:numPr>
        <w:shd w:val="clear" w:color="auto" w:fill="FFFFFF"/>
        <w:spacing w:after="0" w:line="270" w:lineRule="atLeast"/>
        <w:contextualSpacing/>
        <w:jc w:val="both"/>
        <w:textAlignment w:val="top"/>
        <w:rPr>
          <w:rFonts w:ascii="Calibri" w:eastAsia="Times New Roman" w:hAnsi="Calibri" w:cs="Arial"/>
          <w:kern w:val="0"/>
          <w:sz w:val="22"/>
          <w:szCs w:val="22"/>
          <w:lang w:val="fr-FR"/>
          <w14:ligatures w14:val="none"/>
        </w:rPr>
      </w:pPr>
      <w:r w:rsidRPr="00F90119">
        <w:rPr>
          <w:rFonts w:ascii="Calibri" w:eastAsia="Calibri" w:hAnsi="Calibri" w:cs="Times New Roman"/>
          <w:kern w:val="0"/>
          <w:sz w:val="22"/>
          <w:szCs w:val="22"/>
          <w:lang w:val="fr-FR"/>
          <w14:ligatures w14:val="none"/>
        </w:rPr>
        <w:t>L’évaluation et l’analyse doivent correspondre à la taille du marché. Les petites opérations d’approvisionnement peuvent utiliser des méthodes plus simples et plus faciles à mener, tandis que les opérations plus importantes doivent faire l’objet d’un examen plus approfondi.</w:t>
      </w:r>
    </w:p>
    <w:p w14:paraId="77617AD2" w14:textId="77777777" w:rsidR="00F90119" w:rsidRPr="00F90119" w:rsidRDefault="00F90119" w:rsidP="00F90119">
      <w:pPr>
        <w:shd w:val="clear" w:color="auto" w:fill="FFFFFF"/>
        <w:spacing w:after="0" w:line="270" w:lineRule="atLeast"/>
        <w:jc w:val="both"/>
        <w:textAlignment w:val="top"/>
        <w:rPr>
          <w:rFonts w:ascii="Calibri" w:eastAsia="Times New Roman" w:hAnsi="Calibri" w:cs="Arial"/>
          <w:kern w:val="0"/>
          <w:sz w:val="22"/>
          <w:szCs w:val="22"/>
          <w:lang w:val="fr-FR"/>
          <w14:ligatures w14:val="none"/>
        </w:rPr>
      </w:pPr>
    </w:p>
    <w:p w14:paraId="71B1C219" w14:textId="77777777" w:rsidR="00F90119" w:rsidRPr="00F90119" w:rsidRDefault="00F90119" w:rsidP="00F90119">
      <w:pPr>
        <w:shd w:val="clear" w:color="auto" w:fill="FFFFFF"/>
        <w:spacing w:after="0" w:line="270" w:lineRule="atLeast"/>
        <w:textAlignment w:val="top"/>
        <w:rPr>
          <w:rFonts w:ascii="Calibri" w:eastAsia="Times New Roman" w:hAnsi="Calibri" w:cs="Arial"/>
          <w:kern w:val="0"/>
          <w:sz w:val="22"/>
          <w:szCs w:val="22"/>
          <w:lang w:val="fr-FR"/>
          <w14:ligatures w14:val="none"/>
        </w:rPr>
      </w:pPr>
      <w:r w:rsidRPr="00F90119">
        <w:rPr>
          <w:rFonts w:ascii="Calibri" w:eastAsia="Calibri" w:hAnsi="Calibri" w:cs="Times New Roman"/>
          <w:b/>
          <w:bCs/>
          <w:kern w:val="0"/>
          <w:sz w:val="22"/>
          <w:szCs w:val="22"/>
          <w:lang w:val="fr-FR"/>
          <w14:ligatures w14:val="none"/>
        </w:rPr>
        <w:t>Définition des exigences</w:t>
      </w:r>
      <w:r w:rsidRPr="00F90119">
        <w:rPr>
          <w:rFonts w:ascii="Calibri" w:eastAsia="Calibri" w:hAnsi="Calibri" w:cs="Times New Roman"/>
          <w:b/>
          <w:bCs/>
          <w:kern w:val="0"/>
          <w:sz w:val="22"/>
          <w:szCs w:val="22"/>
          <w:lang w:val="fr-FR"/>
          <w14:ligatures w14:val="none"/>
        </w:rPr>
        <w:br/>
      </w:r>
    </w:p>
    <w:p w14:paraId="28221BFF" w14:textId="705C26AD" w:rsidR="00F90119" w:rsidRPr="00F90119" w:rsidRDefault="00F90119" w:rsidP="00622981">
      <w:pPr>
        <w:numPr>
          <w:ilvl w:val="0"/>
          <w:numId w:val="1"/>
        </w:numPr>
        <w:shd w:val="clear" w:color="auto" w:fill="FFFFFF"/>
        <w:spacing w:after="0" w:line="270" w:lineRule="atLeast"/>
        <w:contextualSpacing/>
        <w:jc w:val="both"/>
        <w:textAlignment w:val="top"/>
        <w:rPr>
          <w:rFonts w:ascii="Calibri" w:eastAsia="Times New Roman" w:hAnsi="Calibri" w:cs="Arial"/>
          <w:kern w:val="0"/>
          <w:sz w:val="22"/>
          <w:szCs w:val="22"/>
          <w:lang w:val="fr-FR"/>
          <w14:ligatures w14:val="none"/>
        </w:rPr>
      </w:pPr>
      <w:r w:rsidRPr="00F90119">
        <w:rPr>
          <w:rFonts w:ascii="Calibri" w:eastAsia="Calibri" w:hAnsi="Calibri" w:cs="Times New Roman"/>
          <w:kern w:val="0"/>
          <w:sz w:val="22"/>
          <w:szCs w:val="22"/>
          <w:lang w:val="fr-FR"/>
          <w14:ligatures w14:val="none"/>
        </w:rPr>
        <w:t>La définition des exigences est basée sur la demande et guidée par le résultat des considérations décrites ci-dessus. Les exigences de durabilité ne doivent pas entraver la concurrence. Le processus peut :</w:t>
      </w:r>
    </w:p>
    <w:p w14:paraId="64E7D254" w14:textId="1A44BEE0" w:rsidR="00F90119" w:rsidRPr="00F90119" w:rsidRDefault="00F90119" w:rsidP="00622981">
      <w:pPr>
        <w:numPr>
          <w:ilvl w:val="1"/>
          <w:numId w:val="2"/>
        </w:numPr>
        <w:shd w:val="clear" w:color="auto" w:fill="FFFFFF"/>
        <w:spacing w:after="0" w:line="270" w:lineRule="atLeast"/>
        <w:ind w:left="1800"/>
        <w:contextualSpacing/>
        <w:jc w:val="both"/>
        <w:textAlignment w:val="top"/>
        <w:rPr>
          <w:rFonts w:ascii="Calibri" w:eastAsia="Times New Roman" w:hAnsi="Calibri" w:cs="Arial"/>
          <w:kern w:val="0"/>
          <w:sz w:val="22"/>
          <w:szCs w:val="22"/>
          <w:lang w:val="fr-FR"/>
          <w14:ligatures w14:val="none"/>
        </w:rPr>
      </w:pPr>
      <w:r w:rsidRPr="00F90119">
        <w:rPr>
          <w:rFonts w:ascii="Calibri" w:eastAsia="Calibri" w:hAnsi="Calibri" w:cs="Times New Roman"/>
          <w:kern w:val="0"/>
          <w:sz w:val="22"/>
          <w:szCs w:val="22"/>
          <w:lang w:val="fr-FR"/>
          <w14:ligatures w14:val="none"/>
        </w:rPr>
        <w:t>Se référer aux normes internationales ;</w:t>
      </w:r>
    </w:p>
    <w:p w14:paraId="2C7CD5B4" w14:textId="77777777" w:rsidR="00F90119" w:rsidRPr="00F90119" w:rsidRDefault="00F90119" w:rsidP="00F90119">
      <w:pPr>
        <w:numPr>
          <w:ilvl w:val="1"/>
          <w:numId w:val="2"/>
        </w:numPr>
        <w:shd w:val="clear" w:color="auto" w:fill="FFFFFF"/>
        <w:spacing w:before="100" w:beforeAutospacing="1" w:after="100" w:afterAutospacing="1" w:line="240" w:lineRule="auto"/>
        <w:ind w:left="1800"/>
        <w:contextualSpacing/>
        <w:jc w:val="both"/>
        <w:textAlignment w:val="top"/>
        <w:rPr>
          <w:rFonts w:ascii="Calibri" w:eastAsia="Times New Roman" w:hAnsi="Calibri" w:cs="Arial"/>
          <w:kern w:val="0"/>
          <w:sz w:val="22"/>
          <w:szCs w:val="22"/>
          <w:lang w:val="fr-FR"/>
          <w14:ligatures w14:val="none"/>
        </w:rPr>
      </w:pPr>
      <w:r w:rsidRPr="00F90119">
        <w:rPr>
          <w:rFonts w:ascii="Calibri" w:eastAsia="Calibri" w:hAnsi="Calibri" w:cs="Times New Roman"/>
          <w:kern w:val="0"/>
          <w:sz w:val="22"/>
          <w:szCs w:val="22"/>
          <w:lang w:val="fr-FR"/>
          <w14:ligatures w14:val="none"/>
        </w:rPr>
        <w:lastRenderedPageBreak/>
        <w:t>Utiliser des critères provenant des labels écologiques et sociaux ;</w:t>
      </w:r>
    </w:p>
    <w:p w14:paraId="4C1F3787" w14:textId="77777777" w:rsidR="00F90119" w:rsidRPr="00F90119" w:rsidRDefault="00F90119" w:rsidP="00F90119">
      <w:pPr>
        <w:shd w:val="clear" w:color="auto" w:fill="FFFFFF"/>
        <w:spacing w:before="100" w:beforeAutospacing="1" w:after="100" w:afterAutospacing="1" w:line="240" w:lineRule="auto"/>
        <w:ind w:left="1800"/>
        <w:contextualSpacing/>
        <w:jc w:val="both"/>
        <w:textAlignment w:val="top"/>
        <w:rPr>
          <w:rFonts w:ascii="Calibri" w:eastAsia="Times New Roman" w:hAnsi="Calibri" w:cs="Arial"/>
          <w:kern w:val="0"/>
          <w:sz w:val="22"/>
          <w:szCs w:val="22"/>
          <w:lang w:val="fr-FR"/>
          <w14:ligatures w14:val="none"/>
        </w:rPr>
      </w:pPr>
    </w:p>
    <w:p w14:paraId="64A2076A" w14:textId="77777777" w:rsidR="00F90119" w:rsidRPr="00F90119" w:rsidRDefault="00F90119" w:rsidP="00F90119">
      <w:pPr>
        <w:numPr>
          <w:ilvl w:val="1"/>
          <w:numId w:val="2"/>
        </w:numPr>
        <w:shd w:val="clear" w:color="auto" w:fill="FFFFFF"/>
        <w:spacing w:before="100" w:beforeAutospacing="1" w:after="100" w:afterAutospacing="1" w:line="240" w:lineRule="auto"/>
        <w:ind w:left="1800"/>
        <w:contextualSpacing/>
        <w:jc w:val="both"/>
        <w:textAlignment w:val="top"/>
        <w:rPr>
          <w:rFonts w:ascii="Calibri" w:eastAsia="Times New Roman" w:hAnsi="Calibri" w:cs="Arial"/>
          <w:kern w:val="0"/>
          <w:sz w:val="22"/>
          <w:szCs w:val="22"/>
          <w:lang w:val="fr-FR"/>
          <w14:ligatures w14:val="none"/>
        </w:rPr>
      </w:pPr>
      <w:r w:rsidRPr="00F90119">
        <w:rPr>
          <w:rFonts w:ascii="Calibri" w:eastAsia="Calibri" w:hAnsi="Calibri" w:cs="Times New Roman"/>
          <w:kern w:val="0"/>
          <w:sz w:val="22"/>
          <w:szCs w:val="22"/>
          <w:lang w:val="fr-FR"/>
          <w14:ligatures w14:val="none"/>
        </w:rPr>
        <w:t>Spécifier des méthodes de production et de processus plus durables.</w:t>
      </w:r>
    </w:p>
    <w:p w14:paraId="7799D2D1" w14:textId="77777777" w:rsidR="00F90119" w:rsidRDefault="00F90119" w:rsidP="00F90119">
      <w:pPr>
        <w:shd w:val="clear" w:color="auto" w:fill="FFFFFF"/>
        <w:spacing w:after="0" w:line="270" w:lineRule="atLeast"/>
        <w:textAlignment w:val="top"/>
        <w:rPr>
          <w:rFonts w:ascii="Calibri" w:eastAsia="Calibri" w:hAnsi="Calibri" w:cs="Times New Roman"/>
          <w:b/>
          <w:bCs/>
          <w:kern w:val="0"/>
          <w:sz w:val="22"/>
          <w:szCs w:val="22"/>
          <w:lang w:val="fr-FR"/>
          <w14:ligatures w14:val="none"/>
        </w:rPr>
      </w:pPr>
    </w:p>
    <w:p w14:paraId="37035163" w14:textId="136A7F14" w:rsidR="00F90119" w:rsidRPr="00F90119" w:rsidRDefault="00F90119" w:rsidP="00F90119">
      <w:pPr>
        <w:shd w:val="clear" w:color="auto" w:fill="FFFFFF"/>
        <w:spacing w:after="0" w:line="270" w:lineRule="atLeast"/>
        <w:textAlignment w:val="top"/>
        <w:rPr>
          <w:rFonts w:ascii="Calibri" w:eastAsia="Times New Roman" w:hAnsi="Calibri" w:cs="Arial"/>
          <w:b/>
          <w:bCs/>
          <w:kern w:val="0"/>
          <w:sz w:val="22"/>
          <w:szCs w:val="22"/>
          <w:lang w:val="fr-FR"/>
          <w14:ligatures w14:val="none"/>
        </w:rPr>
      </w:pPr>
      <w:r w:rsidRPr="00F90119">
        <w:rPr>
          <w:rFonts w:ascii="Calibri" w:eastAsia="Calibri" w:hAnsi="Calibri" w:cs="Times New Roman"/>
          <w:b/>
          <w:bCs/>
          <w:kern w:val="0"/>
          <w:sz w:val="22"/>
          <w:szCs w:val="22"/>
          <w:lang w:val="fr-FR"/>
          <w14:ligatures w14:val="none"/>
        </w:rPr>
        <w:t>Recherche de fournisseurs responsables</w:t>
      </w:r>
    </w:p>
    <w:p w14:paraId="155621AD" w14:textId="77777777" w:rsidR="00F90119" w:rsidRPr="00F90119" w:rsidRDefault="00F90119" w:rsidP="00F90119">
      <w:pPr>
        <w:shd w:val="clear" w:color="auto" w:fill="FFFFFF"/>
        <w:spacing w:after="0" w:line="270" w:lineRule="atLeast"/>
        <w:ind w:left="540"/>
        <w:contextualSpacing/>
        <w:textAlignment w:val="top"/>
        <w:rPr>
          <w:rFonts w:ascii="Calibri" w:eastAsia="Times New Roman" w:hAnsi="Calibri" w:cs="Arial"/>
          <w:b/>
          <w:bCs/>
          <w:kern w:val="0"/>
          <w:sz w:val="22"/>
          <w:szCs w:val="22"/>
          <w:lang w:val="en-PH"/>
          <w14:ligatures w14:val="none"/>
        </w:rPr>
      </w:pPr>
    </w:p>
    <w:p w14:paraId="2456B41B" w14:textId="77777777" w:rsidR="00F90119" w:rsidRPr="00F90119" w:rsidRDefault="00F90119" w:rsidP="00F90119">
      <w:pPr>
        <w:numPr>
          <w:ilvl w:val="0"/>
          <w:numId w:val="1"/>
        </w:numPr>
        <w:shd w:val="clear" w:color="auto" w:fill="FFFFFF"/>
        <w:spacing w:after="0" w:line="270" w:lineRule="atLeast"/>
        <w:contextualSpacing/>
        <w:jc w:val="both"/>
        <w:textAlignment w:val="top"/>
        <w:rPr>
          <w:rFonts w:ascii="Calibri" w:eastAsia="Times New Roman" w:hAnsi="Calibri" w:cs="Arial"/>
          <w:kern w:val="0"/>
          <w:sz w:val="22"/>
          <w:szCs w:val="22"/>
          <w:lang w:val="fr-FR"/>
          <w14:ligatures w14:val="none"/>
        </w:rPr>
      </w:pPr>
      <w:r w:rsidRPr="00F90119">
        <w:rPr>
          <w:rFonts w:ascii="Calibri" w:eastAsia="Calibri" w:hAnsi="Calibri" w:cs="Times New Roman"/>
          <w:kern w:val="0"/>
          <w:sz w:val="22"/>
          <w:szCs w:val="22"/>
          <w:lang w:val="fr-FR"/>
          <w14:ligatures w14:val="none"/>
        </w:rPr>
        <w:t>La recherche de fournisseurs responsables est une étape importante dans la réduction des risques pour la durabilité. Un engagement en faveur de la durabilité doit faire partie des critères d’évaluation et des efforts doivent être faits pour s’assurer que les fournisseurs disposent des capacités techniques nécessaires, telles que l’expérience, les systèmes de gestion environnementale, etc.</w:t>
      </w:r>
    </w:p>
    <w:p w14:paraId="2D482383" w14:textId="77777777" w:rsidR="00F90119" w:rsidRPr="00F90119" w:rsidRDefault="00F90119" w:rsidP="00F90119">
      <w:pPr>
        <w:shd w:val="clear" w:color="auto" w:fill="FFFFFF"/>
        <w:spacing w:after="0" w:line="270" w:lineRule="atLeast"/>
        <w:ind w:left="720"/>
        <w:contextualSpacing/>
        <w:jc w:val="both"/>
        <w:textAlignment w:val="top"/>
        <w:rPr>
          <w:rFonts w:ascii="Calibri" w:eastAsia="Times New Roman" w:hAnsi="Calibri" w:cs="Arial"/>
          <w:kern w:val="0"/>
          <w:sz w:val="22"/>
          <w:szCs w:val="22"/>
          <w:lang w:val="fr-FR"/>
          <w14:ligatures w14:val="none"/>
        </w:rPr>
      </w:pPr>
    </w:p>
    <w:p w14:paraId="438718CE" w14:textId="77777777" w:rsidR="00F90119" w:rsidRPr="00F90119" w:rsidRDefault="00F90119" w:rsidP="00F90119">
      <w:pPr>
        <w:shd w:val="clear" w:color="auto" w:fill="FFFFFF"/>
        <w:spacing w:after="0" w:line="270" w:lineRule="atLeast"/>
        <w:textAlignment w:val="top"/>
        <w:rPr>
          <w:rFonts w:ascii="Calibri" w:eastAsia="Times New Roman" w:hAnsi="Calibri" w:cs="Arial"/>
          <w:b/>
          <w:bCs/>
          <w:kern w:val="0"/>
          <w:sz w:val="22"/>
          <w:szCs w:val="22"/>
          <w:lang w:val="fr-FR"/>
          <w14:ligatures w14:val="none"/>
        </w:rPr>
      </w:pPr>
      <w:r w:rsidRPr="00F90119">
        <w:rPr>
          <w:rFonts w:ascii="Calibri" w:eastAsia="Calibri" w:hAnsi="Calibri" w:cs="Times New Roman"/>
          <w:b/>
          <w:bCs/>
          <w:kern w:val="0"/>
          <w:sz w:val="22"/>
          <w:szCs w:val="22"/>
          <w:lang w:val="fr-FR"/>
          <w14:ligatures w14:val="none"/>
        </w:rPr>
        <w:t>Critères de durabilité</w:t>
      </w:r>
    </w:p>
    <w:p w14:paraId="30CF63DD" w14:textId="77777777" w:rsidR="00F90119" w:rsidRPr="00F90119" w:rsidRDefault="00F90119" w:rsidP="00F90119">
      <w:pPr>
        <w:shd w:val="clear" w:color="auto" w:fill="FFFFFF"/>
        <w:spacing w:after="0" w:line="270" w:lineRule="atLeast"/>
        <w:ind w:left="540"/>
        <w:contextualSpacing/>
        <w:textAlignment w:val="top"/>
        <w:rPr>
          <w:rFonts w:ascii="Calibri" w:eastAsia="Times New Roman" w:hAnsi="Calibri" w:cs="Arial"/>
          <w:b/>
          <w:bCs/>
          <w:kern w:val="0"/>
          <w:sz w:val="22"/>
          <w:szCs w:val="22"/>
          <w:lang w:val="en-PH"/>
          <w14:ligatures w14:val="none"/>
        </w:rPr>
      </w:pPr>
    </w:p>
    <w:p w14:paraId="1F36E4A3" w14:textId="77777777" w:rsidR="00F90119" w:rsidRPr="00F90119" w:rsidRDefault="00F90119" w:rsidP="00F90119">
      <w:pPr>
        <w:numPr>
          <w:ilvl w:val="0"/>
          <w:numId w:val="1"/>
        </w:numPr>
        <w:shd w:val="clear" w:color="auto" w:fill="FFFFFF"/>
        <w:spacing w:after="0" w:line="270" w:lineRule="atLeast"/>
        <w:contextualSpacing/>
        <w:jc w:val="both"/>
        <w:textAlignment w:val="top"/>
        <w:rPr>
          <w:rFonts w:ascii="Calibri" w:eastAsia="Times New Roman" w:hAnsi="Calibri" w:cs="Arial"/>
          <w:kern w:val="0"/>
          <w:sz w:val="22"/>
          <w:szCs w:val="22"/>
          <w:lang w:val="fr-FR"/>
          <w14:ligatures w14:val="none"/>
        </w:rPr>
      </w:pPr>
      <w:r w:rsidRPr="00F90119">
        <w:rPr>
          <w:rFonts w:ascii="Calibri" w:eastAsia="Calibri" w:hAnsi="Calibri" w:cs="Times New Roman"/>
          <w:kern w:val="0"/>
          <w:sz w:val="22"/>
          <w:szCs w:val="22"/>
          <w:lang w:val="fr-FR"/>
          <w14:ligatures w14:val="none"/>
        </w:rPr>
        <w:t>Dans les phases d’appel à la concurrence et d’évaluation, les critères de durabilité doivent être utilisés conjointement avec d’autres critères d’évaluation pour identifier l’offre qui présente la meilleure combinaison de qualité, de prix et de résultats durables. L’évaluation financière doit tenir compte du cycle de vie et des coûts de recyclage. Une vérification des antécédents des fournisseurs potentiels permet d’évaluer leur bilan en matière de responsabilité sociale et environnementale.</w:t>
      </w:r>
    </w:p>
    <w:p w14:paraId="17EE0268" w14:textId="77777777" w:rsidR="00F90119" w:rsidRPr="00F90119" w:rsidRDefault="00F90119" w:rsidP="00F90119">
      <w:pPr>
        <w:shd w:val="clear" w:color="auto" w:fill="FFFFFF"/>
        <w:spacing w:after="0" w:line="270" w:lineRule="atLeast"/>
        <w:ind w:left="720"/>
        <w:contextualSpacing/>
        <w:jc w:val="both"/>
        <w:textAlignment w:val="top"/>
        <w:rPr>
          <w:rFonts w:ascii="Calibri" w:eastAsia="Times New Roman" w:hAnsi="Calibri" w:cs="Arial"/>
          <w:kern w:val="0"/>
          <w:sz w:val="22"/>
          <w:szCs w:val="22"/>
          <w:lang w:val="fr-FR"/>
          <w14:ligatures w14:val="none"/>
        </w:rPr>
      </w:pPr>
    </w:p>
    <w:p w14:paraId="20DF044F" w14:textId="77777777" w:rsidR="00F90119" w:rsidRPr="00F90119" w:rsidRDefault="00F90119" w:rsidP="00F90119">
      <w:pPr>
        <w:shd w:val="clear" w:color="auto" w:fill="FFFFFF"/>
        <w:spacing w:after="0" w:line="270" w:lineRule="atLeast"/>
        <w:textAlignment w:val="top"/>
        <w:rPr>
          <w:rFonts w:ascii="Calibri" w:eastAsia="Times New Roman" w:hAnsi="Calibri" w:cs="Arial"/>
          <w:kern w:val="0"/>
          <w:sz w:val="22"/>
          <w:szCs w:val="22"/>
          <w:lang w:val="fr-FR"/>
          <w14:ligatures w14:val="none"/>
        </w:rPr>
      </w:pPr>
      <w:r w:rsidRPr="00F90119">
        <w:rPr>
          <w:rFonts w:ascii="Calibri" w:eastAsia="Calibri" w:hAnsi="Calibri" w:cs="Times New Roman"/>
          <w:b/>
          <w:bCs/>
          <w:kern w:val="0"/>
          <w:sz w:val="22"/>
          <w:szCs w:val="22"/>
          <w:lang w:val="fr-FR"/>
          <w14:ligatures w14:val="none"/>
        </w:rPr>
        <w:t>Guide du praticien</w:t>
      </w:r>
    </w:p>
    <w:p w14:paraId="26B50AD7" w14:textId="77777777" w:rsidR="00F90119" w:rsidRPr="00F90119" w:rsidRDefault="00F90119" w:rsidP="00F90119">
      <w:pPr>
        <w:shd w:val="clear" w:color="auto" w:fill="FFFFFF"/>
        <w:spacing w:after="0" w:line="270" w:lineRule="atLeast"/>
        <w:ind w:left="540"/>
        <w:contextualSpacing/>
        <w:textAlignment w:val="top"/>
        <w:rPr>
          <w:rFonts w:ascii="Calibri" w:eastAsia="Times New Roman" w:hAnsi="Calibri" w:cs="Arial"/>
          <w:kern w:val="0"/>
          <w:sz w:val="22"/>
          <w:szCs w:val="22"/>
          <w:lang w:val="fr-FR"/>
          <w14:ligatures w14:val="none"/>
        </w:rPr>
      </w:pPr>
    </w:p>
    <w:p w14:paraId="0A6DA02B" w14:textId="77777777" w:rsidR="00F90119" w:rsidRPr="00F90119" w:rsidRDefault="00F90119" w:rsidP="00F90119">
      <w:pPr>
        <w:numPr>
          <w:ilvl w:val="0"/>
          <w:numId w:val="1"/>
        </w:numPr>
        <w:shd w:val="clear" w:color="auto" w:fill="FFFFFF"/>
        <w:spacing w:after="0" w:line="270" w:lineRule="atLeast"/>
        <w:contextualSpacing/>
        <w:jc w:val="both"/>
        <w:textAlignment w:val="top"/>
        <w:rPr>
          <w:rFonts w:ascii="Calibri" w:eastAsia="Calibri" w:hAnsi="Calibri" w:cs="Times New Roman"/>
          <w:kern w:val="0"/>
          <w:sz w:val="22"/>
          <w:szCs w:val="22"/>
          <w:lang w:val="fr-FR"/>
          <w14:ligatures w14:val="none"/>
        </w:rPr>
      </w:pPr>
      <w:r w:rsidRPr="00F90119">
        <w:rPr>
          <w:rFonts w:ascii="Calibri" w:eastAsia="Calibri" w:hAnsi="Calibri" w:cs="Times New Roman"/>
          <w:kern w:val="0"/>
          <w:sz w:val="22"/>
          <w:szCs w:val="22"/>
          <w:lang w:val="fr-FR"/>
          <w14:ligatures w14:val="none"/>
        </w:rPr>
        <w:t xml:space="preserve">Veuillez vous référer au </w:t>
      </w:r>
      <w:hyperlink r:id="rId7" w:history="1">
        <w:r w:rsidRPr="00F90119">
          <w:rPr>
            <w:rFonts w:ascii="Calibri" w:eastAsia="Calibri" w:hAnsi="Calibri" w:cs="Times New Roman"/>
            <w:color w:val="0000FF"/>
            <w:kern w:val="0"/>
            <w:sz w:val="22"/>
            <w:szCs w:val="22"/>
            <w:u w:val="single"/>
            <w:lang w:val="fr-FR"/>
            <w14:ligatures w14:val="none"/>
          </w:rPr>
          <w:t>Guide du praticien pour des achats responsables (en anglais).</w:t>
        </w:r>
      </w:hyperlink>
    </w:p>
    <w:p w14:paraId="2AA63EBB" w14:textId="77777777" w:rsidR="00F90119" w:rsidRPr="00F90119" w:rsidRDefault="00F90119" w:rsidP="00F90119">
      <w:pPr>
        <w:numPr>
          <w:ilvl w:val="0"/>
          <w:numId w:val="1"/>
        </w:numPr>
        <w:shd w:val="clear" w:color="auto" w:fill="FFFFFF"/>
        <w:spacing w:after="0" w:line="270" w:lineRule="atLeast"/>
        <w:contextualSpacing/>
        <w:jc w:val="both"/>
        <w:textAlignment w:val="top"/>
        <w:rPr>
          <w:rFonts w:ascii="Calibri" w:eastAsia="Calibri" w:hAnsi="Calibri" w:cs="Times New Roman"/>
          <w:kern w:val="0"/>
          <w:sz w:val="22"/>
          <w:szCs w:val="22"/>
          <w:lang w:val="fr-FR"/>
          <w14:ligatures w14:val="none"/>
        </w:rPr>
      </w:pPr>
      <w:r w:rsidRPr="00F90119">
        <w:rPr>
          <w:rFonts w:ascii="Calibri" w:eastAsia="Calibri" w:hAnsi="Calibri" w:cs="Times New Roman"/>
          <w:kern w:val="0"/>
          <w:sz w:val="22"/>
          <w:szCs w:val="22"/>
          <w:lang w:val="fr-FR"/>
          <w14:ligatures w14:val="none"/>
        </w:rPr>
        <w:t>Notes d’orientation sur les achats responsables</w:t>
      </w:r>
    </w:p>
    <w:p w14:paraId="46C14CBF" w14:textId="77777777" w:rsidR="00F90119" w:rsidRDefault="00F90119" w:rsidP="00F90119">
      <w:pPr>
        <w:shd w:val="clear" w:color="auto" w:fill="FFFFFF"/>
        <w:spacing w:after="0" w:line="270" w:lineRule="atLeast"/>
        <w:ind w:left="709"/>
        <w:contextualSpacing/>
        <w:jc w:val="both"/>
        <w:textAlignment w:val="top"/>
        <w:rPr>
          <w:rFonts w:ascii="Calibri" w:eastAsia="Calibri" w:hAnsi="Calibri" w:cs="Times New Roman"/>
          <w:kern w:val="0"/>
          <w:sz w:val="22"/>
          <w:szCs w:val="22"/>
          <w:lang w:val="fr-FR"/>
          <w14:ligatures w14:val="none"/>
        </w:rPr>
      </w:pPr>
      <w:r w:rsidRPr="00F90119">
        <w:rPr>
          <w:rFonts w:ascii="Calibri" w:eastAsia="Calibri" w:hAnsi="Calibri" w:cs="Times New Roman"/>
          <w:kern w:val="0"/>
          <w:sz w:val="22"/>
          <w:szCs w:val="22"/>
          <w:lang w:val="fr-FR"/>
          <w14:ligatures w14:val="none"/>
        </w:rPr>
        <w:t xml:space="preserve">Toutes les unités opérationnelles sont invitées à utiliser les notes d'orientation suivantes lorsqu'elles établissent des exigences, des spécifications et des termes de référence pour les catégories d'achat concernées. </w:t>
      </w:r>
    </w:p>
    <w:p w14:paraId="34CE9E15" w14:textId="77777777" w:rsidR="00F90119" w:rsidRPr="00F90119" w:rsidRDefault="00F90119" w:rsidP="00F90119">
      <w:pPr>
        <w:shd w:val="clear" w:color="auto" w:fill="FFFFFF"/>
        <w:spacing w:after="0" w:line="270" w:lineRule="atLeast"/>
        <w:ind w:left="709"/>
        <w:contextualSpacing/>
        <w:jc w:val="both"/>
        <w:textAlignment w:val="top"/>
        <w:rPr>
          <w:rFonts w:ascii="Calibri" w:eastAsia="Calibri" w:hAnsi="Calibri" w:cs="Times New Roman"/>
          <w:kern w:val="0"/>
          <w:sz w:val="22"/>
          <w:szCs w:val="22"/>
          <w:lang w:val="fr-FR"/>
          <w14:ligatures w14:val="none"/>
        </w:rPr>
      </w:pPr>
    </w:p>
    <w:p w14:paraId="00AA19CD" w14:textId="77777777" w:rsidR="00F90119" w:rsidRPr="00F90119" w:rsidRDefault="00F90119" w:rsidP="00F90119">
      <w:pPr>
        <w:shd w:val="clear" w:color="auto" w:fill="FFFFFF"/>
        <w:spacing w:after="0" w:line="270" w:lineRule="atLeast"/>
        <w:ind w:left="1080"/>
        <w:jc w:val="both"/>
        <w:textAlignment w:val="top"/>
        <w:rPr>
          <w:rFonts w:ascii="Calibri" w:eastAsia="Calibri" w:hAnsi="Calibri" w:cs="Times New Roman"/>
          <w:kern w:val="0"/>
          <w:sz w:val="22"/>
          <w:szCs w:val="22"/>
          <w:lang w:val="fr-FR"/>
          <w14:ligatures w14:val="none"/>
        </w:rPr>
      </w:pPr>
      <w:r w:rsidRPr="00F90119">
        <w:rPr>
          <w:rFonts w:ascii="Calibri" w:eastAsia="Calibri" w:hAnsi="Calibri" w:cs="Times New Roman"/>
          <w:kern w:val="0"/>
          <w:sz w:val="22"/>
          <w:szCs w:val="22"/>
          <w:lang w:val="fr-FR"/>
          <w14:ligatures w14:val="none"/>
        </w:rPr>
        <w:t xml:space="preserve">- </w:t>
      </w:r>
      <w:hyperlink r:id="rId8" w:history="1">
        <w:r w:rsidRPr="00F90119">
          <w:rPr>
            <w:rFonts w:ascii="Calibri" w:eastAsia="Calibri" w:hAnsi="Calibri" w:cs="Times New Roman"/>
            <w:color w:val="0000FF"/>
            <w:kern w:val="0"/>
            <w:sz w:val="22"/>
            <w:szCs w:val="22"/>
            <w:u w:val="single"/>
            <w:lang w:val="fr-FR"/>
            <w14:ligatures w14:val="none"/>
          </w:rPr>
          <w:t>Achat durable de papier</w:t>
        </w:r>
      </w:hyperlink>
      <w:r w:rsidRPr="00F90119">
        <w:rPr>
          <w:rFonts w:ascii="Calibri" w:eastAsia="Calibri" w:hAnsi="Calibri" w:cs="Times New Roman"/>
          <w:kern w:val="0"/>
          <w:sz w:val="22"/>
          <w:szCs w:val="22"/>
          <w:lang w:val="fr-FR"/>
          <w14:ligatures w14:val="none"/>
        </w:rPr>
        <w:t xml:space="preserve"> (en anglais)</w:t>
      </w:r>
    </w:p>
    <w:p w14:paraId="18AC7BDB" w14:textId="77777777" w:rsidR="00F90119" w:rsidRPr="00F90119" w:rsidRDefault="00F90119" w:rsidP="00F90119">
      <w:pPr>
        <w:shd w:val="clear" w:color="auto" w:fill="FFFFFF"/>
        <w:spacing w:after="0" w:line="270" w:lineRule="atLeast"/>
        <w:ind w:left="1080"/>
        <w:jc w:val="both"/>
        <w:textAlignment w:val="top"/>
        <w:rPr>
          <w:rFonts w:ascii="Calibri" w:eastAsia="Calibri" w:hAnsi="Calibri" w:cs="Times New Roman"/>
          <w:kern w:val="0"/>
          <w:sz w:val="22"/>
          <w:szCs w:val="22"/>
          <w:lang w:val="fr-FR"/>
          <w14:ligatures w14:val="none"/>
        </w:rPr>
      </w:pPr>
      <w:r w:rsidRPr="00F90119">
        <w:rPr>
          <w:rFonts w:ascii="Calibri" w:eastAsia="Calibri" w:hAnsi="Calibri" w:cs="Times New Roman"/>
          <w:kern w:val="0"/>
          <w:sz w:val="22"/>
          <w:szCs w:val="22"/>
          <w:lang w:val="fr-FR"/>
          <w14:ligatures w14:val="none"/>
        </w:rPr>
        <w:t xml:space="preserve">- </w:t>
      </w:r>
      <w:hyperlink r:id="rId9" w:history="1">
        <w:r w:rsidRPr="00F90119">
          <w:rPr>
            <w:rFonts w:ascii="Calibri" w:eastAsia="Calibri" w:hAnsi="Calibri" w:cs="Times New Roman"/>
            <w:color w:val="0000FF"/>
            <w:kern w:val="0"/>
            <w:sz w:val="22"/>
            <w:szCs w:val="22"/>
            <w:u w:val="single"/>
            <w:lang w:val="fr-FR"/>
            <w14:ligatures w14:val="none"/>
          </w:rPr>
          <w:t>Achat durable d'équipements de refroidissement</w:t>
        </w:r>
      </w:hyperlink>
      <w:r w:rsidRPr="00F90119">
        <w:rPr>
          <w:rFonts w:ascii="Calibri" w:eastAsia="Calibri" w:hAnsi="Calibri" w:cs="Times New Roman"/>
          <w:kern w:val="0"/>
          <w:sz w:val="22"/>
          <w:szCs w:val="22"/>
          <w:lang w:val="fr-FR"/>
          <w14:ligatures w14:val="none"/>
        </w:rPr>
        <w:t xml:space="preserve"> (en anglais)</w:t>
      </w:r>
    </w:p>
    <w:p w14:paraId="2C1844BF" w14:textId="77777777" w:rsidR="00F90119" w:rsidRPr="00F90119" w:rsidRDefault="00F90119" w:rsidP="00F90119">
      <w:pPr>
        <w:shd w:val="clear" w:color="auto" w:fill="FFFFFF"/>
        <w:spacing w:after="0" w:line="270" w:lineRule="atLeast"/>
        <w:ind w:left="1080"/>
        <w:jc w:val="both"/>
        <w:textAlignment w:val="top"/>
        <w:rPr>
          <w:rFonts w:ascii="Calibri" w:eastAsia="Calibri" w:hAnsi="Calibri" w:cs="Times New Roman"/>
          <w:kern w:val="0"/>
          <w:sz w:val="22"/>
          <w:szCs w:val="22"/>
          <w:lang w:val="fr-FR"/>
          <w14:ligatures w14:val="none"/>
        </w:rPr>
      </w:pPr>
      <w:r w:rsidRPr="00F90119">
        <w:rPr>
          <w:rFonts w:ascii="Calibri" w:eastAsia="Calibri" w:hAnsi="Calibri" w:cs="Times New Roman"/>
          <w:kern w:val="0"/>
          <w:sz w:val="22"/>
          <w:szCs w:val="22"/>
          <w:lang w:val="fr-FR"/>
          <w14:ligatures w14:val="none"/>
        </w:rPr>
        <w:t xml:space="preserve">- </w:t>
      </w:r>
      <w:hyperlink r:id="rId10" w:history="1">
        <w:r w:rsidRPr="00F90119">
          <w:rPr>
            <w:rFonts w:ascii="Calibri" w:eastAsia="Calibri" w:hAnsi="Calibri" w:cs="Times New Roman"/>
            <w:color w:val="0000FF"/>
            <w:kern w:val="0"/>
            <w:sz w:val="22"/>
            <w:szCs w:val="22"/>
            <w:u w:val="single"/>
            <w:lang w:val="fr-FR"/>
            <w14:ligatures w14:val="none"/>
          </w:rPr>
          <w:t>Achat durable de produits pharmaceutiques</w:t>
        </w:r>
      </w:hyperlink>
      <w:r w:rsidRPr="00F90119">
        <w:rPr>
          <w:rFonts w:ascii="Calibri" w:eastAsia="Calibri" w:hAnsi="Calibri" w:cs="Times New Roman"/>
          <w:kern w:val="0"/>
          <w:sz w:val="22"/>
          <w:szCs w:val="22"/>
          <w:lang w:val="fr-FR"/>
          <w14:ligatures w14:val="none"/>
        </w:rPr>
        <w:t xml:space="preserve"> (en anglais)</w:t>
      </w:r>
    </w:p>
    <w:p w14:paraId="3A121D9B" w14:textId="77777777" w:rsidR="00F90119" w:rsidRPr="00F90119" w:rsidRDefault="00F90119" w:rsidP="00F90119">
      <w:pPr>
        <w:shd w:val="clear" w:color="auto" w:fill="FFFFFF"/>
        <w:spacing w:after="0" w:line="270" w:lineRule="atLeast"/>
        <w:ind w:left="1080"/>
        <w:jc w:val="both"/>
        <w:textAlignment w:val="top"/>
        <w:rPr>
          <w:rFonts w:ascii="Calibri" w:eastAsia="Calibri" w:hAnsi="Calibri" w:cs="Times New Roman"/>
          <w:kern w:val="0"/>
          <w:sz w:val="22"/>
          <w:szCs w:val="22"/>
          <w:lang w:val="fr-FR"/>
          <w14:ligatures w14:val="none"/>
        </w:rPr>
      </w:pPr>
      <w:r w:rsidRPr="00F90119">
        <w:rPr>
          <w:rFonts w:ascii="Calibri" w:eastAsia="Calibri" w:hAnsi="Calibri" w:cs="Times New Roman"/>
          <w:kern w:val="0"/>
          <w:sz w:val="22"/>
          <w:szCs w:val="22"/>
          <w:lang w:val="fr-FR"/>
          <w14:ligatures w14:val="none"/>
        </w:rPr>
        <w:t xml:space="preserve">- </w:t>
      </w:r>
      <w:hyperlink r:id="rId11" w:history="1">
        <w:r w:rsidRPr="00F90119">
          <w:rPr>
            <w:rFonts w:ascii="Calibri" w:eastAsia="Calibri" w:hAnsi="Calibri" w:cs="Times New Roman"/>
            <w:color w:val="0000FF"/>
            <w:kern w:val="0"/>
            <w:sz w:val="22"/>
            <w:szCs w:val="22"/>
            <w:u w:val="single"/>
            <w:lang w:val="fr-FR"/>
            <w14:ligatures w14:val="none"/>
          </w:rPr>
          <w:t>Achat durable de services de sécurité</w:t>
        </w:r>
      </w:hyperlink>
      <w:r w:rsidRPr="00F90119">
        <w:rPr>
          <w:rFonts w:ascii="Calibri" w:eastAsia="Calibri" w:hAnsi="Calibri" w:cs="Times New Roman"/>
          <w:kern w:val="0"/>
          <w:sz w:val="22"/>
          <w:szCs w:val="22"/>
          <w:lang w:val="fr-FR"/>
          <w14:ligatures w14:val="none"/>
        </w:rPr>
        <w:t xml:space="preserve"> (en anglais)</w:t>
      </w:r>
    </w:p>
    <w:p w14:paraId="640686B4" w14:textId="77777777" w:rsidR="00F90119" w:rsidRPr="00F90119" w:rsidRDefault="00F90119" w:rsidP="00F90119">
      <w:pPr>
        <w:shd w:val="clear" w:color="auto" w:fill="FFFFFF"/>
        <w:spacing w:after="0" w:line="270" w:lineRule="atLeast"/>
        <w:ind w:left="1080"/>
        <w:jc w:val="both"/>
        <w:textAlignment w:val="top"/>
        <w:rPr>
          <w:rFonts w:ascii="Calibri" w:eastAsia="Calibri" w:hAnsi="Calibri" w:cs="Times New Roman"/>
          <w:kern w:val="0"/>
          <w:sz w:val="22"/>
          <w:szCs w:val="22"/>
          <w:lang w:val="fr-FR"/>
          <w14:ligatures w14:val="none"/>
        </w:rPr>
      </w:pPr>
      <w:r w:rsidRPr="00F90119">
        <w:rPr>
          <w:rFonts w:ascii="Calibri" w:eastAsia="Calibri" w:hAnsi="Calibri" w:cs="Times New Roman"/>
          <w:kern w:val="0"/>
          <w:sz w:val="22"/>
          <w:szCs w:val="22"/>
          <w:lang w:val="fr-FR"/>
          <w14:ligatures w14:val="none"/>
        </w:rPr>
        <w:t xml:space="preserve">- </w:t>
      </w:r>
      <w:hyperlink r:id="rId12" w:history="1">
        <w:r w:rsidRPr="00F90119">
          <w:rPr>
            <w:rFonts w:ascii="Calibri" w:eastAsia="Calibri" w:hAnsi="Calibri" w:cs="Times New Roman"/>
            <w:color w:val="0000FF"/>
            <w:kern w:val="0"/>
            <w:sz w:val="22"/>
            <w:szCs w:val="22"/>
            <w:u w:val="single"/>
            <w:lang w:val="fr-FR"/>
            <w14:ligatures w14:val="none"/>
          </w:rPr>
          <w:t>Achat durable de produits et services de nettoyage</w:t>
        </w:r>
      </w:hyperlink>
      <w:r w:rsidRPr="00F90119">
        <w:rPr>
          <w:rFonts w:ascii="Calibri" w:eastAsia="Calibri" w:hAnsi="Calibri" w:cs="Times New Roman"/>
          <w:kern w:val="0"/>
          <w:sz w:val="22"/>
          <w:szCs w:val="22"/>
          <w:lang w:val="fr-FR"/>
          <w14:ligatures w14:val="none"/>
        </w:rPr>
        <w:t xml:space="preserve"> (en anglais)</w:t>
      </w:r>
    </w:p>
    <w:p w14:paraId="696AA32C" w14:textId="77777777" w:rsidR="00F90119" w:rsidRPr="00F90119" w:rsidRDefault="00F90119" w:rsidP="00F90119">
      <w:pPr>
        <w:shd w:val="clear" w:color="auto" w:fill="FFFFFF"/>
        <w:spacing w:after="0" w:line="270" w:lineRule="atLeast"/>
        <w:ind w:left="1080"/>
        <w:jc w:val="both"/>
        <w:textAlignment w:val="top"/>
        <w:rPr>
          <w:rFonts w:ascii="Calibri" w:eastAsia="Calibri" w:hAnsi="Calibri" w:cs="Times New Roman"/>
          <w:kern w:val="0"/>
          <w:sz w:val="22"/>
          <w:szCs w:val="22"/>
          <w:lang w:val="fr-FR"/>
          <w14:ligatures w14:val="none"/>
        </w:rPr>
      </w:pPr>
      <w:r w:rsidRPr="00F90119">
        <w:rPr>
          <w:rFonts w:ascii="Calibri" w:eastAsia="Calibri" w:hAnsi="Calibri" w:cs="Times New Roman"/>
          <w:kern w:val="0"/>
          <w:sz w:val="22"/>
          <w:szCs w:val="22"/>
          <w:lang w:val="fr-FR"/>
          <w14:ligatures w14:val="none"/>
        </w:rPr>
        <w:t xml:space="preserve">- </w:t>
      </w:r>
      <w:hyperlink r:id="rId13" w:history="1">
        <w:r w:rsidRPr="00F90119">
          <w:rPr>
            <w:rFonts w:ascii="Calibri" w:eastAsia="Calibri" w:hAnsi="Calibri" w:cs="Times New Roman"/>
            <w:color w:val="0000FF"/>
            <w:kern w:val="0"/>
            <w:sz w:val="22"/>
            <w:szCs w:val="22"/>
            <w:u w:val="single"/>
            <w:lang w:val="fr-FR"/>
            <w14:ligatures w14:val="none"/>
          </w:rPr>
          <w:t>Achat durable de services d'accueil et de gestion de conférences</w:t>
        </w:r>
      </w:hyperlink>
      <w:r w:rsidRPr="00F90119">
        <w:rPr>
          <w:rFonts w:ascii="Calibri" w:eastAsia="Calibri" w:hAnsi="Calibri" w:cs="Times New Roman"/>
          <w:kern w:val="0"/>
          <w:sz w:val="22"/>
          <w:szCs w:val="22"/>
          <w:lang w:val="fr-FR"/>
          <w14:ligatures w14:val="none"/>
        </w:rPr>
        <w:t xml:space="preserve"> (en anglais)</w:t>
      </w:r>
    </w:p>
    <w:p w14:paraId="3B02AB85" w14:textId="77777777" w:rsidR="00F90119" w:rsidRPr="00F90119" w:rsidRDefault="00F90119" w:rsidP="00F90119">
      <w:pPr>
        <w:shd w:val="clear" w:color="auto" w:fill="FFFFFF"/>
        <w:spacing w:after="0" w:line="270" w:lineRule="atLeast"/>
        <w:ind w:left="1080"/>
        <w:jc w:val="both"/>
        <w:textAlignment w:val="top"/>
        <w:rPr>
          <w:rFonts w:ascii="Calibri" w:eastAsia="Calibri" w:hAnsi="Calibri" w:cs="Times New Roman"/>
          <w:kern w:val="0"/>
          <w:sz w:val="22"/>
          <w:szCs w:val="22"/>
          <w:lang w:val="fr-FR"/>
          <w14:ligatures w14:val="none"/>
        </w:rPr>
      </w:pPr>
    </w:p>
    <w:p w14:paraId="707AF3AA" w14:textId="77777777" w:rsidR="00F90119" w:rsidRPr="00F90119" w:rsidRDefault="00F90119" w:rsidP="00F90119">
      <w:pPr>
        <w:shd w:val="clear" w:color="auto" w:fill="FFFFFF"/>
        <w:spacing w:after="0" w:line="270" w:lineRule="atLeast"/>
        <w:ind w:left="709"/>
        <w:jc w:val="both"/>
        <w:textAlignment w:val="top"/>
        <w:rPr>
          <w:rFonts w:ascii="Calibri" w:eastAsia="Calibri" w:hAnsi="Calibri" w:cs="Times New Roman"/>
          <w:kern w:val="0"/>
          <w:sz w:val="22"/>
          <w:szCs w:val="22"/>
          <w:lang w:val="fr-FR"/>
          <w14:ligatures w14:val="none"/>
        </w:rPr>
      </w:pPr>
      <w:r w:rsidRPr="00F90119">
        <w:rPr>
          <w:rFonts w:ascii="Calibri" w:eastAsia="Calibri" w:hAnsi="Calibri" w:cs="Times New Roman"/>
          <w:kern w:val="0"/>
          <w:sz w:val="22"/>
          <w:szCs w:val="22"/>
          <w:lang w:val="fr-FR"/>
          <w14:ligatures w14:val="none"/>
        </w:rPr>
        <w:t xml:space="preserve">D'autres lignes directrices utiles en matière d'achats durables pour diverses catégories d'achats sont disponibles sur le Marché mondial des Nations unies (www.ungm.org) dans la section « </w:t>
      </w:r>
      <w:hyperlink r:id="rId14" w:history="1">
        <w:r w:rsidRPr="00F90119">
          <w:rPr>
            <w:rFonts w:ascii="Calibri" w:eastAsia="Calibri" w:hAnsi="Calibri" w:cs="Times New Roman"/>
            <w:color w:val="0000FF"/>
            <w:kern w:val="0"/>
            <w:sz w:val="22"/>
            <w:szCs w:val="22"/>
            <w:u w:val="single"/>
            <w:lang w:val="fr-FR"/>
            <w14:ligatures w14:val="none"/>
          </w:rPr>
          <w:t>ressources pour les membres du personnel de l'ONU</w:t>
        </w:r>
      </w:hyperlink>
      <w:r w:rsidRPr="00F90119">
        <w:rPr>
          <w:rFonts w:ascii="Calibri" w:eastAsia="Calibri" w:hAnsi="Calibri" w:cs="Times New Roman"/>
          <w:kern w:val="0"/>
          <w:sz w:val="22"/>
          <w:szCs w:val="22"/>
          <w:lang w:val="fr-FR"/>
          <w14:ligatures w14:val="none"/>
        </w:rPr>
        <w:t xml:space="preserve"> ».</w:t>
      </w:r>
    </w:p>
    <w:p w14:paraId="37E2C59B" w14:textId="77777777" w:rsidR="00F90119" w:rsidRPr="00F90119" w:rsidRDefault="00F90119" w:rsidP="00F90119">
      <w:pPr>
        <w:shd w:val="clear" w:color="auto" w:fill="FFFFFF"/>
        <w:spacing w:after="0" w:line="270" w:lineRule="atLeast"/>
        <w:jc w:val="both"/>
        <w:textAlignment w:val="top"/>
        <w:rPr>
          <w:rFonts w:ascii="Calibri" w:eastAsia="Calibri" w:hAnsi="Calibri" w:cs="ITCGaramondStd-Bk"/>
          <w:b/>
          <w:kern w:val="0"/>
          <w:sz w:val="22"/>
          <w:szCs w:val="22"/>
          <w:u w:val="single"/>
          <w:lang w:val="fr-FR"/>
          <w14:ligatures w14:val="none"/>
        </w:rPr>
      </w:pPr>
    </w:p>
    <w:p w14:paraId="3C386BA9" w14:textId="77777777" w:rsidR="00F90119" w:rsidRPr="0027752C" w:rsidRDefault="00F90119" w:rsidP="00F90119">
      <w:pPr>
        <w:spacing w:line="259" w:lineRule="auto"/>
        <w:rPr>
          <w:rFonts w:ascii="Calibri" w:eastAsia="MS Mincho" w:hAnsi="Calibri" w:cs="Calibri"/>
          <w:i/>
          <w:iCs/>
          <w:sz w:val="22"/>
          <w:szCs w:val="22"/>
          <w:lang w:val="fr-FR"/>
        </w:rPr>
      </w:pPr>
      <w:r w:rsidRPr="0027752C">
        <w:rPr>
          <w:rFonts w:ascii="Calibri" w:eastAsia="MS Mincho" w:hAnsi="Calibri" w:cs="Calibri"/>
          <w:b/>
          <w:i/>
          <w:iCs/>
          <w:sz w:val="22"/>
          <w:szCs w:val="22"/>
          <w:lang w:val="fr-FR"/>
        </w:rPr>
        <w:t>Avertissement</w:t>
      </w:r>
      <w:r w:rsidRPr="0027752C">
        <w:rPr>
          <w:rFonts w:ascii="Calibri" w:eastAsia="MS Mincho" w:hAnsi="Calibri" w:cs="Calibri"/>
          <w:i/>
          <w:iCs/>
          <w:sz w:val="22"/>
          <w:szCs w:val="22"/>
          <w:lang w:val="fr-FR"/>
        </w:rPr>
        <w:t xml:space="preserve"> : Ce document a été traduit de l'anglais vers le français. En cas de divergence entre cette traduction et le document anglais original, le document anglais original prévaudra.</w:t>
      </w:r>
    </w:p>
    <w:p w14:paraId="7FA2F27B" w14:textId="11D48EE1" w:rsidR="00DA504D" w:rsidRDefault="00F90119">
      <w:r w:rsidRPr="0027752C">
        <w:rPr>
          <w:rFonts w:ascii="Calibri" w:eastAsia="MS Mincho" w:hAnsi="Calibri" w:cs="Calibri"/>
          <w:b/>
          <w:i/>
          <w:iCs/>
          <w:sz w:val="22"/>
          <w:szCs w:val="22"/>
        </w:rPr>
        <w:t>Disclaimer:</w:t>
      </w:r>
      <w:r w:rsidRPr="0027752C">
        <w:rPr>
          <w:rFonts w:ascii="Calibri" w:eastAsia="MS Mincho" w:hAnsi="Calibri" w:cs="Calibri"/>
          <w:i/>
          <w:iCs/>
          <w:sz w:val="22"/>
          <w:szCs w:val="22"/>
        </w:rPr>
        <w:t xml:space="preserve"> This document was translated from English into French. In the event of any discrepancy between this translation and the original English document, the original English document shall prevail.</w:t>
      </w:r>
    </w:p>
    <w:sectPr w:rsidR="00DA504D" w:rsidSect="00622981">
      <w:headerReference w:type="default" r:id="rId15"/>
      <w:footerReference w:type="default" r:id="rId16"/>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5C14B" w14:textId="77777777" w:rsidR="002B4EA1" w:rsidRDefault="002B4EA1" w:rsidP="00F90119">
      <w:pPr>
        <w:spacing w:after="0" w:line="240" w:lineRule="auto"/>
      </w:pPr>
      <w:r>
        <w:separator/>
      </w:r>
    </w:p>
  </w:endnote>
  <w:endnote w:type="continuationSeparator" w:id="0">
    <w:p w14:paraId="694E75B5" w14:textId="77777777" w:rsidR="002B4EA1" w:rsidRDefault="002B4EA1" w:rsidP="00F90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GaramondStd-Bk">
    <w:altName w:val="Calibri"/>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0385" w14:textId="6946229D" w:rsidR="00F90119" w:rsidRPr="00622981" w:rsidRDefault="00F90119" w:rsidP="005418A1">
    <w:pPr>
      <w:pStyle w:val="Footer"/>
      <w:tabs>
        <w:tab w:val="left" w:pos="7995"/>
      </w:tabs>
      <w:rPr>
        <w:rFonts w:ascii="Calibri" w:hAnsi="Calibri" w:cs="Calibri"/>
        <w:sz w:val="22"/>
        <w:szCs w:val="22"/>
      </w:rPr>
    </w:pPr>
    <w:r w:rsidRPr="00622981">
      <w:rPr>
        <w:rFonts w:ascii="Calibri" w:hAnsi="Calibri" w:cs="Calibri"/>
        <w:sz w:val="22"/>
        <w:szCs w:val="22"/>
      </w:rPr>
      <w:t xml:space="preserve">Page </w:t>
    </w:r>
    <w:r w:rsidRPr="00622981">
      <w:rPr>
        <w:rFonts w:ascii="Calibri" w:hAnsi="Calibri" w:cs="Calibri"/>
        <w:b/>
        <w:bCs/>
        <w:sz w:val="22"/>
        <w:szCs w:val="22"/>
      </w:rPr>
      <w:fldChar w:fldCharType="begin"/>
    </w:r>
    <w:r w:rsidRPr="00622981">
      <w:rPr>
        <w:rFonts w:ascii="Calibri" w:hAnsi="Calibri" w:cs="Calibri"/>
        <w:b/>
        <w:bCs/>
        <w:sz w:val="22"/>
        <w:szCs w:val="22"/>
      </w:rPr>
      <w:instrText>PAGE  \* Arabic  \* MERGEFORMAT</w:instrText>
    </w:r>
    <w:r w:rsidRPr="00622981">
      <w:rPr>
        <w:rFonts w:ascii="Calibri" w:hAnsi="Calibri" w:cs="Calibri"/>
        <w:b/>
        <w:bCs/>
        <w:sz w:val="22"/>
        <w:szCs w:val="22"/>
      </w:rPr>
      <w:fldChar w:fldCharType="separate"/>
    </w:r>
    <w:r w:rsidRPr="00622981">
      <w:rPr>
        <w:rFonts w:ascii="Calibri" w:hAnsi="Calibri" w:cs="Calibri"/>
        <w:b/>
        <w:bCs/>
        <w:noProof/>
        <w:sz w:val="22"/>
        <w:szCs w:val="22"/>
      </w:rPr>
      <w:t>1</w:t>
    </w:r>
    <w:r w:rsidRPr="00622981">
      <w:rPr>
        <w:rFonts w:ascii="Calibri" w:hAnsi="Calibri" w:cs="Calibri"/>
        <w:b/>
        <w:bCs/>
        <w:sz w:val="22"/>
        <w:szCs w:val="22"/>
      </w:rPr>
      <w:fldChar w:fldCharType="end"/>
    </w:r>
    <w:r w:rsidRPr="00622981">
      <w:rPr>
        <w:rFonts w:ascii="Calibri" w:hAnsi="Calibri" w:cs="Calibri"/>
        <w:sz w:val="22"/>
        <w:szCs w:val="22"/>
      </w:rPr>
      <w:t xml:space="preserve"> of </w:t>
    </w:r>
    <w:r w:rsidRPr="00622981">
      <w:rPr>
        <w:rFonts w:ascii="Calibri" w:hAnsi="Calibri" w:cs="Calibri"/>
        <w:sz w:val="22"/>
        <w:szCs w:val="22"/>
      </w:rPr>
      <w:fldChar w:fldCharType="begin"/>
    </w:r>
    <w:r w:rsidRPr="00622981">
      <w:rPr>
        <w:rFonts w:ascii="Calibri" w:hAnsi="Calibri" w:cs="Calibri"/>
        <w:sz w:val="22"/>
        <w:szCs w:val="22"/>
      </w:rPr>
      <w:instrText>NUMPAGES  \* Arabic  \* MERGEFORMAT</w:instrText>
    </w:r>
    <w:r w:rsidRPr="00622981">
      <w:rPr>
        <w:rFonts w:ascii="Calibri" w:hAnsi="Calibri" w:cs="Calibri"/>
        <w:sz w:val="22"/>
        <w:szCs w:val="22"/>
      </w:rPr>
      <w:fldChar w:fldCharType="separate"/>
    </w:r>
    <w:r w:rsidRPr="00622981">
      <w:rPr>
        <w:rFonts w:ascii="Calibri" w:hAnsi="Calibri" w:cs="Calibri"/>
        <w:b/>
        <w:bCs/>
        <w:noProof/>
        <w:sz w:val="22"/>
        <w:szCs w:val="22"/>
      </w:rPr>
      <w:t>3</w:t>
    </w:r>
    <w:r w:rsidRPr="00622981">
      <w:rPr>
        <w:rFonts w:ascii="Calibri" w:hAnsi="Calibri" w:cs="Calibri"/>
        <w:b/>
        <w:bCs/>
        <w:noProof/>
        <w:sz w:val="22"/>
        <w:szCs w:val="22"/>
      </w:rPr>
      <w:fldChar w:fldCharType="end"/>
    </w:r>
    <w:r w:rsidRPr="00622981">
      <w:rPr>
        <w:rFonts w:ascii="Calibri" w:hAnsi="Calibri" w:cs="Calibri"/>
        <w:sz w:val="22"/>
        <w:szCs w:val="22"/>
      </w:rPr>
      <w:t xml:space="preserve">                                           Date d’entrée en vigueur : 26/07/2016</w:t>
    </w:r>
    <w:r w:rsidRPr="00622981">
      <w:rPr>
        <w:rFonts w:ascii="Calibri" w:hAnsi="Calibri" w:cs="Calibri"/>
        <w:sz w:val="22"/>
        <w:szCs w:val="22"/>
      </w:rPr>
      <w:tab/>
      <w:t xml:space="preserve">  Version # : 10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038DA" w14:textId="77777777" w:rsidR="002B4EA1" w:rsidRDefault="002B4EA1" w:rsidP="00F90119">
      <w:pPr>
        <w:spacing w:after="0" w:line="240" w:lineRule="auto"/>
      </w:pPr>
      <w:r>
        <w:separator/>
      </w:r>
    </w:p>
  </w:footnote>
  <w:footnote w:type="continuationSeparator" w:id="0">
    <w:p w14:paraId="16426A94" w14:textId="77777777" w:rsidR="002B4EA1" w:rsidRDefault="002B4EA1" w:rsidP="00F90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06DE" w14:textId="60B174F9" w:rsidR="00F90119" w:rsidRDefault="00F90119" w:rsidP="0055621A">
    <w:pPr>
      <w:pStyle w:val="Header"/>
      <w:jc w:val="right"/>
    </w:pPr>
    <w:r>
      <w:rPr>
        <w:noProof/>
      </w:rPr>
      <w:drawing>
        <wp:anchor distT="0" distB="0" distL="114300" distR="114300" simplePos="0" relativeHeight="251659264" behindDoc="0" locked="0" layoutInCell="1" allowOverlap="1" wp14:anchorId="66E6B396" wp14:editId="420EA06B">
          <wp:simplePos x="0" y="0"/>
          <wp:positionH relativeFrom="rightMargin">
            <wp:align>left</wp:align>
          </wp:positionH>
          <wp:positionV relativeFrom="paragraph">
            <wp:posOffset>-15240</wp:posOffset>
          </wp:positionV>
          <wp:extent cx="283210" cy="553085"/>
          <wp:effectExtent l="0" t="0" r="2540" b="0"/>
          <wp:wrapNone/>
          <wp:docPr id="1398090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44174A9D" w14:textId="77777777" w:rsidR="00F90119" w:rsidRDefault="00F90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B08F1"/>
    <w:multiLevelType w:val="hybridMultilevel"/>
    <w:tmpl w:val="79BE06C6"/>
    <w:lvl w:ilvl="0" w:tplc="04090019">
      <w:start w:val="1"/>
      <w:numFmt w:val="lowerLetter"/>
      <w:lvlText w:val="%1."/>
      <w:lvlJc w:val="left"/>
      <w:pPr>
        <w:ind w:left="1980" w:hanging="360"/>
      </w:pPr>
    </w:lvl>
    <w:lvl w:ilvl="1" w:tplc="041C0019">
      <w:start w:val="1"/>
      <w:numFmt w:val="lowerLetter"/>
      <w:lvlText w:val="%2."/>
      <w:lvlJc w:val="left"/>
      <w:pPr>
        <w:ind w:left="2700" w:hanging="360"/>
      </w:pPr>
    </w:lvl>
    <w:lvl w:ilvl="2" w:tplc="041C001B" w:tentative="1">
      <w:start w:val="1"/>
      <w:numFmt w:val="lowerRoman"/>
      <w:lvlText w:val="%3."/>
      <w:lvlJc w:val="right"/>
      <w:pPr>
        <w:ind w:left="3420" w:hanging="180"/>
      </w:pPr>
    </w:lvl>
    <w:lvl w:ilvl="3" w:tplc="041C000F" w:tentative="1">
      <w:start w:val="1"/>
      <w:numFmt w:val="decimal"/>
      <w:lvlText w:val="%4."/>
      <w:lvlJc w:val="left"/>
      <w:pPr>
        <w:ind w:left="4140" w:hanging="360"/>
      </w:pPr>
    </w:lvl>
    <w:lvl w:ilvl="4" w:tplc="041C0019" w:tentative="1">
      <w:start w:val="1"/>
      <w:numFmt w:val="lowerLetter"/>
      <w:lvlText w:val="%5."/>
      <w:lvlJc w:val="left"/>
      <w:pPr>
        <w:ind w:left="4860" w:hanging="360"/>
      </w:pPr>
    </w:lvl>
    <w:lvl w:ilvl="5" w:tplc="041C001B" w:tentative="1">
      <w:start w:val="1"/>
      <w:numFmt w:val="lowerRoman"/>
      <w:lvlText w:val="%6."/>
      <w:lvlJc w:val="right"/>
      <w:pPr>
        <w:ind w:left="5580" w:hanging="180"/>
      </w:pPr>
    </w:lvl>
    <w:lvl w:ilvl="6" w:tplc="041C000F" w:tentative="1">
      <w:start w:val="1"/>
      <w:numFmt w:val="decimal"/>
      <w:lvlText w:val="%7."/>
      <w:lvlJc w:val="left"/>
      <w:pPr>
        <w:ind w:left="6300" w:hanging="360"/>
      </w:pPr>
    </w:lvl>
    <w:lvl w:ilvl="7" w:tplc="041C0019" w:tentative="1">
      <w:start w:val="1"/>
      <w:numFmt w:val="lowerLetter"/>
      <w:lvlText w:val="%8."/>
      <w:lvlJc w:val="left"/>
      <w:pPr>
        <w:ind w:left="7020" w:hanging="360"/>
      </w:pPr>
    </w:lvl>
    <w:lvl w:ilvl="8" w:tplc="041C001B" w:tentative="1">
      <w:start w:val="1"/>
      <w:numFmt w:val="lowerRoman"/>
      <w:lvlText w:val="%9."/>
      <w:lvlJc w:val="right"/>
      <w:pPr>
        <w:ind w:left="7740" w:hanging="180"/>
      </w:pPr>
    </w:lvl>
  </w:abstractNum>
  <w:abstractNum w:abstractNumId="1" w15:restartNumberingAfterBreak="0">
    <w:nsid w:val="718D7C25"/>
    <w:multiLevelType w:val="hybridMultilevel"/>
    <w:tmpl w:val="35AA33DC"/>
    <w:lvl w:ilvl="0" w:tplc="0210590A">
      <w:start w:val="1"/>
      <w:numFmt w:val="decimal"/>
      <w:lvlText w:val="%1."/>
      <w:lvlJc w:val="left"/>
      <w:pPr>
        <w:ind w:left="720" w:hanging="360"/>
      </w:pPr>
      <w:rPr>
        <w:rFonts w:hint="default"/>
        <w:b w:val="0"/>
        <w:sz w:val="22"/>
        <w:szCs w:val="22"/>
      </w:rPr>
    </w:lvl>
    <w:lvl w:ilvl="1" w:tplc="F716891A">
      <w:start w:val="1"/>
      <w:numFmt w:val="lowerLetter"/>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7DD07993"/>
    <w:multiLevelType w:val="hybridMultilevel"/>
    <w:tmpl w:val="AD2AC5FA"/>
    <w:lvl w:ilvl="0" w:tplc="04090019">
      <w:start w:val="1"/>
      <w:numFmt w:val="lowerLetter"/>
      <w:lvlText w:val="%1."/>
      <w:lvlJc w:val="left"/>
      <w:pPr>
        <w:ind w:left="1170" w:hanging="360"/>
      </w:pPr>
    </w:lvl>
    <w:lvl w:ilvl="1" w:tplc="041C0019">
      <w:start w:val="1"/>
      <w:numFmt w:val="lowerLetter"/>
      <w:lvlText w:val="%2."/>
      <w:lvlJc w:val="left"/>
      <w:pPr>
        <w:ind w:left="1890" w:hanging="360"/>
      </w:pPr>
    </w:lvl>
    <w:lvl w:ilvl="2" w:tplc="041C001B" w:tentative="1">
      <w:start w:val="1"/>
      <w:numFmt w:val="lowerRoman"/>
      <w:lvlText w:val="%3."/>
      <w:lvlJc w:val="right"/>
      <w:pPr>
        <w:ind w:left="2610" w:hanging="180"/>
      </w:pPr>
    </w:lvl>
    <w:lvl w:ilvl="3" w:tplc="041C000F" w:tentative="1">
      <w:start w:val="1"/>
      <w:numFmt w:val="decimal"/>
      <w:lvlText w:val="%4."/>
      <w:lvlJc w:val="left"/>
      <w:pPr>
        <w:ind w:left="3330" w:hanging="360"/>
      </w:pPr>
    </w:lvl>
    <w:lvl w:ilvl="4" w:tplc="041C0019" w:tentative="1">
      <w:start w:val="1"/>
      <w:numFmt w:val="lowerLetter"/>
      <w:lvlText w:val="%5."/>
      <w:lvlJc w:val="left"/>
      <w:pPr>
        <w:ind w:left="4050" w:hanging="360"/>
      </w:pPr>
    </w:lvl>
    <w:lvl w:ilvl="5" w:tplc="041C001B" w:tentative="1">
      <w:start w:val="1"/>
      <w:numFmt w:val="lowerRoman"/>
      <w:lvlText w:val="%6."/>
      <w:lvlJc w:val="right"/>
      <w:pPr>
        <w:ind w:left="4770" w:hanging="180"/>
      </w:pPr>
    </w:lvl>
    <w:lvl w:ilvl="6" w:tplc="041C000F" w:tentative="1">
      <w:start w:val="1"/>
      <w:numFmt w:val="decimal"/>
      <w:lvlText w:val="%7."/>
      <w:lvlJc w:val="left"/>
      <w:pPr>
        <w:ind w:left="5490" w:hanging="360"/>
      </w:pPr>
    </w:lvl>
    <w:lvl w:ilvl="7" w:tplc="041C0019" w:tentative="1">
      <w:start w:val="1"/>
      <w:numFmt w:val="lowerLetter"/>
      <w:lvlText w:val="%8."/>
      <w:lvlJc w:val="left"/>
      <w:pPr>
        <w:ind w:left="6210" w:hanging="360"/>
      </w:pPr>
    </w:lvl>
    <w:lvl w:ilvl="8" w:tplc="041C001B" w:tentative="1">
      <w:start w:val="1"/>
      <w:numFmt w:val="lowerRoman"/>
      <w:lvlText w:val="%9."/>
      <w:lvlJc w:val="right"/>
      <w:pPr>
        <w:ind w:left="6930" w:hanging="180"/>
      </w:pPr>
    </w:lvl>
  </w:abstractNum>
  <w:abstractNum w:abstractNumId="3" w15:restartNumberingAfterBreak="0">
    <w:nsid w:val="7F4B303F"/>
    <w:multiLevelType w:val="hybridMultilevel"/>
    <w:tmpl w:val="1916AA3C"/>
    <w:lvl w:ilvl="0" w:tplc="04090019">
      <w:start w:val="1"/>
      <w:numFmt w:val="lowerLetter"/>
      <w:lvlText w:val="%1."/>
      <w:lvlJc w:val="left"/>
      <w:pPr>
        <w:ind w:left="1440" w:hanging="360"/>
      </w:pPr>
    </w:lvl>
    <w:lvl w:ilvl="1" w:tplc="041C0019">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num w:numId="1" w16cid:durableId="407652437">
    <w:abstractNumId w:val="1"/>
  </w:num>
  <w:num w:numId="2" w16cid:durableId="23672323">
    <w:abstractNumId w:val="0"/>
  </w:num>
  <w:num w:numId="3" w16cid:durableId="1094672584">
    <w:abstractNumId w:val="3"/>
  </w:num>
  <w:num w:numId="4" w16cid:durableId="1922450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19"/>
    <w:rsid w:val="002B4EA1"/>
    <w:rsid w:val="003A1CAE"/>
    <w:rsid w:val="00622981"/>
    <w:rsid w:val="0064562B"/>
    <w:rsid w:val="00C61B9D"/>
    <w:rsid w:val="00DA504D"/>
    <w:rsid w:val="00F90119"/>
    <w:rsid w:val="00FA1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3AB5E"/>
  <w15:chartTrackingRefBased/>
  <w15:docId w15:val="{7E274FC3-1F7C-4DC0-B825-E79C0B50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1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1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1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1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1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1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1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1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1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1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1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1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1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1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1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119"/>
    <w:rPr>
      <w:rFonts w:eastAsiaTheme="majorEastAsia" w:cstheme="majorBidi"/>
      <w:color w:val="272727" w:themeColor="text1" w:themeTint="D8"/>
    </w:rPr>
  </w:style>
  <w:style w:type="paragraph" w:styleId="Title">
    <w:name w:val="Title"/>
    <w:basedOn w:val="Normal"/>
    <w:next w:val="Normal"/>
    <w:link w:val="TitleChar"/>
    <w:uiPriority w:val="10"/>
    <w:qFormat/>
    <w:rsid w:val="00F90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1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1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1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119"/>
    <w:pPr>
      <w:spacing w:before="160"/>
      <w:jc w:val="center"/>
    </w:pPr>
    <w:rPr>
      <w:i/>
      <w:iCs/>
      <w:color w:val="404040" w:themeColor="text1" w:themeTint="BF"/>
    </w:rPr>
  </w:style>
  <w:style w:type="character" w:customStyle="1" w:styleId="QuoteChar">
    <w:name w:val="Quote Char"/>
    <w:basedOn w:val="DefaultParagraphFont"/>
    <w:link w:val="Quote"/>
    <w:uiPriority w:val="29"/>
    <w:rsid w:val="00F90119"/>
    <w:rPr>
      <w:i/>
      <w:iCs/>
      <w:color w:val="404040" w:themeColor="text1" w:themeTint="BF"/>
    </w:rPr>
  </w:style>
  <w:style w:type="paragraph" w:styleId="ListParagraph">
    <w:name w:val="List Paragraph"/>
    <w:basedOn w:val="Normal"/>
    <w:uiPriority w:val="34"/>
    <w:qFormat/>
    <w:rsid w:val="00F90119"/>
    <w:pPr>
      <w:ind w:left="720"/>
      <w:contextualSpacing/>
    </w:pPr>
  </w:style>
  <w:style w:type="character" w:styleId="IntenseEmphasis">
    <w:name w:val="Intense Emphasis"/>
    <w:basedOn w:val="DefaultParagraphFont"/>
    <w:uiPriority w:val="21"/>
    <w:qFormat/>
    <w:rsid w:val="00F90119"/>
    <w:rPr>
      <w:i/>
      <w:iCs/>
      <w:color w:val="0F4761" w:themeColor="accent1" w:themeShade="BF"/>
    </w:rPr>
  </w:style>
  <w:style w:type="paragraph" w:styleId="IntenseQuote">
    <w:name w:val="Intense Quote"/>
    <w:basedOn w:val="Normal"/>
    <w:next w:val="Normal"/>
    <w:link w:val="IntenseQuoteChar"/>
    <w:uiPriority w:val="30"/>
    <w:qFormat/>
    <w:rsid w:val="00F90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119"/>
    <w:rPr>
      <w:i/>
      <w:iCs/>
      <w:color w:val="0F4761" w:themeColor="accent1" w:themeShade="BF"/>
    </w:rPr>
  </w:style>
  <w:style w:type="character" w:styleId="IntenseReference">
    <w:name w:val="Intense Reference"/>
    <w:basedOn w:val="DefaultParagraphFont"/>
    <w:uiPriority w:val="32"/>
    <w:qFormat/>
    <w:rsid w:val="00F90119"/>
    <w:rPr>
      <w:b/>
      <w:bCs/>
      <w:smallCaps/>
      <w:color w:val="0F4761" w:themeColor="accent1" w:themeShade="BF"/>
      <w:spacing w:val="5"/>
    </w:rPr>
  </w:style>
  <w:style w:type="paragraph" w:styleId="Header">
    <w:name w:val="header"/>
    <w:basedOn w:val="Normal"/>
    <w:link w:val="HeaderChar"/>
    <w:uiPriority w:val="99"/>
    <w:unhideWhenUsed/>
    <w:rsid w:val="00F90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119"/>
  </w:style>
  <w:style w:type="paragraph" w:styleId="Footer">
    <w:name w:val="footer"/>
    <w:basedOn w:val="Normal"/>
    <w:link w:val="FooterChar"/>
    <w:uiPriority w:val="99"/>
    <w:unhideWhenUsed/>
    <w:rsid w:val="00F90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119"/>
  </w:style>
  <w:style w:type="paragraph" w:styleId="Revision">
    <w:name w:val="Revision"/>
    <w:hidden/>
    <w:uiPriority w:val="99"/>
    <w:semiHidden/>
    <w:rsid w:val="00F901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p.service-now.com/unall?id=kb_article_view&amp;sysparm_article=KB0014273" TargetMode="External"/><Relationship Id="rId13" Type="http://schemas.openxmlformats.org/officeDocument/2006/relationships/hyperlink" Target="https://undp.service-now.com/unall?id=kb_article_view&amp;sysparm_article=KB001404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pp.undp.org/node/1996" TargetMode="External"/><Relationship Id="rId12" Type="http://schemas.openxmlformats.org/officeDocument/2006/relationships/hyperlink" Target="https://undp.service-now.com/unall?id=kb_article_view&amp;sysparm_article=KB001427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dp.service-now.com/unall?id=kb_article_view&amp;sysparm_article=KB001427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undp.service-now.com/unall?id=kb_article_view&amp;sysparm_article=KB0014270" TargetMode="External"/><Relationship Id="rId4" Type="http://schemas.openxmlformats.org/officeDocument/2006/relationships/webSettings" Target="webSettings.xml"/><Relationship Id="rId9" Type="http://schemas.openxmlformats.org/officeDocument/2006/relationships/hyperlink" Target="https://undp.service-now.com/unall?id=kb_article_view&amp;sysparm_article=KB0014047" TargetMode="External"/><Relationship Id="rId14" Type="http://schemas.openxmlformats.org/officeDocument/2006/relationships/hyperlink" Target="https://www.ungm.org/Account/Account/Login?ReturnUrl=%2FShared%2FKnowledgeCenter%2FPages%2FSPUNstaffTo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1219</Words>
  <Characters>6949</Characters>
  <Application>Microsoft Office Word</Application>
  <DocSecurity>0</DocSecurity>
  <Lines>57</Lines>
  <Paragraphs>16</Paragraphs>
  <ScaleCrop>false</ScaleCrop>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2026-05-13T03:00:00Z</dcterms:created>
  <dcterms:modified xsi:type="dcterms:W3CDTF">2026-05-13T03:10:00Z</dcterms:modified>
</cp:coreProperties>
</file>