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A18CB" w14:textId="77777777" w:rsidR="006A129E" w:rsidRPr="006A129E" w:rsidRDefault="006A129E" w:rsidP="006A129E">
      <w:pPr>
        <w:shd w:val="clear" w:color="auto" w:fill="FFFFFF"/>
        <w:spacing w:after="0" w:line="270" w:lineRule="atLeast"/>
        <w:textAlignment w:val="top"/>
        <w:rPr>
          <w:rFonts w:ascii="Calibri" w:eastAsia="Times New Roman" w:hAnsi="Calibri" w:cs="Arial"/>
          <w:b/>
          <w:bCs/>
          <w:kern w:val="0"/>
          <w:sz w:val="28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b/>
          <w:kern w:val="0"/>
          <w:sz w:val="28"/>
          <w:szCs w:val="22"/>
          <w:lang w:val="es-ES" w:eastAsia="es-ES" w:bidi="es-ES"/>
          <w14:ligatures w14:val="none"/>
        </w:rPr>
        <w:t>Adquisiciones sostenibles</w:t>
      </w:r>
    </w:p>
    <w:p w14:paraId="33560454" w14:textId="77777777" w:rsidR="006A129E" w:rsidRPr="006A129E" w:rsidRDefault="006A129E" w:rsidP="006A129E">
      <w:pPr>
        <w:shd w:val="clear" w:color="auto" w:fill="FFFFFF"/>
        <w:spacing w:after="0" w:line="270" w:lineRule="atLeast"/>
        <w:textAlignment w:val="top"/>
        <w:rPr>
          <w:rFonts w:ascii="Calibri" w:eastAsia="Times New Roman" w:hAnsi="Calibri" w:cs="Arial"/>
          <w:b/>
          <w:bCs/>
          <w:kern w:val="0"/>
          <w:sz w:val="22"/>
          <w:szCs w:val="22"/>
          <w:lang w:val="es-ES" w:eastAsia="es-ES" w:bidi="es-ES"/>
          <w14:ligatures w14:val="none"/>
        </w:rPr>
      </w:pPr>
      <w:bookmarkStart w:id="0" w:name="Procedures"/>
      <w:bookmarkEnd w:id="0"/>
    </w:p>
    <w:p w14:paraId="05F0E987" w14:textId="77777777" w:rsidR="006A129E" w:rsidRPr="006A129E" w:rsidRDefault="006A129E" w:rsidP="006A129E">
      <w:pPr>
        <w:numPr>
          <w:ilvl w:val="0"/>
          <w:numId w:val="1"/>
        </w:numPr>
        <w:shd w:val="clear" w:color="auto" w:fill="FFFFFF"/>
        <w:spacing w:after="0" w:line="270" w:lineRule="atLeast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>La política del PNUD es gestionar sus operaciones de una manera ambientalmente responsable. El PNUD se compromete a proteger la calidad y la diversidad del medio ambiente, y a mejorar continuamente su desempeño en este sentido. Esto significa considerar los costos de asegurar la materia prima y los relacionados con la fabricación, el transporte, el almacenamiento, la manipulación, el uso y la eliminación de los productos adquiridos.</w:t>
      </w:r>
    </w:p>
    <w:p w14:paraId="063B9FD0" w14:textId="77777777" w:rsidR="006A129E" w:rsidRPr="006A129E" w:rsidRDefault="006A129E" w:rsidP="006A129E">
      <w:pPr>
        <w:shd w:val="clear" w:color="auto" w:fill="FFFFFF"/>
        <w:spacing w:after="0" w:line="270" w:lineRule="atLeast"/>
        <w:ind w:left="360"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</w:p>
    <w:p w14:paraId="386E91C8" w14:textId="77777777" w:rsidR="006A129E" w:rsidRPr="006A129E" w:rsidRDefault="006A129E" w:rsidP="006A129E">
      <w:pPr>
        <w:numPr>
          <w:ilvl w:val="0"/>
          <w:numId w:val="1"/>
        </w:numPr>
        <w:shd w:val="clear" w:color="auto" w:fill="FFFFFF"/>
        <w:spacing w:after="0" w:line="270" w:lineRule="atLeast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 xml:space="preserve">Siempre que sea posible, el PNUD se compromete a realizar una adquisición sostenible y, en el proceso de adquisición, maximizará las consideraciones ambientales, económicas y sociales (incluidos el género, los derechos humanos y la inclusión de las personas con discapacidad). </w:t>
      </w:r>
      <w:r w:rsidRPr="006A129E">
        <w:rPr>
          <w:rFonts w:ascii="Calibri" w:eastAsia="Times New Roman" w:hAnsi="Calibri" w:cs="Arial"/>
          <w:bCs/>
          <w:kern w:val="0"/>
          <w:sz w:val="22"/>
          <w:szCs w:val="22"/>
          <w:lang w:val="es-ES" w:eastAsia="es-ES" w:bidi="es-ES"/>
          <w14:ligatures w14:val="none"/>
        </w:rPr>
        <w:br/>
      </w:r>
    </w:p>
    <w:p w14:paraId="04DB675F" w14:textId="77777777" w:rsidR="006A129E" w:rsidRPr="006A129E" w:rsidRDefault="006A129E" w:rsidP="006A129E">
      <w:pPr>
        <w:numPr>
          <w:ilvl w:val="0"/>
          <w:numId w:val="1"/>
        </w:numPr>
        <w:shd w:val="clear" w:color="auto" w:fill="FFFFFF"/>
        <w:spacing w:after="0" w:line="270" w:lineRule="atLeast"/>
        <w:contextualSpacing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>Todos los programas financiados o administrados por el PNUD deben procurar practicar una función de adquisiciónes sostenible.</w:t>
      </w:r>
      <w:r w:rsidRPr="006A129E"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  <w:br/>
      </w:r>
    </w:p>
    <w:p w14:paraId="70196673" w14:textId="77777777" w:rsidR="006A129E" w:rsidRPr="006A129E" w:rsidRDefault="006A129E" w:rsidP="006A129E">
      <w:pPr>
        <w:shd w:val="clear" w:color="auto" w:fill="FFFFFF"/>
        <w:spacing w:after="0" w:line="270" w:lineRule="atLeast"/>
        <w:textAlignment w:val="top"/>
        <w:rPr>
          <w:rFonts w:ascii="Calibri" w:eastAsia="Times New Roman" w:hAnsi="Calibri" w:cs="Arial"/>
          <w:b/>
          <w:bCs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b/>
          <w:kern w:val="0"/>
          <w:sz w:val="22"/>
          <w:szCs w:val="22"/>
          <w:lang w:val="es-ES" w:eastAsia="es-ES" w:bidi="es-ES"/>
          <w14:ligatures w14:val="none"/>
        </w:rPr>
        <w:t>Principios Generales</w:t>
      </w:r>
      <w:r w:rsidRPr="006A129E">
        <w:rPr>
          <w:rFonts w:ascii="Calibri" w:eastAsia="Times New Roman" w:hAnsi="Calibri" w:cs="Arial"/>
          <w:b/>
          <w:bCs/>
          <w:kern w:val="0"/>
          <w:sz w:val="22"/>
          <w:szCs w:val="22"/>
          <w:lang w:val="es-ES" w:eastAsia="es-ES" w:bidi="es-ES"/>
          <w14:ligatures w14:val="none"/>
        </w:rPr>
        <w:br/>
      </w:r>
    </w:p>
    <w:p w14:paraId="197C39CC" w14:textId="77777777" w:rsidR="006A129E" w:rsidRPr="006A129E" w:rsidRDefault="006A129E" w:rsidP="006A129E">
      <w:pPr>
        <w:numPr>
          <w:ilvl w:val="0"/>
          <w:numId w:val="1"/>
        </w:numPr>
        <w:shd w:val="clear" w:color="auto" w:fill="FFFFFF"/>
        <w:spacing w:after="0" w:line="270" w:lineRule="atLeast"/>
        <w:contextualSpacing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>La adquisición sostenible integra requisitos, especifica</w:t>
      </w: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softHyphen/>
        <w:t>ciones y criterios que son compatibles con la protección del medio ambiente, el progreso social y el desarrollo económico. Procura garantizar el uso eficiente de los recursos, la mejora de la calidad de los productos y los servicios, y la optimización de los costos. </w:t>
      </w:r>
      <w:r w:rsidRPr="006A129E">
        <w:rPr>
          <w:rFonts w:ascii="Calibri" w:eastAsia="Times New Roman" w:hAnsi="Calibri" w:cs="Arial"/>
          <w:bCs/>
          <w:kern w:val="0"/>
          <w:sz w:val="22"/>
          <w:szCs w:val="22"/>
          <w:lang w:val="es-ES" w:eastAsia="es-ES" w:bidi="es-ES"/>
          <w14:ligatures w14:val="none"/>
        </w:rPr>
        <w:br/>
      </w:r>
    </w:p>
    <w:p w14:paraId="4DC20FDD" w14:textId="77777777" w:rsidR="006A129E" w:rsidRPr="006A129E" w:rsidRDefault="006A129E" w:rsidP="006A129E">
      <w:pPr>
        <w:numPr>
          <w:ilvl w:val="0"/>
          <w:numId w:val="1"/>
        </w:numPr>
        <w:shd w:val="clear" w:color="auto" w:fill="FFFFFF"/>
        <w:spacing w:after="0" w:line="270" w:lineRule="atLeast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>La adquisición sostenible se ajusta a los principios generales de adquisición de las Naciones Unidas y el PNUD, a saber:</w:t>
      </w:r>
    </w:p>
    <w:p w14:paraId="28E77970" w14:textId="77777777" w:rsidR="006A129E" w:rsidRPr="006A129E" w:rsidRDefault="006A129E" w:rsidP="006A129E">
      <w:pPr>
        <w:shd w:val="clear" w:color="auto" w:fill="FFFFFF"/>
        <w:spacing w:after="0" w:line="270" w:lineRule="atLeast"/>
        <w:ind w:left="720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</w:p>
    <w:p w14:paraId="532A8398" w14:textId="77777777" w:rsidR="006A129E" w:rsidRPr="006A129E" w:rsidRDefault="006A129E" w:rsidP="006A129E">
      <w:pPr>
        <w:numPr>
          <w:ilvl w:val="1"/>
          <w:numId w:val="4"/>
        </w:numPr>
        <w:shd w:val="clear" w:color="auto" w:fill="FFFFFF"/>
        <w:spacing w:after="0" w:line="240" w:lineRule="auto"/>
        <w:ind w:left="1800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>Mejor relación entre calidad y precio: la selección de ofertas que presente la combinación óptima de factores como calidad, costos de ciclo de vida, consideraciones ambientales y sociales, y otros parámetros. El consumo reducido de energía y recursos a lo largo del ciclo de vida genera mayores eficiencias y ahorros de costos a largo plazo.</w:t>
      </w:r>
    </w:p>
    <w:p w14:paraId="21074A1E" w14:textId="77777777" w:rsidR="006A129E" w:rsidRPr="006A129E" w:rsidRDefault="006A129E" w:rsidP="006A129E">
      <w:pPr>
        <w:shd w:val="clear" w:color="auto" w:fill="FFFFFF"/>
        <w:spacing w:after="0" w:line="240" w:lineRule="auto"/>
        <w:ind w:left="1800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</w:p>
    <w:p w14:paraId="2FB329F4" w14:textId="77777777" w:rsidR="006A129E" w:rsidRPr="006A129E" w:rsidRDefault="006A129E" w:rsidP="006A129E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800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>Imparcialidad, integridad y transparencia: estos principios se garantizan a través de la incorporación de criterios de sostenibilidad en las primeras etapas de la adquisición. La adquisición sostenible ayuda a reducir el riesgo reputaciónal y respalda la imagen pública de integridad y responsabilidad del PNUD.</w:t>
      </w:r>
    </w:p>
    <w:p w14:paraId="075D534E" w14:textId="77777777" w:rsidR="006A129E" w:rsidRPr="006A129E" w:rsidRDefault="006A129E" w:rsidP="006A129E">
      <w:pPr>
        <w:shd w:val="clear" w:color="auto" w:fill="FFFFFF"/>
        <w:spacing w:before="100" w:beforeAutospacing="1" w:after="100" w:afterAutospacing="1" w:line="240" w:lineRule="auto"/>
        <w:ind w:left="1800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</w:p>
    <w:p w14:paraId="22518CC3" w14:textId="77777777" w:rsidR="006A129E" w:rsidRPr="006A129E" w:rsidRDefault="006A129E" w:rsidP="006A129E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800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>Competencia internacional efectiva: la adquisición sostenible debe implementarse progresivamente y en pleno respeto del derecho de acceso al mercado de las Naciones Unidas para los proveedores de países en desarrollo y países con economías en transición.</w:t>
      </w:r>
    </w:p>
    <w:p w14:paraId="2D91DBE0" w14:textId="77777777" w:rsidR="006A129E" w:rsidRPr="006A129E" w:rsidRDefault="006A129E" w:rsidP="006A129E">
      <w:pPr>
        <w:shd w:val="clear" w:color="auto" w:fill="FFFFFF"/>
        <w:spacing w:before="100" w:beforeAutospacing="1" w:after="100" w:afterAutospacing="1" w:line="240" w:lineRule="auto"/>
        <w:ind w:left="1800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</w:p>
    <w:p w14:paraId="4FACDB58" w14:textId="77777777" w:rsidR="006A129E" w:rsidRPr="006A129E" w:rsidRDefault="006A129E" w:rsidP="006A129E">
      <w:pPr>
        <w:numPr>
          <w:ilvl w:val="1"/>
          <w:numId w:val="4"/>
        </w:numPr>
        <w:shd w:val="clear" w:color="auto" w:fill="FFFFFF"/>
        <w:spacing w:after="0" w:line="240" w:lineRule="auto"/>
        <w:ind w:left="1800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>El mejor interés del PNUD: la adquisición sostenible alinea la adquisición con la misión central del PNUD de desarrollo sostenible. </w:t>
      </w:r>
    </w:p>
    <w:p w14:paraId="356796EF" w14:textId="77777777" w:rsidR="006A129E" w:rsidRDefault="006A129E" w:rsidP="006A129E">
      <w:pPr>
        <w:shd w:val="clear" w:color="auto" w:fill="FFFFFF"/>
        <w:spacing w:after="0" w:line="270" w:lineRule="atLeast"/>
        <w:textAlignment w:val="top"/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> </w:t>
      </w:r>
    </w:p>
    <w:p w14:paraId="6DB7C9A8" w14:textId="77777777" w:rsidR="006A129E" w:rsidRPr="006A129E" w:rsidRDefault="006A129E" w:rsidP="006A129E">
      <w:pPr>
        <w:shd w:val="clear" w:color="auto" w:fill="FFFFFF"/>
        <w:spacing w:after="0" w:line="270" w:lineRule="atLeast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</w:p>
    <w:p w14:paraId="6216321A" w14:textId="77777777" w:rsidR="006A129E" w:rsidRPr="006A129E" w:rsidRDefault="006A129E" w:rsidP="006A129E">
      <w:pPr>
        <w:shd w:val="clear" w:color="auto" w:fill="FFFFFF"/>
        <w:spacing w:after="0" w:line="270" w:lineRule="atLeast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b/>
          <w:kern w:val="0"/>
          <w:sz w:val="22"/>
          <w:szCs w:val="22"/>
          <w:lang w:val="es-ES" w:eastAsia="es-ES" w:bidi="es-ES"/>
          <w14:ligatures w14:val="none"/>
        </w:rPr>
        <w:lastRenderedPageBreak/>
        <w:t>Consideraciones Generales</w:t>
      </w:r>
      <w:r w:rsidRPr="006A129E">
        <w:rPr>
          <w:rFonts w:ascii="Calibri" w:eastAsia="Times New Roman" w:hAnsi="Calibri" w:cs="Arial"/>
          <w:b/>
          <w:bCs/>
          <w:kern w:val="0"/>
          <w:sz w:val="22"/>
          <w:szCs w:val="22"/>
          <w:lang w:val="es-ES" w:eastAsia="es-ES" w:bidi="es-ES"/>
          <w14:ligatures w14:val="none"/>
        </w:rPr>
        <w:br/>
      </w:r>
    </w:p>
    <w:p w14:paraId="7D59986F" w14:textId="77777777" w:rsidR="006A129E" w:rsidRPr="007F5AE3" w:rsidRDefault="006A129E" w:rsidP="006A129E">
      <w:pPr>
        <w:numPr>
          <w:ilvl w:val="0"/>
          <w:numId w:val="1"/>
        </w:numPr>
        <w:shd w:val="clear" w:color="auto" w:fill="FFFFFF"/>
        <w:spacing w:after="0" w:line="270" w:lineRule="atLeast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 xml:space="preserve">Una serie de factores influyen en la adquisición sostenible. Los factores económicos sostenibles incluyen los costos de los productos y los servicios en todo su ciclo de vida: costos de adquisición, mantenimiento, operaciones y gestión del final del ciclo de vida, incluida la eliminación de desechos, en consonancia con una buena gestión financiera. </w:t>
      </w:r>
    </w:p>
    <w:p w14:paraId="088D0323" w14:textId="16745F89" w:rsidR="006A129E" w:rsidRPr="006A129E" w:rsidRDefault="006A129E" w:rsidP="007F5AE3">
      <w:pPr>
        <w:shd w:val="clear" w:color="auto" w:fill="FFFFFF"/>
        <w:spacing w:after="0" w:line="270" w:lineRule="atLeast"/>
        <w:ind w:left="720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</w:p>
    <w:p w14:paraId="24BE1A93" w14:textId="77777777" w:rsidR="006A129E" w:rsidRPr="006A129E" w:rsidRDefault="006A129E" w:rsidP="006A129E">
      <w:pPr>
        <w:numPr>
          <w:ilvl w:val="0"/>
          <w:numId w:val="1"/>
        </w:numPr>
        <w:shd w:val="clear" w:color="auto" w:fill="FFFFFF"/>
        <w:spacing w:after="0" w:line="270" w:lineRule="atLeast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>Los factores sociales y laborales sostenibles implican reconocer la igualdad y la diversidad, respetar normas laborales básicas, garantizar condiciones justas de trabajo, aumentar el empleo y las aptitudes, y desarrollar las comunidades locales y su infraestructura física.</w:t>
      </w:r>
    </w:p>
    <w:p w14:paraId="2C0E5078" w14:textId="77777777" w:rsidR="006A129E" w:rsidRPr="006A129E" w:rsidRDefault="006A129E" w:rsidP="006A129E">
      <w:pPr>
        <w:shd w:val="clear" w:color="auto" w:fill="FFFFFF"/>
        <w:spacing w:after="0" w:line="270" w:lineRule="atLeast"/>
        <w:ind w:left="360"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</w:p>
    <w:p w14:paraId="3C31E7FB" w14:textId="77777777" w:rsidR="006A129E" w:rsidRPr="006A129E" w:rsidRDefault="006A129E" w:rsidP="006A129E">
      <w:pPr>
        <w:numPr>
          <w:ilvl w:val="0"/>
          <w:numId w:val="1"/>
        </w:numPr>
        <w:shd w:val="clear" w:color="auto" w:fill="FFFFFF"/>
        <w:spacing w:after="0" w:line="270" w:lineRule="atLeast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>Los factores ambientales sostenibles comprenden el uso de recursos naturales y la escasez de agua, las emisiones, el cambio climático y biodiversidad a lo largo de todo el ciclo de vida de los productos.</w:t>
      </w:r>
    </w:p>
    <w:p w14:paraId="619D6099" w14:textId="77777777" w:rsidR="006A129E" w:rsidRPr="006A129E" w:rsidRDefault="006A129E" w:rsidP="006A129E">
      <w:pPr>
        <w:shd w:val="clear" w:color="auto" w:fill="FFFFFF"/>
        <w:spacing w:after="0" w:line="270" w:lineRule="atLeast"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</w:p>
    <w:p w14:paraId="6D8FB44E" w14:textId="77777777" w:rsidR="006A129E" w:rsidRPr="006A129E" w:rsidRDefault="006A129E" w:rsidP="006A129E">
      <w:pPr>
        <w:numPr>
          <w:ilvl w:val="0"/>
          <w:numId w:val="1"/>
        </w:numPr>
        <w:shd w:val="clear" w:color="auto" w:fill="FFFFFF"/>
        <w:spacing w:after="0" w:line="270" w:lineRule="atLeast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>La identificación de los impactos sociales y ambientales adversos de los productos y los servicios es una tarea importante. Dado que cada solución y mercado de adquisición es diferente, es importante para el personal de adquisición y los solicitantes trabajar en conjunto para definir estos impactos junto con las consideraciones económicas y de eficiencia tradicionales.</w:t>
      </w:r>
    </w:p>
    <w:p w14:paraId="3D0515AA" w14:textId="77777777" w:rsidR="006A129E" w:rsidRPr="006A129E" w:rsidRDefault="006A129E" w:rsidP="006A129E">
      <w:pPr>
        <w:shd w:val="clear" w:color="auto" w:fill="FFFFFF"/>
        <w:spacing w:after="0" w:line="270" w:lineRule="atLeast"/>
        <w:ind w:left="720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</w:p>
    <w:p w14:paraId="071CE205" w14:textId="77777777" w:rsidR="006A129E" w:rsidRPr="006A129E" w:rsidRDefault="006A129E" w:rsidP="006A129E">
      <w:pPr>
        <w:shd w:val="clear" w:color="auto" w:fill="FFFFFF"/>
        <w:spacing w:after="0" w:line="270" w:lineRule="atLeast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b/>
          <w:kern w:val="0"/>
          <w:sz w:val="22"/>
          <w:szCs w:val="22"/>
          <w:lang w:val="es-ES" w:eastAsia="es-ES" w:bidi="es-ES"/>
          <w14:ligatures w14:val="none"/>
        </w:rPr>
        <w:t>Inclusión Temprana de la Adquisición Sostenible</w:t>
      </w:r>
      <w:r w:rsidRPr="006A129E">
        <w:rPr>
          <w:rFonts w:ascii="Calibri" w:eastAsia="Times New Roman" w:hAnsi="Calibri" w:cs="Arial"/>
          <w:b/>
          <w:bCs/>
          <w:kern w:val="0"/>
          <w:sz w:val="22"/>
          <w:szCs w:val="22"/>
          <w:lang w:val="es-ES" w:eastAsia="es-ES" w:bidi="es-ES"/>
          <w14:ligatures w14:val="none"/>
        </w:rPr>
        <w:br/>
      </w:r>
    </w:p>
    <w:p w14:paraId="7A178353" w14:textId="77777777" w:rsidR="006A129E" w:rsidRPr="006A129E" w:rsidRDefault="006A129E" w:rsidP="006A129E">
      <w:pPr>
        <w:numPr>
          <w:ilvl w:val="0"/>
          <w:numId w:val="1"/>
        </w:numPr>
        <w:shd w:val="clear" w:color="auto" w:fill="FFFFFF"/>
        <w:spacing w:after="0" w:line="270" w:lineRule="atLeast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>La inclusión temprana de la adquisición sostenible en la planificación de la adquisición ayuda a garantizar imparcialidad, transparencia y eficiencia. Existen diversas maneras de incorporar consideraciones de sostenibilidad:</w:t>
      </w:r>
    </w:p>
    <w:p w14:paraId="7315F91E" w14:textId="77777777" w:rsidR="006A129E" w:rsidRPr="006A129E" w:rsidRDefault="006A129E" w:rsidP="006A129E">
      <w:pPr>
        <w:shd w:val="clear" w:color="auto" w:fill="FFFFFF"/>
        <w:spacing w:after="0" w:line="270" w:lineRule="atLeast"/>
        <w:ind w:left="720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</w:p>
    <w:p w14:paraId="2D02D861" w14:textId="77777777" w:rsidR="006A129E" w:rsidRPr="006A129E" w:rsidRDefault="006A129E" w:rsidP="006A129E">
      <w:pPr>
        <w:numPr>
          <w:ilvl w:val="1"/>
          <w:numId w:val="3"/>
        </w:numPr>
        <w:shd w:val="clear" w:color="auto" w:fill="FFFFFF"/>
        <w:spacing w:after="0" w:line="270" w:lineRule="atLeast"/>
        <w:ind w:left="1800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>Reconsiderar las necesidades</w:t>
      </w:r>
    </w:p>
    <w:p w14:paraId="6133CB0A" w14:textId="77777777" w:rsidR="006A129E" w:rsidRPr="006A129E" w:rsidRDefault="006A129E" w:rsidP="006A129E">
      <w:pPr>
        <w:shd w:val="clear" w:color="auto" w:fill="FFFFFF"/>
        <w:spacing w:after="0" w:line="270" w:lineRule="atLeast"/>
        <w:ind w:left="1800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</w:p>
    <w:p w14:paraId="1B013B9E" w14:textId="77777777" w:rsidR="006A129E" w:rsidRPr="006A129E" w:rsidRDefault="006A129E" w:rsidP="006A129E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1800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>Definir / Incorporar Un título para el contrato que transmita la relevancia de la sostenibilidad en la licitación</w:t>
      </w:r>
    </w:p>
    <w:p w14:paraId="1958CEFA" w14:textId="77777777" w:rsidR="006A129E" w:rsidRPr="006A129E" w:rsidRDefault="006A129E" w:rsidP="006A129E">
      <w:pPr>
        <w:shd w:val="clear" w:color="auto" w:fill="FFFFFF"/>
        <w:spacing w:before="100" w:beforeAutospacing="1" w:after="100" w:afterAutospacing="1" w:line="240" w:lineRule="auto"/>
        <w:ind w:left="1800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</w:p>
    <w:p w14:paraId="7F091798" w14:textId="77777777" w:rsidR="006A129E" w:rsidRPr="006A129E" w:rsidRDefault="006A129E" w:rsidP="006A129E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1800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>Realizar una evaluación de riesgos para la sostenibilidad</w:t>
      </w:r>
    </w:p>
    <w:p w14:paraId="1ADB2D10" w14:textId="77777777" w:rsidR="006A129E" w:rsidRPr="006A129E" w:rsidRDefault="006A129E" w:rsidP="006A129E">
      <w:pPr>
        <w:shd w:val="clear" w:color="auto" w:fill="FFFFFF"/>
        <w:spacing w:before="100" w:beforeAutospacing="1" w:after="100" w:afterAutospacing="1" w:line="240" w:lineRule="auto"/>
        <w:ind w:left="1800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</w:p>
    <w:p w14:paraId="655C889D" w14:textId="77777777" w:rsidR="006A129E" w:rsidRPr="006A129E" w:rsidRDefault="006A129E" w:rsidP="006A129E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1800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 xml:space="preserve">Realizar un análisis de mercado para evaluar la disponibilidad de productos y servicios sostenibles </w:t>
      </w:r>
    </w:p>
    <w:p w14:paraId="29F1EC04" w14:textId="77777777" w:rsidR="006A129E" w:rsidRPr="006A129E" w:rsidRDefault="006A129E" w:rsidP="006A129E">
      <w:pPr>
        <w:shd w:val="clear" w:color="auto" w:fill="FFFFFF"/>
        <w:spacing w:before="100" w:beforeAutospacing="1" w:after="100" w:afterAutospacing="1" w:line="240" w:lineRule="auto"/>
        <w:ind w:left="2160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</w:p>
    <w:p w14:paraId="40F82E65" w14:textId="77777777" w:rsidR="006A129E" w:rsidRPr="006A129E" w:rsidRDefault="006A129E" w:rsidP="006A129E">
      <w:pPr>
        <w:numPr>
          <w:ilvl w:val="0"/>
          <w:numId w:val="1"/>
        </w:numPr>
        <w:shd w:val="clear" w:color="auto" w:fill="FFFFFF"/>
        <w:spacing w:after="0" w:line="270" w:lineRule="atLeast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>La evaluación y el análisis deben adaptarse a las dimensiones/características de cada proceso de adquisiciones. Las adquisiciones de menor monto pueden utilizar métodos más simples que son más fáciles de realizar, mientras que las adquisiciones más grandes deben someterse a una investigación más profunda.</w:t>
      </w:r>
    </w:p>
    <w:p w14:paraId="0C18A379" w14:textId="77777777" w:rsidR="006A129E" w:rsidRPr="006A129E" w:rsidRDefault="006A129E" w:rsidP="006A129E">
      <w:pPr>
        <w:shd w:val="clear" w:color="auto" w:fill="FFFFFF"/>
        <w:spacing w:after="0" w:line="270" w:lineRule="atLeast"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> </w:t>
      </w:r>
    </w:p>
    <w:p w14:paraId="28441713" w14:textId="77777777" w:rsidR="006A129E" w:rsidRPr="006A129E" w:rsidRDefault="006A129E" w:rsidP="006A129E">
      <w:pPr>
        <w:shd w:val="clear" w:color="auto" w:fill="FFFFFF"/>
        <w:spacing w:after="0" w:line="270" w:lineRule="atLeast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b/>
          <w:kern w:val="0"/>
          <w:sz w:val="22"/>
          <w:szCs w:val="22"/>
          <w:lang w:val="es-ES" w:eastAsia="es-ES" w:bidi="es-ES"/>
          <w14:ligatures w14:val="none"/>
        </w:rPr>
        <w:t>Definición de Requisitos</w:t>
      </w:r>
      <w:r w:rsidRPr="006A129E">
        <w:rPr>
          <w:rFonts w:ascii="Calibri" w:eastAsia="Times New Roman" w:hAnsi="Calibri" w:cs="Arial"/>
          <w:b/>
          <w:bCs/>
          <w:kern w:val="0"/>
          <w:sz w:val="22"/>
          <w:szCs w:val="22"/>
          <w:lang w:val="es-ES" w:eastAsia="es-ES" w:bidi="es-ES"/>
          <w14:ligatures w14:val="none"/>
        </w:rPr>
        <w:br/>
      </w:r>
    </w:p>
    <w:p w14:paraId="4D4FFF80" w14:textId="0981B6FC" w:rsidR="006A129E" w:rsidRPr="006A129E" w:rsidRDefault="006A129E" w:rsidP="007F5AE3">
      <w:pPr>
        <w:numPr>
          <w:ilvl w:val="0"/>
          <w:numId w:val="1"/>
        </w:numPr>
        <w:shd w:val="clear" w:color="auto" w:fill="FFFFFF"/>
        <w:spacing w:after="0" w:line="270" w:lineRule="atLeast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>La definición de requisitos se basa en el pedido y debe estar guiada por el resultado de las consideraciones especificadas más arriba. Los requisitos de sostenibilidad no deben obstaculizar la competencia. El proceso puede tener las siguientes características:</w:t>
      </w:r>
    </w:p>
    <w:p w14:paraId="1109AE90" w14:textId="77777777" w:rsidR="006A129E" w:rsidRPr="006A129E" w:rsidRDefault="006A129E" w:rsidP="006A129E">
      <w:pPr>
        <w:numPr>
          <w:ilvl w:val="1"/>
          <w:numId w:val="2"/>
        </w:numPr>
        <w:shd w:val="clear" w:color="auto" w:fill="FFFFFF"/>
        <w:spacing w:after="0" w:line="270" w:lineRule="atLeast"/>
        <w:ind w:left="1800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lastRenderedPageBreak/>
        <w:t>Remitir a normas internacionales</w:t>
      </w:r>
    </w:p>
    <w:p w14:paraId="3B7A94B8" w14:textId="77777777" w:rsidR="006A129E" w:rsidRPr="006A129E" w:rsidRDefault="006A129E" w:rsidP="006A129E">
      <w:pPr>
        <w:shd w:val="clear" w:color="auto" w:fill="FFFFFF"/>
        <w:spacing w:after="0" w:line="270" w:lineRule="atLeast"/>
        <w:ind w:left="1800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</w:p>
    <w:p w14:paraId="68A8187B" w14:textId="77777777" w:rsidR="006A129E" w:rsidRPr="006A129E" w:rsidRDefault="006A129E" w:rsidP="006A129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1800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>Utilizar criterios de etiquetas ecológicas y etiquetas sociales</w:t>
      </w:r>
    </w:p>
    <w:p w14:paraId="13C00505" w14:textId="77777777" w:rsidR="006A129E" w:rsidRPr="006A129E" w:rsidRDefault="006A129E" w:rsidP="006A129E">
      <w:pPr>
        <w:shd w:val="clear" w:color="auto" w:fill="FFFFFF"/>
        <w:spacing w:before="100" w:beforeAutospacing="1" w:after="100" w:afterAutospacing="1" w:line="240" w:lineRule="auto"/>
        <w:ind w:left="1800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</w:p>
    <w:p w14:paraId="488D5E97" w14:textId="77777777" w:rsidR="006A129E" w:rsidRPr="006A129E" w:rsidRDefault="006A129E" w:rsidP="006A129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1800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>Especificar métodos de producción y procesamiento más sostenibles</w:t>
      </w:r>
    </w:p>
    <w:p w14:paraId="33737CB2" w14:textId="77777777" w:rsidR="006A129E" w:rsidRDefault="006A129E" w:rsidP="006A129E">
      <w:pPr>
        <w:shd w:val="clear" w:color="auto" w:fill="FFFFFF"/>
        <w:spacing w:after="0" w:line="270" w:lineRule="atLeast"/>
        <w:textAlignment w:val="top"/>
        <w:rPr>
          <w:rFonts w:ascii="Calibri" w:eastAsia="Calibri" w:hAnsi="Calibri" w:cs="Times New Roman"/>
          <w:b/>
          <w:kern w:val="0"/>
          <w:sz w:val="22"/>
          <w:szCs w:val="22"/>
          <w:lang w:val="es-ES" w:eastAsia="es-ES" w:bidi="es-ES"/>
          <w14:ligatures w14:val="none"/>
        </w:rPr>
      </w:pPr>
    </w:p>
    <w:p w14:paraId="7272B586" w14:textId="57C1735C" w:rsidR="006A129E" w:rsidRPr="006A129E" w:rsidRDefault="006A129E" w:rsidP="006A129E">
      <w:pPr>
        <w:shd w:val="clear" w:color="auto" w:fill="FFFFFF"/>
        <w:spacing w:after="0" w:line="270" w:lineRule="atLeast"/>
        <w:textAlignment w:val="top"/>
        <w:rPr>
          <w:rFonts w:ascii="Calibri" w:eastAsia="Times New Roman" w:hAnsi="Calibri" w:cs="Arial"/>
          <w:b/>
          <w:bCs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b/>
          <w:kern w:val="0"/>
          <w:sz w:val="22"/>
          <w:szCs w:val="22"/>
          <w:lang w:val="es-ES" w:eastAsia="es-ES" w:bidi="es-ES"/>
          <w14:ligatures w14:val="none"/>
        </w:rPr>
        <w:t>Selección de Proveedores Responsables</w:t>
      </w:r>
    </w:p>
    <w:p w14:paraId="35AABA62" w14:textId="77777777" w:rsidR="006A129E" w:rsidRPr="006A129E" w:rsidRDefault="006A129E" w:rsidP="006A129E">
      <w:pPr>
        <w:shd w:val="clear" w:color="auto" w:fill="FFFFFF"/>
        <w:spacing w:after="0" w:line="270" w:lineRule="atLeast"/>
        <w:ind w:left="540"/>
        <w:contextualSpacing/>
        <w:textAlignment w:val="top"/>
        <w:rPr>
          <w:rFonts w:ascii="Calibri" w:eastAsia="Times New Roman" w:hAnsi="Calibri" w:cs="Arial"/>
          <w:b/>
          <w:bCs/>
          <w:kern w:val="0"/>
          <w:sz w:val="22"/>
          <w:szCs w:val="22"/>
          <w:lang w:val="es-ES" w:eastAsia="es-ES" w:bidi="es-ES"/>
          <w14:ligatures w14:val="none"/>
        </w:rPr>
      </w:pPr>
    </w:p>
    <w:p w14:paraId="71BD203C" w14:textId="77777777" w:rsidR="006A129E" w:rsidRPr="006A129E" w:rsidRDefault="006A129E" w:rsidP="006A129E">
      <w:pPr>
        <w:numPr>
          <w:ilvl w:val="0"/>
          <w:numId w:val="1"/>
        </w:numPr>
        <w:shd w:val="clear" w:color="auto" w:fill="FFFFFF"/>
        <w:spacing w:after="0" w:line="270" w:lineRule="atLeast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>La selección de proveedores responsables es un paso importante para minimizar los riesgos para la sostenibilidad. El compromiso con la sostenibilidad debe formar parte de los criterios de evaluación, y deben realizarse esfuerzos para garantizar que los proveedores tengan la capacidad técnica necesaria, como experiencia previa, sistemas de gestión ambiental, etc.</w:t>
      </w:r>
    </w:p>
    <w:p w14:paraId="7F8A8771" w14:textId="77777777" w:rsidR="006A129E" w:rsidRPr="006A129E" w:rsidRDefault="006A129E" w:rsidP="006A129E">
      <w:pPr>
        <w:shd w:val="clear" w:color="auto" w:fill="FFFFFF"/>
        <w:spacing w:after="0" w:line="270" w:lineRule="atLeast"/>
        <w:ind w:left="720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</w:p>
    <w:p w14:paraId="007AFEC1" w14:textId="77777777" w:rsidR="006A129E" w:rsidRPr="006A129E" w:rsidRDefault="006A129E" w:rsidP="006A129E">
      <w:pPr>
        <w:shd w:val="clear" w:color="auto" w:fill="FFFFFF"/>
        <w:spacing w:after="0" w:line="270" w:lineRule="atLeast"/>
        <w:textAlignment w:val="top"/>
        <w:rPr>
          <w:rFonts w:ascii="Calibri" w:eastAsia="Times New Roman" w:hAnsi="Calibri" w:cs="Arial"/>
          <w:b/>
          <w:bCs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b/>
          <w:kern w:val="0"/>
          <w:sz w:val="22"/>
          <w:szCs w:val="22"/>
          <w:lang w:val="es-ES" w:eastAsia="es-ES" w:bidi="es-ES"/>
          <w14:ligatures w14:val="none"/>
        </w:rPr>
        <w:t>Criterios de Sostenibilidad</w:t>
      </w:r>
    </w:p>
    <w:p w14:paraId="098BD99B" w14:textId="77777777" w:rsidR="006A129E" w:rsidRPr="006A129E" w:rsidRDefault="006A129E" w:rsidP="006A129E">
      <w:pPr>
        <w:shd w:val="clear" w:color="auto" w:fill="FFFFFF"/>
        <w:spacing w:after="0" w:line="270" w:lineRule="atLeast"/>
        <w:ind w:left="540"/>
        <w:contextualSpacing/>
        <w:textAlignment w:val="top"/>
        <w:rPr>
          <w:rFonts w:ascii="Calibri" w:eastAsia="Times New Roman" w:hAnsi="Calibri" w:cs="Arial"/>
          <w:b/>
          <w:bCs/>
          <w:kern w:val="0"/>
          <w:sz w:val="22"/>
          <w:szCs w:val="22"/>
          <w:lang w:val="es-ES" w:eastAsia="es-ES" w:bidi="es-ES"/>
          <w14:ligatures w14:val="none"/>
        </w:rPr>
      </w:pPr>
    </w:p>
    <w:p w14:paraId="5527B838" w14:textId="77777777" w:rsidR="006A129E" w:rsidRPr="006A129E" w:rsidRDefault="006A129E" w:rsidP="006A129E">
      <w:pPr>
        <w:numPr>
          <w:ilvl w:val="0"/>
          <w:numId w:val="1"/>
        </w:numPr>
        <w:shd w:val="clear" w:color="auto" w:fill="FFFFFF"/>
        <w:spacing w:after="0" w:line="270" w:lineRule="atLeast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>En las fases de solicitud y evaluación, deben utilizarse criterios de sostenibilidad junto con otros criterios de evaluación para identificar la oferta que presente la mejor combinación de calidad, precio y desempeño sostenible. La evaluación financiera debe considerar los costos de ciclo de vida y de reciclado. Puede utilizarse una verificación de antecedentes de los posibles proveedores para evaluar su historial de responsabilidad social y ambiental.</w:t>
      </w:r>
    </w:p>
    <w:p w14:paraId="6FD3286D" w14:textId="77777777" w:rsidR="006A129E" w:rsidRPr="006A129E" w:rsidRDefault="006A129E" w:rsidP="006A129E">
      <w:pPr>
        <w:shd w:val="clear" w:color="auto" w:fill="FFFFFF"/>
        <w:spacing w:after="0" w:line="270" w:lineRule="atLeast"/>
        <w:ind w:left="720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</w:p>
    <w:p w14:paraId="12C2CB4C" w14:textId="77777777" w:rsidR="006A129E" w:rsidRPr="006A129E" w:rsidRDefault="006A129E" w:rsidP="006A129E">
      <w:pPr>
        <w:shd w:val="clear" w:color="auto" w:fill="FFFFFF"/>
        <w:spacing w:after="0" w:line="270" w:lineRule="atLeast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b/>
          <w:kern w:val="0"/>
          <w:sz w:val="22"/>
          <w:szCs w:val="22"/>
          <w:lang w:val="es-ES" w:eastAsia="es-ES" w:bidi="es-ES"/>
          <w14:ligatures w14:val="none"/>
        </w:rPr>
        <w:t>Guía para Profesionales</w:t>
      </w:r>
    </w:p>
    <w:p w14:paraId="55FDD316" w14:textId="77777777" w:rsidR="006A129E" w:rsidRPr="006A129E" w:rsidRDefault="006A129E" w:rsidP="006A129E">
      <w:pPr>
        <w:shd w:val="clear" w:color="auto" w:fill="FFFFFF"/>
        <w:spacing w:after="0" w:line="270" w:lineRule="atLeast"/>
        <w:ind w:left="540"/>
        <w:contextualSpacing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</w:p>
    <w:p w14:paraId="0597E0D7" w14:textId="5D151136" w:rsidR="006A129E" w:rsidRPr="006A129E" w:rsidRDefault="006A129E" w:rsidP="006A129E">
      <w:pPr>
        <w:numPr>
          <w:ilvl w:val="0"/>
          <w:numId w:val="1"/>
        </w:numPr>
        <w:shd w:val="clear" w:color="auto" w:fill="FFFFFF"/>
        <w:spacing w:after="0" w:line="270" w:lineRule="atLeast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 xml:space="preserve">Consulte la </w:t>
      </w:r>
      <w:hyperlink r:id="rId7" w:history="1">
        <w:r w:rsidRPr="006A129E">
          <w:rPr>
            <w:rFonts w:ascii="Calibri" w:eastAsia="Calibri" w:hAnsi="Calibri" w:cs="Times New Roman"/>
            <w:color w:val="0000FF"/>
            <w:kern w:val="0"/>
            <w:sz w:val="22"/>
            <w:szCs w:val="22"/>
            <w:u w:val="single"/>
            <w:lang w:val="es-ES" w:eastAsia="es-ES" w:bidi="es-ES"/>
            <w14:ligatures w14:val="none"/>
          </w:rPr>
          <w:t>Guía para Profesionales sobre Adquisiciones Sostenible</w:t>
        </w:r>
      </w:hyperlink>
      <w:hyperlink r:id="rId8" w:history="1">
        <w:r w:rsidRPr="006A129E">
          <w:rPr>
            <w:rFonts w:ascii="Calibri" w:eastAsia="Calibri" w:hAnsi="Calibri" w:cs="Times New Roman"/>
            <w:color w:val="0000FF"/>
            <w:kern w:val="0"/>
            <w:sz w:val="22"/>
            <w:szCs w:val="22"/>
            <w:u w:val="single"/>
            <w:lang w:val="es-ES" w:eastAsia="es-ES" w:bidi="es-ES"/>
            <w14:ligatures w14:val="none"/>
          </w:rPr>
          <w:t>s</w:t>
        </w:r>
      </w:hyperlink>
      <w:r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 xml:space="preserve"> </w:t>
      </w:r>
      <w:r w:rsidRPr="006A129E"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  <w:t>(en inglés)</w:t>
      </w:r>
      <w:r w:rsidRPr="006A129E">
        <w:rPr>
          <w:rFonts w:ascii="Calibri" w:eastAsia="Calibri" w:hAnsi="Calibri" w:cs="Times New Roman"/>
          <w:kern w:val="0"/>
          <w:sz w:val="22"/>
          <w:szCs w:val="22"/>
          <w:lang w:val="es-ES" w:eastAsia="es-ES" w:bidi="es-ES"/>
          <w14:ligatures w14:val="none"/>
        </w:rPr>
        <w:t>.</w:t>
      </w:r>
    </w:p>
    <w:p w14:paraId="2E995686" w14:textId="77777777" w:rsidR="006A129E" w:rsidRPr="006A129E" w:rsidRDefault="006A129E" w:rsidP="006A129E">
      <w:pPr>
        <w:numPr>
          <w:ilvl w:val="0"/>
          <w:numId w:val="1"/>
        </w:numPr>
        <w:shd w:val="clear" w:color="auto" w:fill="FFFFFF"/>
        <w:spacing w:after="0" w:line="270" w:lineRule="atLeast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  <w:t>Notas orientativas sobre adquisición sostenible:</w:t>
      </w:r>
    </w:p>
    <w:p w14:paraId="4B9911EB" w14:textId="77777777" w:rsidR="006A129E" w:rsidRPr="006A129E" w:rsidRDefault="006A129E" w:rsidP="006A129E">
      <w:pPr>
        <w:shd w:val="clear" w:color="auto" w:fill="FFFFFF"/>
        <w:spacing w:after="0" w:line="270" w:lineRule="atLeast"/>
        <w:ind w:left="709"/>
        <w:contextualSpacing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  <w:t xml:space="preserve">Se ruega a todas las unidades de negocio que utilicen las siguientes notas orientativas a la hora de establecer requisitos, especificaciones y términos de referencia para las categorías de contratación pertinentes. </w:t>
      </w:r>
    </w:p>
    <w:p w14:paraId="4A5149E6" w14:textId="77777777" w:rsidR="006A129E" w:rsidRPr="006A129E" w:rsidRDefault="006A129E" w:rsidP="006A129E">
      <w:pPr>
        <w:shd w:val="clear" w:color="auto" w:fill="FFFFFF"/>
        <w:spacing w:after="0" w:line="270" w:lineRule="atLeast"/>
        <w:ind w:left="993"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  <w:t xml:space="preserve">- </w:t>
      </w:r>
      <w:hyperlink r:id="rId9" w:history="1">
        <w:r w:rsidRPr="006A129E">
          <w:rPr>
            <w:rFonts w:ascii="Calibri" w:eastAsia="Times New Roman" w:hAnsi="Calibri" w:cs="Arial"/>
            <w:color w:val="0000FF"/>
            <w:kern w:val="0"/>
            <w:sz w:val="22"/>
            <w:szCs w:val="22"/>
            <w:u w:val="single"/>
            <w:lang w:val="es-ES" w:eastAsia="es-ES" w:bidi="es-ES"/>
            <w14:ligatures w14:val="none"/>
          </w:rPr>
          <w:t>Adquisición sostenible de papel</w:t>
        </w:r>
      </w:hyperlink>
      <w:r w:rsidRPr="006A129E"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  <w:t xml:space="preserve"> (en inglés)</w:t>
      </w:r>
    </w:p>
    <w:p w14:paraId="2B8CDB1E" w14:textId="77777777" w:rsidR="006A129E" w:rsidRPr="006A129E" w:rsidRDefault="006A129E" w:rsidP="006A129E">
      <w:pPr>
        <w:shd w:val="clear" w:color="auto" w:fill="FFFFFF"/>
        <w:spacing w:after="0" w:line="270" w:lineRule="atLeast"/>
        <w:ind w:left="993"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  <w:t xml:space="preserve">- </w:t>
      </w:r>
      <w:hyperlink r:id="rId10" w:history="1">
        <w:r w:rsidRPr="006A129E">
          <w:rPr>
            <w:rFonts w:ascii="Calibri" w:eastAsia="Times New Roman" w:hAnsi="Calibri" w:cs="Arial"/>
            <w:color w:val="0000FF"/>
            <w:kern w:val="0"/>
            <w:sz w:val="22"/>
            <w:szCs w:val="22"/>
            <w:u w:val="single"/>
            <w:lang w:val="es-ES" w:eastAsia="es-ES" w:bidi="es-ES"/>
            <w14:ligatures w14:val="none"/>
          </w:rPr>
          <w:t>Adquisición sostenible de equipos de refrigeración</w:t>
        </w:r>
      </w:hyperlink>
      <w:r w:rsidRPr="006A129E"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  <w:t xml:space="preserve"> (en inglés)</w:t>
      </w:r>
    </w:p>
    <w:p w14:paraId="55BECA37" w14:textId="77777777" w:rsidR="006A129E" w:rsidRPr="006A129E" w:rsidRDefault="006A129E" w:rsidP="006A129E">
      <w:pPr>
        <w:shd w:val="clear" w:color="auto" w:fill="FFFFFF"/>
        <w:spacing w:after="0" w:line="270" w:lineRule="atLeast"/>
        <w:ind w:left="993"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  <w:t xml:space="preserve">- </w:t>
      </w:r>
      <w:hyperlink r:id="rId11" w:history="1">
        <w:r w:rsidRPr="006A129E">
          <w:rPr>
            <w:rFonts w:ascii="Calibri" w:eastAsia="Times New Roman" w:hAnsi="Calibri" w:cs="Arial"/>
            <w:color w:val="0000FF"/>
            <w:kern w:val="0"/>
            <w:sz w:val="22"/>
            <w:szCs w:val="22"/>
            <w:u w:val="single"/>
            <w:lang w:val="es-ES" w:eastAsia="es-ES" w:bidi="es-ES"/>
            <w14:ligatures w14:val="none"/>
          </w:rPr>
          <w:t>Adquisición sostenible de productos farmacéuticos</w:t>
        </w:r>
      </w:hyperlink>
      <w:r w:rsidRPr="006A129E"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  <w:t xml:space="preserve"> (en inglés)</w:t>
      </w:r>
    </w:p>
    <w:p w14:paraId="1360824A" w14:textId="77777777" w:rsidR="006A129E" w:rsidRPr="006A129E" w:rsidRDefault="006A129E" w:rsidP="006A129E">
      <w:pPr>
        <w:shd w:val="clear" w:color="auto" w:fill="FFFFFF"/>
        <w:spacing w:after="0" w:line="270" w:lineRule="atLeast"/>
        <w:ind w:left="993"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  <w:t xml:space="preserve">- </w:t>
      </w:r>
      <w:hyperlink r:id="rId12" w:history="1">
        <w:r w:rsidRPr="006A129E">
          <w:rPr>
            <w:rFonts w:ascii="Calibri" w:eastAsia="Times New Roman" w:hAnsi="Calibri" w:cs="Arial"/>
            <w:color w:val="0000FF"/>
            <w:kern w:val="0"/>
            <w:sz w:val="22"/>
            <w:szCs w:val="22"/>
            <w:u w:val="single"/>
            <w:lang w:val="es-ES" w:eastAsia="es-ES" w:bidi="es-ES"/>
            <w14:ligatures w14:val="none"/>
          </w:rPr>
          <w:t>Adquisición sostenible de servicios de seguridad</w:t>
        </w:r>
      </w:hyperlink>
      <w:r w:rsidRPr="006A129E"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  <w:t xml:space="preserve"> (en inglés)</w:t>
      </w:r>
    </w:p>
    <w:p w14:paraId="78731058" w14:textId="77777777" w:rsidR="006A129E" w:rsidRPr="006A129E" w:rsidRDefault="006A129E" w:rsidP="006A129E">
      <w:pPr>
        <w:shd w:val="clear" w:color="auto" w:fill="FFFFFF"/>
        <w:spacing w:after="0" w:line="270" w:lineRule="atLeast"/>
        <w:ind w:left="993"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  <w:t xml:space="preserve">- </w:t>
      </w:r>
      <w:hyperlink r:id="rId13" w:history="1">
        <w:r w:rsidRPr="006A129E">
          <w:rPr>
            <w:rFonts w:ascii="Calibri" w:eastAsia="Times New Roman" w:hAnsi="Calibri" w:cs="Arial"/>
            <w:color w:val="0000FF"/>
            <w:kern w:val="0"/>
            <w:sz w:val="22"/>
            <w:szCs w:val="22"/>
            <w:u w:val="single"/>
            <w:lang w:val="es-ES" w:eastAsia="es-ES" w:bidi="es-ES"/>
            <w14:ligatures w14:val="none"/>
          </w:rPr>
          <w:t>Adquisición sostenible de productos y servicios de limpieza</w:t>
        </w:r>
      </w:hyperlink>
      <w:r w:rsidRPr="006A129E"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  <w:t xml:space="preserve"> (en inglés)</w:t>
      </w:r>
    </w:p>
    <w:p w14:paraId="7146FA66" w14:textId="77777777" w:rsidR="006A129E" w:rsidRPr="006A129E" w:rsidRDefault="006A129E" w:rsidP="006A129E">
      <w:pPr>
        <w:shd w:val="clear" w:color="auto" w:fill="FFFFFF"/>
        <w:spacing w:after="0" w:line="270" w:lineRule="atLeast"/>
        <w:ind w:left="993"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  <w:t xml:space="preserve">- </w:t>
      </w:r>
      <w:hyperlink r:id="rId14" w:history="1">
        <w:r w:rsidRPr="006A129E">
          <w:rPr>
            <w:rFonts w:ascii="Calibri" w:eastAsia="Times New Roman" w:hAnsi="Calibri" w:cs="Arial"/>
            <w:color w:val="0000FF"/>
            <w:kern w:val="0"/>
            <w:sz w:val="22"/>
            <w:szCs w:val="22"/>
            <w:u w:val="single"/>
            <w:lang w:val="es-ES" w:eastAsia="es-ES" w:bidi="es-ES"/>
            <w14:ligatures w14:val="none"/>
          </w:rPr>
          <w:t>Adquisición sostenible de servicios de hostelería y gestión de conferencias</w:t>
        </w:r>
      </w:hyperlink>
      <w:r w:rsidRPr="006A129E"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  <w:t>(en inglés)</w:t>
      </w:r>
    </w:p>
    <w:p w14:paraId="4B0113C4" w14:textId="77777777" w:rsidR="006A129E" w:rsidRPr="006A129E" w:rsidRDefault="006A129E" w:rsidP="006A129E">
      <w:pPr>
        <w:shd w:val="clear" w:color="auto" w:fill="FFFFFF"/>
        <w:spacing w:after="0" w:line="270" w:lineRule="atLeast"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  <w:tab/>
      </w:r>
    </w:p>
    <w:p w14:paraId="036011A9" w14:textId="77777777" w:rsidR="006A129E" w:rsidRPr="006A129E" w:rsidRDefault="006A129E" w:rsidP="006A129E">
      <w:pPr>
        <w:shd w:val="clear" w:color="auto" w:fill="FFFFFF"/>
        <w:spacing w:after="0" w:line="270" w:lineRule="atLeast"/>
        <w:ind w:left="709"/>
        <w:jc w:val="both"/>
        <w:textAlignment w:val="top"/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</w:pPr>
      <w:r w:rsidRPr="006A129E"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  <w:tab/>
        <w:t>En la sección «</w:t>
      </w:r>
      <w:hyperlink r:id="rId15" w:history="1">
        <w:r w:rsidRPr="006A129E">
          <w:rPr>
            <w:rFonts w:ascii="Calibri" w:eastAsia="Times New Roman" w:hAnsi="Calibri" w:cs="Arial"/>
            <w:color w:val="0000FF"/>
            <w:kern w:val="0"/>
            <w:sz w:val="22"/>
            <w:szCs w:val="22"/>
            <w:u w:val="single"/>
            <w:lang w:val="es-ES" w:eastAsia="es-ES" w:bidi="es-ES"/>
            <w14:ligatures w14:val="none"/>
          </w:rPr>
          <w:t>recursos para el personal de las Naciones Unidas</w:t>
        </w:r>
      </w:hyperlink>
      <w:r w:rsidRPr="006A129E"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  <w:t>» del portal mundial para los proveedores de las Naciones Unidas (www.ungm.org) figuran otras directrices útiles sobre adquisiciones sostenibles para diversas categorías de adquisiciones.</w:t>
      </w:r>
    </w:p>
    <w:p w14:paraId="3AF51880" w14:textId="0B6F18E1" w:rsidR="006A129E" w:rsidRPr="0020656D" w:rsidRDefault="006A129E" w:rsidP="006A129E">
      <w:pPr>
        <w:shd w:val="clear" w:color="auto" w:fill="FFFFFF"/>
        <w:rPr>
          <w:rFonts w:ascii="Calibri" w:hAnsi="Calibri"/>
          <w:sz w:val="22"/>
          <w:szCs w:val="22"/>
        </w:rPr>
      </w:pPr>
      <w:r w:rsidRPr="006A129E">
        <w:rPr>
          <w:rFonts w:ascii="Calibri" w:eastAsia="Times New Roman" w:hAnsi="Calibri" w:cs="Arial"/>
          <w:kern w:val="0"/>
          <w:sz w:val="22"/>
          <w:szCs w:val="22"/>
          <w:lang w:val="es-ES" w:eastAsia="es-ES" w:bidi="es-ES"/>
          <w14:ligatures w14:val="none"/>
        </w:rPr>
        <w:br/>
      </w:r>
      <w:r w:rsidRPr="0020656D">
        <w:rPr>
          <w:rFonts w:ascii="Calibri" w:hAnsi="Calibri"/>
          <w:b/>
          <w:bCs/>
          <w:i/>
          <w:iCs/>
          <w:sz w:val="22"/>
          <w:szCs w:val="22"/>
        </w:rPr>
        <w:t>Disclaimer:</w:t>
      </w:r>
      <w:r w:rsidRPr="0020656D">
        <w:rPr>
          <w:rFonts w:ascii="Calibri" w:hAnsi="Calibri"/>
          <w:i/>
          <w:iCs/>
          <w:sz w:val="22"/>
          <w:szCs w:val="22"/>
        </w:rPr>
        <w:t xml:space="preserve"> This document was translated from English into Spanish. In the event of any discrepancy between this translation and the original English document, the original English document shall prevail.</w:t>
      </w:r>
    </w:p>
    <w:p w14:paraId="0950D9B5" w14:textId="57BE8CBD" w:rsidR="00DA504D" w:rsidRDefault="006A129E" w:rsidP="007F5AE3">
      <w:pPr>
        <w:shd w:val="clear" w:color="auto" w:fill="FFFFFF"/>
      </w:pPr>
      <w:r w:rsidRPr="0020656D">
        <w:rPr>
          <w:rFonts w:ascii="Calibri" w:hAnsi="Calibri"/>
          <w:b/>
          <w:bCs/>
          <w:i/>
          <w:iCs/>
          <w:sz w:val="22"/>
          <w:szCs w:val="22"/>
          <w:shd w:val="clear" w:color="auto" w:fill="FFFFFF"/>
          <w:lang w:val="es-ES_tradnl"/>
        </w:rPr>
        <w:t>Descargo de responsabilidad:</w:t>
      </w:r>
      <w:r w:rsidRPr="0020656D">
        <w:rPr>
          <w:rFonts w:ascii="Calibri" w:hAnsi="Calibri"/>
          <w:i/>
          <w:iCs/>
          <w:sz w:val="22"/>
          <w:szCs w:val="22"/>
          <w:shd w:val="clear" w:color="auto" w:fill="FFFFFF"/>
          <w:lang w:val="es-ES_tradnl"/>
        </w:rPr>
        <w:t xml:space="preserve"> esta es una traducción de un documento original en inglés. </w:t>
      </w:r>
      <w:r w:rsidRPr="0020656D">
        <w:rPr>
          <w:rFonts w:ascii="Calibri" w:hAnsi="Calibri"/>
          <w:i/>
          <w:iCs/>
          <w:sz w:val="22"/>
          <w:szCs w:val="22"/>
          <w:shd w:val="clear" w:color="auto" w:fill="FFFFFF"/>
          <w:lang w:val="es-UY"/>
        </w:rPr>
        <w:t>En caso de discrepancias entre esta traducción y el documento original en inglés, prevalecerá el documento original en inglés.</w:t>
      </w:r>
    </w:p>
    <w:sectPr w:rsidR="00DA504D" w:rsidSect="007F5AE3">
      <w:headerReference w:type="default" r:id="rId16"/>
      <w:footerReference w:type="default" r:id="rId17"/>
      <w:pgSz w:w="12240" w:h="15840"/>
      <w:pgMar w:top="18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DC39E" w14:textId="77777777" w:rsidR="009A4959" w:rsidRDefault="009A4959" w:rsidP="006A129E">
      <w:pPr>
        <w:spacing w:after="0" w:line="240" w:lineRule="auto"/>
      </w:pPr>
      <w:r>
        <w:separator/>
      </w:r>
    </w:p>
  </w:endnote>
  <w:endnote w:type="continuationSeparator" w:id="0">
    <w:p w14:paraId="4D45F256" w14:textId="77777777" w:rsidR="009A4959" w:rsidRDefault="009A4959" w:rsidP="006A1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66213" w14:textId="46245982" w:rsidR="006A129E" w:rsidRPr="007F5AE3" w:rsidRDefault="006A129E" w:rsidP="005418A1">
    <w:pPr>
      <w:pStyle w:val="Footer"/>
      <w:tabs>
        <w:tab w:val="left" w:pos="7995"/>
      </w:tabs>
      <w:rPr>
        <w:rFonts w:ascii="Calibri" w:hAnsi="Calibri" w:cs="Calibri"/>
        <w:sz w:val="22"/>
        <w:szCs w:val="22"/>
      </w:rPr>
    </w:pPr>
    <w:r w:rsidRPr="007F5AE3">
      <w:rPr>
        <w:rFonts w:ascii="Calibri" w:hAnsi="Calibri" w:cs="Calibri"/>
        <w:sz w:val="22"/>
        <w:szCs w:val="22"/>
      </w:rPr>
      <w:t xml:space="preserve">Página </w:t>
    </w:r>
    <w:r w:rsidRPr="007F5AE3">
      <w:rPr>
        <w:rFonts w:ascii="Calibri" w:hAnsi="Calibri" w:cs="Calibri"/>
        <w:b/>
        <w:bCs/>
        <w:sz w:val="22"/>
        <w:szCs w:val="22"/>
      </w:rPr>
      <w:fldChar w:fldCharType="begin"/>
    </w:r>
    <w:r w:rsidRPr="007F5AE3">
      <w:rPr>
        <w:rFonts w:ascii="Calibri" w:hAnsi="Calibri" w:cs="Calibri"/>
        <w:b/>
        <w:bCs/>
        <w:sz w:val="22"/>
        <w:szCs w:val="22"/>
      </w:rPr>
      <w:instrText>PAGE  \* Arabic  \* MERGEFORMAT</w:instrText>
    </w:r>
    <w:r w:rsidRPr="007F5AE3">
      <w:rPr>
        <w:rFonts w:ascii="Calibri" w:hAnsi="Calibri" w:cs="Calibri"/>
        <w:b/>
        <w:bCs/>
        <w:sz w:val="22"/>
        <w:szCs w:val="22"/>
      </w:rPr>
      <w:fldChar w:fldCharType="separate"/>
    </w:r>
    <w:r w:rsidRPr="007F5AE3">
      <w:rPr>
        <w:rFonts w:ascii="Calibri" w:hAnsi="Calibri" w:cs="Calibri"/>
        <w:b/>
        <w:bCs/>
        <w:noProof/>
        <w:sz w:val="22"/>
        <w:szCs w:val="22"/>
      </w:rPr>
      <w:t>3</w:t>
    </w:r>
    <w:r w:rsidRPr="007F5AE3">
      <w:rPr>
        <w:rFonts w:ascii="Calibri" w:hAnsi="Calibri" w:cs="Calibri"/>
        <w:b/>
        <w:bCs/>
        <w:sz w:val="22"/>
        <w:szCs w:val="22"/>
      </w:rPr>
      <w:fldChar w:fldCharType="end"/>
    </w:r>
    <w:r w:rsidRPr="007F5AE3">
      <w:rPr>
        <w:rFonts w:ascii="Calibri" w:hAnsi="Calibri" w:cs="Calibri"/>
        <w:sz w:val="22"/>
        <w:szCs w:val="22"/>
      </w:rPr>
      <w:t xml:space="preserve"> de </w:t>
    </w:r>
    <w:r w:rsidRPr="007F5AE3">
      <w:rPr>
        <w:rFonts w:ascii="Calibri" w:hAnsi="Calibri" w:cs="Calibri"/>
        <w:b/>
        <w:bCs/>
        <w:sz w:val="22"/>
        <w:szCs w:val="22"/>
      </w:rPr>
      <w:fldChar w:fldCharType="begin"/>
    </w:r>
    <w:r w:rsidRPr="007F5AE3">
      <w:rPr>
        <w:rFonts w:ascii="Calibri" w:hAnsi="Calibri" w:cs="Calibri"/>
        <w:b/>
        <w:bCs/>
        <w:sz w:val="22"/>
        <w:szCs w:val="22"/>
      </w:rPr>
      <w:instrText>NUMPAGES  \* Arabic  \* MERGEFORMAT</w:instrText>
    </w:r>
    <w:r w:rsidRPr="007F5AE3">
      <w:rPr>
        <w:rFonts w:ascii="Calibri" w:hAnsi="Calibri" w:cs="Calibri"/>
        <w:b/>
        <w:bCs/>
        <w:sz w:val="22"/>
        <w:szCs w:val="22"/>
      </w:rPr>
      <w:fldChar w:fldCharType="separate"/>
    </w:r>
    <w:r w:rsidRPr="007F5AE3">
      <w:rPr>
        <w:rFonts w:ascii="Calibri" w:hAnsi="Calibri" w:cs="Calibri"/>
        <w:b/>
        <w:bCs/>
        <w:noProof/>
        <w:sz w:val="22"/>
        <w:szCs w:val="22"/>
      </w:rPr>
      <w:t>3</w:t>
    </w:r>
    <w:r w:rsidRPr="007F5AE3">
      <w:rPr>
        <w:rFonts w:ascii="Calibri" w:hAnsi="Calibri" w:cs="Calibri"/>
        <w:b/>
        <w:bCs/>
        <w:sz w:val="22"/>
        <w:szCs w:val="22"/>
      </w:rPr>
      <w:fldChar w:fldCharType="end"/>
    </w:r>
    <w:r w:rsidRPr="007F5AE3">
      <w:rPr>
        <w:rFonts w:ascii="Calibri" w:hAnsi="Calibri" w:cs="Calibri"/>
        <w:sz w:val="22"/>
        <w:szCs w:val="22"/>
      </w:rPr>
      <w:t xml:space="preserve">                                       Fecha de entrada en vigor: 26/07/2016</w:t>
    </w:r>
    <w:r w:rsidRPr="007F5AE3">
      <w:rPr>
        <w:rFonts w:ascii="Calibri" w:hAnsi="Calibri" w:cs="Calibri"/>
        <w:sz w:val="22"/>
        <w:szCs w:val="22"/>
      </w:rPr>
      <w:tab/>
      <w:t xml:space="preserve">   Versión #: 10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44E3A" w14:textId="77777777" w:rsidR="009A4959" w:rsidRDefault="009A4959" w:rsidP="006A129E">
      <w:pPr>
        <w:spacing w:after="0" w:line="240" w:lineRule="auto"/>
      </w:pPr>
      <w:r>
        <w:separator/>
      </w:r>
    </w:p>
  </w:footnote>
  <w:footnote w:type="continuationSeparator" w:id="0">
    <w:p w14:paraId="037A8808" w14:textId="77777777" w:rsidR="009A4959" w:rsidRDefault="009A4959" w:rsidP="006A1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9853A" w14:textId="010F61B7" w:rsidR="006A129E" w:rsidRDefault="006A129E" w:rsidP="0055621A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2EAB1B" wp14:editId="07F5B6AF">
          <wp:simplePos x="0" y="0"/>
          <wp:positionH relativeFrom="rightMargin">
            <wp:align>left</wp:align>
          </wp:positionH>
          <wp:positionV relativeFrom="paragraph">
            <wp:posOffset>7620</wp:posOffset>
          </wp:positionV>
          <wp:extent cx="283210" cy="553085"/>
          <wp:effectExtent l="0" t="0" r="2540" b="0"/>
          <wp:wrapNone/>
          <wp:docPr id="15375763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365787" name="Picture 2037365787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369" b="28533"/>
                  <a:stretch/>
                </pic:blipFill>
                <pic:spPr bwMode="auto">
                  <a:xfrm>
                    <a:off x="0" y="0"/>
                    <a:ext cx="28321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3468DB89" w14:textId="77777777" w:rsidR="006A129E" w:rsidRDefault="006A12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B08F1"/>
    <w:multiLevelType w:val="hybridMultilevel"/>
    <w:tmpl w:val="79BE06C6"/>
    <w:lvl w:ilvl="0" w:tplc="04090019">
      <w:start w:val="1"/>
      <w:numFmt w:val="lowerLetter"/>
      <w:lvlText w:val="%1."/>
      <w:lvlJc w:val="left"/>
      <w:pPr>
        <w:ind w:left="1980" w:hanging="360"/>
      </w:pPr>
    </w:lvl>
    <w:lvl w:ilvl="1" w:tplc="041C0019">
      <w:start w:val="1"/>
      <w:numFmt w:val="lowerLetter"/>
      <w:lvlText w:val="%2."/>
      <w:lvlJc w:val="left"/>
      <w:pPr>
        <w:ind w:left="2700" w:hanging="360"/>
      </w:pPr>
    </w:lvl>
    <w:lvl w:ilvl="2" w:tplc="041C001B" w:tentative="1">
      <w:start w:val="1"/>
      <w:numFmt w:val="lowerRoman"/>
      <w:lvlText w:val="%3."/>
      <w:lvlJc w:val="right"/>
      <w:pPr>
        <w:ind w:left="3420" w:hanging="180"/>
      </w:pPr>
    </w:lvl>
    <w:lvl w:ilvl="3" w:tplc="041C000F" w:tentative="1">
      <w:start w:val="1"/>
      <w:numFmt w:val="decimal"/>
      <w:lvlText w:val="%4."/>
      <w:lvlJc w:val="left"/>
      <w:pPr>
        <w:ind w:left="4140" w:hanging="360"/>
      </w:pPr>
    </w:lvl>
    <w:lvl w:ilvl="4" w:tplc="041C0019" w:tentative="1">
      <w:start w:val="1"/>
      <w:numFmt w:val="lowerLetter"/>
      <w:lvlText w:val="%5."/>
      <w:lvlJc w:val="left"/>
      <w:pPr>
        <w:ind w:left="4860" w:hanging="360"/>
      </w:pPr>
    </w:lvl>
    <w:lvl w:ilvl="5" w:tplc="041C001B" w:tentative="1">
      <w:start w:val="1"/>
      <w:numFmt w:val="lowerRoman"/>
      <w:lvlText w:val="%6."/>
      <w:lvlJc w:val="right"/>
      <w:pPr>
        <w:ind w:left="5580" w:hanging="180"/>
      </w:pPr>
    </w:lvl>
    <w:lvl w:ilvl="6" w:tplc="041C000F" w:tentative="1">
      <w:start w:val="1"/>
      <w:numFmt w:val="decimal"/>
      <w:lvlText w:val="%7."/>
      <w:lvlJc w:val="left"/>
      <w:pPr>
        <w:ind w:left="6300" w:hanging="360"/>
      </w:pPr>
    </w:lvl>
    <w:lvl w:ilvl="7" w:tplc="041C0019" w:tentative="1">
      <w:start w:val="1"/>
      <w:numFmt w:val="lowerLetter"/>
      <w:lvlText w:val="%8."/>
      <w:lvlJc w:val="left"/>
      <w:pPr>
        <w:ind w:left="7020" w:hanging="360"/>
      </w:pPr>
    </w:lvl>
    <w:lvl w:ilvl="8" w:tplc="041C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718D7C25"/>
    <w:multiLevelType w:val="hybridMultilevel"/>
    <w:tmpl w:val="35AA33DC"/>
    <w:lvl w:ilvl="0" w:tplc="02105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716891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D07993"/>
    <w:multiLevelType w:val="hybridMultilevel"/>
    <w:tmpl w:val="AD2AC5FA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1C0019">
      <w:start w:val="1"/>
      <w:numFmt w:val="lowerLetter"/>
      <w:lvlText w:val="%2."/>
      <w:lvlJc w:val="left"/>
      <w:pPr>
        <w:ind w:left="1890" w:hanging="360"/>
      </w:pPr>
    </w:lvl>
    <w:lvl w:ilvl="2" w:tplc="041C001B" w:tentative="1">
      <w:start w:val="1"/>
      <w:numFmt w:val="lowerRoman"/>
      <w:lvlText w:val="%3."/>
      <w:lvlJc w:val="right"/>
      <w:pPr>
        <w:ind w:left="2610" w:hanging="180"/>
      </w:pPr>
    </w:lvl>
    <w:lvl w:ilvl="3" w:tplc="041C000F" w:tentative="1">
      <w:start w:val="1"/>
      <w:numFmt w:val="decimal"/>
      <w:lvlText w:val="%4."/>
      <w:lvlJc w:val="left"/>
      <w:pPr>
        <w:ind w:left="3330" w:hanging="360"/>
      </w:pPr>
    </w:lvl>
    <w:lvl w:ilvl="4" w:tplc="041C0019" w:tentative="1">
      <w:start w:val="1"/>
      <w:numFmt w:val="lowerLetter"/>
      <w:lvlText w:val="%5."/>
      <w:lvlJc w:val="left"/>
      <w:pPr>
        <w:ind w:left="4050" w:hanging="360"/>
      </w:pPr>
    </w:lvl>
    <w:lvl w:ilvl="5" w:tplc="041C001B" w:tentative="1">
      <w:start w:val="1"/>
      <w:numFmt w:val="lowerRoman"/>
      <w:lvlText w:val="%6."/>
      <w:lvlJc w:val="right"/>
      <w:pPr>
        <w:ind w:left="4770" w:hanging="180"/>
      </w:pPr>
    </w:lvl>
    <w:lvl w:ilvl="6" w:tplc="041C000F" w:tentative="1">
      <w:start w:val="1"/>
      <w:numFmt w:val="decimal"/>
      <w:lvlText w:val="%7."/>
      <w:lvlJc w:val="left"/>
      <w:pPr>
        <w:ind w:left="5490" w:hanging="360"/>
      </w:pPr>
    </w:lvl>
    <w:lvl w:ilvl="7" w:tplc="041C0019" w:tentative="1">
      <w:start w:val="1"/>
      <w:numFmt w:val="lowerLetter"/>
      <w:lvlText w:val="%8."/>
      <w:lvlJc w:val="left"/>
      <w:pPr>
        <w:ind w:left="6210" w:hanging="360"/>
      </w:pPr>
    </w:lvl>
    <w:lvl w:ilvl="8" w:tplc="041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7F4B303F"/>
    <w:multiLevelType w:val="hybridMultilevel"/>
    <w:tmpl w:val="1916AA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86176020">
    <w:abstractNumId w:val="1"/>
  </w:num>
  <w:num w:numId="2" w16cid:durableId="1263997760">
    <w:abstractNumId w:val="0"/>
  </w:num>
  <w:num w:numId="3" w16cid:durableId="1717050196">
    <w:abstractNumId w:val="3"/>
  </w:num>
  <w:num w:numId="4" w16cid:durableId="1329021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29E"/>
    <w:rsid w:val="006A129E"/>
    <w:rsid w:val="007F5AE3"/>
    <w:rsid w:val="009A4959"/>
    <w:rsid w:val="00A15416"/>
    <w:rsid w:val="00C61B9D"/>
    <w:rsid w:val="00DA504D"/>
    <w:rsid w:val="00E217A4"/>
    <w:rsid w:val="00FA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A37CF0"/>
  <w15:chartTrackingRefBased/>
  <w15:docId w15:val="{12D29868-5849-4172-B01E-AA88A9D59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12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2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12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2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2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2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2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2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2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2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2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12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2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2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2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2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2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2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2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12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2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12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12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2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2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2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2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2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29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29E"/>
  </w:style>
  <w:style w:type="paragraph" w:styleId="Footer">
    <w:name w:val="footer"/>
    <w:basedOn w:val="Normal"/>
    <w:link w:val="FooterChar"/>
    <w:uiPriority w:val="99"/>
    <w:unhideWhenUsed/>
    <w:rsid w:val="006A1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29E"/>
  </w:style>
  <w:style w:type="paragraph" w:styleId="Revision">
    <w:name w:val="Revision"/>
    <w:hidden/>
    <w:uiPriority w:val="99"/>
    <w:semiHidden/>
    <w:rsid w:val="006A12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pp.undp.org/node/1996" TargetMode="External"/><Relationship Id="rId13" Type="http://schemas.openxmlformats.org/officeDocument/2006/relationships/hyperlink" Target="https://undp.service-now.com/unall?id=kb_article_view&amp;sysparm_article=KB001427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pp.undp.org/node/1996" TargetMode="External"/><Relationship Id="rId12" Type="http://schemas.openxmlformats.org/officeDocument/2006/relationships/hyperlink" Target="https://undp.service-now.com/unall?id=kb_article_view&amp;sysparm_article=KB0014271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ndp.service-now.com/unall?id=kb_article_view&amp;sysparm_article=KB001404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ngm.org/Account/Account/Login?ReturnUrl=%2FShared%2FKnowledgeCenter%2FPages%2FSPUNstaffTools" TargetMode="External"/><Relationship Id="rId10" Type="http://schemas.openxmlformats.org/officeDocument/2006/relationships/hyperlink" Target="https://undp.service-now.com/unall?id=kb_article_view&amp;sysparm_article=KB001404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ndp.service-now.com/unall?id=kb_article_view&amp;sysparm_article=KB0014273" TargetMode="External"/><Relationship Id="rId14" Type="http://schemas.openxmlformats.org/officeDocument/2006/relationships/hyperlink" Target="https://undp.service-now.com/unall?id=kb_article_view&amp;sysparm_article=KB001404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1207</Words>
  <Characters>6882</Characters>
  <Application>Microsoft Office Word</Application>
  <DocSecurity>0</DocSecurity>
  <Lines>57</Lines>
  <Paragraphs>16</Paragraphs>
  <ScaleCrop>false</ScaleCrop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2</cp:revision>
  <dcterms:created xsi:type="dcterms:W3CDTF">2026-05-13T03:06:00Z</dcterms:created>
  <dcterms:modified xsi:type="dcterms:W3CDTF">2026-05-13T03:11:00Z</dcterms:modified>
</cp:coreProperties>
</file>