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9869" w14:textId="77777777" w:rsidR="007311D0" w:rsidRPr="001C6122" w:rsidRDefault="000C092E" w:rsidP="0086179C">
      <w:pPr>
        <w:shd w:val="clear" w:color="auto" w:fill="FFFFFF"/>
        <w:jc w:val="both"/>
        <w:textAlignment w:val="top"/>
        <w:rPr>
          <w:rFonts w:asciiTheme="majorHAnsi" w:hAnsiTheme="majorHAnsi"/>
          <w:b/>
          <w:sz w:val="28"/>
          <w:szCs w:val="28"/>
        </w:rPr>
      </w:pPr>
      <w:r>
        <w:rPr>
          <w:rFonts w:asciiTheme="majorHAnsi" w:hAnsiTheme="majorHAnsi"/>
          <w:b/>
          <w:sz w:val="28"/>
        </w:rPr>
        <w:t>Autoridad en Materia de Adquisiciones y Aumento de la Autoridad Delegada en Materia de Adquisiciones</w:t>
      </w:r>
    </w:p>
    <w:p w14:paraId="6381ED87" w14:textId="77777777" w:rsidR="00534A7E" w:rsidRPr="00534A7E" w:rsidRDefault="0047381E" w:rsidP="00534A7E">
      <w:pPr>
        <w:pStyle w:val="ListParagraph"/>
        <w:numPr>
          <w:ilvl w:val="0"/>
          <w:numId w:val="2"/>
        </w:numPr>
        <w:shd w:val="clear" w:color="auto" w:fill="FFFFFF"/>
        <w:spacing w:before="240"/>
        <w:jc w:val="both"/>
        <w:textAlignment w:val="top"/>
        <w:rPr>
          <w:rFonts w:asciiTheme="majorHAnsi" w:hAnsiTheme="majorHAnsi"/>
          <w:sz w:val="22"/>
          <w:szCs w:val="22"/>
        </w:rPr>
      </w:pPr>
      <w:r>
        <w:rPr>
          <w:rFonts w:asciiTheme="majorHAnsi" w:hAnsiTheme="majorHAnsi"/>
          <w:sz w:val="22"/>
        </w:rPr>
        <w:t>Las adquisiciones se gestionan mediante un sistema de autoridad delegada en materia de adquisiciones para las acciones de adquisiciones que conducen a los contratos emitidos por el PNUD.</w:t>
      </w:r>
      <w:bookmarkStart w:id="0" w:name="Description"/>
      <w:bookmarkEnd w:id="0"/>
      <w:r>
        <w:rPr>
          <w:rFonts w:asciiTheme="majorHAnsi" w:hAnsiTheme="majorHAnsi"/>
          <w:sz w:val="22"/>
        </w:rPr>
        <w:t xml:space="preserve"> La autoridad delegada en materia de adquisiciones está regida por límites de umbral monetario. </w:t>
      </w:r>
    </w:p>
    <w:p w14:paraId="0A8237C7" w14:textId="77777777" w:rsidR="00534A7E" w:rsidRPr="00534A7E" w:rsidRDefault="00534A7E" w:rsidP="00534A7E">
      <w:pPr>
        <w:pStyle w:val="ListParagraph"/>
        <w:shd w:val="clear" w:color="auto" w:fill="FFFFFF"/>
        <w:spacing w:before="240"/>
        <w:jc w:val="both"/>
        <w:textAlignment w:val="top"/>
        <w:rPr>
          <w:rFonts w:asciiTheme="majorHAnsi" w:hAnsiTheme="majorHAnsi"/>
          <w:sz w:val="22"/>
          <w:szCs w:val="22"/>
        </w:rPr>
      </w:pPr>
    </w:p>
    <w:p w14:paraId="40A277B4" w14:textId="531BA080" w:rsidR="00477D0D" w:rsidRPr="00534A7E" w:rsidRDefault="000C092E" w:rsidP="00534A7E">
      <w:pPr>
        <w:pStyle w:val="ListParagraph"/>
        <w:numPr>
          <w:ilvl w:val="0"/>
          <w:numId w:val="2"/>
        </w:numPr>
        <w:shd w:val="clear" w:color="auto" w:fill="FFFFFF"/>
        <w:spacing w:before="240"/>
        <w:jc w:val="both"/>
        <w:textAlignment w:val="top"/>
        <w:rPr>
          <w:rFonts w:asciiTheme="majorHAnsi" w:hAnsiTheme="majorHAnsi"/>
          <w:sz w:val="22"/>
          <w:szCs w:val="22"/>
        </w:rPr>
      </w:pPr>
      <w:r>
        <w:rPr>
          <w:rFonts w:asciiTheme="majorHAnsi" w:hAnsiTheme="majorHAnsi"/>
          <w:sz w:val="22"/>
        </w:rPr>
        <w:t xml:space="preserve">El </w:t>
      </w:r>
      <w:proofErr w:type="gramStart"/>
      <w:r>
        <w:rPr>
          <w:rFonts w:asciiTheme="majorHAnsi" w:hAnsiTheme="majorHAnsi"/>
          <w:sz w:val="22"/>
        </w:rPr>
        <w:t>Director</w:t>
      </w:r>
      <w:proofErr w:type="gramEnd"/>
      <w:r>
        <w:rPr>
          <w:rFonts w:asciiTheme="majorHAnsi" w:hAnsiTheme="majorHAnsi"/>
          <w:sz w:val="22"/>
        </w:rPr>
        <w:t xml:space="preserve"> de la Dirección de Servicios de Gestión</w:t>
      </w:r>
      <w:r w:rsidR="00293E9B">
        <w:rPr>
          <w:rFonts w:asciiTheme="majorHAnsi" w:hAnsiTheme="majorHAnsi"/>
          <w:sz w:val="22"/>
        </w:rPr>
        <w:t xml:space="preserve"> (BMS)</w:t>
      </w:r>
      <w:r>
        <w:rPr>
          <w:rFonts w:asciiTheme="majorHAnsi" w:hAnsiTheme="majorHAnsi"/>
          <w:sz w:val="22"/>
        </w:rPr>
        <w:t xml:space="preserve"> como Oficial </w:t>
      </w:r>
      <w:proofErr w:type="gramStart"/>
      <w:r>
        <w:rPr>
          <w:rFonts w:asciiTheme="majorHAnsi" w:hAnsiTheme="majorHAnsi"/>
          <w:sz w:val="22"/>
        </w:rPr>
        <w:t>Jefe</w:t>
      </w:r>
      <w:proofErr w:type="gramEnd"/>
      <w:r>
        <w:rPr>
          <w:rFonts w:asciiTheme="majorHAnsi" w:hAnsiTheme="majorHAnsi"/>
          <w:sz w:val="22"/>
        </w:rPr>
        <w:t xml:space="preserve"> de Adquisiciones del PNUD</w:t>
      </w:r>
      <w:r w:rsidR="00293E9B">
        <w:rPr>
          <w:rFonts w:asciiTheme="majorHAnsi" w:hAnsiTheme="majorHAnsi"/>
          <w:sz w:val="22"/>
        </w:rPr>
        <w:t xml:space="preserve"> (CPO)</w:t>
      </w:r>
      <w:r>
        <w:rPr>
          <w:rFonts w:asciiTheme="majorHAnsi" w:hAnsiTheme="majorHAnsi"/>
          <w:sz w:val="22"/>
        </w:rPr>
        <w:t xml:space="preserve"> emite autoridad delegada estándar en materia de adquisiciones (actualmente establecida en USD </w:t>
      </w:r>
      <w:r w:rsidR="00C577C7">
        <w:rPr>
          <w:rFonts w:asciiTheme="majorHAnsi" w:hAnsiTheme="majorHAnsi"/>
          <w:sz w:val="22"/>
        </w:rPr>
        <w:t>3</w:t>
      </w:r>
      <w:r w:rsidR="00681311">
        <w:rPr>
          <w:rFonts w:asciiTheme="majorHAnsi" w:hAnsiTheme="majorHAnsi"/>
          <w:sz w:val="22"/>
        </w:rPr>
        <w:t>0</w:t>
      </w:r>
      <w:r>
        <w:rPr>
          <w:rFonts w:asciiTheme="majorHAnsi" w:hAnsiTheme="majorHAnsi"/>
          <w:sz w:val="22"/>
        </w:rPr>
        <w:t>0</w:t>
      </w:r>
      <w:r w:rsidR="00940149">
        <w:rPr>
          <w:rFonts w:asciiTheme="majorHAnsi" w:hAnsiTheme="majorHAnsi"/>
          <w:sz w:val="22"/>
        </w:rPr>
        <w:t xml:space="preserve">, </w:t>
      </w:r>
      <w:r>
        <w:rPr>
          <w:rFonts w:asciiTheme="majorHAnsi" w:hAnsiTheme="majorHAnsi"/>
          <w:sz w:val="22"/>
        </w:rPr>
        <w:t xml:space="preserve">000) para los Representantes Residentes y los jefes de las sedes y de las </w:t>
      </w:r>
      <w:r w:rsidR="00293E9B">
        <w:rPr>
          <w:rFonts w:asciiTheme="majorHAnsi" w:hAnsiTheme="majorHAnsi"/>
          <w:sz w:val="22"/>
        </w:rPr>
        <w:t>unidades de negocio</w:t>
      </w:r>
      <w:r>
        <w:rPr>
          <w:rFonts w:asciiTheme="majorHAnsi" w:hAnsiTheme="majorHAnsi"/>
          <w:sz w:val="22"/>
        </w:rPr>
        <w:t xml:space="preserve"> fuera de la sede. </w:t>
      </w:r>
    </w:p>
    <w:p w14:paraId="33D706E3" w14:textId="77777777" w:rsidR="00D25FF4" w:rsidRPr="00534A7E" w:rsidRDefault="00D25FF4" w:rsidP="002A6958">
      <w:pPr>
        <w:pStyle w:val="ListParagraph"/>
        <w:rPr>
          <w:rFonts w:asciiTheme="majorHAnsi" w:hAnsiTheme="majorHAnsi"/>
          <w:sz w:val="22"/>
          <w:szCs w:val="22"/>
        </w:rPr>
      </w:pPr>
    </w:p>
    <w:p w14:paraId="5B300BC7" w14:textId="453C5F14" w:rsidR="00841528" w:rsidRPr="00534A7E" w:rsidRDefault="00841528" w:rsidP="00841528">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Pr>
          <w:rFonts w:asciiTheme="majorHAnsi" w:hAnsiTheme="majorHAnsi"/>
          <w:sz w:val="22"/>
        </w:rPr>
        <w:t xml:space="preserve">Los jefes de las </w:t>
      </w:r>
      <w:r w:rsidR="00293E9B">
        <w:rPr>
          <w:rFonts w:asciiTheme="majorHAnsi" w:hAnsiTheme="majorHAnsi"/>
          <w:sz w:val="22"/>
        </w:rPr>
        <w:t>unidades de negocio</w:t>
      </w:r>
      <w:r>
        <w:rPr>
          <w:rFonts w:asciiTheme="majorHAnsi" w:hAnsiTheme="majorHAnsi"/>
          <w:sz w:val="22"/>
        </w:rPr>
        <w:t xml:space="preserve"> pueden a su vez subdelegar la autoridad en materia de adquisiciones a su personal por escrito, mientras conservan la responsabilidad en general. Los registros de todo el personal con autoridad en materia de adquisiciones deben indicar el alcance y la duración de su responsabilidad delegada, y deberán entregarse copias de estos registros al Presidente del Comité Consultivo Regional sobre Adquisiciones o del Comité Consultivo sobre Adquisiciones, según corresponda.</w:t>
      </w:r>
      <w:r>
        <w:rPr>
          <w:rFonts w:asciiTheme="majorHAnsi" w:hAnsiTheme="majorHAnsi"/>
          <w:b/>
          <w:i/>
          <w:vanish/>
          <w:sz w:val="22"/>
        </w:rPr>
        <w:t>Increasing delegated procurement authority</w:t>
      </w:r>
      <w:r>
        <w:rPr>
          <w:rFonts w:asciiTheme="majorHAnsi" w:hAnsiTheme="majorHAnsi"/>
          <w:b/>
          <w:i/>
          <w:sz w:val="22"/>
        </w:rPr>
        <w:t xml:space="preserve"> </w:t>
      </w:r>
      <w:r>
        <w:rPr>
          <w:rFonts w:asciiTheme="majorHAnsi" w:hAnsiTheme="majorHAnsi"/>
          <w:sz w:val="22"/>
        </w:rPr>
        <w:t>Todo el personal que ejerza autoridad en materia de adquisiciones deberá cumplir con todos los reglamentos financieros, las reglamentaciones, las políticas y los procedimientos de adquisiciones relevantes.</w:t>
      </w:r>
    </w:p>
    <w:p w14:paraId="5D40BEE9" w14:textId="77777777" w:rsidR="00532282" w:rsidRPr="00534A7E" w:rsidRDefault="00532282" w:rsidP="000403DC">
      <w:pPr>
        <w:pStyle w:val="ListParagraph"/>
        <w:rPr>
          <w:rFonts w:asciiTheme="majorHAnsi" w:hAnsiTheme="majorHAnsi"/>
          <w:sz w:val="22"/>
          <w:szCs w:val="22"/>
        </w:rPr>
      </w:pPr>
    </w:p>
    <w:p w14:paraId="17E8E6E2" w14:textId="592059DE" w:rsidR="00532282" w:rsidRPr="00534A7E" w:rsidRDefault="000C092E" w:rsidP="000C092E">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Pr>
          <w:rFonts w:asciiTheme="majorHAnsi" w:hAnsiTheme="majorHAnsi"/>
          <w:sz w:val="22"/>
        </w:rPr>
        <w:t xml:space="preserve">Una Oficina </w:t>
      </w:r>
      <w:r w:rsidR="005740A3">
        <w:rPr>
          <w:rFonts w:asciiTheme="majorHAnsi" w:hAnsiTheme="majorHAnsi"/>
          <w:sz w:val="22"/>
        </w:rPr>
        <w:t>de País</w:t>
      </w:r>
      <w:r>
        <w:rPr>
          <w:rFonts w:asciiTheme="majorHAnsi" w:hAnsiTheme="majorHAnsi"/>
          <w:sz w:val="22"/>
        </w:rPr>
        <w:t xml:space="preserve"> puede solicitar un aumento de la autoridad delegada estándar en materia de adquisiciones.  Cualquier aumento otorgado se basa, por lo general, en una evaluación del volumen monetario anticipado de adquisición, la capacidad demostrada de una oficina o dependencia y su desempeño anterior. Un aumento está sujeto a los siguientes umbrales: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6"/>
        <w:gridCol w:w="5486"/>
      </w:tblGrid>
      <w:tr w:rsidR="00377DAF" w:rsidRPr="00097D72" w14:paraId="4C785AC8" w14:textId="77777777" w:rsidTr="00F22779">
        <w:trPr>
          <w:jc w:val="center"/>
        </w:trPr>
        <w:tc>
          <w:tcPr>
            <w:tcW w:w="2696" w:type="dxa"/>
            <w:tcBorders>
              <w:top w:val="outset" w:sz="6" w:space="0" w:color="auto"/>
              <w:left w:val="outset" w:sz="6" w:space="0" w:color="auto"/>
              <w:bottom w:val="outset" w:sz="6" w:space="0" w:color="auto"/>
              <w:right w:val="outset" w:sz="6" w:space="0" w:color="auto"/>
            </w:tcBorders>
          </w:tcPr>
          <w:p w14:paraId="39DBD8CC" w14:textId="77777777" w:rsidR="00377DAF" w:rsidRPr="00097D72" w:rsidRDefault="00377DAF" w:rsidP="00E72107">
            <w:pPr>
              <w:spacing w:before="100" w:beforeAutospacing="1" w:after="100" w:afterAutospacing="1"/>
              <w:jc w:val="center"/>
              <w:rPr>
                <w:rFonts w:asciiTheme="majorHAnsi" w:hAnsiTheme="majorHAnsi"/>
                <w:b/>
                <w:sz w:val="22"/>
                <w:szCs w:val="22"/>
              </w:rPr>
            </w:pPr>
            <w:r>
              <w:rPr>
                <w:rFonts w:asciiTheme="majorHAnsi" w:hAnsiTheme="majorHAnsi"/>
                <w:b/>
                <w:sz w:val="22"/>
              </w:rPr>
              <w:t xml:space="preserve">Niveles de Autoridad </w:t>
            </w:r>
            <w:proofErr w:type="gramStart"/>
            <w:r>
              <w:rPr>
                <w:rFonts w:asciiTheme="majorHAnsi" w:hAnsiTheme="majorHAnsi"/>
                <w:b/>
                <w:sz w:val="22"/>
              </w:rPr>
              <w:t>Delegada</w:t>
            </w:r>
            <w:proofErr w:type="gramEnd"/>
            <w:r>
              <w:rPr>
                <w:rFonts w:asciiTheme="majorHAnsi" w:hAnsiTheme="majorHAnsi"/>
                <w:b/>
                <w:sz w:val="22"/>
              </w:rPr>
              <w:t xml:space="preserve"> en Materia de Adquisiciones</w:t>
            </w:r>
          </w:p>
        </w:tc>
        <w:tc>
          <w:tcPr>
            <w:tcW w:w="5486" w:type="dxa"/>
            <w:tcBorders>
              <w:top w:val="outset" w:sz="6" w:space="0" w:color="auto"/>
              <w:left w:val="outset" w:sz="6" w:space="0" w:color="auto"/>
              <w:bottom w:val="outset" w:sz="6" w:space="0" w:color="auto"/>
              <w:right w:val="outset" w:sz="6" w:space="0" w:color="auto"/>
            </w:tcBorders>
            <w:hideMark/>
          </w:tcPr>
          <w:p w14:paraId="4218CCDF" w14:textId="77777777" w:rsidR="00377DAF" w:rsidRPr="00097D72" w:rsidRDefault="00377DAF" w:rsidP="00003B4D">
            <w:pPr>
              <w:spacing w:before="100" w:beforeAutospacing="1" w:after="100" w:afterAutospacing="1"/>
              <w:jc w:val="center"/>
              <w:rPr>
                <w:rFonts w:asciiTheme="majorHAnsi" w:hAnsiTheme="majorHAnsi"/>
                <w:sz w:val="22"/>
                <w:szCs w:val="22"/>
              </w:rPr>
            </w:pPr>
            <w:r>
              <w:rPr>
                <w:rFonts w:asciiTheme="majorHAnsi" w:hAnsiTheme="majorHAnsi"/>
                <w:b/>
                <w:sz w:val="22"/>
              </w:rPr>
              <w:t>Autoridad delegada en materia de adquisiciones</w:t>
            </w:r>
          </w:p>
        </w:tc>
      </w:tr>
      <w:tr w:rsidR="00377DAF" w:rsidRPr="00097D72" w14:paraId="55BE8B67" w14:textId="77777777" w:rsidTr="00F22779">
        <w:trPr>
          <w:jc w:val="center"/>
        </w:trPr>
        <w:tc>
          <w:tcPr>
            <w:tcW w:w="2696" w:type="dxa"/>
            <w:tcBorders>
              <w:top w:val="outset" w:sz="6" w:space="0" w:color="auto"/>
              <w:left w:val="outset" w:sz="6" w:space="0" w:color="auto"/>
              <w:bottom w:val="outset" w:sz="6" w:space="0" w:color="auto"/>
              <w:right w:val="outset" w:sz="6" w:space="0" w:color="auto"/>
            </w:tcBorders>
          </w:tcPr>
          <w:p w14:paraId="12DF397D" w14:textId="77777777" w:rsidR="00F22779" w:rsidRDefault="00377DAF" w:rsidP="00F22779">
            <w:pPr>
              <w:jc w:val="center"/>
              <w:rPr>
                <w:rFonts w:asciiTheme="majorHAnsi" w:hAnsiTheme="majorHAnsi" w:cs="Arial"/>
                <w:sz w:val="22"/>
                <w:szCs w:val="22"/>
              </w:rPr>
            </w:pPr>
            <w:r>
              <w:rPr>
                <w:rFonts w:asciiTheme="majorHAnsi" w:hAnsiTheme="majorHAnsi"/>
                <w:sz w:val="22"/>
              </w:rPr>
              <w:t xml:space="preserve">Nivel 1 </w:t>
            </w:r>
          </w:p>
          <w:p w14:paraId="603808E4" w14:textId="18AD1E32" w:rsidR="00377DAF" w:rsidRPr="00F22779" w:rsidRDefault="00377DAF" w:rsidP="00F22779">
            <w:pPr>
              <w:jc w:val="center"/>
              <w:rPr>
                <w:rFonts w:asciiTheme="majorHAnsi" w:hAnsiTheme="majorHAnsi"/>
                <w:i/>
                <w:sz w:val="22"/>
                <w:szCs w:val="22"/>
              </w:rPr>
            </w:pPr>
            <w:r>
              <w:rPr>
                <w:rFonts w:asciiTheme="majorHAnsi" w:hAnsiTheme="majorHAnsi"/>
                <w:i/>
                <w:sz w:val="22"/>
              </w:rPr>
              <w:t>(Estándar)</w:t>
            </w:r>
          </w:p>
        </w:tc>
        <w:tc>
          <w:tcPr>
            <w:tcW w:w="5486" w:type="dxa"/>
            <w:tcBorders>
              <w:top w:val="outset" w:sz="6" w:space="0" w:color="auto"/>
              <w:left w:val="outset" w:sz="6" w:space="0" w:color="auto"/>
              <w:bottom w:val="outset" w:sz="6" w:space="0" w:color="auto"/>
              <w:right w:val="outset" w:sz="6" w:space="0" w:color="auto"/>
            </w:tcBorders>
            <w:hideMark/>
          </w:tcPr>
          <w:p w14:paraId="60BA0F6F" w14:textId="65E9366C" w:rsidR="00377DAF" w:rsidRPr="00097D72" w:rsidRDefault="00377DAF" w:rsidP="00F22779">
            <w:pPr>
              <w:jc w:val="center"/>
              <w:rPr>
                <w:rFonts w:asciiTheme="majorHAnsi" w:hAnsiTheme="majorHAnsi" w:cs="Arial"/>
                <w:sz w:val="22"/>
                <w:szCs w:val="22"/>
              </w:rPr>
            </w:pPr>
            <w:r>
              <w:rPr>
                <w:rFonts w:asciiTheme="majorHAnsi" w:hAnsiTheme="majorHAnsi"/>
                <w:sz w:val="22"/>
              </w:rPr>
              <w:t>USD </w:t>
            </w:r>
            <w:r w:rsidR="00C577C7">
              <w:rPr>
                <w:rFonts w:asciiTheme="majorHAnsi" w:hAnsiTheme="majorHAnsi"/>
                <w:sz w:val="22"/>
              </w:rPr>
              <w:t>3</w:t>
            </w:r>
            <w:r w:rsidR="000B35BC">
              <w:rPr>
                <w:rFonts w:asciiTheme="majorHAnsi" w:hAnsiTheme="majorHAnsi"/>
                <w:sz w:val="22"/>
              </w:rPr>
              <w:t>0</w:t>
            </w:r>
            <w:r w:rsidR="00940149">
              <w:rPr>
                <w:rFonts w:asciiTheme="majorHAnsi" w:hAnsiTheme="majorHAnsi"/>
                <w:sz w:val="22"/>
              </w:rPr>
              <w:t>0,</w:t>
            </w:r>
            <w:r>
              <w:rPr>
                <w:rFonts w:asciiTheme="majorHAnsi" w:hAnsiTheme="majorHAnsi"/>
                <w:sz w:val="22"/>
              </w:rPr>
              <w:t>000</w:t>
            </w:r>
          </w:p>
          <w:p w14:paraId="5CEEF1C9" w14:textId="3ED9CAF7" w:rsidR="00377DAF" w:rsidRPr="00097D72" w:rsidRDefault="00377DAF" w:rsidP="00F22779">
            <w:pPr>
              <w:jc w:val="center"/>
              <w:rPr>
                <w:rFonts w:asciiTheme="majorHAnsi" w:hAnsiTheme="majorHAnsi"/>
                <w:sz w:val="22"/>
                <w:szCs w:val="22"/>
              </w:rPr>
            </w:pPr>
            <w:r>
              <w:rPr>
                <w:rFonts w:asciiTheme="majorHAnsi" w:hAnsiTheme="majorHAnsi"/>
                <w:sz w:val="22"/>
              </w:rPr>
              <w:t>(USD </w:t>
            </w:r>
            <w:r w:rsidR="00C577C7">
              <w:rPr>
                <w:rFonts w:asciiTheme="majorHAnsi" w:hAnsiTheme="majorHAnsi"/>
                <w:sz w:val="22"/>
              </w:rPr>
              <w:t>20</w:t>
            </w:r>
            <w:r w:rsidR="000B35BC">
              <w:rPr>
                <w:rFonts w:asciiTheme="majorHAnsi" w:hAnsiTheme="majorHAnsi"/>
                <w:sz w:val="22"/>
              </w:rPr>
              <w:t>0</w:t>
            </w:r>
            <w:r w:rsidR="00940149">
              <w:rPr>
                <w:rFonts w:asciiTheme="majorHAnsi" w:hAnsiTheme="majorHAnsi"/>
                <w:sz w:val="22"/>
              </w:rPr>
              <w:t>,</w:t>
            </w:r>
            <w:r>
              <w:rPr>
                <w:rFonts w:asciiTheme="majorHAnsi" w:hAnsiTheme="majorHAnsi"/>
                <w:sz w:val="22"/>
              </w:rPr>
              <w:t>000 si la Dependencia Comercial</w:t>
            </w:r>
            <w:r w:rsidR="00B16B31">
              <w:rPr>
                <w:rFonts w:asciiTheme="majorHAnsi" w:hAnsiTheme="majorHAnsi"/>
                <w:sz w:val="22"/>
              </w:rPr>
              <w:t xml:space="preserve"> no</w:t>
            </w:r>
            <w:r>
              <w:rPr>
                <w:rFonts w:asciiTheme="majorHAnsi" w:hAnsiTheme="majorHAnsi"/>
                <w:sz w:val="22"/>
              </w:rPr>
              <w:t xml:space="preserve"> utiliz</w:t>
            </w:r>
            <w:r w:rsidR="00B16B31">
              <w:rPr>
                <w:rFonts w:asciiTheme="majorHAnsi" w:hAnsiTheme="majorHAnsi"/>
                <w:sz w:val="22"/>
              </w:rPr>
              <w:t>a Quantum</w:t>
            </w:r>
            <w:r>
              <w:rPr>
                <w:rFonts w:asciiTheme="majorHAnsi" w:hAnsiTheme="majorHAnsi"/>
                <w:sz w:val="22"/>
              </w:rPr>
              <w:t>)</w:t>
            </w:r>
          </w:p>
        </w:tc>
      </w:tr>
      <w:tr w:rsidR="00377DAF" w:rsidRPr="00097D72" w14:paraId="7CB95C9C" w14:textId="77777777" w:rsidTr="00F22779">
        <w:trPr>
          <w:jc w:val="center"/>
        </w:trPr>
        <w:tc>
          <w:tcPr>
            <w:tcW w:w="2696" w:type="dxa"/>
            <w:tcBorders>
              <w:top w:val="outset" w:sz="6" w:space="0" w:color="auto"/>
              <w:left w:val="outset" w:sz="6" w:space="0" w:color="auto"/>
              <w:bottom w:val="outset" w:sz="6" w:space="0" w:color="auto"/>
              <w:right w:val="outset" w:sz="6" w:space="0" w:color="auto"/>
            </w:tcBorders>
          </w:tcPr>
          <w:p w14:paraId="5CBDAE84" w14:textId="77777777" w:rsidR="00377DAF" w:rsidRPr="00097D72" w:rsidRDefault="00377DAF" w:rsidP="00003B4D">
            <w:pPr>
              <w:spacing w:before="100" w:beforeAutospacing="1" w:after="100" w:afterAutospacing="1"/>
              <w:jc w:val="center"/>
              <w:rPr>
                <w:rFonts w:asciiTheme="majorHAnsi" w:hAnsiTheme="majorHAnsi"/>
                <w:sz w:val="22"/>
                <w:szCs w:val="22"/>
              </w:rPr>
            </w:pPr>
            <w:r>
              <w:rPr>
                <w:rFonts w:asciiTheme="majorHAnsi" w:hAnsiTheme="majorHAnsi"/>
                <w:sz w:val="22"/>
              </w:rPr>
              <w:t>Nivel 2</w:t>
            </w:r>
          </w:p>
        </w:tc>
        <w:tc>
          <w:tcPr>
            <w:tcW w:w="5486" w:type="dxa"/>
            <w:tcBorders>
              <w:top w:val="outset" w:sz="6" w:space="0" w:color="auto"/>
              <w:left w:val="outset" w:sz="6" w:space="0" w:color="auto"/>
              <w:bottom w:val="outset" w:sz="6" w:space="0" w:color="auto"/>
              <w:right w:val="outset" w:sz="6" w:space="0" w:color="auto"/>
            </w:tcBorders>
            <w:hideMark/>
          </w:tcPr>
          <w:p w14:paraId="73DCE7E6" w14:textId="444C37A1" w:rsidR="00377DAF" w:rsidRPr="00097D72" w:rsidRDefault="00377DAF" w:rsidP="00003B4D">
            <w:pPr>
              <w:spacing w:before="100" w:beforeAutospacing="1" w:after="100" w:afterAutospacing="1"/>
              <w:jc w:val="center"/>
              <w:rPr>
                <w:rFonts w:asciiTheme="majorHAnsi" w:hAnsiTheme="majorHAnsi"/>
                <w:sz w:val="22"/>
                <w:szCs w:val="22"/>
              </w:rPr>
            </w:pPr>
            <w:r>
              <w:rPr>
                <w:rFonts w:asciiTheme="majorHAnsi" w:hAnsiTheme="majorHAnsi"/>
                <w:sz w:val="22"/>
              </w:rPr>
              <w:t>USD </w:t>
            </w:r>
            <w:r w:rsidR="00C577C7">
              <w:rPr>
                <w:rFonts w:asciiTheme="majorHAnsi" w:hAnsiTheme="majorHAnsi"/>
                <w:sz w:val="22"/>
              </w:rPr>
              <w:t>4</w:t>
            </w:r>
            <w:r>
              <w:rPr>
                <w:rFonts w:asciiTheme="majorHAnsi" w:hAnsiTheme="majorHAnsi"/>
                <w:sz w:val="22"/>
              </w:rPr>
              <w:t>00</w:t>
            </w:r>
            <w:r w:rsidR="00940149">
              <w:rPr>
                <w:rFonts w:asciiTheme="majorHAnsi" w:hAnsiTheme="majorHAnsi"/>
                <w:sz w:val="22"/>
              </w:rPr>
              <w:t>,</w:t>
            </w:r>
            <w:r>
              <w:rPr>
                <w:rFonts w:asciiTheme="majorHAnsi" w:hAnsiTheme="majorHAnsi"/>
                <w:sz w:val="22"/>
              </w:rPr>
              <w:t xml:space="preserve">000 </w:t>
            </w:r>
          </w:p>
        </w:tc>
      </w:tr>
      <w:tr w:rsidR="00377DAF" w:rsidRPr="00097D72" w14:paraId="45BA9AC9" w14:textId="77777777" w:rsidTr="00F22779">
        <w:trPr>
          <w:jc w:val="center"/>
        </w:trPr>
        <w:tc>
          <w:tcPr>
            <w:tcW w:w="2696" w:type="dxa"/>
            <w:tcBorders>
              <w:top w:val="outset" w:sz="6" w:space="0" w:color="auto"/>
              <w:left w:val="outset" w:sz="6" w:space="0" w:color="auto"/>
              <w:bottom w:val="outset" w:sz="6" w:space="0" w:color="auto"/>
              <w:right w:val="outset" w:sz="6" w:space="0" w:color="auto"/>
            </w:tcBorders>
          </w:tcPr>
          <w:p w14:paraId="477F461B" w14:textId="77777777" w:rsidR="00377DAF" w:rsidRPr="00097D72" w:rsidRDefault="00377DAF" w:rsidP="00003B4D">
            <w:pPr>
              <w:spacing w:before="100" w:beforeAutospacing="1" w:after="100" w:afterAutospacing="1"/>
              <w:jc w:val="center"/>
              <w:rPr>
                <w:rFonts w:asciiTheme="majorHAnsi" w:hAnsiTheme="majorHAnsi"/>
                <w:sz w:val="22"/>
                <w:szCs w:val="22"/>
              </w:rPr>
            </w:pPr>
            <w:r>
              <w:rPr>
                <w:rFonts w:asciiTheme="majorHAnsi" w:hAnsiTheme="majorHAnsi"/>
                <w:sz w:val="22"/>
              </w:rPr>
              <w:t>Nivel 3</w:t>
            </w:r>
          </w:p>
        </w:tc>
        <w:tc>
          <w:tcPr>
            <w:tcW w:w="5486" w:type="dxa"/>
            <w:tcBorders>
              <w:top w:val="outset" w:sz="6" w:space="0" w:color="auto"/>
              <w:left w:val="outset" w:sz="6" w:space="0" w:color="auto"/>
              <w:bottom w:val="outset" w:sz="6" w:space="0" w:color="auto"/>
              <w:right w:val="outset" w:sz="6" w:space="0" w:color="auto"/>
            </w:tcBorders>
            <w:hideMark/>
          </w:tcPr>
          <w:p w14:paraId="78B15298" w14:textId="3AFEE36C" w:rsidR="00377DAF" w:rsidRPr="00097D72" w:rsidRDefault="00377DAF" w:rsidP="00003B4D">
            <w:pPr>
              <w:spacing w:before="100" w:beforeAutospacing="1" w:after="100" w:afterAutospacing="1"/>
              <w:jc w:val="center"/>
              <w:rPr>
                <w:rFonts w:asciiTheme="majorHAnsi" w:hAnsiTheme="majorHAnsi"/>
                <w:sz w:val="22"/>
                <w:szCs w:val="22"/>
              </w:rPr>
            </w:pPr>
            <w:r>
              <w:rPr>
                <w:rFonts w:asciiTheme="majorHAnsi" w:hAnsiTheme="majorHAnsi"/>
                <w:sz w:val="22"/>
              </w:rPr>
              <w:t>USD </w:t>
            </w:r>
            <w:r w:rsidR="00C577C7">
              <w:rPr>
                <w:rFonts w:asciiTheme="majorHAnsi" w:hAnsiTheme="majorHAnsi"/>
                <w:sz w:val="22"/>
              </w:rPr>
              <w:t>7</w:t>
            </w:r>
            <w:r>
              <w:rPr>
                <w:rFonts w:asciiTheme="majorHAnsi" w:hAnsiTheme="majorHAnsi"/>
                <w:sz w:val="22"/>
              </w:rPr>
              <w:t>00</w:t>
            </w:r>
            <w:r w:rsidR="00940149">
              <w:rPr>
                <w:rFonts w:asciiTheme="majorHAnsi" w:hAnsiTheme="majorHAnsi"/>
                <w:sz w:val="22"/>
              </w:rPr>
              <w:t>,</w:t>
            </w:r>
            <w:r>
              <w:rPr>
                <w:rFonts w:asciiTheme="majorHAnsi" w:hAnsiTheme="majorHAnsi"/>
                <w:sz w:val="22"/>
              </w:rPr>
              <w:t xml:space="preserve">000 </w:t>
            </w:r>
          </w:p>
        </w:tc>
      </w:tr>
      <w:tr w:rsidR="00377DAF" w:rsidRPr="00097D72" w14:paraId="5E30A4FE" w14:textId="77777777" w:rsidTr="00F22779">
        <w:trPr>
          <w:jc w:val="center"/>
        </w:trPr>
        <w:tc>
          <w:tcPr>
            <w:tcW w:w="2696" w:type="dxa"/>
            <w:tcBorders>
              <w:top w:val="outset" w:sz="6" w:space="0" w:color="auto"/>
              <w:left w:val="outset" w:sz="6" w:space="0" w:color="auto"/>
              <w:bottom w:val="outset" w:sz="6" w:space="0" w:color="auto"/>
              <w:right w:val="outset" w:sz="6" w:space="0" w:color="auto"/>
            </w:tcBorders>
          </w:tcPr>
          <w:p w14:paraId="46A32B01" w14:textId="77777777" w:rsidR="00377DAF" w:rsidRPr="00097D72" w:rsidRDefault="00377DAF" w:rsidP="00003B4D">
            <w:pPr>
              <w:spacing w:before="100" w:beforeAutospacing="1" w:after="100" w:afterAutospacing="1"/>
              <w:jc w:val="center"/>
              <w:rPr>
                <w:rFonts w:asciiTheme="majorHAnsi" w:hAnsiTheme="majorHAnsi"/>
                <w:sz w:val="22"/>
                <w:szCs w:val="22"/>
              </w:rPr>
            </w:pPr>
            <w:r>
              <w:rPr>
                <w:rFonts w:asciiTheme="majorHAnsi" w:hAnsiTheme="majorHAnsi"/>
                <w:sz w:val="22"/>
              </w:rPr>
              <w:t>Nivel 4</w:t>
            </w:r>
          </w:p>
        </w:tc>
        <w:tc>
          <w:tcPr>
            <w:tcW w:w="5486" w:type="dxa"/>
            <w:tcBorders>
              <w:top w:val="outset" w:sz="6" w:space="0" w:color="auto"/>
              <w:left w:val="outset" w:sz="6" w:space="0" w:color="auto"/>
              <w:bottom w:val="outset" w:sz="6" w:space="0" w:color="auto"/>
              <w:right w:val="outset" w:sz="6" w:space="0" w:color="auto"/>
            </w:tcBorders>
          </w:tcPr>
          <w:p w14:paraId="7CB59C0D" w14:textId="5F676818" w:rsidR="00377DAF" w:rsidRPr="00097D72" w:rsidRDefault="00377DAF" w:rsidP="00003B4D">
            <w:pPr>
              <w:spacing w:before="100" w:beforeAutospacing="1" w:after="100" w:afterAutospacing="1"/>
              <w:jc w:val="center"/>
              <w:rPr>
                <w:rFonts w:asciiTheme="majorHAnsi" w:hAnsiTheme="majorHAnsi"/>
                <w:sz w:val="22"/>
                <w:szCs w:val="22"/>
              </w:rPr>
            </w:pPr>
            <w:r>
              <w:rPr>
                <w:rFonts w:asciiTheme="majorHAnsi" w:hAnsiTheme="majorHAnsi"/>
                <w:sz w:val="22"/>
              </w:rPr>
              <w:t>USD 1</w:t>
            </w:r>
            <w:r w:rsidR="00940149">
              <w:rPr>
                <w:rFonts w:asciiTheme="majorHAnsi" w:hAnsiTheme="majorHAnsi"/>
                <w:sz w:val="22"/>
              </w:rPr>
              <w:t>,</w:t>
            </w:r>
            <w:r w:rsidR="00C577C7">
              <w:rPr>
                <w:rFonts w:asciiTheme="majorHAnsi" w:hAnsiTheme="majorHAnsi"/>
                <w:sz w:val="22"/>
              </w:rPr>
              <w:t>5</w:t>
            </w:r>
            <w:r>
              <w:rPr>
                <w:rFonts w:asciiTheme="majorHAnsi" w:hAnsiTheme="majorHAnsi"/>
                <w:sz w:val="22"/>
              </w:rPr>
              <w:t>00</w:t>
            </w:r>
            <w:r w:rsidR="00940149">
              <w:rPr>
                <w:rFonts w:asciiTheme="majorHAnsi" w:hAnsiTheme="majorHAnsi"/>
                <w:sz w:val="22"/>
              </w:rPr>
              <w:t>,</w:t>
            </w:r>
            <w:r>
              <w:rPr>
                <w:rFonts w:asciiTheme="majorHAnsi" w:hAnsiTheme="majorHAnsi"/>
                <w:sz w:val="22"/>
              </w:rPr>
              <w:t>000</w:t>
            </w:r>
          </w:p>
        </w:tc>
      </w:tr>
    </w:tbl>
    <w:p w14:paraId="0B36914C" w14:textId="3CCEC5C8" w:rsidR="001F03A7" w:rsidRPr="00A8288A" w:rsidRDefault="00307C36" w:rsidP="000403DC">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Pr>
          <w:rFonts w:asciiTheme="majorHAnsi" w:hAnsiTheme="majorHAnsi"/>
          <w:sz w:val="22"/>
        </w:rPr>
        <w:t xml:space="preserve">Hay una disposición para aumentar el umbral de </w:t>
      </w:r>
      <w:r w:rsidR="005740A3">
        <w:rPr>
          <w:rFonts w:asciiTheme="majorHAnsi" w:hAnsiTheme="majorHAnsi"/>
          <w:sz w:val="22"/>
        </w:rPr>
        <w:t>micro compra</w:t>
      </w:r>
      <w:r>
        <w:rPr>
          <w:rFonts w:asciiTheme="majorHAnsi" w:hAnsiTheme="majorHAnsi"/>
          <w:sz w:val="22"/>
        </w:rPr>
        <w:t xml:space="preserve"> (consulte la sección </w:t>
      </w:r>
      <w:r w:rsidR="005740A3">
        <w:rPr>
          <w:rFonts w:asciiTheme="majorHAnsi" w:hAnsiTheme="majorHAnsi"/>
          <w:sz w:val="22"/>
        </w:rPr>
        <w:t>Micro compra</w:t>
      </w:r>
      <w:r>
        <w:rPr>
          <w:rFonts w:asciiTheme="majorHAnsi" w:hAnsiTheme="majorHAnsi"/>
          <w:sz w:val="22"/>
        </w:rPr>
        <w:t>, Método de adquisición) del estándar de USD </w:t>
      </w:r>
      <w:r w:rsidR="00C577C7">
        <w:rPr>
          <w:rFonts w:asciiTheme="majorHAnsi" w:hAnsiTheme="majorHAnsi"/>
          <w:sz w:val="22"/>
        </w:rPr>
        <w:t>7</w:t>
      </w:r>
      <w:r>
        <w:rPr>
          <w:rFonts w:asciiTheme="majorHAnsi" w:hAnsiTheme="majorHAnsi"/>
          <w:sz w:val="22"/>
        </w:rPr>
        <w:t>000 a USD 1</w:t>
      </w:r>
      <w:r w:rsidR="00C577C7">
        <w:rPr>
          <w:rFonts w:asciiTheme="majorHAnsi" w:hAnsiTheme="majorHAnsi"/>
          <w:sz w:val="22"/>
        </w:rPr>
        <w:t>5</w:t>
      </w:r>
      <w:r>
        <w:rPr>
          <w:rFonts w:asciiTheme="majorHAnsi" w:hAnsiTheme="majorHAnsi"/>
          <w:sz w:val="22"/>
        </w:rPr>
        <w:t xml:space="preserve"> 000 como parte de un aumento otorgado de la autoridad delegada en materia de adquisiciones. Las Oficinas en el País pueden solicitar el aumento del umbral de </w:t>
      </w:r>
      <w:r w:rsidR="005740A3">
        <w:rPr>
          <w:rFonts w:asciiTheme="majorHAnsi" w:hAnsiTheme="majorHAnsi"/>
          <w:sz w:val="22"/>
        </w:rPr>
        <w:t>micro compra</w:t>
      </w:r>
      <w:r>
        <w:rPr>
          <w:rFonts w:asciiTheme="majorHAnsi" w:hAnsiTheme="majorHAnsi"/>
          <w:sz w:val="22"/>
        </w:rPr>
        <w:t xml:space="preserve"> como parte de su solicitud de aumento de la autoridad delegada en materia de adquisiciones. </w:t>
      </w:r>
    </w:p>
    <w:p w14:paraId="4770CF19" w14:textId="77777777" w:rsidR="00A8288A" w:rsidRPr="001F03A7" w:rsidRDefault="00A8288A" w:rsidP="00B05294">
      <w:pPr>
        <w:pStyle w:val="ListParagraph"/>
        <w:shd w:val="clear" w:color="auto" w:fill="FFFFFF"/>
        <w:spacing w:before="100" w:beforeAutospacing="1" w:after="100" w:afterAutospacing="1"/>
        <w:jc w:val="both"/>
        <w:textAlignment w:val="top"/>
        <w:rPr>
          <w:rFonts w:asciiTheme="majorHAnsi" w:hAnsiTheme="majorHAnsi"/>
          <w:sz w:val="22"/>
          <w:szCs w:val="22"/>
        </w:rPr>
      </w:pPr>
    </w:p>
    <w:p w14:paraId="4DC5DEA7" w14:textId="073E0152" w:rsidR="000C092E" w:rsidRPr="00097D72" w:rsidRDefault="000C092E" w:rsidP="000403DC">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Pr>
          <w:rFonts w:asciiTheme="majorHAnsi" w:hAnsiTheme="majorHAnsi"/>
          <w:sz w:val="22"/>
        </w:rPr>
        <w:t>El aumento de la delegación otorgada puede ser más alto en un caso específico, como en una emergencia o una situación excepcional, y reducirse de manera similar posteriormente. Toda autoridad en materia de adquisición otorgada que supere USD 1</w:t>
      </w:r>
      <w:r w:rsidR="00C577C7">
        <w:rPr>
          <w:rFonts w:asciiTheme="majorHAnsi" w:hAnsiTheme="majorHAnsi"/>
          <w:sz w:val="22"/>
        </w:rPr>
        <w:t>.5</w:t>
      </w:r>
      <w:r>
        <w:rPr>
          <w:rFonts w:asciiTheme="majorHAnsi" w:hAnsiTheme="majorHAnsi"/>
          <w:sz w:val="22"/>
        </w:rPr>
        <w:t xml:space="preserve"> millón estará sujeta a una revisión anual de las adquisiciones. </w:t>
      </w:r>
    </w:p>
    <w:p w14:paraId="3AFB8E13" w14:textId="77777777" w:rsidR="00532282" w:rsidRPr="00097D72" w:rsidRDefault="00532282" w:rsidP="000403DC">
      <w:pPr>
        <w:pStyle w:val="ListParagraph"/>
        <w:shd w:val="clear" w:color="auto" w:fill="FFFFFF"/>
        <w:spacing w:before="100" w:beforeAutospacing="1" w:after="100" w:afterAutospacing="1"/>
        <w:jc w:val="both"/>
        <w:textAlignment w:val="top"/>
        <w:rPr>
          <w:rFonts w:asciiTheme="majorHAnsi" w:hAnsiTheme="majorHAnsi"/>
          <w:sz w:val="22"/>
          <w:szCs w:val="22"/>
        </w:rPr>
      </w:pPr>
    </w:p>
    <w:p w14:paraId="7EE28B98" w14:textId="77777777" w:rsidR="00CE6D28" w:rsidRPr="00097D72" w:rsidRDefault="000C092E" w:rsidP="00CE6D28">
      <w:pPr>
        <w:pStyle w:val="ListParagraph"/>
        <w:numPr>
          <w:ilvl w:val="0"/>
          <w:numId w:val="2"/>
        </w:numPr>
        <w:shd w:val="clear" w:color="auto" w:fill="FFFFFF"/>
        <w:spacing w:before="100" w:beforeAutospacing="1" w:after="100" w:afterAutospacing="1"/>
        <w:jc w:val="both"/>
        <w:textAlignment w:val="top"/>
        <w:rPr>
          <w:rFonts w:asciiTheme="majorHAnsi" w:hAnsiTheme="majorHAnsi" w:cs="Arial"/>
          <w:sz w:val="22"/>
          <w:szCs w:val="22"/>
        </w:rPr>
      </w:pPr>
      <w:r>
        <w:rPr>
          <w:rFonts w:asciiTheme="majorHAnsi" w:hAnsiTheme="majorHAnsi"/>
          <w:sz w:val="22"/>
        </w:rPr>
        <w:t>Cualquier aumento de la delegación otorgada es para un período específico y puede extenderse luego con la solicitud y la justificación adicionales correspondientes. El aumento de la delegación otorgada puede retirarse en cualquier momento.</w:t>
      </w:r>
    </w:p>
    <w:p w14:paraId="3E64E9E7" w14:textId="77777777" w:rsidR="00532282" w:rsidRPr="00097D72" w:rsidRDefault="00532282" w:rsidP="000403DC">
      <w:pPr>
        <w:pStyle w:val="ListParagraph"/>
        <w:rPr>
          <w:rFonts w:asciiTheme="majorHAnsi" w:hAnsiTheme="majorHAnsi"/>
          <w:sz w:val="22"/>
          <w:szCs w:val="22"/>
        </w:rPr>
      </w:pPr>
    </w:p>
    <w:p w14:paraId="406E109E" w14:textId="28590495" w:rsidR="00532282" w:rsidRPr="00097D72" w:rsidRDefault="00532282" w:rsidP="000403DC">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Pr>
          <w:rFonts w:asciiTheme="majorHAnsi" w:hAnsiTheme="majorHAnsi"/>
          <w:sz w:val="22"/>
        </w:rPr>
        <w:t xml:space="preserve">El aumento de la delegación puede solicitarse para una </w:t>
      </w:r>
      <w:r w:rsidR="00D527A8">
        <w:rPr>
          <w:rFonts w:asciiTheme="majorHAnsi" w:hAnsiTheme="majorHAnsi"/>
          <w:sz w:val="22"/>
        </w:rPr>
        <w:t xml:space="preserve">unidad de </w:t>
      </w:r>
      <w:r w:rsidR="005740A3">
        <w:rPr>
          <w:rFonts w:asciiTheme="majorHAnsi" w:hAnsiTheme="majorHAnsi"/>
          <w:sz w:val="22"/>
        </w:rPr>
        <w:t>negocio completa</w:t>
      </w:r>
      <w:r>
        <w:rPr>
          <w:rFonts w:asciiTheme="majorHAnsi" w:hAnsiTheme="majorHAnsi"/>
          <w:sz w:val="22"/>
        </w:rPr>
        <w:t xml:space="preserve">, para un área geográfica específica cubierta por la </w:t>
      </w:r>
      <w:r w:rsidR="00D527A8">
        <w:rPr>
          <w:rFonts w:asciiTheme="majorHAnsi" w:hAnsiTheme="majorHAnsi"/>
          <w:sz w:val="22"/>
        </w:rPr>
        <w:t>unidad</w:t>
      </w:r>
      <w:r>
        <w:rPr>
          <w:rFonts w:asciiTheme="majorHAnsi" w:hAnsiTheme="majorHAnsi"/>
          <w:sz w:val="22"/>
        </w:rPr>
        <w:t xml:space="preserve">, o para proyectos o programas específicos. Un aumento de delegación para la </w:t>
      </w:r>
      <w:r w:rsidR="005740A3">
        <w:rPr>
          <w:rFonts w:asciiTheme="majorHAnsi" w:hAnsiTheme="majorHAnsi"/>
          <w:sz w:val="22"/>
        </w:rPr>
        <w:t>unidad completa</w:t>
      </w:r>
      <w:r>
        <w:rPr>
          <w:rFonts w:asciiTheme="majorHAnsi" w:hAnsiTheme="majorHAnsi"/>
          <w:sz w:val="22"/>
        </w:rPr>
        <w:t xml:space="preserve"> por lo general se limita a un máximo de 12 meses desde la fecha de aprobación, a menos que se establezca de otro modo en la autorización. Un aumento de delegación para un proyecto específico o una región geográfica se limita a la duración del proyecto.</w:t>
      </w:r>
    </w:p>
    <w:p w14:paraId="59806519" w14:textId="77777777" w:rsidR="00532282" w:rsidRPr="00097D72" w:rsidRDefault="00532282" w:rsidP="000403DC">
      <w:pPr>
        <w:pStyle w:val="ListParagraph"/>
        <w:rPr>
          <w:rFonts w:asciiTheme="majorHAnsi" w:hAnsiTheme="majorHAnsi"/>
          <w:sz w:val="22"/>
          <w:szCs w:val="22"/>
        </w:rPr>
      </w:pPr>
    </w:p>
    <w:p w14:paraId="2DB358E8" w14:textId="63865316" w:rsidR="005528EF" w:rsidRPr="001C6122" w:rsidRDefault="005528EF" w:rsidP="001C6122">
      <w:pPr>
        <w:pStyle w:val="ListParagraph"/>
        <w:numPr>
          <w:ilvl w:val="0"/>
          <w:numId w:val="2"/>
        </w:numPr>
        <w:shd w:val="clear" w:color="auto" w:fill="FFFFFF"/>
        <w:spacing w:before="100" w:beforeAutospacing="1" w:after="100" w:afterAutospacing="1"/>
        <w:jc w:val="both"/>
        <w:textAlignment w:val="top"/>
        <w:rPr>
          <w:rFonts w:asciiTheme="majorHAnsi" w:hAnsiTheme="majorHAnsi" w:cs="Arial"/>
          <w:sz w:val="22"/>
          <w:szCs w:val="22"/>
        </w:rPr>
      </w:pPr>
      <w:r>
        <w:rPr>
          <w:rFonts w:asciiTheme="majorHAnsi" w:hAnsiTheme="majorHAnsi"/>
          <w:sz w:val="22"/>
        </w:rPr>
        <w:t xml:space="preserve">Las solicitudes de aumento en la autoridad delegada en materia de adquisiciones realizadas por las oficinas </w:t>
      </w:r>
      <w:r w:rsidR="005740A3">
        <w:rPr>
          <w:rFonts w:asciiTheme="majorHAnsi" w:hAnsiTheme="majorHAnsi"/>
          <w:sz w:val="22"/>
        </w:rPr>
        <w:t>de país</w:t>
      </w:r>
      <w:r>
        <w:rPr>
          <w:rFonts w:asciiTheme="majorHAnsi" w:hAnsiTheme="majorHAnsi"/>
          <w:sz w:val="22"/>
        </w:rPr>
        <w:t xml:space="preserve"> deben presentarse a los Oficiales </w:t>
      </w:r>
      <w:proofErr w:type="gramStart"/>
      <w:r>
        <w:rPr>
          <w:rFonts w:asciiTheme="majorHAnsi" w:hAnsiTheme="majorHAnsi"/>
          <w:sz w:val="22"/>
        </w:rPr>
        <w:t>Jefes</w:t>
      </w:r>
      <w:proofErr w:type="gramEnd"/>
      <w:r>
        <w:rPr>
          <w:rFonts w:asciiTheme="majorHAnsi" w:hAnsiTheme="majorHAnsi"/>
          <w:sz w:val="22"/>
        </w:rPr>
        <w:t xml:space="preserve"> de Adquisiciones Regionales (RCPO) correspondientes para que tomen una decisión, ya que se les ha delegado autoridad en materia de adquisiciones para hasta USD 2</w:t>
      </w:r>
      <w:r w:rsidR="00C577C7">
        <w:rPr>
          <w:rFonts w:asciiTheme="majorHAnsi" w:hAnsiTheme="majorHAnsi"/>
          <w:sz w:val="22"/>
        </w:rPr>
        <w:t>.5</w:t>
      </w:r>
      <w:r>
        <w:rPr>
          <w:rFonts w:asciiTheme="majorHAnsi" w:hAnsiTheme="majorHAnsi"/>
          <w:sz w:val="22"/>
        </w:rPr>
        <w:t xml:space="preserve">00 000 para las acciones de adquisiciones presentadas desde las oficinas </w:t>
      </w:r>
      <w:r w:rsidR="005740A3">
        <w:rPr>
          <w:rFonts w:asciiTheme="majorHAnsi" w:hAnsiTheme="majorHAnsi"/>
          <w:sz w:val="22"/>
        </w:rPr>
        <w:t>de país</w:t>
      </w:r>
      <w:r>
        <w:rPr>
          <w:rFonts w:asciiTheme="majorHAnsi" w:hAnsiTheme="majorHAnsi"/>
          <w:sz w:val="22"/>
        </w:rPr>
        <w:t xml:space="preserve"> en sus regiones.  Los Oficiales </w:t>
      </w:r>
      <w:proofErr w:type="gramStart"/>
      <w:r>
        <w:rPr>
          <w:rFonts w:asciiTheme="majorHAnsi" w:hAnsiTheme="majorHAnsi"/>
          <w:sz w:val="22"/>
        </w:rPr>
        <w:t>Jefes</w:t>
      </w:r>
      <w:proofErr w:type="gramEnd"/>
      <w:r>
        <w:rPr>
          <w:rFonts w:asciiTheme="majorHAnsi" w:hAnsiTheme="majorHAnsi"/>
          <w:sz w:val="22"/>
        </w:rPr>
        <w:t xml:space="preserve"> de Adquisiciones Regionales deben consultar a los </w:t>
      </w:r>
      <w:proofErr w:type="gramStart"/>
      <w:r>
        <w:rPr>
          <w:rFonts w:asciiTheme="majorHAnsi" w:hAnsiTheme="majorHAnsi"/>
          <w:sz w:val="22"/>
        </w:rPr>
        <w:t>Directores</w:t>
      </w:r>
      <w:proofErr w:type="gramEnd"/>
      <w:r>
        <w:rPr>
          <w:rFonts w:asciiTheme="majorHAnsi" w:hAnsiTheme="majorHAnsi"/>
          <w:sz w:val="22"/>
        </w:rPr>
        <w:t xml:space="preserve"> </w:t>
      </w:r>
      <w:r w:rsidR="00D527A8">
        <w:rPr>
          <w:rFonts w:asciiTheme="majorHAnsi" w:hAnsiTheme="majorHAnsi"/>
          <w:sz w:val="22"/>
        </w:rPr>
        <w:t xml:space="preserve">del Buro </w:t>
      </w:r>
      <w:r>
        <w:rPr>
          <w:rFonts w:asciiTheme="majorHAnsi" w:hAnsiTheme="majorHAnsi"/>
          <w:sz w:val="22"/>
        </w:rPr>
        <w:t xml:space="preserve">Regional respectivos para obtener la autorización y, si es necesario, pueden derivar cualquier asunto al Oficial </w:t>
      </w:r>
      <w:proofErr w:type="gramStart"/>
      <w:r>
        <w:rPr>
          <w:rFonts w:asciiTheme="majorHAnsi" w:hAnsiTheme="majorHAnsi"/>
          <w:sz w:val="22"/>
        </w:rPr>
        <w:t>Jefe</w:t>
      </w:r>
      <w:proofErr w:type="gramEnd"/>
      <w:r>
        <w:rPr>
          <w:rFonts w:asciiTheme="majorHAnsi" w:hAnsiTheme="majorHAnsi"/>
          <w:sz w:val="22"/>
        </w:rPr>
        <w:t xml:space="preserve"> de Adquisiciones</w:t>
      </w:r>
      <w:r w:rsidR="00D527A8">
        <w:rPr>
          <w:rFonts w:asciiTheme="majorHAnsi" w:hAnsiTheme="majorHAnsi"/>
          <w:sz w:val="22"/>
        </w:rPr>
        <w:t xml:space="preserve"> (CPO)</w:t>
      </w:r>
      <w:r>
        <w:rPr>
          <w:rFonts w:asciiTheme="majorHAnsi" w:hAnsiTheme="majorHAnsi"/>
          <w:sz w:val="22"/>
        </w:rPr>
        <w:t xml:space="preserve"> antes de otorgar el aumento de la delegación. Las solicitudes de aumento de las sedes y de las </w:t>
      </w:r>
      <w:r w:rsidR="00293E9B">
        <w:rPr>
          <w:rFonts w:asciiTheme="majorHAnsi" w:hAnsiTheme="majorHAnsi"/>
          <w:sz w:val="22"/>
        </w:rPr>
        <w:t>unidades de negocio</w:t>
      </w:r>
      <w:r>
        <w:rPr>
          <w:rFonts w:asciiTheme="majorHAnsi" w:hAnsiTheme="majorHAnsi"/>
          <w:sz w:val="22"/>
        </w:rPr>
        <w:t xml:space="preserve"> fuera de la sede deben presentarse al Oficial </w:t>
      </w:r>
      <w:proofErr w:type="gramStart"/>
      <w:r>
        <w:rPr>
          <w:rFonts w:asciiTheme="majorHAnsi" w:hAnsiTheme="majorHAnsi"/>
          <w:sz w:val="22"/>
        </w:rPr>
        <w:t>Jefe</w:t>
      </w:r>
      <w:proofErr w:type="gramEnd"/>
      <w:r>
        <w:rPr>
          <w:rFonts w:asciiTheme="majorHAnsi" w:hAnsiTheme="majorHAnsi"/>
          <w:sz w:val="22"/>
        </w:rPr>
        <w:t xml:space="preserve"> de Adquisiciones. </w:t>
      </w:r>
    </w:p>
    <w:p w14:paraId="54669A8A" w14:textId="77777777" w:rsidR="00D96853" w:rsidRPr="00097D72" w:rsidRDefault="00D96853" w:rsidP="00ED1E18">
      <w:pPr>
        <w:pStyle w:val="ListParagraph"/>
        <w:rPr>
          <w:rFonts w:asciiTheme="majorHAnsi" w:hAnsiTheme="majorHAnsi" w:cs="Arial"/>
          <w:sz w:val="22"/>
          <w:szCs w:val="22"/>
        </w:rPr>
      </w:pPr>
    </w:p>
    <w:p w14:paraId="573CEF5C" w14:textId="1C1D6DF9" w:rsidR="00EB35FE" w:rsidRDefault="00B17AEF" w:rsidP="00F22779">
      <w:pPr>
        <w:pStyle w:val="ListParagraph"/>
        <w:numPr>
          <w:ilvl w:val="0"/>
          <w:numId w:val="2"/>
        </w:numPr>
        <w:shd w:val="clear" w:color="auto" w:fill="FFFFFF"/>
        <w:spacing w:before="100" w:beforeAutospacing="1" w:after="100" w:afterAutospacing="1"/>
        <w:jc w:val="both"/>
        <w:textAlignment w:val="top"/>
        <w:rPr>
          <w:rFonts w:asciiTheme="majorHAnsi" w:hAnsiTheme="majorHAnsi" w:cs="Arial"/>
          <w:sz w:val="22"/>
          <w:szCs w:val="22"/>
        </w:rPr>
      </w:pPr>
      <w:r>
        <w:rPr>
          <w:rFonts w:asciiTheme="majorHAnsi" w:hAnsiTheme="majorHAnsi"/>
          <w:sz w:val="22"/>
        </w:rPr>
        <w:t xml:space="preserve">La revisión de las solicitudes de aumento de delegación será coordinada por la </w:t>
      </w:r>
      <w:r w:rsidR="005740A3">
        <w:rPr>
          <w:rFonts w:asciiTheme="majorHAnsi" w:hAnsiTheme="majorHAnsi"/>
          <w:sz w:val="22"/>
        </w:rPr>
        <w:t>Unidad de</w:t>
      </w:r>
      <w:r>
        <w:rPr>
          <w:rFonts w:asciiTheme="majorHAnsi" w:hAnsiTheme="majorHAnsi"/>
          <w:sz w:val="22"/>
        </w:rPr>
        <w:t xml:space="preserve"> Supervisión de Adquisiciones a través de los presidentes del Comité Consultivo Regional sobre Adquisiciones y del presidente del Comité Consultivo sobre Adquisiciones con una recomendación que otorgue el aumento de la delegación de autoridad o proporcionada de otro modo al Oficial </w:t>
      </w:r>
      <w:proofErr w:type="gramStart"/>
      <w:r>
        <w:rPr>
          <w:rFonts w:asciiTheme="majorHAnsi" w:hAnsiTheme="majorHAnsi"/>
          <w:sz w:val="22"/>
        </w:rPr>
        <w:t>Jefe</w:t>
      </w:r>
      <w:proofErr w:type="gramEnd"/>
      <w:r>
        <w:rPr>
          <w:rFonts w:asciiTheme="majorHAnsi" w:hAnsiTheme="majorHAnsi"/>
          <w:sz w:val="22"/>
        </w:rPr>
        <w:t xml:space="preserve"> de Adquisiciones Regionales o al Oficial </w:t>
      </w:r>
      <w:proofErr w:type="gramStart"/>
      <w:r>
        <w:rPr>
          <w:rFonts w:asciiTheme="majorHAnsi" w:hAnsiTheme="majorHAnsi"/>
          <w:sz w:val="22"/>
        </w:rPr>
        <w:t>Jefe</w:t>
      </w:r>
      <w:proofErr w:type="gramEnd"/>
      <w:r>
        <w:rPr>
          <w:rFonts w:asciiTheme="majorHAnsi" w:hAnsiTheme="majorHAnsi"/>
          <w:sz w:val="22"/>
        </w:rPr>
        <w:t xml:space="preserve"> de Adquisiciones.  </w:t>
      </w:r>
    </w:p>
    <w:p w14:paraId="7D4866B4" w14:textId="77777777" w:rsidR="00EB35FE" w:rsidRPr="00B05294" w:rsidRDefault="00EB35FE" w:rsidP="00B05294">
      <w:pPr>
        <w:pStyle w:val="ListParagraph"/>
        <w:rPr>
          <w:rFonts w:asciiTheme="majorHAnsi" w:hAnsiTheme="majorHAnsi" w:cs="Arial"/>
          <w:sz w:val="22"/>
          <w:szCs w:val="22"/>
        </w:rPr>
      </w:pPr>
    </w:p>
    <w:p w14:paraId="77D9081A" w14:textId="1251D889" w:rsidR="00607F58" w:rsidRDefault="00EB35FE" w:rsidP="00F22779">
      <w:pPr>
        <w:pStyle w:val="ListParagraph"/>
        <w:numPr>
          <w:ilvl w:val="0"/>
          <w:numId w:val="2"/>
        </w:numPr>
        <w:shd w:val="clear" w:color="auto" w:fill="FFFFFF"/>
        <w:spacing w:before="100" w:beforeAutospacing="1" w:after="100" w:afterAutospacing="1"/>
        <w:jc w:val="both"/>
        <w:textAlignment w:val="top"/>
        <w:rPr>
          <w:rFonts w:asciiTheme="majorHAnsi" w:hAnsiTheme="majorHAnsi" w:cs="Arial"/>
          <w:sz w:val="22"/>
          <w:szCs w:val="22"/>
        </w:rPr>
      </w:pPr>
      <w:r>
        <w:rPr>
          <w:rFonts w:asciiTheme="majorHAnsi" w:hAnsiTheme="majorHAnsi"/>
          <w:sz w:val="22"/>
        </w:rPr>
        <w:t>Las solicitudes de hasta USD </w:t>
      </w:r>
      <w:r w:rsidR="00C577C7">
        <w:rPr>
          <w:rFonts w:asciiTheme="majorHAnsi" w:hAnsiTheme="majorHAnsi"/>
          <w:sz w:val="22"/>
        </w:rPr>
        <w:t>4</w:t>
      </w:r>
      <w:r>
        <w:rPr>
          <w:rFonts w:asciiTheme="majorHAnsi" w:hAnsiTheme="majorHAnsi"/>
          <w:sz w:val="22"/>
        </w:rPr>
        <w:t>00 000 deberán revisarse a través de una evaluación documental. Para solicitudes de hasta USD </w:t>
      </w:r>
      <w:r w:rsidR="00C577C7">
        <w:rPr>
          <w:rFonts w:asciiTheme="majorHAnsi" w:hAnsiTheme="majorHAnsi"/>
          <w:sz w:val="22"/>
        </w:rPr>
        <w:t>7</w:t>
      </w:r>
      <w:r>
        <w:rPr>
          <w:rFonts w:asciiTheme="majorHAnsi" w:hAnsiTheme="majorHAnsi"/>
          <w:sz w:val="22"/>
        </w:rPr>
        <w:t>00 000 y USD 1</w:t>
      </w:r>
      <w:r w:rsidR="00C577C7">
        <w:rPr>
          <w:rFonts w:asciiTheme="majorHAnsi" w:hAnsiTheme="majorHAnsi"/>
          <w:sz w:val="22"/>
        </w:rPr>
        <w:t>.5</w:t>
      </w:r>
      <w:r>
        <w:rPr>
          <w:rFonts w:asciiTheme="majorHAnsi" w:hAnsiTheme="majorHAnsi"/>
          <w:sz w:val="22"/>
        </w:rPr>
        <w:t xml:space="preserve"> millón, además de la evaluación documental, se realizará una evaluación profunda, para la cual el RCPO en consulta con el </w:t>
      </w:r>
      <w:proofErr w:type="gramStart"/>
      <w:r>
        <w:rPr>
          <w:rFonts w:asciiTheme="majorHAnsi" w:hAnsiTheme="majorHAnsi"/>
          <w:sz w:val="22"/>
        </w:rPr>
        <w:t>Director</w:t>
      </w:r>
      <w:proofErr w:type="gramEnd"/>
      <w:r>
        <w:rPr>
          <w:rFonts w:asciiTheme="majorHAnsi" w:hAnsiTheme="majorHAnsi"/>
          <w:sz w:val="22"/>
        </w:rPr>
        <w:t xml:space="preserve"> </w:t>
      </w:r>
      <w:r w:rsidR="0040097F">
        <w:rPr>
          <w:rFonts w:asciiTheme="majorHAnsi" w:hAnsiTheme="majorHAnsi"/>
          <w:sz w:val="22"/>
        </w:rPr>
        <w:t xml:space="preserve">del </w:t>
      </w:r>
      <w:r w:rsidR="005740A3">
        <w:rPr>
          <w:rFonts w:asciiTheme="majorHAnsi" w:hAnsiTheme="majorHAnsi"/>
          <w:sz w:val="22"/>
        </w:rPr>
        <w:t>Buro Regional</w:t>
      </w:r>
      <w:r>
        <w:rPr>
          <w:rFonts w:asciiTheme="majorHAnsi" w:hAnsiTheme="majorHAnsi"/>
          <w:sz w:val="22"/>
        </w:rPr>
        <w:t xml:space="preserve"> podrá solicitar una misión de evaluación de la capacidad de adquisición </w:t>
      </w:r>
      <w:r>
        <w:rPr>
          <w:rFonts w:asciiTheme="majorHAnsi" w:hAnsiTheme="majorHAnsi"/>
          <w:i/>
          <w:sz w:val="22"/>
        </w:rPr>
        <w:t>in situ</w:t>
      </w:r>
      <w:r>
        <w:rPr>
          <w:rFonts w:asciiTheme="majorHAnsi" w:hAnsiTheme="majorHAnsi"/>
          <w:sz w:val="22"/>
        </w:rPr>
        <w:t xml:space="preserve"> antes de realizar cualquier recomendación. </w:t>
      </w:r>
    </w:p>
    <w:p w14:paraId="3A82B9EC" w14:textId="77777777" w:rsidR="00607F58" w:rsidRPr="00607F58" w:rsidRDefault="00607F58" w:rsidP="00607F58">
      <w:pPr>
        <w:pStyle w:val="ListParagraph"/>
        <w:rPr>
          <w:rFonts w:asciiTheme="majorHAnsi" w:hAnsiTheme="majorHAnsi" w:cs="Arial"/>
          <w:sz w:val="22"/>
          <w:szCs w:val="22"/>
        </w:rPr>
      </w:pPr>
    </w:p>
    <w:p w14:paraId="1399DE2C" w14:textId="0D2294F0" w:rsidR="0098636E" w:rsidRPr="00607F58" w:rsidRDefault="0098636E" w:rsidP="005A68B6">
      <w:pPr>
        <w:pStyle w:val="ListParagraph"/>
        <w:numPr>
          <w:ilvl w:val="0"/>
          <w:numId w:val="2"/>
        </w:numPr>
        <w:shd w:val="clear" w:color="auto" w:fill="FFFFFF"/>
        <w:spacing w:before="100" w:beforeAutospacing="1" w:after="100" w:afterAutospacing="1"/>
        <w:jc w:val="both"/>
        <w:textAlignment w:val="top"/>
        <w:rPr>
          <w:rFonts w:asciiTheme="majorHAnsi" w:eastAsiaTheme="minorEastAsia" w:hAnsiTheme="majorHAnsi" w:cs="Arial"/>
          <w:sz w:val="22"/>
          <w:szCs w:val="22"/>
        </w:rPr>
      </w:pPr>
      <w:r>
        <w:rPr>
          <w:rFonts w:asciiTheme="majorHAnsi" w:hAnsiTheme="majorHAnsi"/>
          <w:sz w:val="22"/>
        </w:rPr>
        <w:t xml:space="preserve">La </w:t>
      </w:r>
      <w:r w:rsidR="005740A3">
        <w:rPr>
          <w:rFonts w:asciiTheme="majorHAnsi" w:hAnsiTheme="majorHAnsi"/>
          <w:sz w:val="22"/>
        </w:rPr>
        <w:t>Unidad de</w:t>
      </w:r>
      <w:r>
        <w:rPr>
          <w:rFonts w:asciiTheme="majorHAnsi" w:hAnsiTheme="majorHAnsi"/>
          <w:sz w:val="22"/>
        </w:rPr>
        <w:t xml:space="preserve"> Supervisión de Adquisiciones realizará una evaluación de las solicitudes de Aumento de Delegación de la Autoridad en Materia de Adquisiciones de manera oportuna, basándose en la capacidad, la demanda, el desempeño anterior y el riesgo asociado con respecto a adquisiciones de </w:t>
      </w:r>
      <w:r w:rsidR="005740A3">
        <w:rPr>
          <w:rFonts w:asciiTheme="majorHAnsi" w:hAnsiTheme="majorHAnsi"/>
          <w:sz w:val="22"/>
        </w:rPr>
        <w:t>la Unidad</w:t>
      </w:r>
      <w:r w:rsidR="0040097F">
        <w:rPr>
          <w:rFonts w:asciiTheme="majorHAnsi" w:hAnsiTheme="majorHAnsi"/>
          <w:sz w:val="22"/>
        </w:rPr>
        <w:t xml:space="preserve"> de Negocio</w:t>
      </w:r>
      <w:r>
        <w:rPr>
          <w:rFonts w:asciiTheme="majorHAnsi" w:hAnsiTheme="majorHAnsi"/>
          <w:sz w:val="22"/>
        </w:rPr>
        <w:t xml:space="preserve">.  La evaluación deberá realizarse en consulta con la </w:t>
      </w:r>
      <w:r w:rsidR="005740A3">
        <w:rPr>
          <w:rFonts w:asciiTheme="majorHAnsi" w:hAnsiTheme="majorHAnsi"/>
          <w:sz w:val="22"/>
        </w:rPr>
        <w:t>Unidad de</w:t>
      </w:r>
      <w:r>
        <w:rPr>
          <w:rFonts w:asciiTheme="majorHAnsi" w:hAnsiTheme="majorHAnsi"/>
          <w:sz w:val="22"/>
        </w:rPr>
        <w:t xml:space="preserve"> Apoyo a las Adquisiciones y el </w:t>
      </w:r>
      <w:r w:rsidR="005740A3">
        <w:rPr>
          <w:rFonts w:asciiTheme="majorHAnsi" w:hAnsiTheme="majorHAnsi"/>
          <w:sz w:val="22"/>
        </w:rPr>
        <w:t>coordinador del</w:t>
      </w:r>
      <w:r w:rsidR="0040097F">
        <w:rPr>
          <w:rFonts w:asciiTheme="majorHAnsi" w:hAnsiTheme="majorHAnsi"/>
          <w:sz w:val="22"/>
        </w:rPr>
        <w:t xml:space="preserve"> Buro Regional</w:t>
      </w:r>
      <w:r>
        <w:rPr>
          <w:rFonts w:asciiTheme="majorHAnsi" w:hAnsiTheme="majorHAnsi"/>
          <w:sz w:val="22"/>
        </w:rPr>
        <w:t>, y también deberá tener en cuenta los comentarios y las observaciones de la Oficina de Auditoría e Investigaciones (OAI) y de otras oficinas relevantes.</w:t>
      </w:r>
    </w:p>
    <w:p w14:paraId="10ECF9C8" w14:textId="77777777" w:rsidR="00F544F0" w:rsidRPr="00097D72" w:rsidRDefault="00F544F0" w:rsidP="00864AEE">
      <w:pPr>
        <w:pStyle w:val="ListParagraph"/>
        <w:shd w:val="clear" w:color="auto" w:fill="FFFFFF"/>
        <w:spacing w:before="100" w:beforeAutospacing="1" w:after="100" w:afterAutospacing="1"/>
        <w:jc w:val="both"/>
        <w:textAlignment w:val="top"/>
        <w:rPr>
          <w:rFonts w:asciiTheme="majorHAnsi" w:hAnsiTheme="majorHAnsi"/>
          <w:sz w:val="22"/>
          <w:szCs w:val="22"/>
        </w:rPr>
      </w:pPr>
    </w:p>
    <w:p w14:paraId="53B42A63" w14:textId="02B86D52" w:rsidR="00532282" w:rsidRPr="00097D72" w:rsidRDefault="000C092E" w:rsidP="000403DC">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Pr>
          <w:rFonts w:asciiTheme="majorHAnsi" w:hAnsiTheme="majorHAnsi"/>
          <w:sz w:val="22"/>
        </w:rPr>
        <w:t xml:space="preserve">Un marco de capacidad de adquisiciones y las herramientas disponibles dentro de la Oficina de Apoyo a las Adquisiciones ayudan a evaluar a una </w:t>
      </w:r>
      <w:r w:rsidR="0040097F">
        <w:rPr>
          <w:rFonts w:asciiTheme="majorHAnsi" w:hAnsiTheme="majorHAnsi"/>
          <w:sz w:val="22"/>
        </w:rPr>
        <w:t>unidad de negocio</w:t>
      </w:r>
      <w:r>
        <w:rPr>
          <w:rFonts w:asciiTheme="majorHAnsi" w:hAnsiTheme="majorHAnsi"/>
          <w:sz w:val="22"/>
        </w:rPr>
        <w:t xml:space="preserve"> en términos de planificación, ejecución y gestión de las adquisiciones. Una evaluación de la capacidad de adquisición puede ayudar a determinar el cumplimiento con los criterios para otorgar un aumento; identificar las fortalezas, las debilidades y las principales áreas de riesgo para las adquisiciones incluidas las inherentes a un entorno operativo determinado; analizar el volumen previsto de adquisición con respecto a la capacidad de adquisición correspondiente y establecer medidas recomendadas para la mitigación de riesgos. </w:t>
      </w:r>
    </w:p>
    <w:p w14:paraId="41CAE96A" w14:textId="77777777" w:rsidR="00532282" w:rsidRPr="00097D72" w:rsidRDefault="00532282" w:rsidP="000403DC">
      <w:pPr>
        <w:pStyle w:val="ListParagraph"/>
        <w:rPr>
          <w:rFonts w:asciiTheme="majorHAnsi" w:hAnsiTheme="majorHAnsi"/>
          <w:sz w:val="22"/>
          <w:szCs w:val="22"/>
        </w:rPr>
      </w:pPr>
    </w:p>
    <w:p w14:paraId="20694BFF" w14:textId="74EC4FDA" w:rsidR="007A269A" w:rsidRPr="00097D72" w:rsidRDefault="00377DAF" w:rsidP="000403DC">
      <w:pPr>
        <w:pStyle w:val="ListParagraph"/>
        <w:numPr>
          <w:ilvl w:val="0"/>
          <w:numId w:val="2"/>
        </w:numPr>
        <w:shd w:val="clear" w:color="auto" w:fill="FFFFFF"/>
        <w:spacing w:before="100" w:beforeAutospacing="1" w:after="100" w:afterAutospacing="1"/>
        <w:jc w:val="both"/>
        <w:textAlignment w:val="top"/>
        <w:rPr>
          <w:rFonts w:asciiTheme="majorHAnsi" w:hAnsiTheme="majorHAnsi"/>
          <w:sz w:val="22"/>
          <w:szCs w:val="22"/>
        </w:rPr>
      </w:pPr>
      <w:r>
        <w:rPr>
          <w:rFonts w:asciiTheme="majorHAnsi" w:hAnsiTheme="majorHAnsi"/>
          <w:sz w:val="22"/>
        </w:rPr>
        <w:t>Criterios de orientación para el aumento de la delegación de la autoridad de adquisición:</w:t>
      </w:r>
    </w:p>
    <w:tbl>
      <w:tblPr>
        <w:tblW w:w="10250" w:type="dxa"/>
        <w:jc w:val="center"/>
        <w:tblLayout w:type="fixed"/>
        <w:tblCellMar>
          <w:left w:w="0" w:type="dxa"/>
          <w:right w:w="0" w:type="dxa"/>
        </w:tblCellMar>
        <w:tblLook w:val="04A0" w:firstRow="1" w:lastRow="0" w:firstColumn="1" w:lastColumn="0" w:noHBand="0" w:noVBand="1"/>
      </w:tblPr>
      <w:tblGrid>
        <w:gridCol w:w="1425"/>
        <w:gridCol w:w="3155"/>
        <w:gridCol w:w="2340"/>
        <w:gridCol w:w="3330"/>
      </w:tblGrid>
      <w:tr w:rsidR="00C70977" w:rsidRPr="003B513D" w14:paraId="2CC9EA5A" w14:textId="77777777" w:rsidTr="00B05294">
        <w:trPr>
          <w:tblHeader/>
          <w:jc w:val="center"/>
        </w:trPr>
        <w:tc>
          <w:tcPr>
            <w:tcW w:w="1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9529DE" w14:textId="77777777" w:rsidR="00C70977" w:rsidRPr="003B513D" w:rsidRDefault="00C70977" w:rsidP="00193BE5">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b/>
                <w:sz w:val="22"/>
                <w:szCs w:val="22"/>
              </w:rPr>
              <w:t>Nivel de Delegación de Adquisición</w:t>
            </w:r>
          </w:p>
        </w:tc>
        <w:tc>
          <w:tcPr>
            <w:tcW w:w="31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F608E" w14:textId="75A7AF99" w:rsidR="00C70977" w:rsidRPr="003B513D" w:rsidRDefault="00C70977" w:rsidP="002D70C9">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b/>
                <w:sz w:val="22"/>
                <w:szCs w:val="22"/>
              </w:rPr>
              <w:t>Capacidad de Adquisición disponible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17EA32" w14:textId="3D086789" w:rsidR="00C70977" w:rsidRPr="003B513D" w:rsidRDefault="00C70977" w:rsidP="00377DAF">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b/>
                <w:sz w:val="22"/>
                <w:szCs w:val="22"/>
              </w:rPr>
              <w:t>Volumen/Demanda de Adquisición</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806C5C" w14:textId="44DBB788" w:rsidR="00C70977" w:rsidRPr="003B513D" w:rsidRDefault="00361A11" w:rsidP="00193BE5">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b/>
                <w:sz w:val="22"/>
                <w:szCs w:val="22"/>
              </w:rPr>
              <w:t>Alcance de la Evaluación de la Capacidad/Indicadores Clave de Capacidad que deben Evaluarse</w:t>
            </w:r>
          </w:p>
        </w:tc>
      </w:tr>
      <w:tr w:rsidR="00C70977" w:rsidRPr="003B513D" w14:paraId="67346558" w14:textId="77777777" w:rsidTr="00B05294">
        <w:trPr>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04BF2" w14:textId="68ECC8AC" w:rsidR="00C70977" w:rsidRPr="003B513D" w:rsidRDefault="00C70977" w:rsidP="00193BE5">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sz w:val="22"/>
                <w:szCs w:val="22"/>
              </w:rPr>
              <w:t>Nivel 2: hasta USD </w:t>
            </w:r>
            <w:r w:rsidR="00C577C7" w:rsidRPr="003B513D">
              <w:rPr>
                <w:rFonts w:asciiTheme="majorHAnsi" w:hAnsiTheme="majorHAnsi" w:cstheme="majorHAnsi"/>
                <w:sz w:val="22"/>
                <w:szCs w:val="22"/>
              </w:rPr>
              <w:t>4</w:t>
            </w:r>
            <w:r w:rsidRPr="003B513D">
              <w:rPr>
                <w:rFonts w:asciiTheme="majorHAnsi" w:hAnsiTheme="majorHAnsi" w:cstheme="majorHAnsi"/>
                <w:sz w:val="22"/>
                <w:szCs w:val="22"/>
              </w:rPr>
              <w:t>00 000</w:t>
            </w:r>
          </w:p>
        </w:tc>
        <w:tc>
          <w:tcPr>
            <w:tcW w:w="3155" w:type="dxa"/>
            <w:tcBorders>
              <w:top w:val="nil"/>
              <w:left w:val="nil"/>
              <w:bottom w:val="single" w:sz="8" w:space="0" w:color="auto"/>
              <w:right w:val="single" w:sz="8" w:space="0" w:color="auto"/>
            </w:tcBorders>
            <w:tcMar>
              <w:top w:w="0" w:type="dxa"/>
              <w:left w:w="108" w:type="dxa"/>
              <w:bottom w:w="0" w:type="dxa"/>
              <w:right w:w="108" w:type="dxa"/>
            </w:tcMar>
            <w:hideMark/>
          </w:tcPr>
          <w:p w14:paraId="6B28B7CE" w14:textId="11389488" w:rsidR="00C70977" w:rsidRPr="003B513D" w:rsidRDefault="00C70977">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sz w:val="22"/>
                <w:szCs w:val="22"/>
              </w:rPr>
              <w:t>Un funcionario de nivel NO-B/P-2, con certificación de nivel 2 (o equivalente) del PNUD/CIPS o superior y con el respaldo adecuado de otros funcionarios de adquisiciones, con certificación de nivel 2 o superior del PNUD/CIPS</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4205C37" w14:textId="5EDB6492" w:rsidR="00C70977" w:rsidRPr="003B513D" w:rsidRDefault="00C70977" w:rsidP="001D1F1A">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sz w:val="22"/>
                <w:szCs w:val="22"/>
              </w:rPr>
              <w:t>USD 10 millones con una cantidad significativa de contratos propuestos en el plan de adquisición valorados entre el monto de delegación actual y USD </w:t>
            </w:r>
            <w:r w:rsidR="00C577C7" w:rsidRPr="003B513D">
              <w:rPr>
                <w:rFonts w:asciiTheme="majorHAnsi" w:hAnsiTheme="majorHAnsi" w:cstheme="majorHAnsi"/>
                <w:sz w:val="22"/>
                <w:szCs w:val="22"/>
              </w:rPr>
              <w:t>4</w:t>
            </w:r>
            <w:r w:rsidRPr="003B513D">
              <w:rPr>
                <w:rFonts w:asciiTheme="majorHAnsi" w:hAnsiTheme="majorHAnsi" w:cstheme="majorHAnsi"/>
                <w:sz w:val="22"/>
                <w:szCs w:val="22"/>
              </w:rPr>
              <w:t>00 000</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387E5F8E" w14:textId="74E7498D" w:rsidR="00C70977" w:rsidRPr="003B513D" w:rsidRDefault="00C70977" w:rsidP="00193BE5">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sz w:val="22"/>
                <w:szCs w:val="22"/>
              </w:rPr>
              <w:t xml:space="preserve">Examen Documental que abarcará, entre otros, los siguientes aspectos: </w:t>
            </w:r>
          </w:p>
          <w:p w14:paraId="63249F8E" w14:textId="77777777" w:rsidR="00C70977" w:rsidRPr="003B513D" w:rsidRDefault="00C70977" w:rsidP="00623EDC">
            <w:pPr>
              <w:pStyle w:val="ListParagraph"/>
              <w:numPr>
                <w:ilvl w:val="0"/>
                <w:numId w:val="7"/>
              </w:numPr>
              <w:spacing w:before="100" w:beforeAutospacing="1" w:after="100" w:afterAutospacing="1"/>
              <w:ind w:left="345" w:hanging="276"/>
              <w:rPr>
                <w:rFonts w:asciiTheme="majorHAnsi" w:hAnsiTheme="majorHAnsi" w:cstheme="majorHAnsi"/>
                <w:sz w:val="22"/>
                <w:szCs w:val="22"/>
              </w:rPr>
            </w:pPr>
            <w:r w:rsidRPr="003B513D">
              <w:rPr>
                <w:rFonts w:asciiTheme="majorHAnsi" w:hAnsiTheme="majorHAnsi" w:cstheme="majorHAnsi"/>
                <w:sz w:val="22"/>
                <w:szCs w:val="22"/>
              </w:rPr>
              <w:t>Planificación de Adquisiciones</w:t>
            </w:r>
          </w:p>
          <w:p w14:paraId="0F09E3AE" w14:textId="77777777" w:rsidR="00C70977" w:rsidRPr="003B513D" w:rsidRDefault="00C70977" w:rsidP="00623EDC">
            <w:pPr>
              <w:pStyle w:val="ListParagraph"/>
              <w:numPr>
                <w:ilvl w:val="0"/>
                <w:numId w:val="7"/>
              </w:numPr>
              <w:spacing w:before="100" w:beforeAutospacing="1" w:after="100" w:afterAutospacing="1"/>
              <w:ind w:left="345" w:hanging="276"/>
              <w:rPr>
                <w:rFonts w:asciiTheme="majorHAnsi" w:hAnsiTheme="majorHAnsi" w:cstheme="majorHAnsi"/>
                <w:sz w:val="22"/>
                <w:szCs w:val="22"/>
              </w:rPr>
            </w:pPr>
            <w:r w:rsidRPr="003B513D">
              <w:rPr>
                <w:rFonts w:asciiTheme="majorHAnsi" w:hAnsiTheme="majorHAnsi" w:cstheme="majorHAnsi"/>
                <w:sz w:val="22"/>
                <w:szCs w:val="22"/>
              </w:rPr>
              <w:t>Cumplimiento de Políticas</w:t>
            </w:r>
          </w:p>
          <w:p w14:paraId="09703C91" w14:textId="7C531635" w:rsidR="00C70977" w:rsidRPr="003B513D" w:rsidRDefault="00C70977" w:rsidP="00623EDC">
            <w:pPr>
              <w:pStyle w:val="ListParagraph"/>
              <w:numPr>
                <w:ilvl w:val="0"/>
                <w:numId w:val="7"/>
              </w:numPr>
              <w:spacing w:before="100" w:beforeAutospacing="1" w:after="100" w:afterAutospacing="1"/>
              <w:ind w:left="345" w:hanging="276"/>
              <w:rPr>
                <w:rFonts w:asciiTheme="majorHAnsi" w:hAnsiTheme="majorHAnsi" w:cstheme="majorHAnsi"/>
                <w:sz w:val="22"/>
                <w:szCs w:val="22"/>
              </w:rPr>
            </w:pPr>
            <w:r w:rsidRPr="003B513D">
              <w:rPr>
                <w:rFonts w:asciiTheme="majorHAnsi" w:hAnsiTheme="majorHAnsi" w:cstheme="majorHAnsi"/>
                <w:sz w:val="22"/>
                <w:szCs w:val="22"/>
              </w:rPr>
              <w:t>Capacidad de adquisición (dotación de personal)</w:t>
            </w:r>
          </w:p>
          <w:p w14:paraId="31D03C8D" w14:textId="77777777" w:rsidR="00C70977" w:rsidRPr="003B513D" w:rsidRDefault="00C70977" w:rsidP="00623EDC">
            <w:pPr>
              <w:pStyle w:val="ListParagraph"/>
              <w:numPr>
                <w:ilvl w:val="0"/>
                <w:numId w:val="7"/>
              </w:numPr>
              <w:spacing w:before="100" w:beforeAutospacing="1" w:after="100" w:afterAutospacing="1"/>
              <w:ind w:left="345" w:hanging="276"/>
              <w:rPr>
                <w:rFonts w:asciiTheme="majorHAnsi" w:hAnsiTheme="majorHAnsi" w:cstheme="majorHAnsi"/>
                <w:sz w:val="22"/>
                <w:szCs w:val="22"/>
              </w:rPr>
            </w:pPr>
            <w:r w:rsidRPr="003B513D">
              <w:rPr>
                <w:rFonts w:asciiTheme="majorHAnsi" w:hAnsiTheme="majorHAnsi" w:cstheme="majorHAnsi"/>
                <w:sz w:val="22"/>
                <w:szCs w:val="22"/>
              </w:rPr>
              <w:t>Demanda (perfil/volumen de cartera)</w:t>
            </w:r>
          </w:p>
          <w:p w14:paraId="6618A473" w14:textId="62F1363B" w:rsidR="00C70977" w:rsidRPr="003B513D" w:rsidRDefault="00C70977" w:rsidP="00623EDC">
            <w:pPr>
              <w:pStyle w:val="ListParagraph"/>
              <w:numPr>
                <w:ilvl w:val="0"/>
                <w:numId w:val="7"/>
              </w:numPr>
              <w:spacing w:before="100" w:beforeAutospacing="1" w:after="100" w:afterAutospacing="1"/>
              <w:ind w:left="345" w:hanging="276"/>
              <w:rPr>
                <w:rFonts w:asciiTheme="majorHAnsi" w:hAnsiTheme="majorHAnsi" w:cstheme="majorHAnsi"/>
                <w:sz w:val="22"/>
                <w:szCs w:val="22"/>
              </w:rPr>
            </w:pPr>
            <w:r w:rsidRPr="003B513D">
              <w:rPr>
                <w:rFonts w:asciiTheme="majorHAnsi" w:hAnsiTheme="majorHAnsi" w:cstheme="majorHAnsi"/>
                <w:sz w:val="22"/>
                <w:szCs w:val="22"/>
              </w:rPr>
              <w:t>Capacidad de</w:t>
            </w:r>
            <w:r w:rsidR="0040097F" w:rsidRPr="003B513D">
              <w:rPr>
                <w:rFonts w:asciiTheme="majorHAnsi" w:hAnsiTheme="majorHAnsi" w:cstheme="majorHAnsi"/>
                <w:sz w:val="22"/>
                <w:szCs w:val="22"/>
              </w:rPr>
              <w:t>l</w:t>
            </w:r>
            <w:r w:rsidRPr="003B513D">
              <w:rPr>
                <w:rFonts w:asciiTheme="majorHAnsi" w:hAnsiTheme="majorHAnsi" w:cstheme="majorHAnsi"/>
                <w:sz w:val="22"/>
                <w:szCs w:val="22"/>
              </w:rPr>
              <w:t xml:space="preserve"> CAP</w:t>
            </w:r>
          </w:p>
          <w:p w14:paraId="1CAFB7B4" w14:textId="662119F8" w:rsidR="00C70977" w:rsidRPr="003B513D" w:rsidRDefault="00C70977" w:rsidP="00623EDC">
            <w:pPr>
              <w:pStyle w:val="ListParagraph"/>
              <w:numPr>
                <w:ilvl w:val="0"/>
                <w:numId w:val="7"/>
              </w:numPr>
              <w:spacing w:before="100" w:beforeAutospacing="1" w:after="100" w:afterAutospacing="1"/>
              <w:ind w:left="345" w:hanging="276"/>
              <w:rPr>
                <w:rFonts w:asciiTheme="majorHAnsi" w:hAnsiTheme="majorHAnsi" w:cstheme="majorHAnsi"/>
                <w:sz w:val="22"/>
                <w:szCs w:val="22"/>
              </w:rPr>
            </w:pPr>
            <w:r w:rsidRPr="003B513D">
              <w:rPr>
                <w:rFonts w:asciiTheme="majorHAnsi" w:hAnsiTheme="majorHAnsi" w:cstheme="majorHAnsi"/>
                <w:sz w:val="22"/>
                <w:szCs w:val="22"/>
              </w:rPr>
              <w:t xml:space="preserve">Indicadores de Supervisión de Adquisiciones </w:t>
            </w:r>
          </w:p>
          <w:p w14:paraId="53A8FB61" w14:textId="5E39CEDE" w:rsidR="00C70977" w:rsidRPr="003B513D" w:rsidRDefault="00C70977" w:rsidP="00623EDC">
            <w:pPr>
              <w:pStyle w:val="ListParagraph"/>
              <w:numPr>
                <w:ilvl w:val="0"/>
                <w:numId w:val="7"/>
              </w:numPr>
              <w:spacing w:before="100" w:beforeAutospacing="1" w:after="100" w:afterAutospacing="1"/>
              <w:ind w:left="345" w:hanging="276"/>
              <w:rPr>
                <w:rFonts w:asciiTheme="majorHAnsi" w:hAnsiTheme="majorHAnsi" w:cstheme="majorHAnsi"/>
                <w:sz w:val="22"/>
                <w:szCs w:val="22"/>
              </w:rPr>
            </w:pPr>
            <w:r w:rsidRPr="003B513D">
              <w:rPr>
                <w:rFonts w:asciiTheme="majorHAnsi" w:hAnsiTheme="majorHAnsi" w:cstheme="majorHAnsi"/>
                <w:sz w:val="22"/>
                <w:szCs w:val="22"/>
              </w:rPr>
              <w:t>Otros Indicadores de Adquisiciones</w:t>
            </w:r>
          </w:p>
          <w:p w14:paraId="1C273D00" w14:textId="1EEE3422" w:rsidR="00C70977" w:rsidRPr="003B513D" w:rsidRDefault="00C70977" w:rsidP="00623EDC">
            <w:pPr>
              <w:pStyle w:val="ListParagraph"/>
              <w:numPr>
                <w:ilvl w:val="0"/>
                <w:numId w:val="7"/>
              </w:numPr>
              <w:spacing w:before="100" w:beforeAutospacing="1" w:after="100" w:afterAutospacing="1"/>
              <w:ind w:left="345" w:hanging="276"/>
              <w:rPr>
                <w:rFonts w:asciiTheme="majorHAnsi" w:hAnsiTheme="majorHAnsi" w:cstheme="majorHAnsi"/>
                <w:sz w:val="22"/>
                <w:szCs w:val="22"/>
              </w:rPr>
            </w:pPr>
            <w:r w:rsidRPr="003B513D">
              <w:rPr>
                <w:rFonts w:asciiTheme="majorHAnsi" w:hAnsiTheme="majorHAnsi" w:cstheme="majorHAnsi"/>
                <w:sz w:val="22"/>
                <w:szCs w:val="22"/>
              </w:rPr>
              <w:t xml:space="preserve">Mercado de suministros </w:t>
            </w:r>
          </w:p>
          <w:p w14:paraId="285BDCDA" w14:textId="6DC20269" w:rsidR="00C70977" w:rsidRPr="003B513D" w:rsidRDefault="00C70977" w:rsidP="00763639">
            <w:pPr>
              <w:pStyle w:val="ListParagraph"/>
              <w:numPr>
                <w:ilvl w:val="0"/>
                <w:numId w:val="7"/>
              </w:numPr>
              <w:spacing w:before="100" w:beforeAutospacing="1"/>
              <w:ind w:left="346" w:hanging="274"/>
              <w:rPr>
                <w:rFonts w:asciiTheme="majorHAnsi" w:hAnsiTheme="majorHAnsi" w:cstheme="majorHAnsi"/>
                <w:sz w:val="22"/>
                <w:szCs w:val="22"/>
              </w:rPr>
            </w:pPr>
            <w:r w:rsidRPr="003B513D">
              <w:rPr>
                <w:rFonts w:asciiTheme="majorHAnsi" w:hAnsiTheme="majorHAnsi" w:cstheme="majorHAnsi"/>
                <w:sz w:val="22"/>
                <w:szCs w:val="22"/>
              </w:rPr>
              <w:t>Entorno y Riesgos Externos</w:t>
            </w:r>
          </w:p>
        </w:tc>
      </w:tr>
      <w:tr w:rsidR="00C70977" w:rsidRPr="003B513D" w14:paraId="499815A0" w14:textId="77777777" w:rsidTr="00B05294">
        <w:trPr>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0CC1D" w14:textId="21AE1912" w:rsidR="00C70977" w:rsidRPr="003B513D" w:rsidRDefault="00C70977" w:rsidP="00193BE5">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sz w:val="22"/>
                <w:szCs w:val="22"/>
              </w:rPr>
              <w:t>Nivel 3: hasta USD </w:t>
            </w:r>
            <w:r w:rsidR="00C577C7" w:rsidRPr="003B513D">
              <w:rPr>
                <w:rFonts w:asciiTheme="majorHAnsi" w:hAnsiTheme="majorHAnsi" w:cstheme="majorHAnsi"/>
                <w:sz w:val="22"/>
                <w:szCs w:val="22"/>
              </w:rPr>
              <w:t>7</w:t>
            </w:r>
            <w:r w:rsidRPr="003B513D">
              <w:rPr>
                <w:rFonts w:asciiTheme="majorHAnsi" w:hAnsiTheme="majorHAnsi" w:cstheme="majorHAnsi"/>
                <w:sz w:val="22"/>
                <w:szCs w:val="22"/>
              </w:rPr>
              <w:t>00 000</w:t>
            </w:r>
          </w:p>
        </w:tc>
        <w:tc>
          <w:tcPr>
            <w:tcW w:w="3155" w:type="dxa"/>
            <w:tcBorders>
              <w:top w:val="nil"/>
              <w:left w:val="nil"/>
              <w:bottom w:val="single" w:sz="8" w:space="0" w:color="auto"/>
              <w:right w:val="single" w:sz="8" w:space="0" w:color="auto"/>
            </w:tcBorders>
            <w:tcMar>
              <w:top w:w="0" w:type="dxa"/>
              <w:left w:w="108" w:type="dxa"/>
              <w:bottom w:w="0" w:type="dxa"/>
              <w:right w:w="108" w:type="dxa"/>
            </w:tcMar>
            <w:hideMark/>
          </w:tcPr>
          <w:p w14:paraId="666C9924" w14:textId="13ED1FA8" w:rsidR="00C70977" w:rsidRPr="003B513D" w:rsidRDefault="00C70977">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sz w:val="22"/>
                <w:szCs w:val="22"/>
              </w:rPr>
              <w:t>Un funcionario de nivel NO-C/P-3, con certificación de nivel 3 (o equivalente) del PNUD/CIPS o superior y con el respaldo adecuado de otros funcionarios de adquisiciones, con certificación de nivel 2 o superior del PNUD/CIPS</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F3BF87B" w14:textId="2F048DD3" w:rsidR="00C70977" w:rsidRPr="003B513D" w:rsidRDefault="00C70977" w:rsidP="0061440A">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sz w:val="22"/>
                <w:szCs w:val="22"/>
              </w:rPr>
              <w:t>USD 20 millones con una cantidad sustancial de contratos propuestos en el plan de adquisición valorados entre el monto de delegación actual y USD </w:t>
            </w:r>
            <w:r w:rsidR="00C577C7" w:rsidRPr="003B513D">
              <w:rPr>
                <w:rFonts w:asciiTheme="majorHAnsi" w:hAnsiTheme="majorHAnsi" w:cstheme="majorHAnsi"/>
                <w:sz w:val="22"/>
                <w:szCs w:val="22"/>
              </w:rPr>
              <w:t>7</w:t>
            </w:r>
            <w:r w:rsidRPr="003B513D">
              <w:rPr>
                <w:rFonts w:asciiTheme="majorHAnsi" w:hAnsiTheme="majorHAnsi" w:cstheme="majorHAnsi"/>
                <w:sz w:val="22"/>
                <w:szCs w:val="22"/>
              </w:rPr>
              <w:t>00 000</w:t>
            </w:r>
          </w:p>
        </w:tc>
        <w:tc>
          <w:tcPr>
            <w:tcW w:w="33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AB870EE" w14:textId="05711D2E" w:rsidR="00C70977" w:rsidRPr="003B513D" w:rsidRDefault="00C70977" w:rsidP="00193BE5">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sz w:val="22"/>
                <w:szCs w:val="22"/>
              </w:rPr>
              <w:t>Examen a Fondo que abarcará, entre otros, los siguientes aspectos además de los antes mencionados:</w:t>
            </w:r>
          </w:p>
          <w:p w14:paraId="118C6804" w14:textId="5F309A97" w:rsidR="00C70977" w:rsidRPr="003B513D" w:rsidRDefault="00C70977" w:rsidP="00623EDC">
            <w:pPr>
              <w:pStyle w:val="ListParagraph"/>
              <w:numPr>
                <w:ilvl w:val="0"/>
                <w:numId w:val="8"/>
              </w:numPr>
              <w:spacing w:before="100" w:beforeAutospacing="1" w:after="100" w:afterAutospacing="1"/>
              <w:ind w:left="293" w:hanging="293"/>
              <w:rPr>
                <w:rFonts w:asciiTheme="majorHAnsi" w:hAnsiTheme="majorHAnsi" w:cstheme="majorHAnsi"/>
                <w:sz w:val="22"/>
                <w:szCs w:val="22"/>
              </w:rPr>
            </w:pPr>
            <w:r w:rsidRPr="003B513D">
              <w:rPr>
                <w:rFonts w:asciiTheme="majorHAnsi" w:hAnsiTheme="majorHAnsi" w:cstheme="majorHAnsi"/>
                <w:sz w:val="22"/>
                <w:szCs w:val="22"/>
              </w:rPr>
              <w:t>Plan Estratégico de Adquisiciones</w:t>
            </w:r>
          </w:p>
          <w:p w14:paraId="40D14A2E" w14:textId="28256457" w:rsidR="00C70977" w:rsidRPr="003B513D" w:rsidRDefault="00C70977" w:rsidP="00623EDC">
            <w:pPr>
              <w:pStyle w:val="ListParagraph"/>
              <w:numPr>
                <w:ilvl w:val="0"/>
                <w:numId w:val="8"/>
              </w:numPr>
              <w:spacing w:before="100" w:beforeAutospacing="1" w:after="100" w:afterAutospacing="1"/>
              <w:ind w:left="293" w:hanging="293"/>
              <w:rPr>
                <w:rFonts w:asciiTheme="majorHAnsi" w:hAnsiTheme="majorHAnsi" w:cstheme="majorHAnsi"/>
                <w:sz w:val="22"/>
                <w:szCs w:val="22"/>
              </w:rPr>
            </w:pPr>
            <w:r w:rsidRPr="003B513D">
              <w:rPr>
                <w:rFonts w:asciiTheme="majorHAnsi" w:hAnsiTheme="majorHAnsi" w:cstheme="majorHAnsi"/>
                <w:sz w:val="22"/>
                <w:szCs w:val="22"/>
              </w:rPr>
              <w:t>Posicionamiento y Análisis de Mercado</w:t>
            </w:r>
          </w:p>
          <w:p w14:paraId="00F637AD" w14:textId="77777777" w:rsidR="00C70977" w:rsidRPr="003B513D" w:rsidRDefault="00C70977" w:rsidP="00623EDC">
            <w:pPr>
              <w:pStyle w:val="ListParagraph"/>
              <w:numPr>
                <w:ilvl w:val="0"/>
                <w:numId w:val="8"/>
              </w:numPr>
              <w:spacing w:before="100" w:beforeAutospacing="1" w:after="100" w:afterAutospacing="1"/>
              <w:ind w:left="293" w:hanging="293"/>
              <w:rPr>
                <w:rFonts w:asciiTheme="majorHAnsi" w:hAnsiTheme="majorHAnsi" w:cstheme="majorHAnsi"/>
                <w:sz w:val="22"/>
                <w:szCs w:val="22"/>
              </w:rPr>
            </w:pPr>
            <w:r w:rsidRPr="003B513D">
              <w:rPr>
                <w:rFonts w:asciiTheme="majorHAnsi" w:hAnsiTheme="majorHAnsi" w:cstheme="majorHAnsi"/>
                <w:sz w:val="22"/>
                <w:szCs w:val="22"/>
              </w:rPr>
              <w:t xml:space="preserve">Cadena de Suministro: </w:t>
            </w:r>
          </w:p>
          <w:p w14:paraId="7C773E67" w14:textId="07335EDD" w:rsidR="00C70977" w:rsidRPr="003B513D" w:rsidRDefault="00C70977" w:rsidP="00E52337">
            <w:pPr>
              <w:pStyle w:val="ListParagraph"/>
              <w:spacing w:before="100" w:beforeAutospacing="1" w:after="100" w:afterAutospacing="1"/>
              <w:ind w:left="293"/>
              <w:rPr>
                <w:rFonts w:asciiTheme="majorHAnsi" w:hAnsiTheme="majorHAnsi" w:cstheme="majorHAnsi"/>
                <w:sz w:val="22"/>
                <w:szCs w:val="22"/>
              </w:rPr>
            </w:pPr>
            <w:r w:rsidRPr="003B513D">
              <w:rPr>
                <w:rFonts w:asciiTheme="majorHAnsi" w:hAnsiTheme="majorHAnsi" w:cstheme="majorHAnsi"/>
                <w:sz w:val="22"/>
                <w:szCs w:val="22"/>
              </w:rPr>
              <w:t>- Proceso de Adquisición</w:t>
            </w:r>
          </w:p>
          <w:p w14:paraId="578E7867" w14:textId="03986DEE" w:rsidR="00C70977" w:rsidRPr="003B513D" w:rsidRDefault="00C70977" w:rsidP="00E52337">
            <w:pPr>
              <w:pStyle w:val="ListParagraph"/>
              <w:spacing w:before="100" w:beforeAutospacing="1" w:after="100" w:afterAutospacing="1"/>
              <w:ind w:left="293"/>
              <w:rPr>
                <w:rFonts w:asciiTheme="majorHAnsi" w:hAnsiTheme="majorHAnsi" w:cstheme="majorHAnsi"/>
                <w:sz w:val="22"/>
                <w:szCs w:val="22"/>
              </w:rPr>
            </w:pPr>
            <w:r w:rsidRPr="003B513D">
              <w:rPr>
                <w:rFonts w:asciiTheme="majorHAnsi" w:hAnsiTheme="majorHAnsi" w:cstheme="majorHAnsi"/>
                <w:sz w:val="22"/>
                <w:szCs w:val="22"/>
              </w:rPr>
              <w:t>- Logística</w:t>
            </w:r>
          </w:p>
          <w:p w14:paraId="666BE0DD" w14:textId="09BE0673" w:rsidR="00C70977" w:rsidRPr="003B513D" w:rsidRDefault="00C70977" w:rsidP="00E52337">
            <w:pPr>
              <w:pStyle w:val="ListParagraph"/>
              <w:spacing w:before="100" w:beforeAutospacing="1" w:after="100" w:afterAutospacing="1"/>
              <w:ind w:left="293"/>
              <w:rPr>
                <w:rFonts w:asciiTheme="majorHAnsi" w:hAnsiTheme="majorHAnsi" w:cstheme="majorHAnsi"/>
                <w:sz w:val="22"/>
                <w:szCs w:val="22"/>
              </w:rPr>
            </w:pPr>
            <w:r w:rsidRPr="003B513D">
              <w:rPr>
                <w:rFonts w:asciiTheme="majorHAnsi" w:hAnsiTheme="majorHAnsi" w:cstheme="majorHAnsi"/>
                <w:sz w:val="22"/>
                <w:szCs w:val="22"/>
              </w:rPr>
              <w:t>- Gestión de Contratos</w:t>
            </w:r>
          </w:p>
          <w:p w14:paraId="298DECDD" w14:textId="5A0A2C16" w:rsidR="00C70977" w:rsidRPr="003B513D" w:rsidRDefault="00C70977" w:rsidP="00763639">
            <w:pPr>
              <w:pStyle w:val="ListParagraph"/>
              <w:numPr>
                <w:ilvl w:val="0"/>
                <w:numId w:val="8"/>
              </w:numPr>
              <w:spacing w:before="100" w:beforeAutospacing="1" w:after="100" w:afterAutospacing="1"/>
              <w:ind w:left="293" w:hanging="293"/>
              <w:rPr>
                <w:rFonts w:asciiTheme="majorHAnsi" w:hAnsiTheme="majorHAnsi" w:cstheme="majorHAnsi"/>
                <w:sz w:val="22"/>
                <w:szCs w:val="22"/>
              </w:rPr>
            </w:pPr>
            <w:r w:rsidRPr="003B513D">
              <w:rPr>
                <w:rFonts w:asciiTheme="majorHAnsi" w:hAnsiTheme="majorHAnsi" w:cstheme="majorHAnsi"/>
                <w:sz w:val="22"/>
                <w:szCs w:val="22"/>
              </w:rPr>
              <w:t>Capacidad de Preparación</w:t>
            </w:r>
          </w:p>
          <w:p w14:paraId="56605B36" w14:textId="534A3EAE" w:rsidR="00C70977" w:rsidRPr="003B513D" w:rsidRDefault="00C70977" w:rsidP="00E324B0">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sz w:val="22"/>
                <w:szCs w:val="22"/>
              </w:rPr>
              <w:t xml:space="preserve">Se realizará la misión </w:t>
            </w:r>
            <w:r w:rsidRPr="003B513D">
              <w:rPr>
                <w:rFonts w:asciiTheme="majorHAnsi" w:hAnsiTheme="majorHAnsi" w:cstheme="majorHAnsi"/>
                <w:i/>
                <w:sz w:val="22"/>
                <w:szCs w:val="22"/>
              </w:rPr>
              <w:t>in situ</w:t>
            </w:r>
            <w:r w:rsidRPr="003B513D">
              <w:rPr>
                <w:rFonts w:asciiTheme="majorHAnsi" w:hAnsiTheme="majorHAnsi" w:cstheme="majorHAnsi"/>
                <w:sz w:val="22"/>
                <w:szCs w:val="22"/>
              </w:rPr>
              <w:t xml:space="preserve">, si se considera necesario </w:t>
            </w:r>
          </w:p>
        </w:tc>
      </w:tr>
      <w:tr w:rsidR="00C70977" w:rsidRPr="003B513D" w14:paraId="03060DDB" w14:textId="77777777" w:rsidTr="00B05294">
        <w:trPr>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2659A" w14:textId="2D9AE0A6" w:rsidR="00C70977" w:rsidRPr="003B513D" w:rsidRDefault="00C70977" w:rsidP="00193BE5">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sz w:val="22"/>
                <w:szCs w:val="22"/>
              </w:rPr>
              <w:t>Nivel 4: hasta USD 1</w:t>
            </w:r>
            <w:r w:rsidR="00C577C7" w:rsidRPr="003B513D">
              <w:rPr>
                <w:rFonts w:asciiTheme="majorHAnsi" w:hAnsiTheme="majorHAnsi" w:cstheme="majorHAnsi"/>
                <w:sz w:val="22"/>
                <w:szCs w:val="22"/>
              </w:rPr>
              <w:t>.5</w:t>
            </w:r>
            <w:r w:rsidRPr="003B513D">
              <w:rPr>
                <w:rFonts w:asciiTheme="majorHAnsi" w:hAnsiTheme="majorHAnsi" w:cstheme="majorHAnsi"/>
                <w:sz w:val="22"/>
                <w:szCs w:val="22"/>
              </w:rPr>
              <w:t xml:space="preserve"> millón </w:t>
            </w:r>
          </w:p>
        </w:tc>
        <w:tc>
          <w:tcPr>
            <w:tcW w:w="3155" w:type="dxa"/>
            <w:tcBorders>
              <w:top w:val="nil"/>
              <w:left w:val="nil"/>
              <w:bottom w:val="single" w:sz="8" w:space="0" w:color="auto"/>
              <w:right w:val="single" w:sz="8" w:space="0" w:color="auto"/>
            </w:tcBorders>
            <w:tcMar>
              <w:top w:w="0" w:type="dxa"/>
              <w:left w:w="108" w:type="dxa"/>
              <w:bottom w:w="0" w:type="dxa"/>
              <w:right w:w="108" w:type="dxa"/>
            </w:tcMar>
            <w:hideMark/>
          </w:tcPr>
          <w:p w14:paraId="0F82F23A" w14:textId="7988BE45" w:rsidR="00C70977" w:rsidRPr="003B513D" w:rsidRDefault="00C70977">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sz w:val="22"/>
                <w:szCs w:val="22"/>
              </w:rPr>
              <w:t>Un funcionario de nivel NO-D/P-4, con certificación de nivel 3 (o equivalente) del PNUD/CIPS o superior y con el respaldo adecuado de otros funcionarios de adquisiciones, con certificación de nivel 2 o superior del PNUD/CIPS</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D9342DC" w14:textId="5CC199AA" w:rsidR="00C70977" w:rsidRPr="003B513D" w:rsidRDefault="00C70977" w:rsidP="0061440A">
            <w:pPr>
              <w:spacing w:before="100" w:beforeAutospacing="1" w:after="100" w:afterAutospacing="1"/>
              <w:rPr>
                <w:rFonts w:asciiTheme="majorHAnsi" w:hAnsiTheme="majorHAnsi" w:cstheme="majorHAnsi"/>
                <w:sz w:val="22"/>
                <w:szCs w:val="22"/>
              </w:rPr>
            </w:pPr>
            <w:r w:rsidRPr="003B513D">
              <w:rPr>
                <w:rFonts w:asciiTheme="majorHAnsi" w:hAnsiTheme="majorHAnsi" w:cstheme="majorHAnsi"/>
                <w:sz w:val="22"/>
                <w:szCs w:val="22"/>
              </w:rPr>
              <w:t>USD 40 millones con una cantidad sustancial de contratos propuestos en el plan de adquisición valorados entre el monto de delegación actual y USD 1 </w:t>
            </w:r>
            <w:r w:rsidR="00C577C7" w:rsidRPr="003B513D">
              <w:rPr>
                <w:rFonts w:asciiTheme="majorHAnsi" w:hAnsiTheme="majorHAnsi" w:cstheme="majorHAnsi"/>
                <w:sz w:val="22"/>
                <w:szCs w:val="22"/>
              </w:rPr>
              <w:t>5</w:t>
            </w:r>
            <w:r w:rsidRPr="003B513D">
              <w:rPr>
                <w:rFonts w:asciiTheme="majorHAnsi" w:hAnsiTheme="majorHAnsi" w:cstheme="majorHAnsi"/>
                <w:sz w:val="22"/>
                <w:szCs w:val="22"/>
              </w:rPr>
              <w:t>00 000</w:t>
            </w:r>
          </w:p>
        </w:tc>
        <w:tc>
          <w:tcPr>
            <w:tcW w:w="3330" w:type="dxa"/>
            <w:vMerge/>
            <w:tcBorders>
              <w:top w:val="nil"/>
              <w:left w:val="nil"/>
              <w:bottom w:val="single" w:sz="8" w:space="0" w:color="auto"/>
              <w:right w:val="single" w:sz="8" w:space="0" w:color="auto"/>
            </w:tcBorders>
            <w:vAlign w:val="center"/>
            <w:hideMark/>
          </w:tcPr>
          <w:p w14:paraId="0578B6B6" w14:textId="77777777" w:rsidR="00C70977" w:rsidRPr="003B513D" w:rsidRDefault="00C70977" w:rsidP="00193BE5">
            <w:pPr>
              <w:rPr>
                <w:rFonts w:asciiTheme="majorHAnsi" w:hAnsiTheme="majorHAnsi" w:cstheme="majorHAnsi"/>
                <w:sz w:val="22"/>
                <w:szCs w:val="22"/>
              </w:rPr>
            </w:pPr>
          </w:p>
        </w:tc>
      </w:tr>
    </w:tbl>
    <w:p w14:paraId="1A4E44B5" w14:textId="77777777" w:rsidR="00C03742" w:rsidRPr="003B513D" w:rsidRDefault="00C03742" w:rsidP="00C03742">
      <w:pPr>
        <w:shd w:val="clear" w:color="auto" w:fill="FFFFFF"/>
        <w:textAlignment w:val="top"/>
        <w:rPr>
          <w:rFonts w:asciiTheme="majorHAnsi" w:hAnsiTheme="majorHAnsi" w:cstheme="majorHAnsi"/>
          <w:sz w:val="22"/>
          <w:szCs w:val="22"/>
        </w:rPr>
      </w:pPr>
      <w:r w:rsidRPr="003B513D">
        <w:rPr>
          <w:rFonts w:asciiTheme="majorHAnsi" w:hAnsiTheme="majorHAnsi" w:cstheme="majorHAnsi"/>
          <w:sz w:val="22"/>
          <w:szCs w:val="22"/>
        </w:rPr>
        <w:t> </w:t>
      </w:r>
    </w:p>
    <w:p w14:paraId="56B33C8F" w14:textId="77777777" w:rsidR="007C4CBF" w:rsidRDefault="007C4CBF" w:rsidP="007C4CBF">
      <w:pPr>
        <w:pStyle w:val="ListParagraph"/>
        <w:ind w:left="734"/>
        <w:jc w:val="both"/>
        <w:rPr>
          <w:rFonts w:asciiTheme="majorHAnsi" w:hAnsiTheme="majorHAnsi"/>
        </w:rPr>
      </w:pPr>
    </w:p>
    <w:p w14:paraId="35271331" w14:textId="77777777" w:rsidR="007C4CBF" w:rsidRPr="00EE6E8D" w:rsidRDefault="007C4CBF" w:rsidP="007C4CBF">
      <w:pPr>
        <w:pStyle w:val="ListParagraph"/>
        <w:ind w:left="734"/>
        <w:jc w:val="both"/>
        <w:rPr>
          <w:rFonts w:asciiTheme="majorHAnsi" w:hAnsiTheme="majorHAnsi"/>
        </w:rPr>
      </w:pPr>
    </w:p>
    <w:p w14:paraId="3717FF17" w14:textId="77777777" w:rsidR="007C4CBF" w:rsidRPr="009D7A8A" w:rsidRDefault="007C4CBF" w:rsidP="007C4CBF">
      <w:pPr>
        <w:pStyle w:val="ListParagraph"/>
        <w:ind w:left="725"/>
        <w:jc w:val="both"/>
        <w:rPr>
          <w:rFonts w:asciiTheme="majorHAnsi" w:hAnsiTheme="majorHAnsi"/>
          <w:lang w:val="es-AR"/>
        </w:rPr>
      </w:pPr>
    </w:p>
    <w:p w14:paraId="2EA1E95A" w14:textId="77777777" w:rsidR="007C4CBF" w:rsidRPr="00EB1E5C" w:rsidRDefault="007C4CBF" w:rsidP="007C4CBF">
      <w:pPr>
        <w:shd w:val="clear" w:color="auto" w:fill="FFFFFF"/>
        <w:jc w:val="center"/>
        <w:rPr>
          <w:rFonts w:ascii="Calibri" w:hAnsi="Calibri" w:cs="Calibri"/>
          <w:color w:val="201F1E"/>
          <w:sz w:val="23"/>
          <w:szCs w:val="23"/>
        </w:rPr>
      </w:pPr>
      <w:r w:rsidRPr="004E446D">
        <w:rPr>
          <w:rFonts w:ascii="Calibri" w:hAnsi="Calibri" w:cs="Calibri"/>
          <w:i/>
          <w:iCs/>
          <w:color w:val="000000"/>
          <w:u w:val="single"/>
          <w:bdr w:val="none" w:sz="0" w:space="0" w:color="auto" w:frame="1"/>
        </w:rPr>
        <w:lastRenderedPageBreak/>
        <w:t>Disclaimer:</w:t>
      </w:r>
      <w:r w:rsidRPr="00EB1E5C">
        <w:rPr>
          <w:rFonts w:ascii="Calibri" w:hAnsi="Calibri" w:cs="Calibri"/>
          <w:i/>
          <w:iCs/>
          <w:color w:val="000000"/>
          <w:bdr w:val="none" w:sz="0" w:space="0" w:color="auto" w:frame="1"/>
        </w:rPr>
        <w:t xml:space="preserve"> This document was translated from English into Spanish. In the event of any discrepancy between this translation and the original English document, the original English document shall prevail.</w:t>
      </w:r>
    </w:p>
    <w:p w14:paraId="1481ECED" w14:textId="77777777" w:rsidR="007C4CBF" w:rsidRPr="00EB1E5C" w:rsidRDefault="007C4CBF" w:rsidP="007C4CBF">
      <w:pPr>
        <w:shd w:val="clear" w:color="auto" w:fill="FFFFFF"/>
        <w:jc w:val="center"/>
        <w:rPr>
          <w:rFonts w:ascii="Calibri" w:hAnsi="Calibri" w:cs="Calibri"/>
          <w:color w:val="201F1E"/>
          <w:sz w:val="23"/>
          <w:szCs w:val="23"/>
        </w:rPr>
      </w:pPr>
      <w:r w:rsidRPr="00EB1E5C">
        <w:rPr>
          <w:rFonts w:ascii="Calibri" w:hAnsi="Calibri" w:cs="Calibri"/>
          <w:i/>
          <w:iCs/>
          <w:color w:val="000000"/>
          <w:bdr w:val="none" w:sz="0" w:space="0" w:color="auto" w:frame="1"/>
        </w:rPr>
        <w:t> </w:t>
      </w:r>
    </w:p>
    <w:p w14:paraId="576B01A9" w14:textId="77777777" w:rsidR="007C4CBF" w:rsidRPr="00EB1E5C" w:rsidRDefault="007C4CBF" w:rsidP="007C4CBF">
      <w:pPr>
        <w:shd w:val="clear" w:color="auto" w:fill="FFFFFF"/>
        <w:jc w:val="center"/>
        <w:rPr>
          <w:rFonts w:ascii="Calibri" w:hAnsi="Calibri" w:cs="Calibri"/>
          <w:color w:val="201F1E"/>
          <w:sz w:val="23"/>
          <w:szCs w:val="23"/>
        </w:rPr>
      </w:pPr>
      <w:r w:rsidRPr="004E446D">
        <w:rPr>
          <w:rFonts w:ascii="Calibri" w:hAnsi="Calibri" w:cs="Calibri"/>
          <w:i/>
          <w:iCs/>
          <w:color w:val="000000"/>
          <w:u w:val="single"/>
          <w:bdr w:val="none" w:sz="0" w:space="0" w:color="auto" w:frame="1"/>
          <w:shd w:val="clear" w:color="auto" w:fill="FFFFFF"/>
          <w:lang w:val="es-ES_tradnl"/>
        </w:rPr>
        <w:t>Descargo de responsabilidad:</w:t>
      </w:r>
      <w:r w:rsidRPr="00EB1E5C">
        <w:rPr>
          <w:rFonts w:ascii="Calibri" w:hAnsi="Calibri" w:cs="Calibri"/>
          <w:i/>
          <w:iCs/>
          <w:color w:val="000000"/>
          <w:bdr w:val="none" w:sz="0" w:space="0" w:color="auto" w:frame="1"/>
          <w:shd w:val="clear" w:color="auto" w:fill="FFFFFF"/>
          <w:lang w:val="es-ES_tradnl"/>
        </w:rPr>
        <w:t xml:space="preserve"> esta es una traducción de un documento original en inglés. </w:t>
      </w:r>
      <w:r w:rsidRPr="00EB1E5C">
        <w:rPr>
          <w:rFonts w:ascii="Calibri" w:hAnsi="Calibri" w:cs="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47AE856F" w14:textId="77777777" w:rsidR="00314055" w:rsidRPr="003B513D" w:rsidRDefault="00314055" w:rsidP="000403DC">
      <w:pPr>
        <w:rPr>
          <w:rFonts w:asciiTheme="majorHAnsi" w:hAnsiTheme="majorHAnsi" w:cstheme="majorHAnsi"/>
          <w:b/>
          <w:sz w:val="22"/>
          <w:szCs w:val="22"/>
        </w:rPr>
      </w:pPr>
    </w:p>
    <w:sectPr w:rsidR="00314055" w:rsidRPr="003B513D" w:rsidSect="00772C3E">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FBE7" w14:textId="77777777" w:rsidR="00583903" w:rsidRDefault="00583903" w:rsidP="006A295A">
      <w:r>
        <w:separator/>
      </w:r>
    </w:p>
  </w:endnote>
  <w:endnote w:type="continuationSeparator" w:id="0">
    <w:p w14:paraId="57C4E588" w14:textId="77777777" w:rsidR="00583903" w:rsidRDefault="00583903" w:rsidP="006A295A">
      <w:r>
        <w:continuationSeparator/>
      </w:r>
    </w:p>
  </w:endnote>
  <w:endnote w:type="continuationNotice" w:id="1">
    <w:p w14:paraId="06292359" w14:textId="77777777" w:rsidR="00583903" w:rsidRDefault="00583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DC4B" w14:textId="745AA142" w:rsidR="00126B3E" w:rsidRPr="00126B3E" w:rsidRDefault="007C4CBF" w:rsidP="00535783">
    <w:pPr>
      <w:pStyle w:val="Footer"/>
      <w:tabs>
        <w:tab w:val="clear" w:pos="9360"/>
        <w:tab w:val="left" w:pos="7875"/>
      </w:tabs>
      <w:jc w:val="center"/>
      <w:rPr>
        <w:rFonts w:asciiTheme="majorHAnsi" w:hAnsiTheme="majorHAnsi" w:cstheme="majorHAnsi"/>
        <w:sz w:val="22"/>
      </w:rPr>
    </w:pPr>
    <w:sdt>
      <w:sdtPr>
        <w:rPr>
          <w:rFonts w:asciiTheme="majorHAnsi" w:hAnsiTheme="majorHAnsi" w:cstheme="majorHAnsi"/>
          <w:sz w:val="22"/>
        </w:rPr>
        <w:id w:val="-1705238520"/>
        <w:docPartObj>
          <w:docPartGallery w:val="Page Numbers (Top of Page)"/>
          <w:docPartUnique/>
        </w:docPartObj>
      </w:sdtPr>
      <w:sdtEndPr/>
      <w:sdtContent>
        <w:r w:rsidR="00BE2BF4">
          <w:rPr>
            <w:rFonts w:asciiTheme="majorHAnsi" w:hAnsiTheme="majorHAnsi" w:cstheme="majorHAnsi"/>
            <w:sz w:val="22"/>
          </w:rPr>
          <w:t xml:space="preserve">Página </w:t>
        </w:r>
        <w:r w:rsidR="00126B3E" w:rsidRPr="00126B3E">
          <w:rPr>
            <w:rFonts w:asciiTheme="majorHAnsi" w:hAnsiTheme="majorHAnsi" w:cstheme="majorHAnsi"/>
            <w:b/>
            <w:bCs/>
            <w:sz w:val="22"/>
          </w:rPr>
          <w:fldChar w:fldCharType="begin"/>
        </w:r>
        <w:r w:rsidR="00126B3E" w:rsidRPr="00126B3E">
          <w:rPr>
            <w:rFonts w:asciiTheme="majorHAnsi" w:hAnsiTheme="majorHAnsi" w:cstheme="majorHAnsi"/>
            <w:b/>
            <w:bCs/>
            <w:sz w:val="22"/>
          </w:rPr>
          <w:instrText xml:space="preserve"> PAGE </w:instrText>
        </w:r>
        <w:r w:rsidR="00126B3E" w:rsidRPr="00126B3E">
          <w:rPr>
            <w:rFonts w:asciiTheme="majorHAnsi" w:hAnsiTheme="majorHAnsi" w:cstheme="majorHAnsi"/>
            <w:b/>
            <w:bCs/>
            <w:sz w:val="22"/>
          </w:rPr>
          <w:fldChar w:fldCharType="separate"/>
        </w:r>
        <w:r w:rsidR="001C0874">
          <w:rPr>
            <w:rFonts w:asciiTheme="majorHAnsi" w:hAnsiTheme="majorHAnsi" w:cstheme="majorHAnsi"/>
            <w:b/>
            <w:bCs/>
            <w:noProof/>
            <w:sz w:val="22"/>
          </w:rPr>
          <w:t>1</w:t>
        </w:r>
        <w:r w:rsidR="00126B3E" w:rsidRPr="00126B3E">
          <w:rPr>
            <w:rFonts w:asciiTheme="majorHAnsi" w:hAnsiTheme="majorHAnsi" w:cstheme="majorHAnsi"/>
            <w:b/>
            <w:bCs/>
            <w:sz w:val="22"/>
          </w:rPr>
          <w:fldChar w:fldCharType="end"/>
        </w:r>
        <w:r w:rsidR="00BE2BF4">
          <w:rPr>
            <w:rFonts w:asciiTheme="majorHAnsi" w:hAnsiTheme="majorHAnsi" w:cstheme="majorHAnsi"/>
            <w:sz w:val="22"/>
          </w:rPr>
          <w:t xml:space="preserve"> de </w:t>
        </w:r>
        <w:r w:rsidR="00126B3E" w:rsidRPr="00126B3E">
          <w:rPr>
            <w:rFonts w:asciiTheme="majorHAnsi" w:hAnsiTheme="majorHAnsi" w:cstheme="majorHAnsi"/>
            <w:b/>
            <w:bCs/>
            <w:sz w:val="22"/>
          </w:rPr>
          <w:fldChar w:fldCharType="begin"/>
        </w:r>
        <w:r w:rsidR="00126B3E" w:rsidRPr="00126B3E">
          <w:rPr>
            <w:rFonts w:asciiTheme="majorHAnsi" w:hAnsiTheme="majorHAnsi" w:cstheme="majorHAnsi"/>
            <w:b/>
            <w:bCs/>
            <w:sz w:val="22"/>
          </w:rPr>
          <w:instrText xml:space="preserve"> NUMPAGES  </w:instrText>
        </w:r>
        <w:r w:rsidR="00126B3E" w:rsidRPr="00126B3E">
          <w:rPr>
            <w:rFonts w:asciiTheme="majorHAnsi" w:hAnsiTheme="majorHAnsi" w:cstheme="majorHAnsi"/>
            <w:b/>
            <w:bCs/>
            <w:sz w:val="22"/>
          </w:rPr>
          <w:fldChar w:fldCharType="separate"/>
        </w:r>
        <w:r w:rsidR="001C0874">
          <w:rPr>
            <w:rFonts w:asciiTheme="majorHAnsi" w:hAnsiTheme="majorHAnsi" w:cstheme="majorHAnsi"/>
            <w:b/>
            <w:bCs/>
            <w:noProof/>
            <w:sz w:val="22"/>
          </w:rPr>
          <w:t>4</w:t>
        </w:r>
        <w:r w:rsidR="00126B3E" w:rsidRPr="00126B3E">
          <w:rPr>
            <w:rFonts w:asciiTheme="majorHAnsi" w:hAnsiTheme="majorHAnsi" w:cstheme="majorHAnsi"/>
            <w:b/>
            <w:bCs/>
            <w:sz w:val="22"/>
          </w:rPr>
          <w:fldChar w:fldCharType="end"/>
        </w:r>
        <w:r w:rsidR="00BE2BF4">
          <w:tab/>
        </w:r>
        <w:r w:rsidR="00BE2BF4">
          <w:rPr>
            <w:rFonts w:asciiTheme="majorHAnsi" w:hAnsiTheme="majorHAnsi" w:cstheme="majorHAnsi"/>
            <w:sz w:val="22"/>
          </w:rPr>
          <w:t xml:space="preserve">               Fecha de entrada en vigor: </w:t>
        </w:r>
        <w:r w:rsidR="00211FA9">
          <w:rPr>
            <w:rFonts w:asciiTheme="majorHAnsi" w:hAnsiTheme="majorHAnsi" w:cstheme="majorHAnsi"/>
            <w:sz w:val="22"/>
          </w:rPr>
          <w:t>15/09/2025</w:t>
        </w:r>
      </w:sdtContent>
    </w:sdt>
    <w:r w:rsidR="00BE2BF4">
      <w:tab/>
    </w:r>
    <w:r w:rsidR="00BE2BF4">
      <w:tab/>
    </w:r>
    <w:r w:rsidR="00535783">
      <w:t xml:space="preserve">     </w:t>
    </w:r>
    <w:r w:rsidR="00BE2BF4">
      <w:rPr>
        <w:rFonts w:asciiTheme="majorHAnsi" w:hAnsiTheme="majorHAnsi" w:cstheme="majorHAnsi"/>
        <w:sz w:val="22"/>
      </w:rPr>
      <w:t xml:space="preserve">Versión </w:t>
    </w:r>
    <w:r w:rsidR="00040AB6">
      <w:rPr>
        <w:rFonts w:asciiTheme="majorHAnsi" w:hAnsiTheme="majorHAnsi" w:cstheme="majorHAnsi"/>
        <w:sz w:val="22"/>
      </w:rPr>
      <w:t>#</w:t>
    </w:r>
    <w:r w:rsidR="00BE2BF4">
      <w:rPr>
        <w:rFonts w:asciiTheme="majorHAnsi" w:hAnsiTheme="majorHAnsi" w:cstheme="majorHAnsi"/>
        <w:sz w:val="22"/>
      </w:rPr>
      <w:t xml:space="preserve">: </w:t>
    </w:r>
    <w:r w:rsidR="00211FA9">
      <w:rPr>
        <w:rFonts w:asciiTheme="majorHAnsi" w:hAnsiTheme="majorHAnsi" w:cstheme="majorHAnsi"/>
        <w:sz w:val="22"/>
      </w:rPr>
      <w:t>11</w:t>
    </w:r>
  </w:p>
  <w:p w14:paraId="0CAC9FD1" w14:textId="76B70EFC" w:rsidR="000541D8" w:rsidRPr="00534A7E" w:rsidRDefault="000541D8" w:rsidP="0053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6D48" w14:textId="77777777" w:rsidR="00583903" w:rsidRDefault="00583903" w:rsidP="006A295A">
      <w:r>
        <w:separator/>
      </w:r>
    </w:p>
  </w:footnote>
  <w:footnote w:type="continuationSeparator" w:id="0">
    <w:p w14:paraId="3A2BE91D" w14:textId="77777777" w:rsidR="00583903" w:rsidRDefault="00583903" w:rsidP="006A295A">
      <w:r>
        <w:continuationSeparator/>
      </w:r>
    </w:p>
  </w:footnote>
  <w:footnote w:type="continuationNotice" w:id="1">
    <w:p w14:paraId="6CE6484D" w14:textId="77777777" w:rsidR="00583903" w:rsidRDefault="00583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6D3C" w14:textId="5BD9E67A" w:rsidR="00126B3E" w:rsidRDefault="007A20AF" w:rsidP="009B4340">
    <w:pPr>
      <w:pStyle w:val="Header"/>
      <w:jc w:val="right"/>
    </w:pPr>
    <w:r>
      <w:t xml:space="preserve"> </w:t>
    </w:r>
    <w:r>
      <w:rPr>
        <w:noProof/>
      </w:rPr>
      <w:drawing>
        <wp:inline distT="0" distB="0" distL="0" distR="0" wp14:anchorId="1946274E" wp14:editId="0FEEEBD4">
          <wp:extent cx="308167" cy="591185"/>
          <wp:effectExtent l="0" t="0" r="0" b="0"/>
          <wp:docPr id="20" name="Picture 1" descr="A blue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and white logo with white text&#10;&#10;AI-generated content may be incorrect."/>
                  <pic:cNvPicPr>
                    <a:picLocks noChangeAspect="1"/>
                  </pic:cNvPicPr>
                </pic:nvPicPr>
                <pic:blipFill rotWithShape="1">
                  <a:blip r:embed="rId1" cstate="print">
                    <a:extLst>
                      <a:ext uri="{28A0092B-C50C-407E-A947-70E740481C1C}">
                        <a14:useLocalDpi xmlns:a14="http://schemas.microsoft.com/office/drawing/2010/main" val="0"/>
                      </a:ext>
                    </a:extLst>
                  </a:blip>
                  <a:srcRect l="22811" t="15459" r="22737" b="15942"/>
                  <a:stretch>
                    <a:fillRect/>
                  </a:stretch>
                </pic:blipFill>
                <pic:spPr bwMode="auto">
                  <a:xfrm>
                    <a:off x="0" y="0"/>
                    <a:ext cx="314813" cy="603935"/>
                  </a:xfrm>
                  <a:prstGeom prst="rect">
                    <a:avLst/>
                  </a:prstGeom>
                  <a:noFill/>
                  <a:ln>
                    <a:noFill/>
                  </a:ln>
                  <a:extLst>
                    <a:ext uri="{53640926-AAD7-44D8-BBD7-CCE9431645EC}">
                      <a14:shadowObscured xmlns:a14="http://schemas.microsoft.com/office/drawing/2010/main"/>
                    </a:ext>
                  </a:extLst>
                </pic:spPr>
              </pic:pic>
            </a:graphicData>
          </a:graphic>
        </wp:inline>
      </w:drawing>
    </w:r>
  </w:p>
  <w:p w14:paraId="731F1B3D" w14:textId="77777777" w:rsidR="00A461F7" w:rsidRDefault="00A46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98D"/>
    <w:multiLevelType w:val="hybridMultilevel"/>
    <w:tmpl w:val="CB24A5FE"/>
    <w:lvl w:ilvl="0" w:tplc="163E91BE">
      <w:numFmt w:val="bullet"/>
      <w:lvlText w:val=""/>
      <w:lvlJc w:val="left"/>
      <w:pPr>
        <w:ind w:left="765" w:hanging="405"/>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02EAB"/>
    <w:multiLevelType w:val="hybridMultilevel"/>
    <w:tmpl w:val="033C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CAA"/>
    <w:multiLevelType w:val="hybridMultilevel"/>
    <w:tmpl w:val="B122FB6E"/>
    <w:lvl w:ilvl="0" w:tplc="04090001">
      <w:start w:val="1"/>
      <w:numFmt w:val="bullet"/>
      <w:lvlText w:val=""/>
      <w:lvlJc w:val="left"/>
      <w:pPr>
        <w:ind w:left="405" w:hanging="405"/>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665B67"/>
    <w:multiLevelType w:val="hybridMultilevel"/>
    <w:tmpl w:val="A2D2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F7365"/>
    <w:multiLevelType w:val="hybridMultilevel"/>
    <w:tmpl w:val="816C8D5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55CB1EAA"/>
    <w:multiLevelType w:val="hybridMultilevel"/>
    <w:tmpl w:val="3BFA34D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E802A40"/>
    <w:multiLevelType w:val="hybridMultilevel"/>
    <w:tmpl w:val="CB68CC02"/>
    <w:lvl w:ilvl="0" w:tplc="163E91BE">
      <w:numFmt w:val="bullet"/>
      <w:lvlText w:val=""/>
      <w:lvlJc w:val="left"/>
      <w:pPr>
        <w:ind w:left="765" w:hanging="405"/>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C3158"/>
    <w:multiLevelType w:val="multilevel"/>
    <w:tmpl w:val="754A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942922">
    <w:abstractNumId w:val="7"/>
  </w:num>
  <w:num w:numId="2" w16cid:durableId="301425196">
    <w:abstractNumId w:val="4"/>
  </w:num>
  <w:num w:numId="3" w16cid:durableId="118384273">
    <w:abstractNumId w:val="5"/>
  </w:num>
  <w:num w:numId="4" w16cid:durableId="1872496490">
    <w:abstractNumId w:val="1"/>
  </w:num>
  <w:num w:numId="5" w16cid:durableId="1232424301">
    <w:abstractNumId w:val="6"/>
  </w:num>
  <w:num w:numId="6" w16cid:durableId="1192766560">
    <w:abstractNumId w:val="0"/>
  </w:num>
  <w:num w:numId="7" w16cid:durableId="1942251059">
    <w:abstractNumId w:val="2"/>
  </w:num>
  <w:num w:numId="8" w16cid:durableId="152599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10AF5"/>
    <w:rsid w:val="0002539E"/>
    <w:rsid w:val="000403DC"/>
    <w:rsid w:val="00040AB6"/>
    <w:rsid w:val="000541D8"/>
    <w:rsid w:val="000569CB"/>
    <w:rsid w:val="000645B0"/>
    <w:rsid w:val="00066C36"/>
    <w:rsid w:val="000713B7"/>
    <w:rsid w:val="00077DAE"/>
    <w:rsid w:val="00097D72"/>
    <w:rsid w:val="000A04A6"/>
    <w:rsid w:val="000B35BC"/>
    <w:rsid w:val="000B6DA5"/>
    <w:rsid w:val="000C092E"/>
    <w:rsid w:val="000D2A4B"/>
    <w:rsid w:val="000E1C57"/>
    <w:rsid w:val="00105EB1"/>
    <w:rsid w:val="00114A1A"/>
    <w:rsid w:val="00126B3E"/>
    <w:rsid w:val="00133A78"/>
    <w:rsid w:val="00140EF5"/>
    <w:rsid w:val="00143AE6"/>
    <w:rsid w:val="00144BDA"/>
    <w:rsid w:val="0015081F"/>
    <w:rsid w:val="00160BC9"/>
    <w:rsid w:val="0017128B"/>
    <w:rsid w:val="001721EA"/>
    <w:rsid w:val="001769F5"/>
    <w:rsid w:val="00177584"/>
    <w:rsid w:val="001806C9"/>
    <w:rsid w:val="00192536"/>
    <w:rsid w:val="001B7FE7"/>
    <w:rsid w:val="001C0874"/>
    <w:rsid w:val="001C6122"/>
    <w:rsid w:val="001D1F1A"/>
    <w:rsid w:val="001D7B21"/>
    <w:rsid w:val="001E677A"/>
    <w:rsid w:val="001F03A7"/>
    <w:rsid w:val="001F5A9A"/>
    <w:rsid w:val="00203D81"/>
    <w:rsid w:val="002065D9"/>
    <w:rsid w:val="00211FA9"/>
    <w:rsid w:val="00216101"/>
    <w:rsid w:val="002457CA"/>
    <w:rsid w:val="00250560"/>
    <w:rsid w:val="00261A2C"/>
    <w:rsid w:val="00262C6D"/>
    <w:rsid w:val="00274531"/>
    <w:rsid w:val="00276FCA"/>
    <w:rsid w:val="002770D7"/>
    <w:rsid w:val="00292F28"/>
    <w:rsid w:val="002932CD"/>
    <w:rsid w:val="00293E9B"/>
    <w:rsid w:val="002A6958"/>
    <w:rsid w:val="002B5C83"/>
    <w:rsid w:val="002C1976"/>
    <w:rsid w:val="002D70C9"/>
    <w:rsid w:val="00306B3F"/>
    <w:rsid w:val="00307C36"/>
    <w:rsid w:val="00314055"/>
    <w:rsid w:val="00314134"/>
    <w:rsid w:val="003218D6"/>
    <w:rsid w:val="003317F3"/>
    <w:rsid w:val="00332CE9"/>
    <w:rsid w:val="00344B51"/>
    <w:rsid w:val="00361A11"/>
    <w:rsid w:val="00377DAF"/>
    <w:rsid w:val="00380EFB"/>
    <w:rsid w:val="00387D58"/>
    <w:rsid w:val="003A3849"/>
    <w:rsid w:val="003B02B0"/>
    <w:rsid w:val="003B513D"/>
    <w:rsid w:val="003C2B97"/>
    <w:rsid w:val="003C4EF8"/>
    <w:rsid w:val="003D05B2"/>
    <w:rsid w:val="003E64D1"/>
    <w:rsid w:val="003F6CB5"/>
    <w:rsid w:val="0040097F"/>
    <w:rsid w:val="004162AF"/>
    <w:rsid w:val="0042654F"/>
    <w:rsid w:val="004477E8"/>
    <w:rsid w:val="0045377A"/>
    <w:rsid w:val="0046629F"/>
    <w:rsid w:val="0047381E"/>
    <w:rsid w:val="00477D0D"/>
    <w:rsid w:val="004850E2"/>
    <w:rsid w:val="00487BF2"/>
    <w:rsid w:val="004965B5"/>
    <w:rsid w:val="004A05CF"/>
    <w:rsid w:val="004A1B90"/>
    <w:rsid w:val="004B508E"/>
    <w:rsid w:val="004B7DEB"/>
    <w:rsid w:val="004C6C00"/>
    <w:rsid w:val="004D1A12"/>
    <w:rsid w:val="004D367C"/>
    <w:rsid w:val="004E17C8"/>
    <w:rsid w:val="00532282"/>
    <w:rsid w:val="00534A7E"/>
    <w:rsid w:val="00535783"/>
    <w:rsid w:val="005528EF"/>
    <w:rsid w:val="0055449C"/>
    <w:rsid w:val="005740A3"/>
    <w:rsid w:val="005752EB"/>
    <w:rsid w:val="00575406"/>
    <w:rsid w:val="00583903"/>
    <w:rsid w:val="00586AEB"/>
    <w:rsid w:val="005872B8"/>
    <w:rsid w:val="005A2435"/>
    <w:rsid w:val="005A650C"/>
    <w:rsid w:val="005A7DF5"/>
    <w:rsid w:val="005B48A2"/>
    <w:rsid w:val="005D28C9"/>
    <w:rsid w:val="005D2AF0"/>
    <w:rsid w:val="005E5F5C"/>
    <w:rsid w:val="005F5F45"/>
    <w:rsid w:val="00607F58"/>
    <w:rsid w:val="00613891"/>
    <w:rsid w:val="0061440A"/>
    <w:rsid w:val="006233AE"/>
    <w:rsid w:val="00623EDC"/>
    <w:rsid w:val="00630591"/>
    <w:rsid w:val="006371E1"/>
    <w:rsid w:val="006411DD"/>
    <w:rsid w:val="006629EB"/>
    <w:rsid w:val="00681311"/>
    <w:rsid w:val="006A295A"/>
    <w:rsid w:val="006A7479"/>
    <w:rsid w:val="006D3081"/>
    <w:rsid w:val="006F46F4"/>
    <w:rsid w:val="006F7CF8"/>
    <w:rsid w:val="0070538D"/>
    <w:rsid w:val="00714D99"/>
    <w:rsid w:val="00720C08"/>
    <w:rsid w:val="0072262C"/>
    <w:rsid w:val="0072518D"/>
    <w:rsid w:val="007311D0"/>
    <w:rsid w:val="0073491B"/>
    <w:rsid w:val="00763639"/>
    <w:rsid w:val="00772C3E"/>
    <w:rsid w:val="0078327E"/>
    <w:rsid w:val="00785D1C"/>
    <w:rsid w:val="00792180"/>
    <w:rsid w:val="007A20AF"/>
    <w:rsid w:val="007A269A"/>
    <w:rsid w:val="007A2EDB"/>
    <w:rsid w:val="007C2725"/>
    <w:rsid w:val="007C4B17"/>
    <w:rsid w:val="007C4CBF"/>
    <w:rsid w:val="007C6EDA"/>
    <w:rsid w:val="007D31E6"/>
    <w:rsid w:val="007E3624"/>
    <w:rsid w:val="007F06AC"/>
    <w:rsid w:val="007F6A96"/>
    <w:rsid w:val="00806FBB"/>
    <w:rsid w:val="008169F3"/>
    <w:rsid w:val="00836296"/>
    <w:rsid w:val="00841528"/>
    <w:rsid w:val="0086179C"/>
    <w:rsid w:val="00864AEE"/>
    <w:rsid w:val="00894664"/>
    <w:rsid w:val="008A7B13"/>
    <w:rsid w:val="008A7BF7"/>
    <w:rsid w:val="008A7F5C"/>
    <w:rsid w:val="008C6755"/>
    <w:rsid w:val="008D39FC"/>
    <w:rsid w:val="008D4499"/>
    <w:rsid w:val="008E1E76"/>
    <w:rsid w:val="008E259C"/>
    <w:rsid w:val="00901687"/>
    <w:rsid w:val="00901E38"/>
    <w:rsid w:val="00913139"/>
    <w:rsid w:val="00917F24"/>
    <w:rsid w:val="00930B05"/>
    <w:rsid w:val="00931885"/>
    <w:rsid w:val="00933138"/>
    <w:rsid w:val="00940149"/>
    <w:rsid w:val="00956154"/>
    <w:rsid w:val="00980BC6"/>
    <w:rsid w:val="0098636E"/>
    <w:rsid w:val="00993851"/>
    <w:rsid w:val="009A106F"/>
    <w:rsid w:val="009B07BC"/>
    <w:rsid w:val="009B0F01"/>
    <w:rsid w:val="009B4340"/>
    <w:rsid w:val="009B7A03"/>
    <w:rsid w:val="009E7BFE"/>
    <w:rsid w:val="009F01B0"/>
    <w:rsid w:val="009F3FFC"/>
    <w:rsid w:val="009F6FED"/>
    <w:rsid w:val="009F7A6D"/>
    <w:rsid w:val="009F7D87"/>
    <w:rsid w:val="00A07FCF"/>
    <w:rsid w:val="00A35347"/>
    <w:rsid w:val="00A461F7"/>
    <w:rsid w:val="00A657FD"/>
    <w:rsid w:val="00A8288A"/>
    <w:rsid w:val="00AA4F95"/>
    <w:rsid w:val="00AC2916"/>
    <w:rsid w:val="00AE4702"/>
    <w:rsid w:val="00AE6B1E"/>
    <w:rsid w:val="00B05294"/>
    <w:rsid w:val="00B15A85"/>
    <w:rsid w:val="00B16B31"/>
    <w:rsid w:val="00B17AEF"/>
    <w:rsid w:val="00B407C5"/>
    <w:rsid w:val="00B46C2E"/>
    <w:rsid w:val="00B50544"/>
    <w:rsid w:val="00B541A9"/>
    <w:rsid w:val="00B63773"/>
    <w:rsid w:val="00B7570A"/>
    <w:rsid w:val="00B843C0"/>
    <w:rsid w:val="00B945F0"/>
    <w:rsid w:val="00B95457"/>
    <w:rsid w:val="00B969A3"/>
    <w:rsid w:val="00BD00DB"/>
    <w:rsid w:val="00BE1DD5"/>
    <w:rsid w:val="00BE2BF4"/>
    <w:rsid w:val="00BE5C12"/>
    <w:rsid w:val="00BF1431"/>
    <w:rsid w:val="00C03742"/>
    <w:rsid w:val="00C17165"/>
    <w:rsid w:val="00C22D8C"/>
    <w:rsid w:val="00C2526E"/>
    <w:rsid w:val="00C26A7F"/>
    <w:rsid w:val="00C26FBA"/>
    <w:rsid w:val="00C32AC7"/>
    <w:rsid w:val="00C47D70"/>
    <w:rsid w:val="00C50140"/>
    <w:rsid w:val="00C577C7"/>
    <w:rsid w:val="00C61902"/>
    <w:rsid w:val="00C64FB9"/>
    <w:rsid w:val="00C70977"/>
    <w:rsid w:val="00C84BAB"/>
    <w:rsid w:val="00C9252D"/>
    <w:rsid w:val="00CA7363"/>
    <w:rsid w:val="00CB0B84"/>
    <w:rsid w:val="00CB4B1D"/>
    <w:rsid w:val="00CD0567"/>
    <w:rsid w:val="00CD1652"/>
    <w:rsid w:val="00CD6566"/>
    <w:rsid w:val="00CE114C"/>
    <w:rsid w:val="00CE57D2"/>
    <w:rsid w:val="00CE6D28"/>
    <w:rsid w:val="00CF4B3A"/>
    <w:rsid w:val="00D15CAD"/>
    <w:rsid w:val="00D25FF4"/>
    <w:rsid w:val="00D3215F"/>
    <w:rsid w:val="00D527A8"/>
    <w:rsid w:val="00D86368"/>
    <w:rsid w:val="00D86B3D"/>
    <w:rsid w:val="00D915C6"/>
    <w:rsid w:val="00D96853"/>
    <w:rsid w:val="00D96B5F"/>
    <w:rsid w:val="00DB533F"/>
    <w:rsid w:val="00DC5AC6"/>
    <w:rsid w:val="00DD352B"/>
    <w:rsid w:val="00E0412E"/>
    <w:rsid w:val="00E1290B"/>
    <w:rsid w:val="00E1459D"/>
    <w:rsid w:val="00E14FBD"/>
    <w:rsid w:val="00E2309B"/>
    <w:rsid w:val="00E244E1"/>
    <w:rsid w:val="00E324B0"/>
    <w:rsid w:val="00E52337"/>
    <w:rsid w:val="00E60517"/>
    <w:rsid w:val="00E63383"/>
    <w:rsid w:val="00E72107"/>
    <w:rsid w:val="00E745DB"/>
    <w:rsid w:val="00EA1236"/>
    <w:rsid w:val="00EA2E71"/>
    <w:rsid w:val="00EB03A1"/>
    <w:rsid w:val="00EB35FE"/>
    <w:rsid w:val="00EB4ECF"/>
    <w:rsid w:val="00ED1E18"/>
    <w:rsid w:val="00ED7933"/>
    <w:rsid w:val="00EE135B"/>
    <w:rsid w:val="00EF77BA"/>
    <w:rsid w:val="00F053A6"/>
    <w:rsid w:val="00F11A6D"/>
    <w:rsid w:val="00F1333A"/>
    <w:rsid w:val="00F17AB7"/>
    <w:rsid w:val="00F22779"/>
    <w:rsid w:val="00F411FB"/>
    <w:rsid w:val="00F476A2"/>
    <w:rsid w:val="00F544F0"/>
    <w:rsid w:val="00F57874"/>
    <w:rsid w:val="00F57B0F"/>
    <w:rsid w:val="00F73655"/>
    <w:rsid w:val="00F81CA4"/>
    <w:rsid w:val="00F820D3"/>
    <w:rsid w:val="00F825E7"/>
    <w:rsid w:val="00F9749C"/>
    <w:rsid w:val="00FD5553"/>
    <w:rsid w:val="00FD7790"/>
    <w:rsid w:val="00FF0F65"/>
    <w:rsid w:val="00FF389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13A5C2"/>
  <w14:defaultImageDpi w14:val="300"/>
  <w15:docId w15:val="{20FB6658-A131-47D8-9B82-498F78BD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092E"/>
    <w:rPr>
      <w:sz w:val="16"/>
      <w:szCs w:val="16"/>
    </w:rPr>
  </w:style>
  <w:style w:type="paragraph" w:styleId="CommentText">
    <w:name w:val="annotation text"/>
    <w:basedOn w:val="Normal"/>
    <w:link w:val="CommentTextChar"/>
    <w:uiPriority w:val="99"/>
    <w:semiHidden/>
    <w:unhideWhenUsed/>
    <w:rsid w:val="000C092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C092E"/>
    <w:rPr>
      <w:rFonts w:eastAsiaTheme="minorHAnsi"/>
      <w:sz w:val="20"/>
      <w:szCs w:val="20"/>
      <w:lang w:val="es-ES"/>
    </w:rPr>
  </w:style>
  <w:style w:type="paragraph" w:styleId="CommentSubject">
    <w:name w:val="annotation subject"/>
    <w:basedOn w:val="CommentText"/>
    <w:next w:val="CommentText"/>
    <w:link w:val="CommentSubjectChar"/>
    <w:uiPriority w:val="99"/>
    <w:semiHidden/>
    <w:unhideWhenUsed/>
    <w:rsid w:val="00A657F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657FD"/>
    <w:rPr>
      <w:rFonts w:ascii="Times New Roman" w:eastAsia="Times New Roman" w:hAnsi="Times New Roman" w:cs="Times New Roman"/>
      <w:b/>
      <w:bCs/>
      <w:sz w:val="20"/>
      <w:szCs w:val="20"/>
      <w:lang w:val="es-ES"/>
    </w:rPr>
  </w:style>
  <w:style w:type="paragraph" w:styleId="ListParagraph">
    <w:name w:val="List Paragraph"/>
    <w:basedOn w:val="Normal"/>
    <w:link w:val="ListParagraphChar"/>
    <w:uiPriority w:val="34"/>
    <w:qFormat/>
    <w:rsid w:val="00532282"/>
    <w:pPr>
      <w:ind w:left="720"/>
      <w:contextualSpacing/>
    </w:pPr>
  </w:style>
  <w:style w:type="paragraph" w:styleId="EndnoteText">
    <w:name w:val="endnote text"/>
    <w:basedOn w:val="Normal"/>
    <w:link w:val="EndnoteTextChar"/>
    <w:uiPriority w:val="99"/>
    <w:semiHidden/>
    <w:unhideWhenUsed/>
    <w:rsid w:val="00AA4F95"/>
    <w:rPr>
      <w:sz w:val="20"/>
      <w:szCs w:val="20"/>
    </w:rPr>
  </w:style>
  <w:style w:type="character" w:customStyle="1" w:styleId="EndnoteTextChar">
    <w:name w:val="Endnote Text Char"/>
    <w:basedOn w:val="DefaultParagraphFont"/>
    <w:link w:val="EndnoteText"/>
    <w:uiPriority w:val="99"/>
    <w:semiHidden/>
    <w:rsid w:val="00AA4F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A4F95"/>
    <w:rPr>
      <w:vertAlign w:val="superscript"/>
    </w:rPr>
  </w:style>
  <w:style w:type="character" w:styleId="PlaceholderText">
    <w:name w:val="Placeholder Text"/>
    <w:basedOn w:val="DefaultParagraphFont"/>
    <w:uiPriority w:val="99"/>
    <w:semiHidden/>
    <w:rsid w:val="00E63383"/>
    <w:rPr>
      <w:color w:val="808080"/>
    </w:rPr>
  </w:style>
  <w:style w:type="paragraph" w:styleId="Revision">
    <w:name w:val="Revision"/>
    <w:hidden/>
    <w:uiPriority w:val="99"/>
    <w:semiHidden/>
    <w:rsid w:val="002A6958"/>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7C4CB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2.xml><?xml version="1.0" encoding="utf-8"?>
<ds:datastoreItem xmlns:ds="http://schemas.openxmlformats.org/officeDocument/2006/customXml" ds:itemID="{A3E71CB8-5A31-4086-806D-C33591819C72}">
  <ds:schemaRefs>
    <ds:schemaRef ds:uri="http://schemas.openxmlformats.org/officeDocument/2006/bibliography"/>
  </ds:schemaRefs>
</ds:datastoreItem>
</file>

<file path=customXml/itemProps3.xml><?xml version="1.0" encoding="utf-8"?>
<ds:datastoreItem xmlns:ds="http://schemas.openxmlformats.org/officeDocument/2006/customXml" ds:itemID="{03892A68-AA00-4315-8039-CC474A39B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fddaab28-9e0d-43e4-bba5-b10dc648211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1367</Words>
  <Characters>7797</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 FOR LEVEL 3 PROCESSES and SUB PROCESSES</vt:lpstr>
      <vt:lpstr>TEMPLATE FOR LEVEL 3 PROCESSES and SUB PROCESSES</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subject/>
  <dc:creator>S B</dc:creator>
  <cp:lastModifiedBy>Emiliana Zhivkova</cp:lastModifiedBy>
  <cp:revision>8</cp:revision>
  <cp:lastPrinted>2013-10-25T21:11:00Z</cp:lastPrinted>
  <dcterms:created xsi:type="dcterms:W3CDTF">2025-09-10T21:41:00Z</dcterms:created>
  <dcterms:modified xsi:type="dcterms:W3CDTF">2025-09-10T22:10:00Z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_dlc_DocIdItemGuid">
    <vt:lpwstr>4cfc4be8-340b-4fb5-a74e-e7e537595450</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Procurement|254a9f96-b883-476a-8ef8-e81f93a2b38d</vt:lpwstr>
  </property>
  <property fmtid="{D5CDD505-2E9C-101B-9397-08002B2CF9AE}" pid="8" name="UNDP_POPP_BUSINESSUNIT">
    <vt:lpwstr>355;#Procurement|254a9f96-b883-476a-8ef8-e81f93a2b38d</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docLang">
    <vt:lpwstr>es</vt:lpwstr>
  </property>
  <property fmtid="{D5CDD505-2E9C-101B-9397-08002B2CF9AE}" pid="17" name="MediaServiceImageTags">
    <vt:lpwstr/>
  </property>
</Properties>
</file>