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BCE1A" w14:textId="77777777" w:rsidR="00795333" w:rsidRPr="00795333" w:rsidRDefault="00795333" w:rsidP="00795333">
      <w:pPr>
        <w:shd w:val="clear" w:color="auto" w:fill="FFFFFF"/>
        <w:spacing w:after="0" w:line="240" w:lineRule="auto"/>
        <w:jc w:val="both"/>
        <w:textAlignment w:val="top"/>
        <w:rPr>
          <w:rFonts w:ascii="Calibri" w:eastAsia="Times New Roman" w:hAnsi="Calibri" w:cs="Arial"/>
          <w:b/>
          <w:bCs/>
          <w:color w:val="000000"/>
          <w:kern w:val="0"/>
          <w:sz w:val="28"/>
          <w:szCs w:val="22"/>
          <w:lang w:val="es-ES" w:eastAsia="es-ES" w:bidi="es-ES"/>
          <w14:ligatures w14:val="none"/>
        </w:rPr>
      </w:pPr>
      <w:r w:rsidRPr="00795333">
        <w:rPr>
          <w:rFonts w:ascii="Calibri" w:eastAsia="MS Mincho" w:hAnsi="Calibri" w:cs="Times New Roman"/>
          <w:b/>
          <w:color w:val="000000"/>
          <w:kern w:val="0"/>
          <w:sz w:val="28"/>
          <w:szCs w:val="22"/>
          <w:lang w:val="es-ES" w:eastAsia="es-ES" w:bidi="es-ES"/>
          <w14:ligatures w14:val="none"/>
        </w:rPr>
        <w:t xml:space="preserve">Enajenación y Amortización Total de Mejoras de Locales Arrendados </w:t>
      </w:r>
    </w:p>
    <w:p w14:paraId="0CAE6B2E" w14:textId="77777777" w:rsidR="00795333" w:rsidRPr="00795333" w:rsidRDefault="00795333" w:rsidP="00795333">
      <w:pPr>
        <w:shd w:val="clear" w:color="auto" w:fill="FFFFFF"/>
        <w:spacing w:after="0" w:line="240" w:lineRule="auto"/>
        <w:jc w:val="both"/>
        <w:textAlignment w:val="top"/>
        <w:rPr>
          <w:rFonts w:ascii="Calibri" w:eastAsia="MS Mincho" w:hAnsi="Calibri" w:cs="Times New Roman"/>
          <w:b/>
          <w:color w:val="000000"/>
          <w:kern w:val="0"/>
          <w:sz w:val="22"/>
          <w:szCs w:val="22"/>
          <w:lang w:val="es-ES" w:eastAsia="es-ES" w:bidi="es-ES"/>
          <w14:ligatures w14:val="none"/>
        </w:rPr>
      </w:pPr>
      <w:r w:rsidRPr="00795333">
        <w:rPr>
          <w:rFonts w:ascii="Calibri" w:eastAsia="MS Mincho" w:hAnsi="Calibri" w:cs="Times New Roman"/>
          <w:b/>
          <w:vanish/>
          <w:color w:val="000000"/>
          <w:kern w:val="0"/>
          <w:sz w:val="22"/>
          <w:szCs w:val="22"/>
          <w:lang w:val="es-ES" w:eastAsia="es-ES" w:bidi="es-ES"/>
          <w14:ligatures w14:val="none"/>
        </w:rPr>
        <w:t> </w:t>
      </w:r>
    </w:p>
    <w:p w14:paraId="1A526BE0" w14:textId="77777777" w:rsidR="00795333" w:rsidRPr="00795333" w:rsidRDefault="00795333" w:rsidP="00795333">
      <w:pPr>
        <w:shd w:val="clear" w:color="auto" w:fill="FFFFFF"/>
        <w:spacing w:after="0" w:line="240" w:lineRule="auto"/>
        <w:jc w:val="both"/>
        <w:textAlignment w:val="top"/>
        <w:rPr>
          <w:rFonts w:ascii="Calibri" w:eastAsia="Times New Roman" w:hAnsi="Calibri" w:cs="Arial"/>
          <w:b/>
          <w:bCs/>
          <w:vanish/>
          <w:color w:val="000000"/>
          <w:kern w:val="0"/>
          <w:sz w:val="22"/>
          <w:szCs w:val="22"/>
          <w:lang w:val="es-ES" w:eastAsia="es-ES" w:bidi="es-ES"/>
          <w14:ligatures w14:val="none"/>
        </w:rPr>
      </w:pPr>
    </w:p>
    <w:p w14:paraId="670131A3" w14:textId="77777777" w:rsidR="00795333" w:rsidRPr="00795333" w:rsidRDefault="00795333" w:rsidP="00795333">
      <w:pPr>
        <w:shd w:val="clear" w:color="auto" w:fill="FFFFFF"/>
        <w:spacing w:after="0" w:line="270" w:lineRule="atLeast"/>
        <w:jc w:val="both"/>
        <w:textAlignment w:val="top"/>
        <w:rPr>
          <w:rFonts w:ascii="Calibri" w:eastAsia="Times New Roman" w:hAnsi="Calibri" w:cs="Arial"/>
          <w:color w:val="333333"/>
          <w:kern w:val="0"/>
          <w:sz w:val="22"/>
          <w:szCs w:val="22"/>
          <w:lang w:val="es-ES" w:eastAsia="es-ES" w:bidi="es-ES"/>
          <w14:ligatures w14:val="none"/>
        </w:rPr>
      </w:pPr>
      <w:r w:rsidRPr="00795333">
        <w:rPr>
          <w:rFonts w:ascii="Calibri" w:eastAsia="MS Mincho" w:hAnsi="Calibri" w:cs="Times New Roman"/>
          <w:vanish/>
          <w:color w:val="000000"/>
          <w:kern w:val="0"/>
          <w:sz w:val="22"/>
          <w:szCs w:val="22"/>
          <w:lang w:val="es-ES" w:eastAsia="es-ES" w:bidi="es-ES"/>
          <w14:ligatures w14:val="none"/>
        </w:rPr>
        <w:t xml:space="preserve"> –  Elemento Estructural – Descripción</w:t>
      </w:r>
      <w:r w:rsidRPr="00795333">
        <w:rPr>
          <w:rFonts w:ascii="Calibri" w:eastAsia="MS Mincho" w:hAnsi="Calibri" w:cs="Times New Roman"/>
          <w:color w:val="333333"/>
          <w:kern w:val="0"/>
          <w:sz w:val="22"/>
          <w:szCs w:val="22"/>
          <w:lang w:val="es-ES" w:eastAsia="es-ES" w:bidi="es-ES"/>
          <w14:ligatures w14:val="none"/>
        </w:rPr>
        <w:t xml:space="preserve">En general, las mejoras de locales arrendados no se enajenarán ni amortizarán totalmente dado que están fijas al edificio.  El acuerdo de arrendamiento estándar del PNUD contiene el siguiente artículo: </w:t>
      </w:r>
    </w:p>
    <w:p w14:paraId="33DA1C12" w14:textId="77777777" w:rsidR="00795333" w:rsidRPr="00795333" w:rsidRDefault="00795333" w:rsidP="00795333">
      <w:pPr>
        <w:shd w:val="clear" w:color="auto" w:fill="FFFFFF"/>
        <w:spacing w:after="0" w:line="270" w:lineRule="atLeast"/>
        <w:jc w:val="both"/>
        <w:textAlignment w:val="top"/>
        <w:rPr>
          <w:rFonts w:ascii="Calibri" w:eastAsia="Times New Roman" w:hAnsi="Calibri" w:cs="Arial"/>
          <w:color w:val="333333"/>
          <w:kern w:val="0"/>
          <w:sz w:val="22"/>
          <w:szCs w:val="22"/>
          <w:lang w:val="es-ES" w:eastAsia="es-ES" w:bidi="es-ES"/>
          <w14:ligatures w14:val="none"/>
        </w:rPr>
      </w:pPr>
      <w:r w:rsidRPr="00795333">
        <w:rPr>
          <w:rFonts w:ascii="Calibri" w:eastAsia="MS Mincho" w:hAnsi="Calibri" w:cs="Times New Roman"/>
          <w:color w:val="333333"/>
          <w:kern w:val="0"/>
          <w:sz w:val="22"/>
          <w:szCs w:val="22"/>
          <w:lang w:val="es-ES" w:eastAsia="es-ES" w:bidi="es-ES"/>
          <w14:ligatures w14:val="none"/>
        </w:rPr>
        <w:t> </w:t>
      </w:r>
    </w:p>
    <w:p w14:paraId="5173C0EB" w14:textId="77777777" w:rsidR="00795333" w:rsidRPr="00795333" w:rsidRDefault="00795333" w:rsidP="00795333">
      <w:pPr>
        <w:shd w:val="clear" w:color="auto" w:fill="FFFFFF"/>
        <w:spacing w:after="0" w:line="270" w:lineRule="atLeast"/>
        <w:ind w:left="1440"/>
        <w:jc w:val="both"/>
        <w:textAlignment w:val="top"/>
        <w:rPr>
          <w:rFonts w:ascii="Calibri" w:eastAsia="Times New Roman" w:hAnsi="Calibri" w:cs="Arial"/>
          <w:color w:val="333333"/>
          <w:kern w:val="0"/>
          <w:sz w:val="22"/>
          <w:szCs w:val="22"/>
          <w:lang w:val="es-ES" w:eastAsia="es-ES" w:bidi="es-ES"/>
          <w14:ligatures w14:val="none"/>
        </w:rPr>
      </w:pPr>
      <w:r w:rsidRPr="00795333">
        <w:rPr>
          <w:rFonts w:ascii="Calibri" w:eastAsia="MS Mincho" w:hAnsi="Calibri" w:cs="Times New Roman"/>
          <w:i/>
          <w:iCs/>
          <w:color w:val="333333"/>
          <w:kern w:val="0"/>
          <w:sz w:val="22"/>
          <w:szCs w:val="22"/>
          <w:lang w:val="es-ES" w:eastAsia="es-ES" w:bidi="es-ES"/>
          <w14:ligatures w14:val="none"/>
        </w:rPr>
        <w:t xml:space="preserve">«En los casos en que (previo consentimiento por escrito del Arrendador) se realicen modificaciones, renovaciones o adiciones importantes en las Instalaciones cedidas, </w:t>
      </w:r>
      <w:r w:rsidRPr="00795333">
        <w:rPr>
          <w:rFonts w:ascii="Calibri" w:eastAsia="MS Mincho" w:hAnsi="Calibri" w:cs="Times New Roman"/>
          <w:b/>
          <w:bCs/>
          <w:i/>
          <w:iCs/>
          <w:color w:val="333333"/>
          <w:kern w:val="0"/>
          <w:sz w:val="22"/>
          <w:szCs w:val="22"/>
          <w:u w:val="single"/>
          <w:lang w:val="es-ES" w:eastAsia="es-ES" w:bidi="es-ES"/>
          <w14:ligatures w14:val="none"/>
        </w:rPr>
        <w:t>el PNUD no estará obligado a devolver las Instalaciones en el mismo estado o condición previos a la celebración de este Acuerdo de Arrendamiento.</w:t>
      </w:r>
      <w:r w:rsidRPr="00795333">
        <w:rPr>
          <w:rFonts w:ascii="Calibri" w:eastAsia="MS Mincho" w:hAnsi="Calibri" w:cs="Times New Roman"/>
          <w:i/>
          <w:iCs/>
          <w:color w:val="333333"/>
          <w:kern w:val="0"/>
          <w:sz w:val="22"/>
          <w:szCs w:val="22"/>
          <w:lang w:val="es-ES" w:eastAsia="es-ES" w:bidi="es-ES"/>
          <w14:ligatures w14:val="none"/>
        </w:rPr>
        <w:t xml:space="preserve"> Tal consentimiento deberá especificarse por escrito y deberá incluir disposiciones en cuanto a la amortización o la compensación de gastos, ya sea cubriendo los gastos con los pagos de la renta o pagando su valor de mercado».</w:t>
      </w:r>
    </w:p>
    <w:p w14:paraId="60BCE42A" w14:textId="77777777" w:rsidR="00795333" w:rsidRPr="00795333" w:rsidRDefault="00795333" w:rsidP="00795333">
      <w:pPr>
        <w:shd w:val="clear" w:color="auto" w:fill="FFFFFF"/>
        <w:spacing w:after="0" w:line="270" w:lineRule="atLeast"/>
        <w:jc w:val="both"/>
        <w:textAlignment w:val="top"/>
        <w:rPr>
          <w:rFonts w:ascii="Calibri" w:eastAsia="Times New Roman" w:hAnsi="Calibri" w:cs="Arial"/>
          <w:color w:val="333333"/>
          <w:kern w:val="0"/>
          <w:sz w:val="22"/>
          <w:szCs w:val="22"/>
          <w:lang w:val="es-ES" w:eastAsia="es-ES" w:bidi="es-ES"/>
          <w14:ligatures w14:val="none"/>
        </w:rPr>
      </w:pPr>
      <w:r w:rsidRPr="00795333">
        <w:rPr>
          <w:rFonts w:ascii="Calibri" w:eastAsia="MS Mincho" w:hAnsi="Calibri" w:cs="Times New Roman"/>
          <w:color w:val="333333"/>
          <w:kern w:val="0"/>
          <w:sz w:val="22"/>
          <w:szCs w:val="22"/>
          <w:lang w:val="es-ES" w:eastAsia="es-ES" w:bidi="es-ES"/>
          <w14:ligatures w14:val="none"/>
        </w:rPr>
        <w:t> </w:t>
      </w:r>
    </w:p>
    <w:p w14:paraId="498A1592" w14:textId="77777777" w:rsidR="00795333" w:rsidRPr="00795333" w:rsidRDefault="00795333" w:rsidP="00795333">
      <w:pPr>
        <w:numPr>
          <w:ilvl w:val="0"/>
          <w:numId w:val="1"/>
        </w:numPr>
        <w:shd w:val="clear" w:color="auto" w:fill="FFFFFF"/>
        <w:spacing w:after="0" w:line="270" w:lineRule="atLeast"/>
        <w:contextualSpacing/>
        <w:jc w:val="both"/>
        <w:textAlignment w:val="top"/>
        <w:rPr>
          <w:rFonts w:ascii="Calibri" w:eastAsia="Times New Roman" w:hAnsi="Calibri" w:cs="Arial"/>
          <w:color w:val="333333"/>
          <w:kern w:val="0"/>
          <w:sz w:val="22"/>
          <w:szCs w:val="22"/>
          <w:lang w:val="es-ES" w:eastAsia="es-ES" w:bidi="es-ES"/>
          <w14:ligatures w14:val="none"/>
        </w:rPr>
      </w:pPr>
      <w:r w:rsidRPr="00795333">
        <w:rPr>
          <w:rFonts w:ascii="Calibri" w:eastAsia="MS Mincho" w:hAnsi="Calibri" w:cs="Times New Roman"/>
          <w:color w:val="333333"/>
          <w:kern w:val="0"/>
          <w:sz w:val="22"/>
          <w:szCs w:val="22"/>
          <w:lang w:val="es-ES" w:eastAsia="es-ES" w:bidi="es-ES"/>
          <w14:ligatures w14:val="none"/>
        </w:rPr>
        <w:t>En circunstancias normales, no se realiza la enajenación de Mejoras de Locales Arrendados (LHI).  Sin embargo, si surgiera alguna ocasión en la que el PNUD pudiera desmantelar la mejora de conformidad con los términos y las condiciones del arrendamiento y enajenación del artículo, deberán seguirse los procesos de enajenación estipulados en las POPP (Políticas y Procedimientos de Operaciones y Programas) sobre Equipo.</w:t>
      </w:r>
    </w:p>
    <w:p w14:paraId="516A549C" w14:textId="77777777" w:rsidR="00795333" w:rsidRPr="00795333" w:rsidRDefault="00795333" w:rsidP="00795333">
      <w:pPr>
        <w:shd w:val="clear" w:color="auto" w:fill="FFFFFF"/>
        <w:spacing w:after="0" w:line="270" w:lineRule="atLeast"/>
        <w:ind w:left="720"/>
        <w:contextualSpacing/>
        <w:jc w:val="both"/>
        <w:textAlignment w:val="top"/>
        <w:rPr>
          <w:rFonts w:ascii="Calibri" w:eastAsia="Times New Roman" w:hAnsi="Calibri" w:cs="Arial"/>
          <w:color w:val="333333"/>
          <w:kern w:val="0"/>
          <w:sz w:val="22"/>
          <w:szCs w:val="22"/>
          <w:lang w:val="es-ES" w:eastAsia="es-ES" w:bidi="es-ES"/>
          <w14:ligatures w14:val="none"/>
        </w:rPr>
      </w:pPr>
    </w:p>
    <w:p w14:paraId="773CC4F4" w14:textId="77777777" w:rsidR="00795333" w:rsidRPr="00795333" w:rsidRDefault="00795333" w:rsidP="00795333">
      <w:pPr>
        <w:numPr>
          <w:ilvl w:val="0"/>
          <w:numId w:val="1"/>
        </w:numPr>
        <w:shd w:val="clear" w:color="auto" w:fill="FFFFFF"/>
        <w:spacing w:after="0" w:line="270" w:lineRule="atLeast"/>
        <w:contextualSpacing/>
        <w:jc w:val="both"/>
        <w:textAlignment w:val="top"/>
        <w:rPr>
          <w:rFonts w:ascii="Calibri" w:eastAsia="Times New Roman" w:hAnsi="Calibri" w:cs="Arial"/>
          <w:color w:val="333333"/>
          <w:kern w:val="0"/>
          <w:sz w:val="22"/>
          <w:szCs w:val="22"/>
          <w:lang w:val="es-ES" w:eastAsia="es-ES" w:bidi="es-ES"/>
          <w14:ligatures w14:val="none"/>
        </w:rPr>
      </w:pPr>
      <w:r w:rsidRPr="00795333">
        <w:rPr>
          <w:rFonts w:ascii="Calibri" w:eastAsia="MS Mincho" w:hAnsi="Calibri" w:cs="Times New Roman"/>
          <w:color w:val="333333"/>
          <w:kern w:val="0"/>
          <w:sz w:val="22"/>
          <w:szCs w:val="22"/>
          <w:lang w:val="es-ES" w:eastAsia="es-ES" w:bidi="es-ES"/>
          <w14:ligatures w14:val="none"/>
        </w:rPr>
        <w:t xml:space="preserve">Cuando un arrendamiento finaliza antes de que las LHI se hayan depreciado completamente, deberá amortizarse totalmente en los libros el monto no depreciado (NBV) de las LHI en el módulo Activos de Quantum del PNUD.  Dichas amortizaciones totales deben seguir los mecanismos de aprobación apropiados estipulados para las amortizaciones totales en las POPP sobre Enajenación y Amortización Total de Mobiliario y Equipo.  </w:t>
      </w:r>
    </w:p>
    <w:p w14:paraId="715CAE23" w14:textId="77777777" w:rsidR="00795333" w:rsidRPr="00795333" w:rsidRDefault="00795333" w:rsidP="00795333">
      <w:pPr>
        <w:shd w:val="clear" w:color="auto" w:fill="FFFFFF"/>
        <w:spacing w:after="0" w:line="270" w:lineRule="atLeast"/>
        <w:jc w:val="both"/>
        <w:textAlignment w:val="top"/>
        <w:rPr>
          <w:rFonts w:ascii="Calibri" w:eastAsia="Times New Roman" w:hAnsi="Calibri" w:cs="Arial"/>
          <w:color w:val="333333"/>
          <w:kern w:val="0"/>
          <w:sz w:val="22"/>
          <w:szCs w:val="22"/>
          <w:lang w:val="es-ES" w:eastAsia="es-ES" w:bidi="es-ES"/>
          <w14:ligatures w14:val="none"/>
        </w:rPr>
      </w:pPr>
    </w:p>
    <w:p w14:paraId="0B916B54" w14:textId="77777777" w:rsidR="00795333" w:rsidRDefault="00795333" w:rsidP="00795333">
      <w:pPr>
        <w:shd w:val="clear" w:color="auto" w:fill="FFFFFF"/>
        <w:spacing w:after="0" w:line="270" w:lineRule="atLeast"/>
        <w:jc w:val="both"/>
        <w:textAlignment w:val="top"/>
        <w:rPr>
          <w:rFonts w:ascii="Calibri" w:eastAsia="Times New Roman" w:hAnsi="Calibri" w:cs="Arial"/>
          <w:color w:val="333333"/>
          <w:kern w:val="0"/>
          <w:sz w:val="22"/>
          <w:szCs w:val="22"/>
          <w:lang w:val="es-ES" w:eastAsia="es-ES" w:bidi="es-ES"/>
          <w14:ligatures w14:val="none"/>
        </w:rPr>
      </w:pPr>
    </w:p>
    <w:p w14:paraId="0DE0300D" w14:textId="77777777" w:rsidR="00795333" w:rsidRDefault="00795333" w:rsidP="00795333">
      <w:pPr>
        <w:shd w:val="clear" w:color="auto" w:fill="FFFFFF"/>
        <w:spacing w:after="0" w:line="270" w:lineRule="atLeast"/>
        <w:jc w:val="both"/>
        <w:textAlignment w:val="top"/>
        <w:rPr>
          <w:rFonts w:ascii="Calibri" w:eastAsia="Times New Roman" w:hAnsi="Calibri" w:cs="Arial"/>
          <w:color w:val="333333"/>
          <w:kern w:val="0"/>
          <w:sz w:val="22"/>
          <w:szCs w:val="22"/>
          <w:lang w:val="es-ES" w:eastAsia="es-ES" w:bidi="es-ES"/>
          <w14:ligatures w14:val="none"/>
        </w:rPr>
      </w:pPr>
    </w:p>
    <w:p w14:paraId="7F9C34B3" w14:textId="77777777" w:rsidR="00795333" w:rsidRPr="00795333" w:rsidRDefault="00795333" w:rsidP="00795333">
      <w:pPr>
        <w:shd w:val="clear" w:color="auto" w:fill="FFFFFF"/>
        <w:spacing w:after="0" w:line="270" w:lineRule="atLeast"/>
        <w:jc w:val="both"/>
        <w:textAlignment w:val="top"/>
        <w:rPr>
          <w:rFonts w:ascii="Calibri" w:eastAsia="Times New Roman" w:hAnsi="Calibri" w:cs="Arial"/>
          <w:color w:val="333333"/>
          <w:kern w:val="0"/>
          <w:sz w:val="22"/>
          <w:szCs w:val="22"/>
          <w:lang w:val="es-ES" w:eastAsia="es-ES" w:bidi="es-ES"/>
          <w14:ligatures w14:val="none"/>
        </w:rPr>
      </w:pPr>
    </w:p>
    <w:p w14:paraId="0DCB51BA" w14:textId="6300E96E" w:rsidR="00795333" w:rsidRPr="00224568" w:rsidRDefault="00795333" w:rsidP="00795333">
      <w:pPr>
        <w:rPr>
          <w:rFonts w:ascii="Calibri" w:hAnsi="Calibri" w:cs="Calibri"/>
          <w:i/>
          <w:iCs/>
          <w:sz w:val="22"/>
          <w:szCs w:val="22"/>
          <w:lang w:val="en-GB"/>
        </w:rPr>
      </w:pPr>
      <w:r w:rsidRPr="00224568">
        <w:rPr>
          <w:rFonts w:ascii="Calibri" w:hAnsi="Calibri" w:cs="Calibri"/>
          <w:b/>
          <w:bCs/>
          <w:i/>
          <w:iCs/>
          <w:sz w:val="22"/>
          <w:szCs w:val="22"/>
          <w:lang w:val="en-GB"/>
        </w:rPr>
        <w:t>Disclaimer</w:t>
      </w:r>
      <w:r w:rsidRPr="00224568">
        <w:rPr>
          <w:rFonts w:ascii="Calibri" w:hAnsi="Calibri" w:cs="Calibri"/>
          <w:i/>
          <w:iCs/>
          <w:sz w:val="22"/>
          <w:szCs w:val="22"/>
          <w:lang w:val="en-GB"/>
        </w:rPr>
        <w:t>: This document was translated from English into Spanish. In the event of any discrepancy between this translation and the original English document, the original English document shall prevail.</w:t>
      </w:r>
    </w:p>
    <w:p w14:paraId="4C0B0AAF" w14:textId="77777777" w:rsidR="00795333" w:rsidRPr="00224568" w:rsidRDefault="00795333" w:rsidP="00795333">
      <w:pPr>
        <w:rPr>
          <w:rFonts w:ascii="Calibri" w:hAnsi="Calibri" w:cs="Calibri"/>
          <w:i/>
          <w:iCs/>
          <w:sz w:val="22"/>
          <w:szCs w:val="22"/>
        </w:rPr>
      </w:pPr>
      <w:r w:rsidRPr="00224568">
        <w:rPr>
          <w:rFonts w:ascii="Calibri" w:hAnsi="Calibri" w:cs="Calibri"/>
          <w:b/>
          <w:bCs/>
          <w:i/>
          <w:iCs/>
          <w:sz w:val="22"/>
          <w:szCs w:val="22"/>
        </w:rPr>
        <w:t>Descargo de responsabilidad</w:t>
      </w:r>
      <w:r w:rsidRPr="00224568">
        <w:rPr>
          <w:rFonts w:ascii="Calibri" w:hAnsi="Calibri" w:cs="Calibri"/>
          <w:i/>
          <w:iCs/>
          <w:sz w:val="22"/>
          <w:szCs w:val="22"/>
        </w:rPr>
        <w:t>: esta es una traducción de un documento original en Inglés. En caso de discrepancias entre esta traducción y el documento original en inglés, prevalecerá el documento original en inglés.</w:t>
      </w:r>
    </w:p>
    <w:p w14:paraId="7D7DC63F" w14:textId="77777777" w:rsidR="00795333" w:rsidRPr="00795333" w:rsidRDefault="00795333" w:rsidP="00795333">
      <w:pPr>
        <w:spacing w:after="0" w:line="240" w:lineRule="auto"/>
        <w:jc w:val="both"/>
        <w:rPr>
          <w:rFonts w:ascii="Calibri" w:eastAsia="MS Mincho" w:hAnsi="Calibri" w:cs="Times New Roman"/>
          <w:kern w:val="0"/>
          <w:sz w:val="22"/>
          <w:szCs w:val="22"/>
          <w:lang w:val="es-ES" w:eastAsia="es-ES" w:bidi="es-ES"/>
          <w14:ligatures w14:val="none"/>
        </w:rPr>
      </w:pPr>
    </w:p>
    <w:p w14:paraId="1306EFEF" w14:textId="77777777" w:rsidR="00DA504D" w:rsidRDefault="00DA504D"/>
    <w:sectPr w:rsidR="00DA504D" w:rsidSect="0079533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BE594" w14:textId="77777777" w:rsidR="00222812" w:rsidRDefault="00222812" w:rsidP="00795333">
      <w:pPr>
        <w:spacing w:after="0" w:line="240" w:lineRule="auto"/>
      </w:pPr>
      <w:r>
        <w:separator/>
      </w:r>
    </w:p>
  </w:endnote>
  <w:endnote w:type="continuationSeparator" w:id="0">
    <w:p w14:paraId="0BF4AD7F" w14:textId="77777777" w:rsidR="00222812" w:rsidRDefault="00222812" w:rsidP="00795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04B6C" w14:textId="10FC4E6C" w:rsidR="00795333" w:rsidRPr="00224568" w:rsidRDefault="00795333">
    <w:pPr>
      <w:pStyle w:val="Footer"/>
      <w:rPr>
        <w:rFonts w:ascii="Calibri" w:hAnsi="Calibri" w:cs="Calibri"/>
        <w:sz w:val="22"/>
        <w:szCs w:val="22"/>
      </w:rPr>
    </w:pPr>
    <w:r w:rsidRPr="00224568">
      <w:rPr>
        <w:rFonts w:ascii="Calibri" w:hAnsi="Calibri" w:cs="Calibri"/>
        <w:sz w:val="22"/>
        <w:szCs w:val="22"/>
      </w:rPr>
      <w:t xml:space="preserve">Página </w:t>
    </w:r>
    <w:r w:rsidRPr="00224568">
      <w:rPr>
        <w:rFonts w:ascii="Calibri" w:hAnsi="Calibri" w:cs="Calibri"/>
        <w:b/>
        <w:sz w:val="22"/>
        <w:szCs w:val="22"/>
      </w:rPr>
      <w:fldChar w:fldCharType="begin"/>
    </w:r>
    <w:r w:rsidRPr="00224568">
      <w:rPr>
        <w:rFonts w:ascii="Calibri" w:hAnsi="Calibri" w:cs="Calibri"/>
        <w:b/>
        <w:sz w:val="22"/>
        <w:szCs w:val="22"/>
      </w:rPr>
      <w:instrText xml:space="preserve"> PAGE  \* Arabic  \* MERGEFORMAT </w:instrText>
    </w:r>
    <w:r w:rsidRPr="00224568">
      <w:rPr>
        <w:rFonts w:ascii="Calibri" w:hAnsi="Calibri" w:cs="Calibri"/>
        <w:b/>
        <w:sz w:val="22"/>
        <w:szCs w:val="22"/>
      </w:rPr>
      <w:fldChar w:fldCharType="separate"/>
    </w:r>
    <w:r w:rsidRPr="00224568">
      <w:rPr>
        <w:rFonts w:ascii="Calibri" w:hAnsi="Calibri" w:cs="Calibri"/>
        <w:b/>
        <w:noProof/>
        <w:sz w:val="22"/>
        <w:szCs w:val="22"/>
      </w:rPr>
      <w:t>1</w:t>
    </w:r>
    <w:r w:rsidRPr="00224568">
      <w:rPr>
        <w:rFonts w:ascii="Calibri" w:hAnsi="Calibri" w:cs="Calibri"/>
        <w:b/>
        <w:sz w:val="22"/>
        <w:szCs w:val="22"/>
      </w:rPr>
      <w:fldChar w:fldCharType="end"/>
    </w:r>
    <w:r w:rsidRPr="00224568">
      <w:rPr>
        <w:rFonts w:ascii="Calibri" w:hAnsi="Calibri" w:cs="Calibri"/>
        <w:sz w:val="22"/>
        <w:szCs w:val="22"/>
      </w:rPr>
      <w:t xml:space="preserve"> de </w:t>
    </w:r>
    <w:r w:rsidRPr="00224568">
      <w:rPr>
        <w:rFonts w:ascii="Calibri" w:hAnsi="Calibri" w:cs="Calibri"/>
        <w:b/>
        <w:sz w:val="22"/>
        <w:szCs w:val="22"/>
      </w:rPr>
      <w:fldChar w:fldCharType="begin"/>
    </w:r>
    <w:r w:rsidRPr="00224568">
      <w:rPr>
        <w:rFonts w:ascii="Calibri" w:hAnsi="Calibri" w:cs="Calibri"/>
        <w:b/>
        <w:sz w:val="22"/>
        <w:szCs w:val="22"/>
      </w:rPr>
      <w:instrText xml:space="preserve"> NUMPAGES  \* Arabic  \* MERGEFORMAT </w:instrText>
    </w:r>
    <w:r w:rsidRPr="00224568">
      <w:rPr>
        <w:rFonts w:ascii="Calibri" w:hAnsi="Calibri" w:cs="Calibri"/>
        <w:b/>
        <w:sz w:val="22"/>
        <w:szCs w:val="22"/>
      </w:rPr>
      <w:fldChar w:fldCharType="separate"/>
    </w:r>
    <w:r w:rsidRPr="00224568">
      <w:rPr>
        <w:rFonts w:ascii="Calibri" w:hAnsi="Calibri" w:cs="Calibri"/>
        <w:b/>
        <w:noProof/>
        <w:sz w:val="22"/>
        <w:szCs w:val="22"/>
      </w:rPr>
      <w:t>1</w:t>
    </w:r>
    <w:r w:rsidRPr="00224568">
      <w:rPr>
        <w:rFonts w:ascii="Calibri" w:hAnsi="Calibri" w:cs="Calibri"/>
        <w:b/>
        <w:sz w:val="22"/>
        <w:szCs w:val="22"/>
      </w:rPr>
      <w:fldChar w:fldCharType="end"/>
    </w:r>
    <w:r w:rsidRPr="00224568">
      <w:rPr>
        <w:rFonts w:ascii="Calibri" w:hAnsi="Calibri" w:cs="Calibri"/>
        <w:sz w:val="22"/>
        <w:szCs w:val="22"/>
      </w:rPr>
      <w:ptab w:relativeTo="margin" w:alignment="center" w:leader="none"/>
    </w:r>
    <w:r w:rsidRPr="00224568">
      <w:rPr>
        <w:rFonts w:ascii="Calibri" w:hAnsi="Calibri" w:cs="Calibri"/>
        <w:sz w:val="22"/>
        <w:szCs w:val="22"/>
      </w:rPr>
      <w:t xml:space="preserve">Fecha de entrada en vigor: 26/07/2016 </w:t>
    </w:r>
    <w:r w:rsidRPr="00224568">
      <w:rPr>
        <w:rFonts w:ascii="Calibri" w:hAnsi="Calibri" w:cs="Calibri"/>
        <w:sz w:val="22"/>
        <w:szCs w:val="22"/>
      </w:rPr>
      <w:ptab w:relativeTo="margin" w:alignment="right" w:leader="none"/>
    </w:r>
    <w:r w:rsidRPr="00224568">
      <w:rPr>
        <w:rFonts w:ascii="Calibri" w:hAnsi="Calibri" w:cs="Calibri"/>
        <w:sz w:val="22"/>
        <w:szCs w:val="22"/>
      </w:rPr>
      <w:t xml:space="preserve">Versión </w:t>
    </w:r>
    <w:r>
      <w:rPr>
        <w:rFonts w:ascii="Calibri" w:hAnsi="Calibri" w:cs="Calibri"/>
        <w:sz w:val="22"/>
        <w:szCs w:val="22"/>
      </w:rPr>
      <w:t>#</w:t>
    </w:r>
    <w:r w:rsidRPr="00224568">
      <w:rPr>
        <w:rFonts w:ascii="Calibri" w:hAnsi="Calibri" w:cs="Calibri"/>
        <w:sz w:val="22"/>
        <w:szCs w:val="22"/>
      </w:rPr>
      <w:t xml:space="preserve">: </w:t>
    </w:r>
    <w:sdt>
      <w:sdtPr>
        <w:rPr>
          <w:rFonts w:ascii="Calibri" w:hAnsi="Calibri" w:cs="Calibri"/>
          <w:sz w:val="22"/>
          <w:szCs w:val="22"/>
        </w:rPr>
        <w:alias w:val="POPPRefItemVersion"/>
        <w:tag w:val="UNDP_POPP_REFITEM_VERSION"/>
        <w:id w:val="395255623"/>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7C96671D-974B-42D5-92CA-F0483F11FA24}"/>
        <w:text/>
      </w:sdtPr>
      <w:sdtContent>
        <w:r w:rsidRPr="00224568">
          <w:rPr>
            <w:rFonts w:ascii="Calibri" w:hAnsi="Calibri" w:cs="Calibri"/>
            <w:sz w:val="22"/>
            <w:szCs w:val="22"/>
          </w:rPr>
          <w:t>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53F90" w14:textId="77777777" w:rsidR="00222812" w:rsidRDefault="00222812" w:rsidP="00795333">
      <w:pPr>
        <w:spacing w:after="0" w:line="240" w:lineRule="auto"/>
      </w:pPr>
      <w:r>
        <w:separator/>
      </w:r>
    </w:p>
  </w:footnote>
  <w:footnote w:type="continuationSeparator" w:id="0">
    <w:p w14:paraId="4CE92268" w14:textId="77777777" w:rsidR="00222812" w:rsidRDefault="00222812" w:rsidP="007953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09C7" w14:textId="37855435" w:rsidR="00795333" w:rsidRDefault="00795333" w:rsidP="004D6CAE">
    <w:pPr>
      <w:pStyle w:val="Header"/>
      <w:jc w:val="right"/>
    </w:pPr>
    <w:r>
      <w:rPr>
        <w:noProof/>
      </w:rPr>
      <w:drawing>
        <wp:inline distT="0" distB="0" distL="0" distR="0" wp14:anchorId="2F76238C" wp14:editId="623E8CF8">
          <wp:extent cx="292227" cy="594360"/>
          <wp:effectExtent l="0" t="0" r="0" b="0"/>
          <wp:docPr id="770030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p w14:paraId="2A69FC39" w14:textId="77777777" w:rsidR="00795333" w:rsidRDefault="00795333" w:rsidP="004D6CA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F4BCE"/>
    <w:multiLevelType w:val="hybridMultilevel"/>
    <w:tmpl w:val="D428A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5654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33"/>
    <w:rsid w:val="00222812"/>
    <w:rsid w:val="00224568"/>
    <w:rsid w:val="00795333"/>
    <w:rsid w:val="00810BF5"/>
    <w:rsid w:val="00937282"/>
    <w:rsid w:val="00C61B9D"/>
    <w:rsid w:val="00DA504D"/>
    <w:rsid w:val="00DC6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D7C99"/>
  <w15:chartTrackingRefBased/>
  <w15:docId w15:val="{0EAFE296-7496-443A-832B-ED6CC8549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53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53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53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53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53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53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53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53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53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3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53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53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53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53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53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53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53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5333"/>
    <w:rPr>
      <w:rFonts w:eastAsiaTheme="majorEastAsia" w:cstheme="majorBidi"/>
      <w:color w:val="272727" w:themeColor="text1" w:themeTint="D8"/>
    </w:rPr>
  </w:style>
  <w:style w:type="paragraph" w:styleId="Title">
    <w:name w:val="Title"/>
    <w:basedOn w:val="Normal"/>
    <w:next w:val="Normal"/>
    <w:link w:val="TitleChar"/>
    <w:uiPriority w:val="10"/>
    <w:qFormat/>
    <w:rsid w:val="007953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53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3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53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333"/>
    <w:pPr>
      <w:spacing w:before="160"/>
      <w:jc w:val="center"/>
    </w:pPr>
    <w:rPr>
      <w:i/>
      <w:iCs/>
      <w:color w:val="404040" w:themeColor="text1" w:themeTint="BF"/>
    </w:rPr>
  </w:style>
  <w:style w:type="character" w:customStyle="1" w:styleId="QuoteChar">
    <w:name w:val="Quote Char"/>
    <w:basedOn w:val="DefaultParagraphFont"/>
    <w:link w:val="Quote"/>
    <w:uiPriority w:val="29"/>
    <w:rsid w:val="00795333"/>
    <w:rPr>
      <w:i/>
      <w:iCs/>
      <w:color w:val="404040" w:themeColor="text1" w:themeTint="BF"/>
    </w:rPr>
  </w:style>
  <w:style w:type="paragraph" w:styleId="ListParagraph">
    <w:name w:val="List Paragraph"/>
    <w:basedOn w:val="Normal"/>
    <w:uiPriority w:val="34"/>
    <w:qFormat/>
    <w:rsid w:val="00795333"/>
    <w:pPr>
      <w:ind w:left="720"/>
      <w:contextualSpacing/>
    </w:pPr>
  </w:style>
  <w:style w:type="character" w:styleId="IntenseEmphasis">
    <w:name w:val="Intense Emphasis"/>
    <w:basedOn w:val="DefaultParagraphFont"/>
    <w:uiPriority w:val="21"/>
    <w:qFormat/>
    <w:rsid w:val="00795333"/>
    <w:rPr>
      <w:i/>
      <w:iCs/>
      <w:color w:val="0F4761" w:themeColor="accent1" w:themeShade="BF"/>
    </w:rPr>
  </w:style>
  <w:style w:type="paragraph" w:styleId="IntenseQuote">
    <w:name w:val="Intense Quote"/>
    <w:basedOn w:val="Normal"/>
    <w:next w:val="Normal"/>
    <w:link w:val="IntenseQuoteChar"/>
    <w:uiPriority w:val="30"/>
    <w:qFormat/>
    <w:rsid w:val="007953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5333"/>
    <w:rPr>
      <w:i/>
      <w:iCs/>
      <w:color w:val="0F4761" w:themeColor="accent1" w:themeShade="BF"/>
    </w:rPr>
  </w:style>
  <w:style w:type="character" w:styleId="IntenseReference">
    <w:name w:val="Intense Reference"/>
    <w:basedOn w:val="DefaultParagraphFont"/>
    <w:uiPriority w:val="32"/>
    <w:qFormat/>
    <w:rsid w:val="00795333"/>
    <w:rPr>
      <w:b/>
      <w:bCs/>
      <w:smallCaps/>
      <w:color w:val="0F4761" w:themeColor="accent1" w:themeShade="BF"/>
      <w:spacing w:val="5"/>
    </w:rPr>
  </w:style>
  <w:style w:type="paragraph" w:styleId="Header">
    <w:name w:val="header"/>
    <w:basedOn w:val="Normal"/>
    <w:link w:val="HeaderChar"/>
    <w:uiPriority w:val="99"/>
    <w:unhideWhenUsed/>
    <w:rsid w:val="007953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333"/>
  </w:style>
  <w:style w:type="paragraph" w:styleId="Footer">
    <w:name w:val="footer"/>
    <w:basedOn w:val="Normal"/>
    <w:link w:val="FooterChar"/>
    <w:uiPriority w:val="99"/>
    <w:unhideWhenUsed/>
    <w:rsid w:val="00795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333"/>
  </w:style>
  <w:style w:type="paragraph" w:styleId="Revision">
    <w:name w:val="Revision"/>
    <w:hidden/>
    <w:uiPriority w:val="99"/>
    <w:semiHidden/>
    <w:rsid w:val="007953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1806</Characters>
  <Application>Microsoft Office Word</Application>
  <DocSecurity>0</DocSecurity>
  <Lines>15</Lines>
  <Paragraphs>4</Paragraphs>
  <ScaleCrop>false</ScaleCrop>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2026-04-27T00:59:00Z</dcterms:created>
  <dcterms:modified xsi:type="dcterms:W3CDTF">2026-04-29T02:14:00Z</dcterms:modified>
</cp:coreProperties>
</file>