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2160"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3EA03AC4"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7B60AC52"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42A05B1D"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12D1D499"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1DBC9B87"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18DE273D"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51EE1C1E"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1ADA4F10"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357DE46"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B78C510"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0C5E227" w14:textId="77777777" w:rsidR="004B42D7" w:rsidRDefault="004B42D7" w:rsidP="004B42D7">
      <w:pPr>
        <w:spacing w:after="25" w:line="259" w:lineRule="auto"/>
        <w:jc w:val="right"/>
        <w:rPr>
          <w:rFonts w:ascii="Calibri" w:eastAsia="Calibri" w:hAnsi="Calibri" w:cs="Calibri"/>
          <w:caps/>
          <w:color w:val="4472C4"/>
          <w:kern w:val="0"/>
          <w:sz w:val="64"/>
          <w:szCs w:val="64"/>
          <w:lang w:val="fr-FR"/>
          <w14:ligatures w14:val="none"/>
        </w:rPr>
      </w:pPr>
      <w:r w:rsidRPr="00FA510A">
        <w:rPr>
          <w:rFonts w:ascii="Calibri" w:eastAsia="Calibri" w:hAnsi="Calibri" w:cs="Calibri"/>
          <w:caps/>
          <w:color w:val="4472C4"/>
          <w:kern w:val="0"/>
          <w:sz w:val="64"/>
          <w:szCs w:val="64"/>
          <w:lang w:val="fr-FR"/>
          <w14:ligatures w14:val="none"/>
        </w:rPr>
        <w:t xml:space="preserve">POLITIQUE DE GESTION </w:t>
      </w:r>
    </w:p>
    <w:p w14:paraId="58C8C721" w14:textId="77777777" w:rsidR="004B42D7" w:rsidRDefault="004B42D7" w:rsidP="004B42D7">
      <w:pPr>
        <w:spacing w:after="25" w:line="259" w:lineRule="auto"/>
        <w:jc w:val="right"/>
        <w:rPr>
          <w:rFonts w:ascii="Calibri" w:eastAsia="Calibri" w:hAnsi="Calibri" w:cs="Calibri"/>
          <w:caps/>
          <w:color w:val="4472C4"/>
          <w:kern w:val="0"/>
          <w:sz w:val="64"/>
          <w:szCs w:val="64"/>
          <w:lang w:val="fr-FR"/>
          <w14:ligatures w14:val="none"/>
        </w:rPr>
      </w:pPr>
      <w:r w:rsidRPr="00FA510A">
        <w:rPr>
          <w:rFonts w:ascii="Calibri" w:eastAsia="Calibri" w:hAnsi="Calibri" w:cs="Calibri"/>
          <w:caps/>
          <w:color w:val="4472C4"/>
          <w:kern w:val="0"/>
          <w:sz w:val="64"/>
          <w:szCs w:val="64"/>
          <w:lang w:val="fr-FR"/>
          <w14:ligatures w14:val="none"/>
        </w:rPr>
        <w:t>DE LA</w:t>
      </w:r>
      <w:r>
        <w:rPr>
          <w:rFonts w:ascii="Calibri" w:eastAsia="Calibri" w:hAnsi="Calibri" w:cs="Calibri"/>
          <w:caps/>
          <w:color w:val="4472C4"/>
          <w:kern w:val="0"/>
          <w:sz w:val="64"/>
          <w:szCs w:val="64"/>
          <w:lang w:val="fr-FR"/>
          <w14:ligatures w14:val="none"/>
        </w:rPr>
        <w:t xml:space="preserve"> </w:t>
      </w:r>
      <w:r w:rsidRPr="00FA510A">
        <w:rPr>
          <w:rFonts w:ascii="Calibri" w:eastAsia="Calibri" w:hAnsi="Calibri" w:cs="Calibri"/>
          <w:caps/>
          <w:color w:val="4472C4"/>
          <w:kern w:val="0"/>
          <w:sz w:val="64"/>
          <w:szCs w:val="64"/>
          <w:lang w:val="fr-FR"/>
          <w14:ligatures w14:val="none"/>
        </w:rPr>
        <w:t xml:space="preserve">CONTINUITÉ </w:t>
      </w:r>
    </w:p>
    <w:p w14:paraId="09251DF1" w14:textId="7B326E92" w:rsidR="004B42D7" w:rsidRPr="00FA510A" w:rsidRDefault="004B42D7" w:rsidP="004B42D7">
      <w:pPr>
        <w:spacing w:after="25" w:line="259" w:lineRule="auto"/>
        <w:jc w:val="right"/>
        <w:rPr>
          <w:rFonts w:ascii="Calibri" w:eastAsia="Calibri" w:hAnsi="Calibri" w:cs="Calibri"/>
          <w:caps/>
          <w:color w:val="4472C4"/>
          <w:kern w:val="0"/>
          <w:sz w:val="64"/>
          <w:szCs w:val="64"/>
          <w:lang w:val="fr-FR"/>
          <w14:ligatures w14:val="none"/>
        </w:rPr>
      </w:pPr>
      <w:r w:rsidRPr="00FA510A">
        <w:rPr>
          <w:rFonts w:ascii="Calibri" w:eastAsia="Calibri" w:hAnsi="Calibri" w:cs="Calibri"/>
          <w:caps/>
          <w:color w:val="4472C4"/>
          <w:kern w:val="0"/>
          <w:sz w:val="64"/>
          <w:szCs w:val="64"/>
          <w:lang w:val="fr-FR"/>
          <w14:ligatures w14:val="none"/>
        </w:rPr>
        <w:t>DES ACTIVITÉS DU PNUD</w:t>
      </w:r>
      <w:r w:rsidRPr="004B42D7">
        <w:rPr>
          <w:rFonts w:ascii="Calibri" w:eastAsia="Calibri" w:hAnsi="Calibri" w:cs="Calibri"/>
          <w:b/>
          <w:color w:val="4472C4"/>
          <w:kern w:val="0"/>
          <w:sz w:val="32"/>
          <w:lang w:val="fr-FR"/>
          <w14:ligatures w14:val="none"/>
        </w:rPr>
        <w:t xml:space="preserve"> </w:t>
      </w:r>
    </w:p>
    <w:p w14:paraId="047C48E7" w14:textId="3AD5A03D" w:rsidR="004B42D7" w:rsidRDefault="004B42D7" w:rsidP="00FA510A">
      <w:pPr>
        <w:spacing w:after="25" w:line="259" w:lineRule="auto"/>
        <w:jc w:val="right"/>
        <w:rPr>
          <w:rFonts w:ascii="Calibri" w:eastAsia="Calibri" w:hAnsi="Calibri" w:cs="Calibri"/>
          <w:b/>
          <w:color w:val="4472C4"/>
          <w:kern w:val="0"/>
          <w:sz w:val="32"/>
          <w:lang w:val="fr-FR"/>
          <w14:ligatures w14:val="none"/>
        </w:rPr>
      </w:pPr>
      <w:r w:rsidRPr="00FA510A">
        <w:rPr>
          <w:rFonts w:ascii="Calibri" w:eastAsia="Calibri" w:hAnsi="Calibri" w:cs="Calibri"/>
          <w:color w:val="404040" w:themeColor="text1" w:themeTint="BF"/>
          <w:kern w:val="0"/>
          <w:sz w:val="36"/>
          <w:szCs w:val="36"/>
          <w:lang w:val="fr-FR"/>
          <w14:ligatures w14:val="none"/>
        </w:rPr>
        <w:t>(BCM)</w:t>
      </w:r>
    </w:p>
    <w:p w14:paraId="010BDDFD"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51C1DA95"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717D0797"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1D8E588E"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0AD320A5"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23041ACF"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DFFD867"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9CF705E"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7DC55272"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74712E8E"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0652D858" w14:textId="77777777" w:rsidR="004B42D7" w:rsidRDefault="004B42D7" w:rsidP="004B42D7">
      <w:pPr>
        <w:spacing w:after="25" w:line="259" w:lineRule="auto"/>
        <w:jc w:val="both"/>
        <w:rPr>
          <w:rFonts w:ascii="Calibri" w:eastAsia="Calibri" w:hAnsi="Calibri" w:cs="Calibri"/>
          <w:b/>
          <w:color w:val="4472C4"/>
          <w:kern w:val="0"/>
          <w:sz w:val="32"/>
          <w:lang w:val="fr-FR"/>
          <w14:ligatures w14:val="none"/>
        </w:rPr>
      </w:pPr>
    </w:p>
    <w:p w14:paraId="64028EA2" w14:textId="2F057FFD" w:rsidR="004B42D7" w:rsidRPr="004B42D7" w:rsidRDefault="004B42D7" w:rsidP="004B42D7">
      <w:pPr>
        <w:spacing w:after="25" w:line="259" w:lineRule="auto"/>
        <w:jc w:val="both"/>
        <w:rPr>
          <w:rFonts w:ascii="Calibri" w:eastAsia="Cambria" w:hAnsi="Calibri" w:cs="Cambria"/>
          <w:b/>
          <w:color w:val="4472C4"/>
          <w:kern w:val="0"/>
          <w:sz w:val="32"/>
          <w:lang w:val="fr-FR"/>
          <w14:ligatures w14:val="none"/>
        </w:rPr>
      </w:pPr>
      <w:r w:rsidRPr="004B42D7">
        <w:rPr>
          <w:rFonts w:ascii="Calibri" w:eastAsia="Calibri" w:hAnsi="Calibri" w:cs="Calibri"/>
          <w:b/>
          <w:color w:val="4472C4"/>
          <w:kern w:val="0"/>
          <w:sz w:val="32"/>
          <w:lang w:val="fr-FR"/>
          <w14:ligatures w14:val="none"/>
        </w:rPr>
        <w:lastRenderedPageBreak/>
        <w:t xml:space="preserve">Résumé analytique </w:t>
      </w:r>
    </w:p>
    <w:p w14:paraId="5126D0C4" w14:textId="77777777" w:rsidR="004B42D7" w:rsidRPr="004B42D7" w:rsidRDefault="004B42D7" w:rsidP="004B42D7">
      <w:pPr>
        <w:spacing w:after="25" w:line="259" w:lineRule="auto"/>
        <w:jc w:val="both"/>
        <w:rPr>
          <w:rFonts w:ascii="Calibri" w:eastAsia="Cambria" w:hAnsi="Calibri" w:cs="Cambria"/>
          <w:b/>
          <w:kern w:val="0"/>
          <w:lang w:val="fr-FR"/>
          <w14:ligatures w14:val="none"/>
        </w:rPr>
      </w:pPr>
    </w:p>
    <w:p w14:paraId="5923C8F7" w14:textId="77777777" w:rsidR="004B42D7" w:rsidRPr="004B42D7" w:rsidRDefault="004B42D7" w:rsidP="004B42D7">
      <w:pPr>
        <w:spacing w:after="25" w:line="259" w:lineRule="auto"/>
        <w:jc w:val="both"/>
        <w:rPr>
          <w:rFonts w:ascii="Calibri" w:eastAsia="Cambria" w:hAnsi="Calibri" w:cs="Cambria"/>
          <w:bCs/>
          <w:kern w:val="0"/>
          <w:lang w:val="fr-FR"/>
          <w14:ligatures w14:val="none"/>
        </w:rPr>
      </w:pPr>
      <w:r w:rsidRPr="004B42D7">
        <w:rPr>
          <w:rFonts w:ascii="Calibri" w:eastAsia="Calibri" w:hAnsi="Calibri" w:cs="Calibri"/>
          <w:kern w:val="0"/>
          <w:lang w:val="fr-FR"/>
          <w14:ligatures w14:val="none"/>
        </w:rPr>
        <w:t xml:space="preserve">La politique de </w:t>
      </w:r>
      <w:r w:rsidRPr="004B42D7">
        <w:rPr>
          <w:rFonts w:ascii="Calibri" w:eastAsia="Calibri" w:hAnsi="Calibri" w:cs="Calibri"/>
          <w:b/>
          <w:kern w:val="0"/>
          <w:lang w:val="fr-FR"/>
          <w14:ligatures w14:val="none"/>
        </w:rPr>
        <w:t>gestion de la continuité des activités (BCM)</w:t>
      </w:r>
      <w:r w:rsidRPr="004B42D7">
        <w:rPr>
          <w:rFonts w:ascii="Calibri" w:eastAsia="Calibri" w:hAnsi="Calibri" w:cs="Calibri"/>
          <w:kern w:val="0"/>
          <w:lang w:val="fr-FR"/>
          <w14:ligatures w14:val="none"/>
        </w:rPr>
        <w:t xml:space="preserve"> est la politique du PNUD qui définit le cadre dans lequel l’organisation doit répondre aux menaces internes et externes et assurer sa préparation, sa résilience et sa capacité à continuer d’exécuter son mandat lorsque de telles menaces surviennent.</w:t>
      </w:r>
      <w:r w:rsidRPr="004B42D7">
        <w:rPr>
          <w:rFonts w:ascii="Calibri" w:eastAsia="Calibri" w:hAnsi="Calibri" w:cs="Calibri"/>
          <w:bCs/>
          <w:kern w:val="0"/>
          <w:lang w:val="fr-FR"/>
          <w14:ligatures w14:val="none"/>
        </w:rPr>
        <w:t xml:space="preserve">  </w:t>
      </w:r>
    </w:p>
    <w:p w14:paraId="4CE19CCC" w14:textId="77777777" w:rsidR="004B42D7" w:rsidRPr="004B42D7" w:rsidRDefault="004B42D7" w:rsidP="004B42D7">
      <w:pPr>
        <w:spacing w:after="25" w:line="259" w:lineRule="auto"/>
        <w:jc w:val="both"/>
        <w:rPr>
          <w:rFonts w:ascii="Calibri" w:eastAsia="Cambria" w:hAnsi="Calibri" w:cs="Cambria"/>
          <w:b/>
          <w:kern w:val="0"/>
          <w:lang w:val="fr-FR"/>
          <w14:ligatures w14:val="none"/>
        </w:rPr>
      </w:pPr>
    </w:p>
    <w:p w14:paraId="06491BA0" w14:textId="77777777" w:rsidR="004B42D7" w:rsidRPr="004B42D7" w:rsidRDefault="004B42D7" w:rsidP="004B42D7">
      <w:pPr>
        <w:spacing w:after="25" w:line="259" w:lineRule="auto"/>
        <w:jc w:val="both"/>
        <w:rPr>
          <w:rFonts w:ascii="Calibri" w:eastAsia="Calibri" w:hAnsi="Calibri" w:cs="Calibri"/>
          <w:kern w:val="0"/>
          <w:lang w:val="fr-FR"/>
          <w14:ligatures w14:val="none"/>
        </w:rPr>
      </w:pPr>
      <w:r w:rsidRPr="004B42D7">
        <w:rPr>
          <w:rFonts w:ascii="Calibri" w:eastAsia="Calibri" w:hAnsi="Calibri" w:cs="Calibri"/>
          <w:kern w:val="0"/>
          <w:lang w:val="fr-FR"/>
          <w14:ligatures w14:val="none"/>
        </w:rPr>
        <w:t xml:space="preserve">La </w:t>
      </w:r>
      <w:r w:rsidRPr="004B42D7">
        <w:rPr>
          <w:rFonts w:ascii="Calibri" w:eastAsia="Calibri" w:hAnsi="Calibri" w:cs="Calibri"/>
          <w:b/>
          <w:kern w:val="0"/>
          <w:lang w:val="fr-FR"/>
          <w14:ligatures w14:val="none"/>
        </w:rPr>
        <w:t>BCM</w:t>
      </w:r>
      <w:r w:rsidRPr="004B42D7">
        <w:rPr>
          <w:rFonts w:ascii="Calibri" w:eastAsia="Calibri" w:hAnsi="Calibri" w:cs="Calibri"/>
          <w:kern w:val="0"/>
          <w:lang w:val="fr-FR"/>
          <w14:ligatures w14:val="none"/>
        </w:rPr>
        <w:t xml:space="preserve"> au PNUD est conforme au </w:t>
      </w:r>
      <w:r w:rsidRPr="004B42D7">
        <w:rPr>
          <w:rFonts w:ascii="Calibri" w:eastAsia="Calibri" w:hAnsi="Calibri" w:cs="Calibri"/>
          <w:b/>
          <w:kern w:val="0"/>
          <w:lang w:val="fr-FR"/>
          <w14:ligatures w14:val="none"/>
        </w:rPr>
        <w:t>Système de gestion de la résilience de l’Organisation des Nations Unies (ORMS)</w:t>
      </w:r>
      <w:r w:rsidRPr="004B42D7">
        <w:rPr>
          <w:rFonts w:ascii="Calibri" w:eastAsia="Calibri" w:hAnsi="Calibri" w:cs="Calibri"/>
          <w:kern w:val="0"/>
          <w:lang w:val="fr-FR"/>
          <w14:ligatures w14:val="none"/>
        </w:rPr>
        <w:t xml:space="preserve"> et sert de cadre de gestion des situations d’urgence pour l’Organisation.</w:t>
      </w:r>
      <w:r w:rsidRPr="004B42D7">
        <w:rPr>
          <w:rFonts w:ascii="Calibri" w:eastAsia="Calibri" w:hAnsi="Calibri" w:cs="Calibri"/>
          <w:bCs/>
          <w:kern w:val="0"/>
          <w:lang w:val="fr-FR"/>
          <w14:ligatures w14:val="none"/>
        </w:rPr>
        <w:t xml:space="preserve"> </w:t>
      </w:r>
      <w:r w:rsidRPr="004B42D7">
        <w:rPr>
          <w:rFonts w:ascii="Calibri" w:eastAsia="Calibri" w:hAnsi="Calibri" w:cs="Calibri"/>
          <w:kern w:val="0"/>
          <w:lang w:val="fr-FR"/>
          <w14:ligatures w14:val="none"/>
        </w:rPr>
        <w:t xml:space="preserve">Elle comprend le </w:t>
      </w:r>
      <w:r w:rsidRPr="004B42D7">
        <w:rPr>
          <w:rFonts w:ascii="Calibri" w:eastAsia="Calibri" w:hAnsi="Calibri" w:cs="Calibri"/>
          <w:b/>
          <w:kern w:val="0"/>
          <w:lang w:val="fr-FR"/>
          <w14:ligatures w14:val="none"/>
        </w:rPr>
        <w:t>Plan de reprise après sinistre informatique</w:t>
      </w:r>
      <w:r w:rsidRPr="004B42D7">
        <w:rPr>
          <w:rFonts w:ascii="Calibri" w:eastAsia="Calibri" w:hAnsi="Calibri" w:cs="Calibri"/>
          <w:kern w:val="0"/>
          <w:lang w:val="fr-FR"/>
          <w14:ligatures w14:val="none"/>
        </w:rPr>
        <w:t xml:space="preserve"> </w:t>
      </w:r>
      <w:r w:rsidRPr="004B42D7">
        <w:rPr>
          <w:rFonts w:ascii="Calibri" w:eastAsia="Calibri" w:hAnsi="Calibri" w:cs="Calibri"/>
          <w:b/>
          <w:kern w:val="0"/>
          <w:lang w:val="fr-FR"/>
          <w14:ligatures w14:val="none"/>
        </w:rPr>
        <w:t>(ITDRP)</w:t>
      </w:r>
      <w:r w:rsidRPr="004B42D7">
        <w:rPr>
          <w:rFonts w:ascii="Calibri" w:eastAsia="Calibri" w:hAnsi="Calibri" w:cs="Calibri"/>
          <w:kern w:val="0"/>
          <w:lang w:val="fr-FR"/>
          <w14:ligatures w14:val="none"/>
        </w:rPr>
        <w:t>, les Plans de sécurité (qui comprennent</w:t>
      </w:r>
      <w:r w:rsidRPr="004B42D7">
        <w:rPr>
          <w:rFonts w:ascii="Calibri" w:eastAsia="Calibri" w:hAnsi="Calibri" w:cs="Calibri"/>
          <w:bCs/>
          <w:kern w:val="0"/>
          <w:lang w:val="fr-FR"/>
          <w14:ligatures w14:val="none"/>
        </w:rPr>
        <w:t xml:space="preserve"> </w:t>
      </w:r>
      <w:r w:rsidRPr="004B42D7">
        <w:rPr>
          <w:rFonts w:ascii="Calibri" w:eastAsia="Calibri" w:hAnsi="Calibri" w:cs="Calibri"/>
          <w:bCs/>
          <w:kern w:val="0"/>
          <w:shd w:val="clear" w:color="auto" w:fill="FFFFFF"/>
          <w:lang w:val="fr-FR"/>
          <w14:ligatures w14:val="none"/>
        </w:rPr>
        <w:t>la gestion des crises, des incidents et des urgences</w:t>
      </w:r>
      <w:r w:rsidRPr="004B42D7">
        <w:rPr>
          <w:rFonts w:ascii="Calibri" w:eastAsia="Calibri" w:hAnsi="Calibri" w:cs="Calibri"/>
          <w:bCs/>
          <w:kern w:val="0"/>
          <w:lang w:val="fr-FR"/>
          <w14:ligatures w14:val="none"/>
        </w:rPr>
        <w:t>) et la</w:t>
      </w:r>
      <w:r w:rsidRPr="004B42D7">
        <w:rPr>
          <w:rFonts w:ascii="Calibri" w:eastAsia="Calibri" w:hAnsi="Calibri" w:cs="Calibri"/>
          <w:bCs/>
          <w:kern w:val="0"/>
          <w:shd w:val="clear" w:color="auto" w:fill="FFFFFF"/>
          <w:lang w:val="fr-FR"/>
          <w14:ligatures w14:val="none"/>
        </w:rPr>
        <w:t xml:space="preserve"> </w:t>
      </w:r>
      <w:r w:rsidRPr="004B42D7">
        <w:rPr>
          <w:rFonts w:ascii="Calibri" w:eastAsia="Calibri" w:hAnsi="Calibri" w:cs="Calibri"/>
          <w:b/>
          <w:kern w:val="0"/>
          <w:shd w:val="clear" w:color="auto" w:fill="FFFFFF"/>
          <w:lang w:val="fr-FR"/>
          <w14:ligatures w14:val="none"/>
        </w:rPr>
        <w:t>planification de la continuité des</w:t>
      </w:r>
      <w:r w:rsidRPr="004B42D7">
        <w:rPr>
          <w:rFonts w:ascii="Calibri" w:eastAsia="Calibri" w:hAnsi="Calibri" w:cs="Calibri"/>
          <w:b/>
          <w:kern w:val="0"/>
          <w:shd w:val="clear" w:color="auto" w:fill="FFFFFF"/>
          <w:lang w:val="fr-FR"/>
          <w14:ligatures w14:val="none"/>
        </w:rPr>
        <w:br/>
        <w:t>opérations</w:t>
      </w:r>
      <w:r w:rsidRPr="004B42D7">
        <w:rPr>
          <w:rFonts w:ascii="Calibri" w:eastAsia="Calibri" w:hAnsi="Calibri" w:cs="Calibri"/>
          <w:bCs/>
          <w:kern w:val="0"/>
          <w:lang w:val="fr-FR"/>
          <w14:ligatures w14:val="none"/>
        </w:rPr>
        <w:t>.</w:t>
      </w:r>
      <w:r w:rsidRPr="004B42D7">
        <w:rPr>
          <w:rFonts w:ascii="Calibri" w:eastAsia="Calibri" w:hAnsi="Calibri" w:cs="Calibri"/>
          <w:kern w:val="0"/>
          <w:lang w:val="fr-FR"/>
          <w14:ligatures w14:val="none"/>
        </w:rPr>
        <w:t xml:space="preserve"> </w:t>
      </w:r>
    </w:p>
    <w:p w14:paraId="3DB5709D" w14:textId="77777777" w:rsidR="004B42D7" w:rsidRPr="004B42D7" w:rsidRDefault="004B42D7" w:rsidP="004B42D7">
      <w:pPr>
        <w:spacing w:after="25" w:line="259" w:lineRule="auto"/>
        <w:jc w:val="both"/>
        <w:rPr>
          <w:rFonts w:ascii="Calibri" w:eastAsia="Cambria" w:hAnsi="Calibri" w:cs="Cambria"/>
          <w:bCs/>
          <w:color w:val="000000"/>
          <w:kern w:val="0"/>
          <w:lang w:val="fr-FR"/>
          <w14:ligatures w14:val="none"/>
        </w:rPr>
      </w:pPr>
    </w:p>
    <w:p w14:paraId="74AE064E"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Une planification de la continuité des opérations</w:t>
      </w:r>
      <w:r w:rsidRPr="004B42D7">
        <w:rPr>
          <w:rFonts w:ascii="Calibri" w:eastAsia="Calibri" w:hAnsi="Calibri" w:cs="Calibri"/>
          <w:b/>
          <w:bCs/>
          <w:color w:val="000000"/>
          <w:kern w:val="0"/>
          <w:lang w:val="fr-FR"/>
          <w14:ligatures w14:val="none"/>
        </w:rPr>
        <w:t xml:space="preserve"> (BCP)</w:t>
      </w:r>
      <w:r w:rsidRPr="004B42D7">
        <w:rPr>
          <w:rFonts w:ascii="Calibri" w:eastAsia="Calibri" w:hAnsi="Calibri" w:cs="Calibri"/>
          <w:color w:val="000000"/>
          <w:kern w:val="0"/>
          <w:lang w:val="fr-FR"/>
          <w14:ligatures w14:val="none"/>
        </w:rPr>
        <w:t xml:space="preserve"> est élaborée sur une </w:t>
      </w:r>
      <w:r w:rsidRPr="004B42D7">
        <w:rPr>
          <w:rFonts w:ascii="Calibri" w:eastAsia="Calibri" w:hAnsi="Calibri" w:cs="Calibri"/>
          <w:b/>
          <w:bCs/>
          <w:color w:val="000000"/>
          <w:kern w:val="0"/>
          <w:lang w:val="fr-FR"/>
          <w14:ligatures w14:val="none"/>
        </w:rPr>
        <w:t>évaluation des</w:t>
      </w:r>
      <w:r w:rsidRPr="004B42D7">
        <w:rPr>
          <w:rFonts w:ascii="Calibri" w:eastAsia="Calibri" w:hAnsi="Calibri" w:cs="Calibri"/>
          <w:color w:val="000000"/>
          <w:kern w:val="0"/>
          <w:lang w:val="fr-FR"/>
          <w14:ligatures w14:val="none"/>
        </w:rPr>
        <w:t xml:space="preserve"> </w:t>
      </w:r>
      <w:r w:rsidRPr="004B42D7">
        <w:rPr>
          <w:rFonts w:ascii="Calibri" w:eastAsia="Calibri" w:hAnsi="Calibri" w:cs="Calibri"/>
          <w:b/>
          <w:bCs/>
          <w:color w:val="000000"/>
          <w:kern w:val="0"/>
          <w:lang w:val="fr-FR"/>
          <w14:ligatures w14:val="none"/>
        </w:rPr>
        <w:t>risques (RA) opérationnels</w:t>
      </w:r>
      <w:r w:rsidRPr="004B42D7" w:rsidDel="00394E09">
        <w:rPr>
          <w:rFonts w:ascii="Calibri" w:eastAsia="Calibri" w:hAnsi="Calibri" w:cs="Calibri"/>
          <w:b/>
          <w:bCs/>
          <w:color w:val="000000"/>
          <w:kern w:val="0"/>
          <w:lang w:val="fr-FR"/>
          <w14:ligatures w14:val="none"/>
        </w:rPr>
        <w:t xml:space="preserve"> </w:t>
      </w:r>
      <w:r w:rsidRPr="004B42D7">
        <w:rPr>
          <w:rFonts w:ascii="Calibri" w:eastAsia="Calibri" w:hAnsi="Calibri" w:cs="Calibri"/>
          <w:b/>
          <w:bCs/>
          <w:color w:val="000000"/>
          <w:kern w:val="0"/>
          <w:lang w:val="fr-FR"/>
          <w14:ligatures w14:val="none"/>
        </w:rPr>
        <w:t>et une analyse agile d’impact sur les opérations (BIA)</w:t>
      </w:r>
      <w:r w:rsidRPr="004B42D7">
        <w:rPr>
          <w:rFonts w:ascii="Calibri" w:eastAsia="Calibri" w:hAnsi="Calibri" w:cs="Calibri"/>
          <w:color w:val="000000"/>
          <w:kern w:val="0"/>
          <w:lang w:val="fr-FR"/>
          <w14:ligatures w14:val="none"/>
        </w:rPr>
        <w:t xml:space="preserve">. Le RA et le BIA s’appuient sur la politique de gestion des risques d’entreprise (ERM) et le processus de </w:t>
      </w:r>
      <w:r w:rsidRPr="004B42D7">
        <w:rPr>
          <w:rFonts w:ascii="Calibri" w:eastAsia="Calibri" w:hAnsi="Calibri" w:cs="Calibri"/>
          <w:b/>
          <w:bCs/>
          <w:color w:val="000000"/>
          <w:kern w:val="0"/>
          <w:lang w:val="fr-FR"/>
          <w14:ligatures w14:val="none"/>
        </w:rPr>
        <w:t>gestion des risques de sécurité (GRS)</w:t>
      </w:r>
      <w:r w:rsidRPr="004B42D7">
        <w:rPr>
          <w:rFonts w:ascii="Calibri" w:eastAsia="Calibri" w:hAnsi="Calibri" w:cs="Calibri"/>
          <w:color w:val="000000"/>
          <w:kern w:val="0"/>
          <w:lang w:val="fr-FR"/>
          <w14:ligatures w14:val="none"/>
        </w:rPr>
        <w:t xml:space="preserve"> existantes propres à chaque pays/zone, tout en tenant compte du mandat global de l’Organisation, la criticité des programmes</w:t>
      </w:r>
      <w:r w:rsidRPr="004B42D7">
        <w:rPr>
          <w:rFonts w:ascii="Calibri" w:eastAsia="Calibri" w:hAnsi="Calibri" w:cs="Calibri"/>
          <w:color w:val="000000"/>
          <w:kern w:val="0"/>
          <w:vertAlign w:val="superscript"/>
          <w:lang w:val="fr-FR"/>
          <w14:ligatures w14:val="none"/>
        </w:rPr>
        <w:footnoteReference w:id="1"/>
      </w:r>
      <w:r w:rsidRPr="004B42D7">
        <w:rPr>
          <w:rFonts w:ascii="Calibri" w:eastAsia="Calibri" w:hAnsi="Calibri" w:cs="Calibri"/>
          <w:color w:val="000000"/>
          <w:kern w:val="0"/>
          <w:lang w:val="fr-FR"/>
          <w14:ligatures w14:val="none"/>
        </w:rPr>
        <w:t xml:space="preserve"> et de la poursuite des services critiques ainsi que les procédures opérationnelles standard pour la réponse aux crises et la récupération.  </w:t>
      </w:r>
    </w:p>
    <w:p w14:paraId="5334E548"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F4CDA3E"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25D4342"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EEA006F"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21F8AC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7F1BAFB5"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430B48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B8A8FF6"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4DC19FF1"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1821B6A5"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068A67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9C70ADC"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53F8556A"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78F1A5E3"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975E242"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A75F449"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4A298D74"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sdt>
      <w:sdtPr>
        <w:rPr>
          <w:rFonts w:ascii="Calibri" w:eastAsia="Calibri" w:hAnsi="Calibri" w:cs="Calibri"/>
          <w:color w:val="000000"/>
          <w:kern w:val="0"/>
          <w:lang w:val="fr-FR"/>
          <w14:ligatures w14:val="none"/>
        </w:rPr>
        <w:id w:val="-173348808"/>
        <w:docPartObj>
          <w:docPartGallery w:val="Table of Contents"/>
          <w:docPartUnique/>
        </w:docPartObj>
      </w:sdtPr>
      <w:sdtEndPr>
        <w:rPr>
          <w:b/>
          <w:bCs/>
        </w:rPr>
      </w:sdtEndPr>
      <w:sdtContent>
        <w:p w14:paraId="37247B6D" w14:textId="77777777" w:rsidR="004B42D7" w:rsidRPr="004B42D7" w:rsidRDefault="004B42D7" w:rsidP="004B42D7">
          <w:pPr>
            <w:keepNext/>
            <w:keepLines/>
            <w:spacing w:before="240" w:after="0" w:line="259" w:lineRule="auto"/>
            <w:jc w:val="both"/>
            <w:rPr>
              <w:rFonts w:ascii="Calibri" w:eastAsia="DengXian Light" w:hAnsi="Calibri" w:cs="Times New Roman"/>
              <w:color w:val="2F5496"/>
              <w:kern w:val="0"/>
              <w:lang w:val="fr-FR"/>
              <w14:ligatures w14:val="none"/>
            </w:rPr>
          </w:pPr>
          <w:r w:rsidRPr="004B42D7">
            <w:rPr>
              <w:rFonts w:ascii="Calibri" w:eastAsia="DengXian Light" w:hAnsi="Calibri" w:cs="Times New Roman"/>
              <w:color w:val="2F5496"/>
              <w:kern w:val="0"/>
              <w:lang w:val="fr-FR"/>
              <w14:ligatures w14:val="none"/>
            </w:rPr>
            <w:t>Table des matières</w:t>
          </w:r>
        </w:p>
        <w:p w14:paraId="0D9FC7BD"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45BE478C"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2FCB8DF1" w14:textId="5E1F758D" w:rsidR="004B42D7" w:rsidRPr="004B42D7" w:rsidRDefault="004B42D7" w:rsidP="004B42D7">
          <w:pPr>
            <w:tabs>
              <w:tab w:val="left" w:pos="480"/>
              <w:tab w:val="right" w:leader="dot" w:pos="9736"/>
            </w:tabs>
            <w:spacing w:after="100" w:line="259" w:lineRule="auto"/>
            <w:rPr>
              <w:rFonts w:ascii="Calibri" w:eastAsia="DengXian" w:hAnsi="Calibri" w:cs="Arial"/>
              <w:noProof/>
            </w:rPr>
          </w:pPr>
          <w:r w:rsidRPr="004B42D7">
            <w:rPr>
              <w:rFonts w:ascii="Calibri" w:eastAsia="Calibri" w:hAnsi="Calibri" w:cs="Calibri"/>
              <w:color w:val="000000"/>
              <w:kern w:val="0"/>
              <w:lang w:val="fr-FR"/>
              <w14:ligatures w14:val="none"/>
            </w:rPr>
            <w:fldChar w:fldCharType="begin"/>
          </w:r>
          <w:r w:rsidRPr="004B42D7">
            <w:rPr>
              <w:rFonts w:ascii="Calibri" w:eastAsia="Calibri" w:hAnsi="Calibri" w:cs="Calibri"/>
              <w:color w:val="000000"/>
              <w:kern w:val="0"/>
              <w:lang w:val="fr-FR"/>
              <w14:ligatures w14:val="none"/>
            </w:rPr>
            <w:instrText xml:space="preserve"> TOC \o "1-3" \h \z \u </w:instrText>
          </w:r>
          <w:r w:rsidRPr="004B42D7">
            <w:rPr>
              <w:rFonts w:ascii="Calibri" w:eastAsia="Calibri" w:hAnsi="Calibri" w:cs="Calibri"/>
              <w:color w:val="000000"/>
              <w:kern w:val="0"/>
              <w:lang w:val="fr-FR"/>
              <w14:ligatures w14:val="none"/>
            </w:rPr>
            <w:fldChar w:fldCharType="separate"/>
          </w:r>
          <w:hyperlink w:anchor="_Toc179986643" w:history="1">
            <w:r w:rsidRPr="004B42D7">
              <w:rPr>
                <w:rFonts w:ascii="Calibri" w:eastAsia="Calibri" w:hAnsi="Calibri" w:cs="Calibri"/>
                <w:noProof/>
                <w:color w:val="0563C1"/>
                <w:kern w:val="0"/>
                <w:sz w:val="22"/>
                <w:szCs w:val="22"/>
                <w:u w:val="single"/>
                <w:lang w:val="fr-FR"/>
                <w14:ligatures w14:val="none"/>
              </w:rPr>
              <w:t>A.</w:t>
            </w:r>
            <w:r w:rsidRPr="004B42D7">
              <w:rPr>
                <w:rFonts w:ascii="Calibri" w:eastAsia="DengXian" w:hAnsi="Calibri" w:cs="Arial"/>
                <w:noProof/>
              </w:rPr>
              <w:tab/>
            </w:r>
            <w:r w:rsidRPr="004B42D7">
              <w:rPr>
                <w:rFonts w:ascii="Calibri" w:eastAsia="Calibri" w:hAnsi="Calibri" w:cs="Calibri"/>
                <w:noProof/>
                <w:color w:val="0563C1"/>
                <w:kern w:val="0"/>
                <w:sz w:val="22"/>
                <w:szCs w:val="22"/>
                <w:u w:val="single"/>
                <w:lang w:val="fr-FR"/>
                <w14:ligatures w14:val="none"/>
              </w:rPr>
              <w:t>Contexte</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_Toc179986643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AE2713">
              <w:rPr>
                <w:rFonts w:ascii="Calibri" w:eastAsia="Calibri" w:hAnsi="Calibri" w:cs="Calibri"/>
                <w:noProof/>
                <w:webHidden/>
                <w:color w:val="000000"/>
                <w:kern w:val="0"/>
                <w:sz w:val="22"/>
                <w:szCs w:val="22"/>
                <w:lang w:val="fr-FR"/>
                <w14:ligatures w14:val="none"/>
              </w:rPr>
              <w:t>3</w:t>
            </w:r>
            <w:r w:rsidRPr="004B42D7">
              <w:rPr>
                <w:rFonts w:ascii="Calibri" w:eastAsia="Calibri" w:hAnsi="Calibri" w:cs="Calibri"/>
                <w:noProof/>
                <w:webHidden/>
                <w:color w:val="000000"/>
                <w:kern w:val="0"/>
                <w:sz w:val="22"/>
                <w:szCs w:val="22"/>
                <w:lang w:val="fr-FR"/>
                <w14:ligatures w14:val="none"/>
              </w:rPr>
              <w:fldChar w:fldCharType="end"/>
            </w:r>
          </w:hyperlink>
        </w:p>
        <w:p w14:paraId="2F11265A" w14:textId="7140CF7E"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4" w:history="1">
            <w:r w:rsidRPr="004B42D7">
              <w:rPr>
                <w:rFonts w:ascii="Calibri" w:eastAsia="Calibri" w:hAnsi="Calibri" w:cs="Calibri"/>
                <w:noProof/>
                <w:color w:val="0563C1"/>
                <w:kern w:val="0"/>
                <w:sz w:val="22"/>
                <w:szCs w:val="22"/>
                <w:u w:val="single"/>
                <w:lang w:val="fr-FR"/>
                <w14:ligatures w14:val="none"/>
              </w:rPr>
              <w:t>B.</w:t>
            </w:r>
            <w:r w:rsidRPr="004B42D7">
              <w:rPr>
                <w:rFonts w:ascii="Calibri" w:eastAsia="DengXian" w:hAnsi="Calibri" w:cs="Arial"/>
                <w:noProof/>
              </w:rPr>
              <w:tab/>
            </w:r>
            <w:r w:rsidRPr="004B42D7">
              <w:rPr>
                <w:rFonts w:ascii="Calibri" w:eastAsia="Calibri" w:hAnsi="Calibri" w:cs="Calibri"/>
                <w:noProof/>
                <w:color w:val="0563C1"/>
                <w:kern w:val="0"/>
                <w:sz w:val="22"/>
                <w:szCs w:val="22"/>
                <w:u w:val="single"/>
                <w:lang w:val="fr-FR"/>
                <w14:ligatures w14:val="none"/>
              </w:rPr>
              <w:t>Objectifs</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_Toc179986644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AE2713">
              <w:rPr>
                <w:rFonts w:ascii="Calibri" w:eastAsia="Calibri" w:hAnsi="Calibri" w:cs="Calibri"/>
                <w:noProof/>
                <w:webHidden/>
                <w:color w:val="000000"/>
                <w:kern w:val="0"/>
                <w:sz w:val="22"/>
                <w:szCs w:val="22"/>
                <w:lang w:val="fr-FR"/>
                <w14:ligatures w14:val="none"/>
              </w:rPr>
              <w:t>3</w:t>
            </w:r>
            <w:r w:rsidRPr="004B42D7">
              <w:rPr>
                <w:rFonts w:ascii="Calibri" w:eastAsia="Calibri" w:hAnsi="Calibri" w:cs="Calibri"/>
                <w:noProof/>
                <w:webHidden/>
                <w:color w:val="000000"/>
                <w:kern w:val="0"/>
                <w:sz w:val="22"/>
                <w:szCs w:val="22"/>
                <w:lang w:val="fr-FR"/>
                <w14:ligatures w14:val="none"/>
              </w:rPr>
              <w:fldChar w:fldCharType="end"/>
            </w:r>
          </w:hyperlink>
        </w:p>
        <w:p w14:paraId="3FF90F54" w14:textId="65C3197F"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5" w:history="1">
            <w:r w:rsidRPr="004B42D7">
              <w:rPr>
                <w:rFonts w:ascii="Calibri" w:eastAsia="Calibri" w:hAnsi="Calibri" w:cs="Calibri"/>
                <w:bCs/>
                <w:noProof/>
                <w:color w:val="0563C1"/>
                <w:kern w:val="0"/>
                <w:sz w:val="22"/>
                <w:szCs w:val="22"/>
                <w:u w:val="single"/>
                <w:lang w:val="fr-FR"/>
                <w14:ligatures w14:val="none"/>
              </w:rPr>
              <w:t>C.</w:t>
            </w:r>
            <w:r w:rsidRPr="004B42D7">
              <w:rPr>
                <w:rFonts w:ascii="Calibri" w:eastAsia="DengXian" w:hAnsi="Calibri" w:cs="Arial"/>
                <w:noProof/>
              </w:rPr>
              <w:tab/>
            </w:r>
            <w:r w:rsidRPr="004B42D7">
              <w:rPr>
                <w:rFonts w:ascii="Calibri" w:eastAsia="Calibri" w:hAnsi="Calibri" w:cs="Calibri"/>
                <w:bCs/>
                <w:noProof/>
                <w:color w:val="0563C1"/>
                <w:kern w:val="0"/>
                <w:sz w:val="22"/>
                <w:szCs w:val="22"/>
                <w:u w:val="single"/>
                <w:lang w:val="fr-FR"/>
                <w14:ligatures w14:val="none"/>
              </w:rPr>
              <w:t>Évaluation des risques</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_Toc179986645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AE2713">
              <w:rPr>
                <w:rFonts w:ascii="Calibri" w:eastAsia="Calibri" w:hAnsi="Calibri" w:cs="Calibri"/>
                <w:noProof/>
                <w:webHidden/>
                <w:color w:val="000000"/>
                <w:kern w:val="0"/>
                <w:sz w:val="22"/>
                <w:szCs w:val="22"/>
                <w:lang w:val="fr-FR"/>
                <w14:ligatures w14:val="none"/>
              </w:rPr>
              <w:t>4</w:t>
            </w:r>
            <w:r w:rsidRPr="004B42D7">
              <w:rPr>
                <w:rFonts w:ascii="Calibri" w:eastAsia="Calibri" w:hAnsi="Calibri" w:cs="Calibri"/>
                <w:noProof/>
                <w:webHidden/>
                <w:color w:val="000000"/>
                <w:kern w:val="0"/>
                <w:sz w:val="22"/>
                <w:szCs w:val="22"/>
                <w:lang w:val="fr-FR"/>
                <w14:ligatures w14:val="none"/>
              </w:rPr>
              <w:fldChar w:fldCharType="end"/>
            </w:r>
          </w:hyperlink>
        </w:p>
        <w:p w14:paraId="50CDF20A" w14:textId="4D0F0A19"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6" w:history="1">
            <w:r w:rsidRPr="004B42D7">
              <w:rPr>
                <w:rFonts w:ascii="Calibri" w:eastAsia="Calibri" w:hAnsi="Calibri" w:cs="Calibri"/>
                <w:bCs/>
                <w:noProof/>
                <w:color w:val="0563C1"/>
                <w:kern w:val="0"/>
                <w:sz w:val="22"/>
                <w:szCs w:val="22"/>
                <w:u w:val="single"/>
                <w:lang w:val="fr-FR"/>
                <w14:ligatures w14:val="none"/>
              </w:rPr>
              <w:t>D.</w:t>
            </w:r>
            <w:r w:rsidRPr="004B42D7">
              <w:rPr>
                <w:rFonts w:ascii="Calibri" w:eastAsia="DengXian" w:hAnsi="Calibri" w:cs="Arial"/>
                <w:noProof/>
              </w:rPr>
              <w:tab/>
            </w:r>
            <w:r w:rsidRPr="004B42D7">
              <w:rPr>
                <w:rFonts w:ascii="Calibri" w:eastAsia="Calibri" w:hAnsi="Calibri" w:cs="Calibri"/>
                <w:bCs/>
                <w:noProof/>
                <w:color w:val="0563C1"/>
                <w:kern w:val="0"/>
                <w:sz w:val="22"/>
                <w:szCs w:val="22"/>
                <w:u w:val="single"/>
                <w:lang w:val="fr-FR"/>
                <w14:ligatures w14:val="none"/>
              </w:rPr>
              <w:t>Analyse d’impact sur les opérations (BIA)</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_Toc179986646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AE2713">
              <w:rPr>
                <w:rFonts w:ascii="Calibri" w:eastAsia="Calibri" w:hAnsi="Calibri" w:cs="Calibri"/>
                <w:noProof/>
                <w:webHidden/>
                <w:color w:val="000000"/>
                <w:kern w:val="0"/>
                <w:sz w:val="22"/>
                <w:szCs w:val="22"/>
                <w:lang w:val="fr-FR"/>
                <w14:ligatures w14:val="none"/>
              </w:rPr>
              <w:t>5</w:t>
            </w:r>
            <w:r w:rsidRPr="004B42D7">
              <w:rPr>
                <w:rFonts w:ascii="Calibri" w:eastAsia="Calibri" w:hAnsi="Calibri" w:cs="Calibri"/>
                <w:noProof/>
                <w:webHidden/>
                <w:color w:val="000000"/>
                <w:kern w:val="0"/>
                <w:sz w:val="22"/>
                <w:szCs w:val="22"/>
                <w:lang w:val="fr-FR"/>
                <w14:ligatures w14:val="none"/>
              </w:rPr>
              <w:fldChar w:fldCharType="end"/>
            </w:r>
          </w:hyperlink>
        </w:p>
        <w:p w14:paraId="07CB5263" w14:textId="76F2AD2C"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7" w:history="1">
            <w:r w:rsidRPr="004B42D7">
              <w:rPr>
                <w:rFonts w:ascii="Calibri" w:eastAsia="Calibri" w:hAnsi="Calibri" w:cs="Calibri"/>
                <w:noProof/>
                <w:color w:val="0563C1"/>
                <w:kern w:val="0"/>
                <w:sz w:val="22"/>
                <w:szCs w:val="22"/>
                <w:u w:val="single"/>
                <w:lang w:val="fr-FR"/>
                <w14:ligatures w14:val="none"/>
              </w:rPr>
              <w:t>E.</w:t>
            </w:r>
            <w:r w:rsidRPr="004B42D7">
              <w:rPr>
                <w:rFonts w:ascii="Calibri" w:eastAsia="DengXian" w:hAnsi="Calibri" w:cs="Arial"/>
                <w:noProof/>
              </w:rPr>
              <w:tab/>
            </w:r>
            <w:r w:rsidRPr="004B42D7">
              <w:rPr>
                <w:rFonts w:ascii="Calibri" w:eastAsia="Calibri" w:hAnsi="Calibri" w:cs="Calibri"/>
                <w:noProof/>
                <w:color w:val="0563C1"/>
                <w:kern w:val="0"/>
                <w:sz w:val="22"/>
                <w:szCs w:val="22"/>
                <w:u w:val="single"/>
                <w:lang w:val="fr-FR"/>
                <w14:ligatures w14:val="none"/>
              </w:rPr>
              <w:t>Plan de continuité des opérations (BCP)</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_Toc179986647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AE2713">
              <w:rPr>
                <w:rFonts w:ascii="Calibri" w:eastAsia="Calibri" w:hAnsi="Calibri" w:cs="Calibri"/>
                <w:noProof/>
                <w:webHidden/>
                <w:color w:val="000000"/>
                <w:kern w:val="0"/>
                <w:sz w:val="22"/>
                <w:szCs w:val="22"/>
                <w:lang w:val="fr-FR"/>
                <w14:ligatures w14:val="none"/>
              </w:rPr>
              <w:t>5</w:t>
            </w:r>
            <w:r w:rsidRPr="004B42D7">
              <w:rPr>
                <w:rFonts w:ascii="Calibri" w:eastAsia="Calibri" w:hAnsi="Calibri" w:cs="Calibri"/>
                <w:noProof/>
                <w:webHidden/>
                <w:color w:val="000000"/>
                <w:kern w:val="0"/>
                <w:sz w:val="22"/>
                <w:szCs w:val="22"/>
                <w:lang w:val="fr-FR"/>
                <w14:ligatures w14:val="none"/>
              </w:rPr>
              <w:fldChar w:fldCharType="end"/>
            </w:r>
          </w:hyperlink>
        </w:p>
        <w:p w14:paraId="1E2450E5" w14:textId="79A93FE8"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8" w:history="1">
            <w:r w:rsidRPr="004B42D7">
              <w:rPr>
                <w:rFonts w:ascii="Calibri" w:eastAsia="Calibri" w:hAnsi="Calibri" w:cs="Calibri"/>
                <w:bCs/>
                <w:noProof/>
                <w:color w:val="0563C1"/>
                <w:kern w:val="0"/>
                <w:sz w:val="22"/>
                <w:szCs w:val="22"/>
                <w:u w:val="single"/>
                <w:lang w:val="fr-FR"/>
                <w14:ligatures w14:val="none"/>
              </w:rPr>
              <w:t>F.</w:t>
            </w:r>
            <w:r w:rsidRPr="004B42D7">
              <w:rPr>
                <w:rFonts w:ascii="Calibri" w:eastAsia="DengXian" w:hAnsi="Calibri" w:cs="Arial"/>
                <w:noProof/>
              </w:rPr>
              <w:tab/>
            </w:r>
            <w:r w:rsidRPr="004B42D7">
              <w:rPr>
                <w:rFonts w:ascii="Calibri" w:eastAsia="Calibri" w:hAnsi="Calibri" w:cs="Calibri"/>
                <w:bCs/>
                <w:noProof/>
                <w:color w:val="0563C1"/>
                <w:kern w:val="0"/>
                <w:sz w:val="22"/>
                <w:szCs w:val="22"/>
                <w:u w:val="single"/>
                <w:lang w:val="fr-FR"/>
                <w14:ligatures w14:val="none"/>
              </w:rPr>
              <w:t>BCM : Rôles et responsabilités</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_Toc179986648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AE2713">
              <w:rPr>
                <w:rFonts w:ascii="Calibri" w:eastAsia="Calibri" w:hAnsi="Calibri" w:cs="Calibri"/>
                <w:noProof/>
                <w:webHidden/>
                <w:color w:val="000000"/>
                <w:kern w:val="0"/>
                <w:sz w:val="22"/>
                <w:szCs w:val="22"/>
                <w:lang w:val="fr-FR"/>
                <w14:ligatures w14:val="none"/>
              </w:rPr>
              <w:t>7</w:t>
            </w:r>
            <w:r w:rsidRPr="004B42D7">
              <w:rPr>
                <w:rFonts w:ascii="Calibri" w:eastAsia="Calibri" w:hAnsi="Calibri" w:cs="Calibri"/>
                <w:noProof/>
                <w:webHidden/>
                <w:color w:val="000000"/>
                <w:kern w:val="0"/>
                <w:sz w:val="22"/>
                <w:szCs w:val="22"/>
                <w:lang w:val="fr-FR"/>
                <w14:ligatures w14:val="none"/>
              </w:rPr>
              <w:fldChar w:fldCharType="end"/>
            </w:r>
          </w:hyperlink>
        </w:p>
        <w:p w14:paraId="72402C1E" w14:textId="0939DCF0"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49" w:history="1">
            <w:r w:rsidRPr="004B42D7">
              <w:rPr>
                <w:rFonts w:ascii="Calibri" w:eastAsia="Calibri" w:hAnsi="Calibri" w:cs="Calibri"/>
                <w:noProof/>
                <w:color w:val="0563C1"/>
                <w:kern w:val="0"/>
                <w:sz w:val="22"/>
                <w:szCs w:val="22"/>
                <w:u w:val="single"/>
                <w:lang w:val="fr-FR"/>
                <w14:ligatures w14:val="none"/>
              </w:rPr>
              <w:t>G.</w:t>
            </w:r>
            <w:r w:rsidRPr="004B42D7">
              <w:rPr>
                <w:rFonts w:ascii="Calibri" w:eastAsia="DengXian" w:hAnsi="Calibri" w:cs="Arial"/>
                <w:noProof/>
              </w:rPr>
              <w:tab/>
            </w:r>
            <w:r w:rsidRPr="004B42D7">
              <w:rPr>
                <w:rFonts w:ascii="Calibri" w:eastAsia="Calibri" w:hAnsi="Calibri" w:cs="Calibri"/>
                <w:noProof/>
                <w:color w:val="0563C1"/>
                <w:kern w:val="0"/>
                <w:sz w:val="22"/>
                <w:szCs w:val="22"/>
                <w:u w:val="single"/>
                <w:lang w:val="fr-FR"/>
                <w14:ligatures w14:val="none"/>
              </w:rPr>
              <w:t>Élément déclencheur de la mise en place des plans de continuité des opérations</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_Toc179986649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AE2713">
              <w:rPr>
                <w:rFonts w:ascii="Calibri" w:eastAsia="Calibri" w:hAnsi="Calibri" w:cs="Calibri"/>
                <w:noProof/>
                <w:webHidden/>
                <w:color w:val="000000"/>
                <w:kern w:val="0"/>
                <w:sz w:val="22"/>
                <w:szCs w:val="22"/>
                <w:lang w:val="fr-FR"/>
                <w14:ligatures w14:val="none"/>
              </w:rPr>
              <w:t>8</w:t>
            </w:r>
            <w:r w:rsidRPr="004B42D7">
              <w:rPr>
                <w:rFonts w:ascii="Calibri" w:eastAsia="Calibri" w:hAnsi="Calibri" w:cs="Calibri"/>
                <w:noProof/>
                <w:webHidden/>
                <w:color w:val="000000"/>
                <w:kern w:val="0"/>
                <w:sz w:val="22"/>
                <w:szCs w:val="22"/>
                <w:lang w:val="fr-FR"/>
                <w14:ligatures w14:val="none"/>
              </w:rPr>
              <w:fldChar w:fldCharType="end"/>
            </w:r>
          </w:hyperlink>
        </w:p>
        <w:p w14:paraId="22E96D51" w14:textId="4FA1C127" w:rsidR="004B42D7" w:rsidRPr="004B42D7" w:rsidRDefault="004B42D7" w:rsidP="004B42D7">
          <w:pPr>
            <w:tabs>
              <w:tab w:val="left" w:pos="480"/>
              <w:tab w:val="right" w:leader="dot" w:pos="9736"/>
            </w:tabs>
            <w:spacing w:after="100" w:line="259" w:lineRule="auto"/>
            <w:rPr>
              <w:rFonts w:ascii="Calibri" w:eastAsia="DengXian" w:hAnsi="Calibri" w:cs="Arial"/>
              <w:noProof/>
            </w:rPr>
          </w:pPr>
          <w:hyperlink w:anchor="_Toc179986650" w:history="1">
            <w:r w:rsidRPr="004B42D7">
              <w:rPr>
                <w:rFonts w:ascii="Calibri" w:eastAsia="Calibri" w:hAnsi="Calibri" w:cs="Calibri"/>
                <w:noProof/>
                <w:color w:val="0563C1"/>
                <w:kern w:val="0"/>
                <w:sz w:val="22"/>
                <w:szCs w:val="22"/>
                <w:u w:val="single"/>
                <w:lang w:val="fr-FR"/>
                <w14:ligatures w14:val="none"/>
              </w:rPr>
              <w:t>H.</w:t>
            </w:r>
            <w:r w:rsidRPr="004B42D7">
              <w:rPr>
                <w:rFonts w:ascii="Calibri" w:eastAsia="DengXian" w:hAnsi="Calibri" w:cs="Arial"/>
                <w:noProof/>
              </w:rPr>
              <w:tab/>
            </w:r>
            <w:r w:rsidRPr="004B42D7">
              <w:rPr>
                <w:rFonts w:ascii="Calibri" w:eastAsia="Calibri" w:hAnsi="Calibri" w:cs="Calibri"/>
                <w:noProof/>
                <w:color w:val="0563C1"/>
                <w:kern w:val="0"/>
                <w:sz w:val="22"/>
                <w:szCs w:val="22"/>
                <w:u w:val="single"/>
                <w:lang w:val="fr-FR"/>
                <w14:ligatures w14:val="none"/>
              </w:rPr>
              <w:t>Formation, exercice et examen</w:t>
            </w:r>
            <w:r w:rsidRPr="004B42D7">
              <w:rPr>
                <w:rFonts w:ascii="Calibri" w:eastAsia="Calibri" w:hAnsi="Calibri" w:cs="Calibri"/>
                <w:noProof/>
                <w:webHidden/>
                <w:color w:val="000000"/>
                <w:kern w:val="0"/>
                <w:sz w:val="22"/>
                <w:szCs w:val="22"/>
                <w:lang w:val="fr-FR"/>
                <w14:ligatures w14:val="none"/>
              </w:rPr>
              <w:tab/>
            </w:r>
            <w:r w:rsidRPr="004B42D7">
              <w:rPr>
                <w:rFonts w:ascii="Calibri" w:eastAsia="Calibri" w:hAnsi="Calibri" w:cs="Calibri"/>
                <w:noProof/>
                <w:webHidden/>
                <w:color w:val="000000"/>
                <w:kern w:val="0"/>
                <w:sz w:val="22"/>
                <w:szCs w:val="22"/>
                <w:lang w:val="fr-FR"/>
                <w14:ligatures w14:val="none"/>
              </w:rPr>
              <w:fldChar w:fldCharType="begin"/>
            </w:r>
            <w:r w:rsidRPr="004B42D7">
              <w:rPr>
                <w:rFonts w:ascii="Calibri" w:eastAsia="Calibri" w:hAnsi="Calibri" w:cs="Calibri"/>
                <w:noProof/>
                <w:webHidden/>
                <w:color w:val="000000"/>
                <w:kern w:val="0"/>
                <w:sz w:val="22"/>
                <w:szCs w:val="22"/>
                <w:lang w:val="fr-FR"/>
                <w14:ligatures w14:val="none"/>
              </w:rPr>
              <w:instrText xml:space="preserve"> PAGEREF _Toc179986650 \h </w:instrText>
            </w:r>
            <w:r w:rsidRPr="004B42D7">
              <w:rPr>
                <w:rFonts w:ascii="Calibri" w:eastAsia="Calibri" w:hAnsi="Calibri" w:cs="Calibri"/>
                <w:noProof/>
                <w:webHidden/>
                <w:color w:val="000000"/>
                <w:kern w:val="0"/>
                <w:sz w:val="22"/>
                <w:szCs w:val="22"/>
                <w:lang w:val="fr-FR"/>
                <w14:ligatures w14:val="none"/>
              </w:rPr>
            </w:r>
            <w:r w:rsidRPr="004B42D7">
              <w:rPr>
                <w:rFonts w:ascii="Calibri" w:eastAsia="Calibri" w:hAnsi="Calibri" w:cs="Calibri"/>
                <w:noProof/>
                <w:webHidden/>
                <w:color w:val="000000"/>
                <w:kern w:val="0"/>
                <w:sz w:val="22"/>
                <w:szCs w:val="22"/>
                <w:lang w:val="fr-FR"/>
                <w14:ligatures w14:val="none"/>
              </w:rPr>
              <w:fldChar w:fldCharType="separate"/>
            </w:r>
            <w:r w:rsidR="00AE2713">
              <w:rPr>
                <w:rFonts w:ascii="Calibri" w:eastAsia="Calibri" w:hAnsi="Calibri" w:cs="Calibri"/>
                <w:noProof/>
                <w:webHidden/>
                <w:color w:val="000000"/>
                <w:kern w:val="0"/>
                <w:sz w:val="22"/>
                <w:szCs w:val="22"/>
                <w:lang w:val="fr-FR"/>
                <w14:ligatures w14:val="none"/>
              </w:rPr>
              <w:t>9</w:t>
            </w:r>
            <w:r w:rsidRPr="004B42D7">
              <w:rPr>
                <w:rFonts w:ascii="Calibri" w:eastAsia="Calibri" w:hAnsi="Calibri" w:cs="Calibri"/>
                <w:noProof/>
                <w:webHidden/>
                <w:color w:val="000000"/>
                <w:kern w:val="0"/>
                <w:sz w:val="22"/>
                <w:szCs w:val="22"/>
                <w:lang w:val="fr-FR"/>
                <w14:ligatures w14:val="none"/>
              </w:rPr>
              <w:fldChar w:fldCharType="end"/>
            </w:r>
          </w:hyperlink>
        </w:p>
        <w:p w14:paraId="70137DFC"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r w:rsidRPr="004B42D7">
            <w:rPr>
              <w:rFonts w:ascii="Calibri" w:eastAsia="Calibri" w:hAnsi="Calibri" w:cs="Calibri"/>
              <w:b/>
              <w:bCs/>
              <w:color w:val="000000"/>
              <w:kern w:val="0"/>
              <w:lang w:val="fr-FR"/>
              <w14:ligatures w14:val="none"/>
            </w:rPr>
            <w:fldChar w:fldCharType="end"/>
          </w:r>
        </w:p>
      </w:sdtContent>
    </w:sdt>
    <w:p w14:paraId="36D52A4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AC3B7D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17088F9"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45439871"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4D3BF4AD"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10267195"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DE027B6"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0B604F02"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08C3A3B2" w14:textId="77777777" w:rsidR="004B42D7" w:rsidRDefault="004B42D7" w:rsidP="004B42D7">
      <w:pPr>
        <w:spacing w:after="25" w:line="259" w:lineRule="auto"/>
        <w:jc w:val="both"/>
        <w:rPr>
          <w:rFonts w:ascii="Calibri" w:eastAsia="Cambria" w:hAnsi="Calibri" w:cs="Cambria"/>
          <w:b/>
          <w:color w:val="000000"/>
          <w:kern w:val="0"/>
          <w:lang w:val="fr-FR"/>
          <w14:ligatures w14:val="none"/>
        </w:rPr>
      </w:pPr>
    </w:p>
    <w:p w14:paraId="1EFC211C"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546B9E55"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FA60556"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5F2781A4"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09A562C6"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8CAF284"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0CC6685B"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329E199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764887F9"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57955EA8"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185D2EF9" w14:textId="77777777" w:rsidR="004B42D7" w:rsidRDefault="004B42D7" w:rsidP="004B42D7">
      <w:pPr>
        <w:spacing w:after="25" w:line="259" w:lineRule="auto"/>
        <w:jc w:val="both"/>
        <w:rPr>
          <w:rFonts w:ascii="Calibri" w:eastAsia="Cambria" w:hAnsi="Calibri" w:cs="Cambria"/>
          <w:b/>
          <w:color w:val="000000"/>
          <w:kern w:val="0"/>
          <w:lang w:val="fr-FR"/>
          <w14:ligatures w14:val="none"/>
        </w:rPr>
      </w:pPr>
    </w:p>
    <w:p w14:paraId="32458B9A" w14:textId="77777777" w:rsidR="004B42D7" w:rsidRDefault="004B42D7" w:rsidP="004B42D7">
      <w:pPr>
        <w:spacing w:after="25" w:line="259" w:lineRule="auto"/>
        <w:jc w:val="both"/>
        <w:rPr>
          <w:rFonts w:ascii="Calibri" w:eastAsia="Cambria" w:hAnsi="Calibri" w:cs="Cambria"/>
          <w:b/>
          <w:color w:val="000000"/>
          <w:kern w:val="0"/>
          <w:lang w:val="fr-FR"/>
          <w14:ligatures w14:val="none"/>
        </w:rPr>
      </w:pPr>
    </w:p>
    <w:p w14:paraId="527F2E63"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49DFB510"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631FFE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73319A2"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2E6B3817" w14:textId="77777777" w:rsidR="004B42D7" w:rsidRPr="004B42D7" w:rsidRDefault="004B42D7" w:rsidP="004B42D7">
      <w:pPr>
        <w:spacing w:after="25" w:line="259" w:lineRule="auto"/>
        <w:jc w:val="both"/>
        <w:rPr>
          <w:rFonts w:ascii="Calibri" w:eastAsia="Cambria" w:hAnsi="Calibri" w:cs="Cambria"/>
          <w:b/>
          <w:color w:val="000000"/>
          <w:kern w:val="0"/>
          <w:lang w:val="fr-FR"/>
          <w14:ligatures w14:val="none"/>
        </w:rPr>
      </w:pPr>
    </w:p>
    <w:p w14:paraId="625394D5" w14:textId="77777777" w:rsidR="004B42D7" w:rsidRPr="004B42D7" w:rsidRDefault="004B42D7" w:rsidP="004B42D7">
      <w:pPr>
        <w:spacing w:after="25" w:line="259" w:lineRule="auto"/>
        <w:contextualSpacing/>
        <w:jc w:val="both"/>
        <w:rPr>
          <w:rFonts w:ascii="Calibri" w:eastAsia="Calibri" w:hAnsi="Calibri" w:cs="Calibri"/>
          <w:color w:val="000000"/>
          <w:kern w:val="0"/>
          <w:u w:val="single"/>
          <w:lang w:val="fr-FR"/>
          <w14:ligatures w14:val="none"/>
        </w:rPr>
      </w:pPr>
      <w:r w:rsidRPr="004B42D7">
        <w:rPr>
          <w:rFonts w:ascii="Calibri" w:eastAsia="Calibri" w:hAnsi="Calibri" w:cs="Calibri"/>
          <w:b/>
          <w:color w:val="000000"/>
          <w:kern w:val="0"/>
          <w:u w:val="single"/>
          <w:lang w:val="fr-FR"/>
          <w14:ligatures w14:val="none"/>
        </w:rPr>
        <w:lastRenderedPageBreak/>
        <w:t>Politique de gestion de la continuité des activités du PNUD</w:t>
      </w:r>
    </w:p>
    <w:p w14:paraId="3B819E59" w14:textId="77777777" w:rsidR="004B42D7" w:rsidRPr="004B42D7" w:rsidRDefault="004B42D7" w:rsidP="004B42D7">
      <w:pPr>
        <w:spacing w:after="0" w:line="259" w:lineRule="auto"/>
        <w:ind w:left="330"/>
        <w:jc w:val="both"/>
        <w:rPr>
          <w:rFonts w:ascii="Calibri" w:eastAsia="Cambria" w:hAnsi="Calibri" w:cs="Cambria"/>
          <w:b/>
          <w:color w:val="000000"/>
          <w:kern w:val="0"/>
          <w:lang w:val="fr-FR"/>
          <w14:ligatures w14:val="none"/>
        </w:rPr>
      </w:pPr>
    </w:p>
    <w:p w14:paraId="76A4968B"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color w:val="000000"/>
          <w:kern w:val="0"/>
          <w:u w:val="single"/>
          <w:lang w:val="fr-FR"/>
          <w14:ligatures w14:val="none"/>
        </w:rPr>
      </w:pPr>
      <w:bookmarkStart w:id="0" w:name="_Toc179986643"/>
      <w:r w:rsidRPr="004B42D7">
        <w:rPr>
          <w:rFonts w:ascii="Calibri" w:eastAsia="Cambria" w:hAnsi="Calibri" w:cs="Cambria"/>
          <w:b/>
          <w:color w:val="000000"/>
          <w:kern w:val="0"/>
          <w:u w:val="single"/>
          <w:lang w:val="fr-FR"/>
          <w14:ligatures w14:val="none"/>
        </w:rPr>
        <w:t>Contexte</w:t>
      </w:r>
      <w:bookmarkEnd w:id="0"/>
    </w:p>
    <w:p w14:paraId="23304703"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0E2102F4"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sûreté et la sécurité des populations sont de plus en plus compromises par des menaces nouvelles ou changeantes, aussi bien d’origine naturelle qu’humaine. Il s’agit notamment de pandémies potentielles,</w:t>
      </w:r>
      <w:r w:rsidRPr="004B42D7">
        <w:rPr>
          <w:rFonts w:ascii="Calibri" w:eastAsia="Calibri" w:hAnsi="Calibri" w:cs="Calibri"/>
          <w:color w:val="000000"/>
          <w:kern w:val="0"/>
          <w:sz w:val="22"/>
          <w:szCs w:val="22"/>
          <w:lang w:val="fr-FR"/>
          <w14:ligatures w14:val="none"/>
        </w:rPr>
        <w:t xml:space="preserve"> </w:t>
      </w:r>
      <w:r w:rsidRPr="004B42D7">
        <w:rPr>
          <w:rFonts w:ascii="Calibri" w:eastAsia="Calibri" w:hAnsi="Calibri" w:cs="Calibri"/>
          <w:color w:val="000000"/>
          <w:kern w:val="0"/>
          <w:lang w:val="fr-FR"/>
          <w14:ligatures w14:val="none"/>
        </w:rPr>
        <w:t>cyberattaques, d’événements climatiques extrêmes ou de catastrophes naturelles, et il s’agit souvent de menaces interdépendantes liées aux conflits armés, à la criminalité, aux troubles civils et au terrorisme transnational. Ces menaces mettent en danger des vies humaines ainsi que la stabilité des systèmes politiques, économiques et sociaux. Comme c’est le cas pour toute institution multilatérale, ces événements mettent le PNUD au défi pour ce qui est de la préparation et de la gestion des situations pouvant menacer les capacités de l’Organisation et sa continuité.</w:t>
      </w:r>
    </w:p>
    <w:p w14:paraId="237AFB59"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40093B5B"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 PNUD á donc mis en œuvre une politique de </w:t>
      </w:r>
      <w:r w:rsidRPr="004B42D7">
        <w:rPr>
          <w:rFonts w:ascii="Calibri" w:eastAsia="Calibri" w:hAnsi="Calibri" w:cs="Calibri"/>
          <w:b/>
          <w:color w:val="000000"/>
          <w:kern w:val="0"/>
          <w:lang w:val="fr-FR"/>
          <w14:ligatures w14:val="none"/>
        </w:rPr>
        <w:t>gestion de la continuité des activités (BCM)</w:t>
      </w:r>
      <w:r w:rsidRPr="004B42D7">
        <w:rPr>
          <w:rFonts w:ascii="Calibri" w:eastAsia="Calibri" w:hAnsi="Calibri" w:cs="Calibri"/>
          <w:color w:val="000000"/>
          <w:kern w:val="0"/>
          <w:lang w:val="fr-FR"/>
          <w14:ligatures w14:val="none"/>
        </w:rPr>
        <w:t xml:space="preserve"> dans le cadre d’un processus continu d’évaluation des risques et d’une politique de </w:t>
      </w:r>
      <w:r w:rsidRPr="004B42D7">
        <w:rPr>
          <w:rFonts w:ascii="Calibri" w:eastAsia="Calibri" w:hAnsi="Calibri" w:cs="Calibri"/>
          <w:b/>
          <w:color w:val="000000"/>
          <w:kern w:val="0"/>
          <w:lang w:val="fr-FR"/>
          <w14:ligatures w14:val="none"/>
        </w:rPr>
        <w:t>gestion des risques d’entreprise (ERM)</w:t>
      </w:r>
      <w:r w:rsidRPr="004B42D7">
        <w:rPr>
          <w:rFonts w:ascii="Calibri" w:eastAsia="Calibri" w:hAnsi="Calibri" w:cs="Calibri"/>
          <w:color w:val="000000"/>
          <w:kern w:val="0"/>
          <w:lang w:val="fr-FR"/>
          <w14:ligatures w14:val="none"/>
        </w:rPr>
        <w:t xml:space="preserve">, afin que l’Organisation puisse continuer à fournir ses services essentiels tout en préservant la sûreté et la sécurité du personnel en cas de perturbation ou de menace. Ces risques peuvent être externes à l’Organisation, comme une panne d’électricité, ce qui fait que le PNUD n’a aucun contrôle sur eux, ou internes à l’Organisation, comme des dommages matériels qui surviennent accidentellement. </w:t>
      </w:r>
    </w:p>
    <w:p w14:paraId="3D36EA79" w14:textId="77777777" w:rsidR="004B42D7" w:rsidRPr="004B42D7" w:rsidRDefault="004B42D7" w:rsidP="004B42D7">
      <w:pPr>
        <w:spacing w:line="259" w:lineRule="auto"/>
        <w:ind w:left="720"/>
        <w:contextualSpacing/>
        <w:rPr>
          <w:rFonts w:ascii="Calibri" w:eastAsia="Calibri" w:hAnsi="Calibri" w:cs="Calibri"/>
          <w:color w:val="000000"/>
          <w:kern w:val="0"/>
          <w:lang w:val="fr-FR"/>
          <w14:ligatures w14:val="none"/>
        </w:rPr>
      </w:pPr>
    </w:p>
    <w:p w14:paraId="7ECE0AAE" w14:textId="7DA74288" w:rsid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Au PNUD, les éléments clés de la </w:t>
      </w:r>
      <w:r w:rsidRPr="004B42D7">
        <w:rPr>
          <w:rFonts w:ascii="Calibri" w:eastAsia="Calibri" w:hAnsi="Calibri" w:cs="Calibri"/>
          <w:b/>
          <w:bCs/>
          <w:color w:val="000000"/>
          <w:kern w:val="0"/>
          <w:lang w:val="fr-FR"/>
          <w14:ligatures w14:val="none"/>
        </w:rPr>
        <w:t>BCM</w:t>
      </w:r>
      <w:r w:rsidRPr="004B42D7">
        <w:rPr>
          <w:rFonts w:ascii="Calibri" w:eastAsia="Calibri" w:hAnsi="Calibri" w:cs="Calibri"/>
          <w:color w:val="000000"/>
          <w:kern w:val="0"/>
          <w:lang w:val="fr-FR"/>
          <w14:ligatures w14:val="none"/>
        </w:rPr>
        <w:t xml:space="preserve"> sont la gestion des incidents, y compris la gestion des crises, les situations d’urgence et la reprise après sinistre (comme le reflète les plans de sécurité et de gestion des crises), les communications en situation de crise, le plan de reprise après sinistre informatique, (ITDRP), et les stratégies de continuité et de reprise des activités pour les fonctions opérationnelles essentielles, comme le reflète le </w:t>
      </w:r>
      <w:r w:rsidRPr="004B42D7">
        <w:rPr>
          <w:rFonts w:ascii="Calibri" w:eastAsia="Calibri" w:hAnsi="Calibri" w:cs="Calibri"/>
          <w:b/>
          <w:color w:val="000000"/>
          <w:kern w:val="0"/>
          <w:lang w:val="fr-FR"/>
          <w14:ligatures w14:val="none"/>
        </w:rPr>
        <w:t>plan de continuité des opérations (BCP)</w:t>
      </w:r>
      <w:r w:rsidRPr="004B42D7">
        <w:rPr>
          <w:rFonts w:ascii="Calibri" w:eastAsia="Calibri" w:hAnsi="Calibri" w:cs="Calibri"/>
          <w:color w:val="000000"/>
          <w:kern w:val="0"/>
          <w:lang w:val="fr-FR"/>
          <w14:ligatures w14:val="none"/>
        </w:rPr>
        <w:t xml:space="preserve"> pour le bureau/l'unité (bureau national (CO), bureau/unité du siège, bureau de représentation, bureau de liaison, bureau politique, centres régionaux et hubs) et les bureaux centraux.</w:t>
      </w:r>
    </w:p>
    <w:p w14:paraId="74F6D9FD" w14:textId="77777777" w:rsidR="004B42D7" w:rsidRPr="004B42D7" w:rsidRDefault="004B42D7" w:rsidP="00FA510A">
      <w:pPr>
        <w:spacing w:after="285" w:line="236" w:lineRule="auto"/>
        <w:ind w:right="-7"/>
        <w:contextualSpacing/>
        <w:jc w:val="both"/>
        <w:rPr>
          <w:rFonts w:ascii="Calibri" w:eastAsia="Calibri" w:hAnsi="Calibri" w:cs="Calibri"/>
          <w:color w:val="000000"/>
          <w:kern w:val="0"/>
          <w:lang w:val="fr-FR"/>
          <w14:ligatures w14:val="none"/>
        </w:rPr>
      </w:pPr>
    </w:p>
    <w:p w14:paraId="417CB68A"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color w:val="000000"/>
          <w:kern w:val="0"/>
          <w:u w:val="single"/>
          <w:lang w:val="fr-FR"/>
          <w14:ligatures w14:val="none"/>
        </w:rPr>
      </w:pPr>
      <w:bookmarkStart w:id="1" w:name="_Toc179986644"/>
      <w:r w:rsidRPr="004B42D7">
        <w:rPr>
          <w:rFonts w:ascii="Calibri" w:eastAsia="Cambria" w:hAnsi="Calibri" w:cs="Cambria"/>
          <w:b/>
          <w:color w:val="000000"/>
          <w:kern w:val="0"/>
          <w:u w:val="single"/>
          <w:lang w:val="fr-FR"/>
          <w14:ligatures w14:val="none"/>
        </w:rPr>
        <w:t>Objectifs</w:t>
      </w:r>
      <w:bookmarkEnd w:id="1"/>
    </w:p>
    <w:p w14:paraId="68739363"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34EA3334"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L’objectif de la politique de </w:t>
      </w:r>
      <w:r w:rsidRPr="004B42D7">
        <w:rPr>
          <w:rFonts w:ascii="Calibri" w:eastAsia="Calibri" w:hAnsi="Calibri" w:cs="Calibri"/>
          <w:b/>
          <w:bCs/>
          <w:color w:val="000000"/>
          <w:kern w:val="0"/>
          <w:lang w:val="fr-FR"/>
          <w14:ligatures w14:val="none"/>
        </w:rPr>
        <w:t>BCM</w:t>
      </w:r>
      <w:r w:rsidRPr="004B42D7">
        <w:rPr>
          <w:rFonts w:ascii="Calibri" w:eastAsia="Calibri" w:hAnsi="Calibri" w:cs="Calibri"/>
          <w:color w:val="000000"/>
          <w:kern w:val="0"/>
          <w:lang w:val="fr-FR"/>
          <w14:ligatures w14:val="none"/>
        </w:rPr>
        <w:t xml:space="preserve"> est de protéger les intérêts du PNUD et de ses parties prenantes internes et externes en établissant un cadre stratégique et opérationnel axé sur les besoins, qui garantit de manière proactive la capacité du PNUD à se préparer et à réagir de manière appropriée aux risques prévus identifiés dans le cadre d’une évaluation des risques d’entreprise, des registres des risques au niveau de l’</w:t>
      </w:r>
      <w:r w:rsidRPr="004B42D7">
        <w:rPr>
          <w:rFonts w:ascii="Aptos" w:eastAsia="Calibri" w:hAnsi="Aptos" w:cs="Calibri"/>
          <w:color w:val="000000"/>
          <w:kern w:val="0"/>
          <w:sz w:val="22"/>
          <w:szCs w:val="22"/>
          <w:lang w:val="fr-FR"/>
          <w14:ligatures w14:val="none"/>
        </w:rPr>
        <w:t xml:space="preserve"> </w:t>
      </w:r>
      <w:r w:rsidRPr="004B42D7">
        <w:rPr>
          <w:rFonts w:ascii="Calibri" w:eastAsia="Calibri" w:hAnsi="Calibri" w:cs="Calibri"/>
          <w:color w:val="000000"/>
          <w:kern w:val="0"/>
          <w:lang w:val="fr-FR"/>
          <w14:ligatures w14:val="none"/>
        </w:rPr>
        <w:t>office/unité, bureau et de toute difficulté éventuellement rencontrée, tout en maintenant la sécurité et la sûreté du personnel.</w:t>
      </w:r>
    </w:p>
    <w:p w14:paraId="17BB1D7F"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00674F2E"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méthodologie BCM du PNUD suit la norme ISO 22301 (Sécurité sociétale - Lignes directrices pour la préparation aux incidents et la gestion de la continuité des opérations).</w:t>
      </w:r>
    </w:p>
    <w:p w14:paraId="16555A7A" w14:textId="77777777" w:rsidR="004B42D7" w:rsidRPr="004B42D7" w:rsidRDefault="004B42D7" w:rsidP="00FA510A">
      <w:pPr>
        <w:spacing w:line="259" w:lineRule="auto"/>
        <w:contextualSpacing/>
        <w:rPr>
          <w:rFonts w:ascii="Calibri" w:eastAsia="Calibri" w:hAnsi="Calibri" w:cs="Calibri"/>
          <w:color w:val="000000"/>
          <w:kern w:val="0"/>
          <w:lang w:val="fr-FR"/>
          <w14:ligatures w14:val="none"/>
        </w:rPr>
      </w:pPr>
    </w:p>
    <w:p w14:paraId="637CA7BA"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lastRenderedPageBreak/>
        <w:t xml:space="preserve">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au PNUD est conforme aussi au système de gestion de la résilience de l’Organisation des Nations Unies (</w:t>
      </w:r>
      <w:r w:rsidRPr="004B42D7">
        <w:rPr>
          <w:rFonts w:ascii="Calibri" w:eastAsia="Calibri" w:hAnsi="Calibri" w:cs="Calibri"/>
          <w:b/>
          <w:color w:val="000000"/>
          <w:kern w:val="0"/>
          <w:lang w:val="fr-FR"/>
          <w14:ligatures w14:val="none"/>
        </w:rPr>
        <w:t>ORMS</w:t>
      </w:r>
      <w:r w:rsidRPr="004B42D7">
        <w:rPr>
          <w:rFonts w:ascii="Calibri" w:eastAsia="Calibri" w:hAnsi="Calibri" w:cs="Calibri"/>
          <w:color w:val="000000"/>
          <w:kern w:val="0"/>
          <w:lang w:val="fr-FR"/>
          <w14:ligatures w14:val="none"/>
        </w:rPr>
        <w:t>)</w:t>
      </w:r>
      <w:r w:rsidRPr="004B42D7">
        <w:rPr>
          <w:rFonts w:ascii="Calibri" w:eastAsia="Calibri" w:hAnsi="Calibri" w:cs="Calibri"/>
          <w:color w:val="000000"/>
          <w:kern w:val="0"/>
          <w:vertAlign w:val="superscript"/>
          <w:lang w:val="fr-FR"/>
          <w14:ligatures w14:val="none"/>
        </w:rPr>
        <w:footnoteReference w:id="2"/>
      </w:r>
      <w:r w:rsidRPr="004B42D7">
        <w:rPr>
          <w:rFonts w:ascii="Calibri" w:eastAsia="Calibri" w:hAnsi="Calibri" w:cs="Calibri"/>
          <w:color w:val="000000"/>
          <w:kern w:val="0"/>
          <w:lang w:val="fr-FR"/>
          <w14:ligatures w14:val="none"/>
        </w:rPr>
        <w:t xml:space="preserve"> et sert de cadre de gestion des situations d’urgence pour l’Organisation. Elle aide le PNUD à renforcer la résilience en alignant et en harmonisant les efforts de préparation, afin de renforcer la capacité de l’Organisation à remplir continuellement son mandat. </w:t>
      </w:r>
    </w:p>
    <w:p w14:paraId="403B75A0" w14:textId="77777777" w:rsidR="004B42D7" w:rsidRPr="004B42D7" w:rsidRDefault="004B42D7" w:rsidP="004B42D7">
      <w:pPr>
        <w:spacing w:line="259" w:lineRule="auto"/>
        <w:ind w:left="720"/>
        <w:contextualSpacing/>
        <w:jc w:val="both"/>
        <w:rPr>
          <w:rFonts w:ascii="Calibri" w:eastAsia="Calibri" w:hAnsi="Calibri" w:cs="Calibri"/>
          <w:color w:val="000000"/>
          <w:kern w:val="0"/>
          <w:lang w:val="fr-FR"/>
          <w14:ligatures w14:val="none"/>
        </w:rPr>
      </w:pPr>
    </w:p>
    <w:p w14:paraId="441C4C1F"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complète la gestion des risques d’entreprise (</w:t>
      </w:r>
      <w:r w:rsidRPr="004B42D7">
        <w:rPr>
          <w:rFonts w:ascii="Calibri" w:eastAsia="Calibri" w:hAnsi="Calibri" w:cs="Calibri"/>
          <w:b/>
          <w:color w:val="000000"/>
          <w:kern w:val="0"/>
          <w:lang w:val="fr-FR"/>
          <w14:ligatures w14:val="none"/>
        </w:rPr>
        <w:t>ERM</w:t>
      </w:r>
      <w:r w:rsidRPr="004B42D7">
        <w:rPr>
          <w:rFonts w:ascii="Calibri" w:eastAsia="Calibri" w:hAnsi="Calibri" w:cs="Calibri"/>
          <w:color w:val="000000"/>
          <w:kern w:val="0"/>
          <w:lang w:val="fr-FR"/>
          <w14:ligatures w14:val="none"/>
        </w:rPr>
        <w:t xml:space="preserve">) et fournit des outils permettant de faire face aux risques identifiés au niveau du bureau /de l’unité, et des bureaux centraux qui pourraient avoir une incidence sur la continuité des opérations. 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tient compte de toutes les activités et dispositions existantes liées à la gestion des risques, à la réponse aux crises et à la planification des interventions d’urgence, tant qu’elle rend possible au PNUD de : </w:t>
      </w:r>
    </w:p>
    <w:p w14:paraId="0CA128AB"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1DA1CEB6" w14:textId="77777777" w:rsidR="004B42D7" w:rsidRPr="004B42D7" w:rsidRDefault="004B42D7" w:rsidP="004B42D7">
      <w:pPr>
        <w:numPr>
          <w:ilvl w:val="0"/>
          <w:numId w:val="1"/>
        </w:numPr>
        <w:spacing w:after="14" w:line="248"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Renforcer la capacité de chaque office/unité, bureau à poursuivre ses activités après l’intervention immédiate en cas d’incident sur la base d’une évaluation approfondie des risques (</w:t>
      </w:r>
      <w:r w:rsidRPr="004B42D7">
        <w:rPr>
          <w:rFonts w:ascii="Calibri" w:eastAsia="Calibri" w:hAnsi="Calibri" w:cs="Calibri"/>
          <w:b/>
          <w:color w:val="000000"/>
          <w:kern w:val="0"/>
          <w:lang w:val="fr-FR"/>
          <w14:ligatures w14:val="none"/>
        </w:rPr>
        <w:t>ER</w:t>
      </w:r>
      <w:r w:rsidRPr="004B42D7">
        <w:rPr>
          <w:rFonts w:ascii="Calibri" w:eastAsia="Calibri" w:hAnsi="Calibri" w:cs="Calibri"/>
          <w:color w:val="000000"/>
          <w:kern w:val="0"/>
          <w:lang w:val="fr-FR"/>
          <w14:ligatures w14:val="none"/>
        </w:rPr>
        <w:t>) opérationnelles et d’une analyse de l’impact sur les opérations (</w:t>
      </w:r>
      <w:r w:rsidRPr="004B42D7">
        <w:rPr>
          <w:rFonts w:ascii="Calibri" w:eastAsia="Calibri" w:hAnsi="Calibri" w:cs="Calibri"/>
          <w:b/>
          <w:color w:val="000000"/>
          <w:kern w:val="0"/>
          <w:lang w:val="fr-FR"/>
          <w14:ligatures w14:val="none"/>
        </w:rPr>
        <w:t>BIA</w:t>
      </w:r>
      <w:r w:rsidRPr="004B42D7">
        <w:rPr>
          <w:rFonts w:ascii="Calibri" w:eastAsia="Calibri" w:hAnsi="Calibri" w:cs="Calibri"/>
          <w:color w:val="000000"/>
          <w:kern w:val="0"/>
          <w:lang w:val="fr-FR"/>
          <w14:ligatures w14:val="none"/>
        </w:rPr>
        <w:t>) ;</w:t>
      </w:r>
    </w:p>
    <w:p w14:paraId="6383E47F" w14:textId="77777777" w:rsidR="004B42D7" w:rsidRPr="004B42D7" w:rsidRDefault="004B42D7" w:rsidP="004B42D7">
      <w:pPr>
        <w:numPr>
          <w:ilvl w:val="0"/>
          <w:numId w:val="1"/>
        </w:numPr>
        <w:spacing w:after="14" w:line="248"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Établir des liens entre les structures et les mécanismes reconnus en vue de l’évaluation des risques et de l’intervention immédiate en cas d’incident et les activités nécessaires pour assurer la continuité des opérations ; et</w:t>
      </w:r>
    </w:p>
    <w:p w14:paraId="55E1C7CF" w14:textId="77777777" w:rsidR="004B42D7" w:rsidRPr="004B42D7" w:rsidRDefault="004B42D7" w:rsidP="004B42D7">
      <w:pPr>
        <w:numPr>
          <w:ilvl w:val="0"/>
          <w:numId w:val="1"/>
        </w:numPr>
        <w:spacing w:after="285" w:line="236"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Déterminer dans quelle mesure la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w:t>
      </w:r>
      <w:proofErr w:type="gramStart"/>
      <w:r w:rsidRPr="004B42D7">
        <w:rPr>
          <w:rFonts w:ascii="Calibri" w:eastAsia="Calibri" w:hAnsi="Calibri" w:cs="Calibri"/>
          <w:color w:val="000000"/>
          <w:kern w:val="0"/>
          <w:lang w:val="fr-FR"/>
          <w14:ligatures w14:val="none"/>
        </w:rPr>
        <w:t>est</w:t>
      </w:r>
      <w:proofErr w:type="gramEnd"/>
      <w:r w:rsidRPr="004B42D7">
        <w:rPr>
          <w:rFonts w:ascii="Calibri" w:eastAsia="Calibri" w:hAnsi="Calibri" w:cs="Calibri"/>
          <w:color w:val="000000"/>
          <w:kern w:val="0"/>
          <w:lang w:val="fr-FR"/>
          <w14:ligatures w14:val="none"/>
        </w:rPr>
        <w:t xml:space="preserve"> nécessaire dans chaque office/unité, bureau, sur la base de la probabilité des incidents et de leur incidence sur la sûreté et la sécurité du personnel ainsi que sur la continuité des opérations, qui varient considérablement d’un Bureau à l’autre ;</w:t>
      </w:r>
    </w:p>
    <w:p w14:paraId="51BB2AB6" w14:textId="77777777" w:rsidR="004B42D7" w:rsidRPr="004B42D7" w:rsidRDefault="004B42D7" w:rsidP="004B42D7">
      <w:pPr>
        <w:spacing w:after="285" w:line="236" w:lineRule="auto"/>
        <w:ind w:left="1080"/>
        <w:contextualSpacing/>
        <w:jc w:val="both"/>
        <w:rPr>
          <w:rFonts w:ascii="Calibri" w:eastAsia="Calibri" w:hAnsi="Calibri" w:cs="Calibri"/>
          <w:color w:val="000000"/>
          <w:kern w:val="0"/>
          <w:lang w:val="fr-FR"/>
          <w14:ligatures w14:val="none"/>
        </w:rPr>
      </w:pPr>
    </w:p>
    <w:p w14:paraId="14627225"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Un </w:t>
      </w:r>
      <w:r w:rsidRPr="004B42D7">
        <w:rPr>
          <w:rFonts w:ascii="Calibri" w:eastAsia="Calibri" w:hAnsi="Calibri" w:cs="Calibri"/>
          <w:b/>
          <w:bCs/>
          <w:color w:val="000000"/>
          <w:kern w:val="0"/>
          <w:lang w:val="fr-FR"/>
          <w14:ligatures w14:val="none"/>
        </w:rPr>
        <w:t>plan de continuité des opérations (BCP)</w:t>
      </w:r>
      <w:r w:rsidRPr="004B42D7">
        <w:rPr>
          <w:rFonts w:ascii="Calibri" w:eastAsia="Calibri" w:hAnsi="Calibri" w:cs="Calibri"/>
          <w:color w:val="000000"/>
          <w:kern w:val="0"/>
          <w:lang w:val="fr-FR"/>
          <w14:ligatures w14:val="none"/>
        </w:rPr>
        <w:t xml:space="preserve"> est mis en place une fois que le Bureau a procédé à l’évaluation des risques (</w:t>
      </w:r>
      <w:r w:rsidRPr="004B42D7">
        <w:rPr>
          <w:rFonts w:ascii="Calibri" w:eastAsia="Calibri" w:hAnsi="Calibri" w:cs="Calibri"/>
          <w:b/>
          <w:color w:val="000000"/>
          <w:kern w:val="0"/>
          <w:lang w:val="fr-FR"/>
          <w14:ligatures w14:val="none"/>
        </w:rPr>
        <w:t>ER</w:t>
      </w:r>
      <w:r w:rsidRPr="004B42D7">
        <w:rPr>
          <w:rFonts w:ascii="Calibri" w:eastAsia="Calibri" w:hAnsi="Calibri" w:cs="Calibri"/>
          <w:color w:val="000000"/>
          <w:kern w:val="0"/>
          <w:lang w:val="fr-FR"/>
          <w14:ligatures w14:val="none"/>
        </w:rPr>
        <w:t>) et au BIA sont menées et conclues par l’office/unité, bureau pour le pays concerné. Ces évaluations s’appuient sur la gestion des risques d’entreprise et la gestion des risques de sécurité (</w:t>
      </w:r>
      <w:r w:rsidRPr="004B42D7">
        <w:rPr>
          <w:rFonts w:ascii="Calibri" w:eastAsia="Calibri" w:hAnsi="Calibri" w:cs="Calibri"/>
          <w:b/>
          <w:color w:val="000000"/>
          <w:kern w:val="0"/>
          <w:lang w:val="fr-FR"/>
          <w14:ligatures w14:val="none"/>
        </w:rPr>
        <w:t>GRS</w:t>
      </w:r>
      <w:r w:rsidRPr="004B42D7">
        <w:rPr>
          <w:rFonts w:ascii="Calibri" w:eastAsia="Calibri" w:hAnsi="Calibri" w:cs="Calibri"/>
          <w:color w:val="000000"/>
          <w:kern w:val="0"/>
          <w:lang w:val="fr-FR"/>
          <w14:ligatures w14:val="none"/>
        </w:rPr>
        <w:t>) existantes propres à chaque pays, tout en tenant compte du mandat global de l’Organisation, la criticité du programme (le cas échéant) et de la poursuite des activités</w:t>
      </w:r>
      <w:r w:rsidRPr="004B42D7">
        <w:rPr>
          <w:rFonts w:ascii="Calibri" w:eastAsia="Calibri" w:hAnsi="Calibri" w:cs="Calibri"/>
          <w:color w:val="000000"/>
          <w:kern w:val="0"/>
          <w:sz w:val="22"/>
          <w:szCs w:val="22"/>
          <w:lang w:val="fr-FR"/>
          <w14:ligatures w14:val="none"/>
        </w:rPr>
        <w:t xml:space="preserve"> </w:t>
      </w:r>
      <w:r w:rsidRPr="004B42D7">
        <w:rPr>
          <w:rFonts w:ascii="Calibri" w:eastAsia="Calibri" w:hAnsi="Calibri" w:cs="Calibri"/>
          <w:color w:val="000000"/>
          <w:kern w:val="0"/>
          <w:lang w:val="fr-FR"/>
          <w14:ligatures w14:val="none"/>
        </w:rPr>
        <w:t xml:space="preserve">et des services critiques, ainsi que les </w:t>
      </w:r>
      <w:r w:rsidRPr="004B42D7">
        <w:rPr>
          <w:rFonts w:ascii="Calibri" w:eastAsia="Calibri" w:hAnsi="Calibri" w:cs="Calibri"/>
          <w:b/>
          <w:bCs/>
          <w:color w:val="000000"/>
          <w:kern w:val="0"/>
          <w:lang w:val="fr-FR"/>
          <w14:ligatures w14:val="none"/>
        </w:rPr>
        <w:t>procédures opérationnelles normalisées pour la réaction aux crises et la récupération</w:t>
      </w:r>
      <w:r w:rsidRPr="004B42D7">
        <w:rPr>
          <w:rFonts w:ascii="Calibri" w:eastAsia="Calibri" w:hAnsi="Calibri" w:cs="Calibri"/>
          <w:color w:val="000000"/>
          <w:kern w:val="0"/>
          <w:lang w:val="fr-FR"/>
          <w14:ligatures w14:val="none"/>
        </w:rPr>
        <w:t xml:space="preserve">.  </w:t>
      </w:r>
    </w:p>
    <w:p w14:paraId="1FC1A9BE" w14:textId="77777777" w:rsidR="004B42D7" w:rsidRPr="004B42D7" w:rsidRDefault="004B42D7" w:rsidP="004B42D7">
      <w:pPr>
        <w:spacing w:line="259" w:lineRule="auto"/>
        <w:ind w:left="360"/>
        <w:contextualSpacing/>
        <w:jc w:val="both"/>
        <w:rPr>
          <w:rFonts w:ascii="Calibri" w:eastAsia="Calibri" w:hAnsi="Calibri" w:cs="Calibri"/>
          <w:color w:val="000000"/>
          <w:kern w:val="0"/>
          <w:lang w:val="fr-FR"/>
          <w14:ligatures w14:val="none"/>
        </w:rPr>
      </w:pPr>
    </w:p>
    <w:p w14:paraId="6399AF9E" w14:textId="77777777" w:rsid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Chaque office/unité, bureau doit avoir un point focal pour 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qui devrait travailler sous les instructions directes du Chef de Bureau compétent. </w:t>
      </w:r>
    </w:p>
    <w:p w14:paraId="394F83C7" w14:textId="77777777" w:rsidR="004B42D7" w:rsidRPr="004B42D7" w:rsidRDefault="004B42D7" w:rsidP="00FA510A">
      <w:pPr>
        <w:spacing w:line="259" w:lineRule="auto"/>
        <w:contextualSpacing/>
        <w:jc w:val="both"/>
        <w:rPr>
          <w:rFonts w:ascii="Calibri" w:eastAsia="Calibri" w:hAnsi="Calibri" w:cs="Calibri"/>
          <w:color w:val="000000"/>
          <w:kern w:val="0"/>
          <w:lang w:val="fr-FR"/>
          <w14:ligatures w14:val="none"/>
        </w:rPr>
      </w:pPr>
    </w:p>
    <w:p w14:paraId="19F3392F"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bCs/>
          <w:color w:val="000000"/>
          <w:kern w:val="0"/>
          <w:u w:val="single"/>
          <w:lang w:val="fr-FR"/>
          <w14:ligatures w14:val="none"/>
        </w:rPr>
      </w:pPr>
      <w:bookmarkStart w:id="2" w:name="_Toc179986645"/>
      <w:r w:rsidRPr="004B42D7">
        <w:rPr>
          <w:rFonts w:ascii="Calibri" w:eastAsia="Cambria" w:hAnsi="Calibri" w:cs="Cambria"/>
          <w:b/>
          <w:bCs/>
          <w:color w:val="000000"/>
          <w:kern w:val="0"/>
          <w:u w:val="single"/>
          <w:lang w:val="fr-FR"/>
          <w14:ligatures w14:val="none"/>
        </w:rPr>
        <w:t>Évaluation des risques</w:t>
      </w:r>
      <w:bookmarkEnd w:id="2"/>
      <w:r w:rsidRPr="004B42D7">
        <w:rPr>
          <w:rFonts w:ascii="Calibri" w:eastAsia="Cambria" w:hAnsi="Calibri" w:cs="Cambria"/>
          <w:b/>
          <w:bCs/>
          <w:color w:val="000000"/>
          <w:kern w:val="0"/>
          <w:u w:val="single"/>
          <w:lang w:val="fr-FR"/>
          <w14:ligatures w14:val="none"/>
        </w:rPr>
        <w:t xml:space="preserve"> </w:t>
      </w:r>
    </w:p>
    <w:p w14:paraId="22E5926C"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5C2F049C"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b/>
          <w:bCs/>
          <w:color w:val="000000"/>
          <w:kern w:val="0"/>
          <w:lang w:val="fr-FR"/>
          <w14:ligatures w14:val="none"/>
        </w:rPr>
        <w:t xml:space="preserve">Siège (HQ) - New York :  </w:t>
      </w:r>
      <w:r w:rsidRPr="004B42D7">
        <w:rPr>
          <w:rFonts w:ascii="Calibri" w:eastAsia="Calibri" w:hAnsi="Calibri" w:cs="Calibri"/>
          <w:color w:val="000000"/>
          <w:kern w:val="0"/>
          <w:lang w:val="fr-FR"/>
          <w14:ligatures w14:val="none"/>
        </w:rPr>
        <w:t xml:space="preserve">Sous la supervision du </w:t>
      </w:r>
      <w:r w:rsidRPr="004B42D7">
        <w:rPr>
          <w:rFonts w:ascii="Calibri" w:eastAsia="Calibri" w:hAnsi="Calibri" w:cs="Calibri"/>
          <w:b/>
          <w:bCs/>
          <w:color w:val="000000"/>
          <w:kern w:val="0"/>
          <w:lang w:val="fr-FR"/>
          <w14:ligatures w14:val="none"/>
        </w:rPr>
        <w:t>Groupe de gestion de la sécurité (SMG)</w:t>
      </w:r>
      <w:r w:rsidRPr="004B42D7">
        <w:rPr>
          <w:rFonts w:ascii="Calibri" w:eastAsia="Calibri" w:hAnsi="Calibri" w:cs="Calibri"/>
          <w:color w:val="000000"/>
          <w:kern w:val="0"/>
          <w:lang w:val="fr-FR"/>
          <w14:ligatures w14:val="none"/>
        </w:rPr>
        <w:t xml:space="preserve">, une évaluation des risques de sécurité au siège est réalisée chaque année en collaboration avec les partenaires du système des Nations unies. Pour le siège du PNUD, le Bureau des services de gestion (BMS) entame des discussions avec les partenaires du Secrétariat des Nations unies et d'autres agences des Nations unies au cours du dernier trimestre de chaque année afin de préparer une évaluation commune des risques. Sur cette base, le BMS/Bureau de la sécurité et les conseillers membres du SMG concernés collaborent (en regroupant les risques liés à la </w:t>
      </w:r>
      <w:r w:rsidRPr="004B42D7">
        <w:rPr>
          <w:rFonts w:ascii="Calibri" w:eastAsia="Calibri" w:hAnsi="Calibri" w:cs="Calibri"/>
          <w:color w:val="000000"/>
          <w:kern w:val="0"/>
          <w:lang w:val="fr-FR"/>
          <w14:ligatures w14:val="none"/>
        </w:rPr>
        <w:lastRenderedPageBreak/>
        <w:t>sécurité et les autres risques opérationnels, par exemple les installations, les technologies de l'information, la santé et la sécurité au travail, etc. Les résultats de l'évaluation annuelle des risques sont partagés avec le SMG et servent de base aux décisions et à la planification de la gestion de la continuité des opérations (BCM) pour l'année suivante</w:t>
      </w:r>
      <w:r w:rsidRPr="004B42D7">
        <w:rPr>
          <w:rFonts w:ascii="Calibri" w:eastAsia="Calibri" w:hAnsi="Calibri" w:cs="Calibri"/>
          <w:b/>
          <w:bCs/>
          <w:color w:val="000000"/>
          <w:kern w:val="0"/>
          <w:lang w:val="fr-FR"/>
          <w14:ligatures w14:val="none"/>
        </w:rPr>
        <w:t>.</w:t>
      </w:r>
    </w:p>
    <w:p w14:paraId="12D0CA8A"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6EF6B8E4" w14:textId="77777777" w:rsid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b/>
          <w:bCs/>
          <w:color w:val="000000"/>
          <w:kern w:val="0"/>
          <w:lang w:val="fr-FR"/>
          <w14:ligatures w14:val="none"/>
        </w:rPr>
        <w:t>Bureaux/unités en dehors du siège (HQ) de New York</w:t>
      </w:r>
      <w:r w:rsidRPr="004B42D7">
        <w:rPr>
          <w:rFonts w:ascii="Calibri" w:eastAsia="Calibri" w:hAnsi="Calibri" w:cs="Calibri"/>
          <w:color w:val="000000"/>
          <w:kern w:val="0"/>
          <w:lang w:val="fr-FR"/>
          <w14:ligatures w14:val="none"/>
        </w:rPr>
        <w:t xml:space="preserve"> : Sur la base du processus de gestion des risques pour le pays/la région, tous les offices/unités entreprennent une évaluation des risques au moins une fois par an afin d'identifier les risques liés à la sécurité, à la santé et à la sûreté, ainsi que les risques opérationnels susceptibles d'avoir un impact sur les fonctions du office/unité.</w:t>
      </w:r>
    </w:p>
    <w:p w14:paraId="401A814B" w14:textId="77777777" w:rsidR="00694E50" w:rsidRPr="004B42D7" w:rsidRDefault="00694E50" w:rsidP="00694E50">
      <w:pPr>
        <w:spacing w:after="285" w:line="236" w:lineRule="auto"/>
        <w:ind w:right="-7"/>
        <w:contextualSpacing/>
        <w:jc w:val="both"/>
        <w:rPr>
          <w:rFonts w:ascii="Calibri" w:eastAsia="Calibri" w:hAnsi="Calibri" w:cs="Calibri"/>
          <w:color w:val="000000"/>
          <w:kern w:val="0"/>
          <w:lang w:val="fr-FR"/>
          <w14:ligatures w14:val="none"/>
        </w:rPr>
      </w:pPr>
    </w:p>
    <w:p w14:paraId="0A1FFBD7"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bCs/>
          <w:color w:val="000000"/>
          <w:kern w:val="0"/>
          <w:u w:val="single"/>
          <w:lang w:val="fr-FR"/>
          <w14:ligatures w14:val="none"/>
        </w:rPr>
      </w:pPr>
      <w:bookmarkStart w:id="3" w:name="_Toc179986646"/>
      <w:r w:rsidRPr="004B42D7">
        <w:rPr>
          <w:rFonts w:ascii="Calibri" w:eastAsia="Cambria" w:hAnsi="Calibri" w:cs="Cambria"/>
          <w:b/>
          <w:bCs/>
          <w:color w:val="000000"/>
          <w:kern w:val="0"/>
          <w:u w:val="single"/>
          <w:lang w:val="fr-FR"/>
          <w14:ligatures w14:val="none"/>
        </w:rPr>
        <w:t>Analyse d’impact sur les opérations (BIA)</w:t>
      </w:r>
      <w:bookmarkEnd w:id="3"/>
    </w:p>
    <w:p w14:paraId="080D2812"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7BC70085" w14:textId="14B05C10"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L’analyse d’impact sur les opérations (</w:t>
      </w:r>
      <w:r w:rsidRPr="004B42D7">
        <w:rPr>
          <w:rFonts w:ascii="Calibri" w:eastAsia="Calibri" w:hAnsi="Calibri" w:cs="Calibri"/>
          <w:b/>
          <w:color w:val="000000"/>
          <w:kern w:val="0"/>
          <w:lang w:val="fr-FR"/>
          <w14:ligatures w14:val="none"/>
        </w:rPr>
        <w:t>BIA</w:t>
      </w:r>
      <w:r w:rsidRPr="004B42D7">
        <w:rPr>
          <w:rFonts w:ascii="Calibri" w:eastAsia="Calibri" w:hAnsi="Calibri" w:cs="Calibri"/>
          <w:color w:val="000000"/>
          <w:kern w:val="0"/>
          <w:lang w:val="fr-FR"/>
          <w14:ligatures w14:val="none"/>
        </w:rPr>
        <w:t xml:space="preserve">) est réalisée par chaque office/unité bureau, et coordonnée par le bureau du point focal pour la continuité des opérations (BCP) des bureaux / unités concernées. Les points focaux de BCP peuvent demander assistance et conseil au service de gestion des risques et de la résilience (spécialiste en BMS/BPC) : </w:t>
      </w:r>
    </w:p>
    <w:p w14:paraId="1C6BE12F" w14:textId="77777777" w:rsidR="004B42D7" w:rsidRPr="004B42D7" w:rsidRDefault="004B42D7" w:rsidP="004B42D7">
      <w:pPr>
        <w:numPr>
          <w:ilvl w:val="0"/>
          <w:numId w:val="8"/>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L’identification des fonctions opérationnelles essentielles ; </w:t>
      </w:r>
    </w:p>
    <w:p w14:paraId="71AA8D15" w14:textId="77777777" w:rsidR="004B42D7" w:rsidRPr="004B42D7" w:rsidRDefault="004B42D7" w:rsidP="004B42D7">
      <w:pPr>
        <w:numPr>
          <w:ilvl w:val="0"/>
          <w:numId w:val="8"/>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L’évaluation de l’impact des risques identifiés susceptibles de perturber les fonctions opérationnelles essentielles ;</w:t>
      </w:r>
    </w:p>
    <w:p w14:paraId="36F343A2" w14:textId="77777777" w:rsidR="004B42D7" w:rsidRPr="004B42D7" w:rsidRDefault="004B42D7" w:rsidP="004B42D7">
      <w:pPr>
        <w:numPr>
          <w:ilvl w:val="0"/>
          <w:numId w:val="8"/>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précision des délais de reprise en cas de perturbations ; et</w:t>
      </w:r>
    </w:p>
    <w:p w14:paraId="2D7671FF" w14:textId="77777777" w:rsidR="004B42D7" w:rsidRDefault="004B42D7" w:rsidP="004B42D7">
      <w:pPr>
        <w:numPr>
          <w:ilvl w:val="0"/>
          <w:numId w:val="8"/>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définition des stratégies de reprise pour les fonctions opérationnelles essentielles, y compris l’allocation des ressources appropriées.</w:t>
      </w:r>
    </w:p>
    <w:p w14:paraId="15C8692C" w14:textId="77777777" w:rsidR="004B42D7" w:rsidRPr="004B42D7" w:rsidRDefault="004B42D7" w:rsidP="00FA510A">
      <w:pPr>
        <w:spacing w:after="285" w:line="236" w:lineRule="auto"/>
        <w:ind w:left="1440" w:right="-7"/>
        <w:contextualSpacing/>
        <w:jc w:val="both"/>
        <w:rPr>
          <w:rFonts w:ascii="Calibri" w:eastAsia="Calibri" w:hAnsi="Calibri" w:cs="Calibri"/>
          <w:color w:val="000000"/>
          <w:kern w:val="0"/>
          <w:lang w:val="fr-FR"/>
          <w14:ligatures w14:val="none"/>
        </w:rPr>
      </w:pPr>
    </w:p>
    <w:p w14:paraId="34001CCD"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color w:val="000000"/>
          <w:kern w:val="0"/>
          <w:u w:val="single"/>
          <w:lang w:val="fr-FR"/>
          <w14:ligatures w14:val="none"/>
        </w:rPr>
      </w:pPr>
      <w:bookmarkStart w:id="4" w:name="_Toc179986647"/>
      <w:r w:rsidRPr="004B42D7">
        <w:rPr>
          <w:rFonts w:ascii="Calibri" w:eastAsia="Cambria" w:hAnsi="Calibri" w:cs="Cambria"/>
          <w:b/>
          <w:color w:val="000000"/>
          <w:kern w:val="0"/>
          <w:u w:val="single"/>
          <w:lang w:val="fr-FR"/>
          <w14:ligatures w14:val="none"/>
        </w:rPr>
        <w:t>Plan de continuité des opérations (BCP)</w:t>
      </w:r>
      <w:bookmarkEnd w:id="4"/>
    </w:p>
    <w:p w14:paraId="035DC429"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3F3B0AA6"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Chaque bureau /unité et bureau doit élaborer et tenir à jour un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afin que l’Organisation puisse s’acquitter de ses fonctions, dans la mesure du possible, lors des situations d’urgence. 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doit être révisé au moins annuellement. </w:t>
      </w:r>
    </w:p>
    <w:p w14:paraId="57144D28" w14:textId="77777777" w:rsidR="004B42D7" w:rsidRPr="004B42D7" w:rsidRDefault="004B42D7" w:rsidP="004B42D7">
      <w:pPr>
        <w:spacing w:line="259" w:lineRule="auto"/>
        <w:ind w:left="360"/>
        <w:contextualSpacing/>
        <w:jc w:val="both"/>
        <w:rPr>
          <w:rFonts w:ascii="Calibri" w:eastAsia="Calibri" w:hAnsi="Calibri" w:cs="Calibri"/>
          <w:color w:val="000000"/>
          <w:kern w:val="0"/>
          <w:lang w:val="fr-FR"/>
          <w14:ligatures w14:val="none"/>
        </w:rPr>
      </w:pPr>
    </w:p>
    <w:p w14:paraId="40E0E2FB"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 Au niveau de l’office/ unité, bureau de pays,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w:t>
      </w:r>
      <w:proofErr w:type="gramStart"/>
      <w:r w:rsidRPr="004B42D7">
        <w:rPr>
          <w:rFonts w:ascii="Calibri" w:eastAsia="Calibri" w:hAnsi="Calibri" w:cs="Calibri"/>
          <w:color w:val="000000"/>
          <w:kern w:val="0"/>
          <w:lang w:val="fr-FR"/>
          <w14:ligatures w14:val="none"/>
        </w:rPr>
        <w:t>fournit</w:t>
      </w:r>
      <w:proofErr w:type="gramEnd"/>
      <w:r w:rsidRPr="004B42D7">
        <w:rPr>
          <w:rFonts w:ascii="Calibri" w:eastAsia="Calibri" w:hAnsi="Calibri" w:cs="Calibri"/>
          <w:color w:val="000000"/>
          <w:kern w:val="0"/>
          <w:lang w:val="fr-FR"/>
          <w14:ligatures w14:val="none"/>
        </w:rPr>
        <w:t xml:space="preserve"> : </w:t>
      </w:r>
    </w:p>
    <w:p w14:paraId="0E707CCC" w14:textId="77777777" w:rsidR="004B42D7" w:rsidRPr="004B42D7" w:rsidRDefault="004B42D7" w:rsidP="004B42D7">
      <w:pPr>
        <w:numPr>
          <w:ilvl w:val="0"/>
          <w:numId w:val="3"/>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Une méthode répétée pour restaurer la capacité du PNUD à maintenir les fonctions essentielles au niveau de l’Organisation et des services selon les meilleures normes possibles, dans un délai réaliste après la perturbation ;</w:t>
      </w:r>
    </w:p>
    <w:p w14:paraId="0C7047C6" w14:textId="77777777" w:rsidR="004B42D7" w:rsidRPr="004B42D7" w:rsidRDefault="004B42D7" w:rsidP="004B42D7">
      <w:pPr>
        <w:numPr>
          <w:ilvl w:val="0"/>
          <w:numId w:val="3"/>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Une véritable capacité de maintenir, tester, mettre en œuvre, valider et vérifier 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 et</w:t>
      </w:r>
    </w:p>
    <w:p w14:paraId="4A7E2A1B" w14:textId="77777777" w:rsidR="004B42D7" w:rsidRPr="004B42D7" w:rsidRDefault="004B42D7" w:rsidP="004B42D7">
      <w:pPr>
        <w:numPr>
          <w:ilvl w:val="0"/>
          <w:numId w:val="3"/>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Un protocole de communication prédéfini pour s’assurer que toutes les unités pertinentes sont au courant du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lorsqu’il est mis en place.</w:t>
      </w:r>
    </w:p>
    <w:p w14:paraId="652229F8" w14:textId="77777777" w:rsidR="004B42D7" w:rsidRPr="004B42D7" w:rsidRDefault="004B42D7" w:rsidP="004B42D7">
      <w:pPr>
        <w:spacing w:line="259" w:lineRule="auto"/>
        <w:ind w:left="720"/>
        <w:contextualSpacing/>
        <w:jc w:val="both"/>
        <w:rPr>
          <w:rFonts w:ascii="Calibri" w:eastAsia="Calibri" w:hAnsi="Calibri" w:cs="Calibri"/>
          <w:color w:val="000000"/>
          <w:kern w:val="0"/>
          <w:lang w:val="fr-FR"/>
          <w14:ligatures w14:val="none"/>
        </w:rPr>
      </w:pPr>
    </w:p>
    <w:p w14:paraId="6AB0F8F7"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Sur le plan organisationnel, 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fournit : </w:t>
      </w:r>
    </w:p>
    <w:p w14:paraId="224C0ED3" w14:textId="77777777" w:rsidR="004B42D7" w:rsidRPr="004B42D7" w:rsidRDefault="004B42D7" w:rsidP="004B42D7">
      <w:pPr>
        <w:numPr>
          <w:ilvl w:val="0"/>
          <w:numId w:val="4"/>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Des BCP achevés, mis en œuvre et testés (y compris les procédures de maintenance et de suivi), qui traduisent l’étendue déterminée des préparatifs nécessaires correspondant à la réalité de chaque office/unité et bureau en matière d’exposition aux incidents critiques ; </w:t>
      </w:r>
    </w:p>
    <w:p w14:paraId="5AE16820" w14:textId="77777777" w:rsidR="004B42D7" w:rsidRPr="004B42D7" w:rsidRDefault="004B42D7" w:rsidP="004B42D7">
      <w:pPr>
        <w:numPr>
          <w:ilvl w:val="0"/>
          <w:numId w:val="4"/>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w:t>
      </w:r>
      <w:r w:rsidRPr="004B42D7">
        <w:rPr>
          <w:rFonts w:ascii="Calibri" w:eastAsia="Calibri" w:hAnsi="Calibri" w:cs="Calibri"/>
          <w:color w:val="000000"/>
          <w:kern w:val="0"/>
          <w:sz w:val="22"/>
          <w:szCs w:val="22"/>
          <w:lang w:val="fr-FR"/>
          <w14:ligatures w14:val="none"/>
        </w:rPr>
        <w:t xml:space="preserve"> </w:t>
      </w:r>
      <w:r w:rsidRPr="004B42D7">
        <w:rPr>
          <w:rFonts w:ascii="Calibri" w:eastAsia="Calibri" w:hAnsi="Calibri" w:cs="Calibri"/>
          <w:color w:val="000000"/>
          <w:kern w:val="0"/>
          <w:lang w:val="fr-FR"/>
          <w14:ligatures w14:val="none"/>
        </w:rPr>
        <w:t>Des structures et des mécanismes de réaction aux crises, de gestion des risques et de continuité des activités plus solides, mieux informés et intégrés dans tous les offices/unités, bureaux ;</w:t>
      </w:r>
    </w:p>
    <w:p w14:paraId="14648BAA" w14:textId="77777777" w:rsidR="004B42D7" w:rsidRPr="004B42D7" w:rsidRDefault="004B42D7" w:rsidP="004B42D7">
      <w:pPr>
        <w:numPr>
          <w:ilvl w:val="0"/>
          <w:numId w:val="4"/>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lastRenderedPageBreak/>
        <w:t>La capacité de :</w:t>
      </w:r>
    </w:p>
    <w:p w14:paraId="704EABC8" w14:textId="77777777" w:rsidR="004B42D7" w:rsidRPr="004B42D7" w:rsidRDefault="004B42D7" w:rsidP="004B42D7">
      <w:pPr>
        <w:numPr>
          <w:ilvl w:val="1"/>
          <w:numId w:val="10"/>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Répondre en cas d’événement pour assurer la sécurité du personnel, </w:t>
      </w:r>
    </w:p>
    <w:p w14:paraId="15210C3F" w14:textId="77777777" w:rsidR="004B42D7" w:rsidRPr="004B42D7" w:rsidRDefault="004B42D7" w:rsidP="004B42D7">
      <w:pPr>
        <w:numPr>
          <w:ilvl w:val="1"/>
          <w:numId w:val="10"/>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Poursuivre les fonctions opérationnelles essentielles avec le moins de limitations et/ou d’interruptions possible, et </w:t>
      </w:r>
    </w:p>
    <w:p w14:paraId="2FDF98A4" w14:textId="77777777" w:rsidR="004B42D7" w:rsidRPr="004B42D7" w:rsidRDefault="004B42D7" w:rsidP="004B42D7">
      <w:pPr>
        <w:numPr>
          <w:ilvl w:val="1"/>
          <w:numId w:val="10"/>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Retrouver sa pleine capacité opérationnelle dès que possible après une catastrophe ou une crise.</w:t>
      </w:r>
    </w:p>
    <w:p w14:paraId="2FEF978F" w14:textId="77777777" w:rsidR="004B42D7" w:rsidRPr="004B42D7" w:rsidRDefault="004B42D7" w:rsidP="004B42D7">
      <w:pPr>
        <w:spacing w:line="259" w:lineRule="auto"/>
        <w:ind w:left="720"/>
        <w:contextualSpacing/>
        <w:jc w:val="both"/>
        <w:rPr>
          <w:rFonts w:ascii="Calibri" w:eastAsia="Calibri" w:hAnsi="Calibri" w:cs="Calibri"/>
          <w:color w:val="000000"/>
          <w:kern w:val="0"/>
          <w:lang w:val="fr-FR"/>
          <w14:ligatures w14:val="none"/>
        </w:rPr>
      </w:pPr>
    </w:p>
    <w:p w14:paraId="15960379" w14:textId="77777777" w:rsidR="004B42D7" w:rsidRDefault="004B42D7" w:rsidP="004B42D7">
      <w:pPr>
        <w:numPr>
          <w:ilvl w:val="0"/>
          <w:numId w:val="7"/>
        </w:numPr>
        <w:spacing w:after="274"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couvre l’ensemble du personnel administré par le PNUD, les fonctions opérationnelles à tous les niveaux, notamment celles qui ont été sous-traitées à des entrepreneurs et fournisseurs extérieurs, lorsque la responsabilité juridique globale demeure du ressort du PNUD. 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ne couvre pas la résilience des tiers ; toutefois, il convient de demander aux sous-traitants de fournir la preuve qu’ils ont tenu compte des questions potentielles liées à la résilience. Les bureaux de projet sont également encouragés à appliquer les principes de 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w:t>
      </w:r>
    </w:p>
    <w:p w14:paraId="1510BD9E" w14:textId="77777777" w:rsidR="004B42D7" w:rsidRPr="004B42D7" w:rsidRDefault="004B42D7" w:rsidP="00FA510A">
      <w:pPr>
        <w:spacing w:after="274" w:line="259" w:lineRule="auto"/>
        <w:ind w:left="360" w:right="-496"/>
        <w:contextualSpacing/>
        <w:jc w:val="both"/>
        <w:rPr>
          <w:rFonts w:ascii="Calibri" w:eastAsia="Calibri" w:hAnsi="Calibri" w:cs="Calibri"/>
          <w:color w:val="000000"/>
          <w:kern w:val="0"/>
          <w:lang w:val="fr-FR"/>
          <w14:ligatures w14:val="none"/>
        </w:rPr>
      </w:pPr>
    </w:p>
    <w:p w14:paraId="370FE71D" w14:textId="77777777" w:rsidR="004B42D7" w:rsidRPr="004B42D7" w:rsidRDefault="004B42D7" w:rsidP="004B42D7">
      <w:pPr>
        <w:numPr>
          <w:ilvl w:val="0"/>
          <w:numId w:val="7"/>
        </w:numPr>
        <w:spacing w:after="271"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 BCP doit inclure tous les risques, y compris les principaux scénarios suivants qui peuvent influer sur la continuité des opérations : </w:t>
      </w:r>
    </w:p>
    <w:p w14:paraId="7822192D" w14:textId="77777777" w:rsidR="004B42D7" w:rsidRPr="004B42D7" w:rsidRDefault="004B42D7" w:rsidP="004B42D7">
      <w:pPr>
        <w:numPr>
          <w:ilvl w:val="0"/>
          <w:numId w:val="5"/>
        </w:numPr>
        <w:spacing w:after="271"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Événements provoquant une incapacité ou la perte de la vie du personnel ;</w:t>
      </w:r>
    </w:p>
    <w:p w14:paraId="4F2CC4CA" w14:textId="77777777" w:rsidR="004B42D7" w:rsidRPr="004B42D7" w:rsidRDefault="004B42D7" w:rsidP="004B42D7">
      <w:pPr>
        <w:numPr>
          <w:ilvl w:val="0"/>
          <w:numId w:val="5"/>
        </w:numPr>
        <w:spacing w:after="271"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Événements interrompant les systèmes essentiels à la mission ;</w:t>
      </w:r>
    </w:p>
    <w:p w14:paraId="03865387" w14:textId="77777777" w:rsidR="004B42D7" w:rsidRPr="004B42D7" w:rsidRDefault="004B42D7" w:rsidP="004B42D7">
      <w:pPr>
        <w:numPr>
          <w:ilvl w:val="0"/>
          <w:numId w:val="5"/>
        </w:numPr>
        <w:spacing w:after="271"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Événements entraînant la perte d’accès à un immeuble de bureaux ou la perte de ce dernier ; et</w:t>
      </w:r>
    </w:p>
    <w:p w14:paraId="533F02DC" w14:textId="77777777" w:rsidR="004B42D7" w:rsidRPr="004B42D7" w:rsidRDefault="004B42D7" w:rsidP="004B42D7">
      <w:pPr>
        <w:numPr>
          <w:ilvl w:val="0"/>
          <w:numId w:val="5"/>
        </w:numPr>
        <w:spacing w:after="271" w:line="259" w:lineRule="auto"/>
        <w:ind w:right="-496"/>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Événements entraînant la perte de services des fournisseurs.</w:t>
      </w:r>
    </w:p>
    <w:p w14:paraId="335DA131" w14:textId="77777777" w:rsidR="004B42D7" w:rsidRPr="004B42D7" w:rsidRDefault="004B42D7" w:rsidP="004B42D7">
      <w:pPr>
        <w:spacing w:after="271" w:line="259" w:lineRule="auto"/>
        <w:ind w:left="720" w:right="-496"/>
        <w:contextualSpacing/>
        <w:jc w:val="both"/>
        <w:rPr>
          <w:rFonts w:ascii="Calibri" w:eastAsia="Calibri" w:hAnsi="Calibri" w:cs="Calibri"/>
          <w:color w:val="000000"/>
          <w:kern w:val="0"/>
          <w:lang w:val="fr-FR"/>
          <w14:ligatures w14:val="none"/>
        </w:rPr>
      </w:pPr>
    </w:p>
    <w:p w14:paraId="29FDA487"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Les points focaux pour la continuité des opérations (BCP) coordonnent la préparation des BCP de leurs bureaux/unités et bureaux centraux.  Le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comprend les éléments suivants :</w:t>
      </w:r>
    </w:p>
    <w:p w14:paraId="029D8CB7" w14:textId="77777777" w:rsidR="004B42D7" w:rsidRPr="004B42D7" w:rsidRDefault="004B42D7" w:rsidP="004B42D7">
      <w:pPr>
        <w:numPr>
          <w:ilvl w:val="0"/>
          <w:numId w:val="9"/>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liste de toutes les fonctions opérationnelles essentielles avec les noms des employés qui appuient ou exécutent ces fonctions, y compris celles qui sont sous-traitées, avec un temps prédéterminé, et la procédure relative à la reprise des activités ;</w:t>
      </w:r>
    </w:p>
    <w:p w14:paraId="712BE866" w14:textId="77777777" w:rsidR="004B42D7" w:rsidRPr="004B42D7" w:rsidRDefault="004B42D7" w:rsidP="004B42D7">
      <w:pPr>
        <w:numPr>
          <w:ilvl w:val="0"/>
          <w:numId w:val="9"/>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La liste des équipements et du matériel nécessaires à l’exécution de ces fonctions ;</w:t>
      </w:r>
    </w:p>
    <w:p w14:paraId="3C7F796F" w14:textId="77777777" w:rsidR="004B42D7" w:rsidRPr="004B42D7" w:rsidRDefault="004B42D7" w:rsidP="004B42D7">
      <w:pPr>
        <w:numPr>
          <w:ilvl w:val="0"/>
          <w:numId w:val="9"/>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Le plan de communication avec les partenaires internes et externes ; et</w:t>
      </w:r>
    </w:p>
    <w:p w14:paraId="016262C8" w14:textId="77777777" w:rsidR="004B42D7" w:rsidRPr="004B42D7" w:rsidRDefault="004B42D7" w:rsidP="004B42D7">
      <w:pPr>
        <w:numPr>
          <w:ilvl w:val="0"/>
          <w:numId w:val="9"/>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Le plan d’aménagement d’un site alternatif lorsqu’il est jugé nécessaire.</w:t>
      </w:r>
    </w:p>
    <w:p w14:paraId="367442C3" w14:textId="77777777" w:rsidR="004B42D7" w:rsidRPr="004B42D7" w:rsidRDefault="004B42D7" w:rsidP="004B42D7">
      <w:pPr>
        <w:spacing w:line="259" w:lineRule="auto"/>
        <w:ind w:left="720"/>
        <w:contextualSpacing/>
        <w:rPr>
          <w:rFonts w:ascii="Calibri" w:eastAsia="Calibri" w:hAnsi="Calibri" w:cs="Calibri"/>
          <w:color w:val="000000"/>
          <w:kern w:val="0"/>
          <w:lang w:val="fr-FR"/>
          <w14:ligatures w14:val="none"/>
        </w:rPr>
      </w:pPr>
    </w:p>
    <w:p w14:paraId="2531FDD9"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Il établit des procédures de gestion claires, la relève et la délégation d’autorités et décrit les modalités de formation, des tests et d’entretien. </w:t>
      </w:r>
    </w:p>
    <w:p w14:paraId="09E425F5" w14:textId="77777777" w:rsidR="004B42D7" w:rsidRPr="004B42D7" w:rsidRDefault="004B42D7" w:rsidP="004B42D7">
      <w:pPr>
        <w:spacing w:line="259" w:lineRule="auto"/>
        <w:ind w:left="360"/>
        <w:contextualSpacing/>
        <w:jc w:val="both"/>
        <w:rPr>
          <w:rFonts w:ascii="Calibri" w:eastAsia="Calibri" w:hAnsi="Calibri" w:cs="Calibri"/>
          <w:color w:val="000000"/>
          <w:kern w:val="0"/>
          <w:sz w:val="10"/>
          <w:szCs w:val="10"/>
          <w:lang w:val="fr-FR"/>
          <w14:ligatures w14:val="none"/>
        </w:rPr>
      </w:pPr>
    </w:p>
    <w:p w14:paraId="1090DD5B" w14:textId="77777777" w:rsidR="004B42D7" w:rsidRPr="004B42D7" w:rsidRDefault="004B42D7" w:rsidP="004B42D7">
      <w:pPr>
        <w:spacing w:line="259" w:lineRule="auto"/>
        <w:ind w:left="720"/>
        <w:contextualSpacing/>
        <w:rPr>
          <w:rFonts w:ascii="Calibri" w:eastAsia="Calibri" w:hAnsi="Calibri" w:cs="Calibri"/>
          <w:color w:val="000000"/>
          <w:kern w:val="0"/>
          <w:sz w:val="10"/>
          <w:szCs w:val="10"/>
          <w:lang w:val="fr-FR"/>
          <w14:ligatures w14:val="none"/>
        </w:rPr>
      </w:pPr>
    </w:p>
    <w:p w14:paraId="2088AC20" w14:textId="77777777" w:rsidR="004B42D7" w:rsidRP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Le BCP doit être approuvé et signé par le chef de</w:t>
      </w:r>
      <w:r w:rsidRPr="004B42D7">
        <w:rPr>
          <w:rFonts w:ascii="Calibri" w:eastAsia="Calibri" w:hAnsi="Calibri" w:cs="Calibri"/>
          <w:color w:val="000000"/>
          <w:kern w:val="0"/>
          <w:sz w:val="22"/>
          <w:szCs w:val="22"/>
          <w:lang w:val="fr-FR"/>
          <w14:ligatures w14:val="none"/>
        </w:rPr>
        <w:t xml:space="preserve"> </w:t>
      </w:r>
      <w:r w:rsidRPr="004B42D7">
        <w:rPr>
          <w:rFonts w:ascii="Calibri" w:eastAsia="Calibri" w:hAnsi="Calibri" w:cs="Calibri"/>
          <w:color w:val="000000"/>
          <w:kern w:val="0"/>
          <w:lang w:val="fr-FR"/>
          <w14:ligatures w14:val="none"/>
        </w:rPr>
        <w:t>l’office/unité, bureau concerné. Le BCP approuvé est téléchargé sur le site du BCM avec les annexes correspondantes. Les bureaux/unités et les antennes peuvent partager le projet de BCP avec le spécialiste de la gestion des risques et de la résilience de BMS/BPC pour un examen technique et des conseils, si nécessaire.</w:t>
      </w:r>
    </w:p>
    <w:p w14:paraId="364006B7" w14:textId="77777777" w:rsidR="004B42D7" w:rsidRPr="004B42D7" w:rsidRDefault="004B42D7" w:rsidP="004B42D7">
      <w:pPr>
        <w:spacing w:after="286" w:line="259" w:lineRule="auto"/>
        <w:ind w:left="360" w:right="-500"/>
        <w:contextualSpacing/>
        <w:jc w:val="both"/>
        <w:rPr>
          <w:rFonts w:ascii="Calibri" w:eastAsia="Calibri" w:hAnsi="Calibri" w:cs="Calibri"/>
          <w:color w:val="000000"/>
          <w:kern w:val="0"/>
          <w:lang w:val="fr-FR"/>
          <w14:ligatures w14:val="none"/>
        </w:rPr>
      </w:pPr>
    </w:p>
    <w:p w14:paraId="514E7212" w14:textId="77777777" w:rsidR="004B42D7" w:rsidRP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En outre, pour être considérés comme conformes à cette politique et à ces lignes directrices, les chefs de l’office/unité, bureau doivent établir des calendriers précis de test et de révision du BCP (au moins une fois par an ou à la suite d'une modification importante des éléments du BCP). Les tests et la révision portent sur les points suivants : </w:t>
      </w:r>
    </w:p>
    <w:p w14:paraId="497B0357" w14:textId="77777777" w:rsidR="004B42D7" w:rsidRPr="004B42D7" w:rsidRDefault="004B42D7" w:rsidP="004B42D7">
      <w:pPr>
        <w:spacing w:line="259" w:lineRule="auto"/>
        <w:ind w:left="720"/>
        <w:contextualSpacing/>
        <w:jc w:val="both"/>
        <w:rPr>
          <w:rFonts w:ascii="Calibri" w:eastAsia="Calibri" w:hAnsi="Calibri" w:cs="Calibri"/>
          <w:color w:val="000000"/>
          <w:kern w:val="0"/>
          <w:sz w:val="10"/>
          <w:szCs w:val="10"/>
          <w:lang w:val="fr-FR"/>
          <w14:ligatures w14:val="none"/>
        </w:rPr>
      </w:pPr>
    </w:p>
    <w:p w14:paraId="0F3C028A"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a. Objet et portée des tests, événements de simulation pour les tests ; </w:t>
      </w:r>
    </w:p>
    <w:p w14:paraId="0C3A2B1F"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lastRenderedPageBreak/>
        <w:t>b. Durée de l’ensemble des tests ; procédures d’évacuation et relocalisation du personnel ;</w:t>
      </w:r>
    </w:p>
    <w:p w14:paraId="2E950693"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c. Plans de communication d’urgence, sauvegarde et récupération des données essentielles ; </w:t>
      </w:r>
    </w:p>
    <w:p w14:paraId="262A05BA"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d. Disponibilité des bâtiments/installations et des ressources nécessaires pour les tests ; </w:t>
      </w:r>
    </w:p>
    <w:p w14:paraId="352A7F9F"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e. Disponibilité d’un site alternatif des opérations dans des délais précis ; (par exemple, travail à domicile, autre agence des Nations unies) ;</w:t>
      </w:r>
    </w:p>
    <w:p w14:paraId="3A6EC271"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f. Reprise des fonctions opérationnelles essentielles. </w:t>
      </w:r>
    </w:p>
    <w:p w14:paraId="46262E0F" w14:textId="77777777" w:rsidR="004B42D7" w:rsidRPr="004B42D7" w:rsidRDefault="004B42D7" w:rsidP="004B42D7">
      <w:pPr>
        <w:spacing w:after="286" w:line="259" w:lineRule="auto"/>
        <w:ind w:left="720" w:right="-500"/>
        <w:contextualSpacing/>
        <w:jc w:val="both"/>
        <w:rPr>
          <w:rFonts w:ascii="Calibri" w:eastAsia="Calibri" w:hAnsi="Calibri" w:cs="Calibri"/>
          <w:color w:val="000000"/>
          <w:kern w:val="0"/>
          <w:lang w:val="fr-FR"/>
          <w14:ligatures w14:val="none"/>
        </w:rPr>
      </w:pPr>
    </w:p>
    <w:p w14:paraId="41C1DA74" w14:textId="77777777" w:rsidR="004B42D7" w:rsidRP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 Les résultats des tests et les rapports des exercices de BCP seront utilisés pour améliorer le BCP, si nécessaire pour veiller à ce que le BCP reste pertinent et efficace.</w:t>
      </w:r>
    </w:p>
    <w:p w14:paraId="44E66849" w14:textId="77777777" w:rsidR="004B42D7" w:rsidRPr="004B42D7" w:rsidRDefault="004B42D7" w:rsidP="004B42D7">
      <w:pPr>
        <w:spacing w:after="286" w:line="259" w:lineRule="auto"/>
        <w:ind w:left="360" w:right="-500"/>
        <w:contextualSpacing/>
        <w:jc w:val="both"/>
        <w:rPr>
          <w:rFonts w:ascii="Calibri" w:eastAsia="Calibri" w:hAnsi="Calibri" w:cs="Calibri"/>
          <w:color w:val="000000"/>
          <w:kern w:val="0"/>
          <w:lang w:val="fr-FR"/>
          <w14:ligatures w14:val="none"/>
        </w:rPr>
      </w:pPr>
    </w:p>
    <w:p w14:paraId="563B91AF" w14:textId="77777777" w:rsid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En outre, le programme de maintenance, d'exercice et de révision (ME&amp;R)</w:t>
      </w:r>
      <w:r w:rsidRPr="004B42D7">
        <w:rPr>
          <w:rFonts w:ascii="Calibri" w:eastAsia="Calibri" w:hAnsi="Calibri" w:cs="Calibri"/>
          <w:color w:val="000000"/>
          <w:kern w:val="0"/>
          <w:vertAlign w:val="superscript"/>
          <w:lang w:val="fr-FR"/>
          <w14:ligatures w14:val="none"/>
        </w:rPr>
        <w:footnoteReference w:id="3"/>
      </w:r>
      <w:r w:rsidRPr="004B42D7">
        <w:rPr>
          <w:rFonts w:ascii="Calibri" w:eastAsia="Calibri" w:hAnsi="Calibri" w:cs="Calibri"/>
          <w:color w:val="000000"/>
          <w:kern w:val="0"/>
          <w:lang w:val="fr-FR"/>
          <w14:ligatures w14:val="none"/>
        </w:rPr>
        <w:t xml:space="preserve"> de l'ORMS prévoit également que l'ensemble du personnel doit connaître les procédures de gestion des situations d'urgence, participer à des formations de sensibilisation et à des exercices.</w:t>
      </w:r>
    </w:p>
    <w:p w14:paraId="3CB4D687" w14:textId="77777777" w:rsidR="00694E50" w:rsidRPr="004B42D7" w:rsidRDefault="00694E50" w:rsidP="00694E50">
      <w:pPr>
        <w:spacing w:after="286" w:line="259" w:lineRule="auto"/>
        <w:ind w:right="-500"/>
        <w:contextualSpacing/>
        <w:jc w:val="both"/>
        <w:rPr>
          <w:rFonts w:ascii="Calibri" w:eastAsia="Calibri" w:hAnsi="Calibri" w:cs="Calibri"/>
          <w:color w:val="000000"/>
          <w:kern w:val="0"/>
          <w:lang w:val="fr-FR"/>
          <w14:ligatures w14:val="none"/>
        </w:rPr>
      </w:pPr>
    </w:p>
    <w:p w14:paraId="4650C642" w14:textId="77777777" w:rsidR="004B42D7" w:rsidRPr="004B42D7" w:rsidRDefault="004B42D7" w:rsidP="004B42D7">
      <w:pPr>
        <w:spacing w:after="286" w:line="259" w:lineRule="auto"/>
        <w:ind w:left="360" w:right="-500"/>
        <w:contextualSpacing/>
        <w:jc w:val="both"/>
        <w:rPr>
          <w:rFonts w:ascii="Calibri" w:eastAsia="Calibri" w:hAnsi="Calibri" w:cs="Calibri"/>
          <w:color w:val="000000"/>
          <w:kern w:val="0"/>
          <w:sz w:val="10"/>
          <w:szCs w:val="10"/>
          <w:lang w:val="fr-FR"/>
          <w14:ligatures w14:val="none"/>
        </w:rPr>
      </w:pPr>
    </w:p>
    <w:p w14:paraId="23D2AA18"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bCs/>
          <w:color w:val="000000"/>
          <w:kern w:val="0"/>
          <w:u w:val="single"/>
          <w:lang w:val="fr-FR"/>
          <w14:ligatures w14:val="none"/>
        </w:rPr>
      </w:pPr>
      <w:bookmarkStart w:id="6" w:name="_Toc179986648"/>
      <w:r w:rsidRPr="004B42D7">
        <w:rPr>
          <w:rFonts w:ascii="Calibri" w:eastAsia="Cambria" w:hAnsi="Calibri" w:cs="Cambria"/>
          <w:b/>
          <w:bCs/>
          <w:color w:val="000000"/>
          <w:kern w:val="0"/>
          <w:u w:val="single"/>
          <w:lang w:val="fr-FR"/>
          <w14:ligatures w14:val="none"/>
        </w:rPr>
        <w:t>BCM : Rôles et responsabilités</w:t>
      </w:r>
      <w:bookmarkEnd w:id="6"/>
      <w:r w:rsidRPr="004B42D7">
        <w:rPr>
          <w:rFonts w:ascii="Calibri" w:eastAsia="Cambria" w:hAnsi="Calibri" w:cs="Cambria"/>
          <w:b/>
          <w:bCs/>
          <w:color w:val="000000"/>
          <w:kern w:val="0"/>
          <w:u w:val="single"/>
          <w:lang w:val="fr-FR"/>
          <w14:ligatures w14:val="none"/>
        </w:rPr>
        <w:t xml:space="preserve"> </w:t>
      </w:r>
    </w:p>
    <w:p w14:paraId="63D42592"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5CB23D7C" w14:textId="77777777" w:rsidR="004B42D7" w:rsidRPr="004B42D7" w:rsidRDefault="004B42D7" w:rsidP="004B42D7">
      <w:pPr>
        <w:spacing w:after="271" w:line="259" w:lineRule="auto"/>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 xml:space="preserve">Bureau des services de gestion (BMS)  </w:t>
      </w:r>
    </w:p>
    <w:p w14:paraId="3CEDAA05"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Dans le cadre global de la politique de gestion des risques organisationnels, le BMS est responsable de la formulation et de l’examen de la politique institutionnelle en matière de BCM et de sa mise en œuvre. </w:t>
      </w:r>
    </w:p>
    <w:p w14:paraId="04A051D8"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15707EA6"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b/>
          <w:color w:val="000000"/>
          <w:kern w:val="0"/>
          <w:lang w:val="fr-FR"/>
          <w14:ligatures w14:val="none"/>
        </w:rPr>
        <w:t>BMS/BPC</w:t>
      </w:r>
      <w:r w:rsidRPr="004B42D7">
        <w:rPr>
          <w:rFonts w:ascii="Calibri" w:eastAsia="Calibri" w:hAnsi="Calibri" w:cs="Calibri"/>
          <w:color w:val="000000"/>
          <w:kern w:val="0"/>
          <w:lang w:val="fr-FR"/>
          <w14:ligatures w14:val="none"/>
        </w:rPr>
        <w:t xml:space="preserve"> fournit un appui technique et conseil aux points focaux pour la continuité des opérations (BCP) en vue de la préparation des AIA et des BCP, et tient des dossiers sur tous les BCP </w:t>
      </w:r>
      <w:proofErr w:type="spellStart"/>
      <w:r w:rsidRPr="004B42D7">
        <w:rPr>
          <w:rFonts w:ascii="Calibri" w:eastAsia="Calibri" w:hAnsi="Calibri" w:cs="Calibri"/>
          <w:color w:val="000000"/>
          <w:kern w:val="0"/>
          <w:lang w:val="fr-FR"/>
          <w14:ligatures w14:val="none"/>
        </w:rPr>
        <w:t>des</w:t>
      </w:r>
      <w:proofErr w:type="spellEnd"/>
      <w:r w:rsidRPr="004B42D7">
        <w:rPr>
          <w:rFonts w:ascii="Calibri" w:eastAsia="Calibri" w:hAnsi="Calibri" w:cs="Calibri"/>
          <w:color w:val="000000"/>
          <w:kern w:val="0"/>
          <w:lang w:val="fr-FR"/>
          <w14:ligatures w14:val="none"/>
        </w:rPr>
        <w:t xml:space="preserve"> l’offices/unités, bureaux sur le site BCM. Le BMS surveille la conformité des offices/unités, bureaux et informe régulièrement le SMG de l’état d’avancement des activités relatives à la BCM et de la conformité des offices/ unités, bureaux. Le BMS travaille en étroite collaboration avec les </w:t>
      </w:r>
      <w:r w:rsidRPr="004B42D7">
        <w:rPr>
          <w:rFonts w:ascii="Calibri" w:eastAsia="Calibri" w:hAnsi="Calibri" w:cs="Calibri"/>
          <w:bCs/>
          <w:color w:val="000000"/>
          <w:kern w:val="0"/>
          <w:lang w:val="fr-FR"/>
          <w14:ligatures w14:val="none"/>
        </w:rPr>
        <w:t xml:space="preserve">Bureaux régionaux </w:t>
      </w:r>
      <w:r w:rsidRPr="004B42D7">
        <w:rPr>
          <w:rFonts w:ascii="Calibri" w:eastAsia="Calibri" w:hAnsi="Calibri" w:cs="Calibri"/>
          <w:color w:val="000000"/>
          <w:kern w:val="0"/>
          <w:lang w:val="fr-FR"/>
          <w14:ligatures w14:val="none"/>
        </w:rPr>
        <w:t xml:space="preserve">et les Bureaux Centraux pour assurer que leur offices/unités, bureaux respectifs adhèrent à la politique de gestion de la continuité des opérations (BCM). </w:t>
      </w:r>
    </w:p>
    <w:p w14:paraId="17B75C1B" w14:textId="77777777" w:rsidR="004B42D7" w:rsidRPr="004B42D7" w:rsidRDefault="004B42D7" w:rsidP="004B42D7">
      <w:pPr>
        <w:spacing w:after="285" w:line="236" w:lineRule="auto"/>
        <w:ind w:left="360" w:right="-7"/>
        <w:contextualSpacing/>
        <w:jc w:val="both"/>
        <w:rPr>
          <w:rFonts w:ascii="Calibri" w:eastAsia="Calibri" w:hAnsi="Calibri" w:cs="Calibri"/>
          <w:color w:val="000000"/>
          <w:kern w:val="0"/>
          <w:lang w:val="fr-FR"/>
          <w14:ligatures w14:val="none"/>
        </w:rPr>
      </w:pPr>
    </w:p>
    <w:p w14:paraId="70553B51" w14:textId="77777777" w:rsidR="004B42D7" w:rsidRPr="004B42D7" w:rsidRDefault="004B42D7" w:rsidP="004B42D7">
      <w:pPr>
        <w:numPr>
          <w:ilvl w:val="0"/>
          <w:numId w:val="7"/>
        </w:numPr>
        <w:spacing w:after="285" w:line="236" w:lineRule="auto"/>
        <w:ind w:right="-7"/>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BMS/</w:t>
      </w:r>
      <w:r w:rsidRPr="004B42D7">
        <w:rPr>
          <w:rFonts w:ascii="Calibri" w:eastAsia="Calibri" w:hAnsi="Calibri" w:cs="Calibri"/>
          <w:b/>
          <w:color w:val="000000"/>
          <w:kern w:val="0"/>
          <w:lang w:val="fr-FR"/>
          <w14:ligatures w14:val="none"/>
        </w:rPr>
        <w:t xml:space="preserve">Bureau de Gestion de l’Information et les Technologie (ITM) </w:t>
      </w:r>
      <w:r w:rsidRPr="004B42D7">
        <w:rPr>
          <w:rFonts w:ascii="Calibri" w:eastAsia="Calibri" w:hAnsi="Calibri" w:cs="Calibri"/>
          <w:color w:val="000000"/>
          <w:kern w:val="0"/>
          <w:lang w:val="fr-FR"/>
          <w14:ligatures w14:val="none"/>
        </w:rPr>
        <w:t xml:space="preserve">fournit l’appui nécessaire (au besoin) au personnel des technologies de l’information (IT) de l’office/unité, bureau pour l’élaboration </w:t>
      </w:r>
      <w:proofErr w:type="spellStart"/>
      <w:r w:rsidRPr="004B42D7">
        <w:rPr>
          <w:rFonts w:ascii="Calibri" w:eastAsia="Calibri" w:hAnsi="Calibri" w:cs="Calibri"/>
          <w:color w:val="000000"/>
          <w:kern w:val="0"/>
          <w:lang w:val="fr-FR"/>
          <w14:ligatures w14:val="none"/>
        </w:rPr>
        <w:t>ITDRPs</w:t>
      </w:r>
      <w:proofErr w:type="spellEnd"/>
      <w:r w:rsidRPr="004B42D7">
        <w:rPr>
          <w:rFonts w:ascii="Calibri" w:eastAsia="Calibri" w:hAnsi="Calibri" w:cs="Calibri"/>
          <w:color w:val="000000"/>
          <w:kern w:val="0"/>
          <w:lang w:val="fr-FR"/>
          <w14:ligatures w14:val="none"/>
        </w:rPr>
        <w:t xml:space="preserve">. </w:t>
      </w:r>
    </w:p>
    <w:p w14:paraId="50FBF2CB" w14:textId="77777777" w:rsidR="004B42D7" w:rsidRPr="004B42D7" w:rsidRDefault="004B42D7" w:rsidP="004B42D7">
      <w:pPr>
        <w:spacing w:after="285" w:line="236" w:lineRule="auto"/>
        <w:ind w:right="-7"/>
        <w:jc w:val="both"/>
        <w:rPr>
          <w:rFonts w:ascii="Calibri" w:eastAsia="Calibri" w:hAnsi="Calibri" w:cs="Calibri"/>
          <w:color w:val="000000"/>
          <w:kern w:val="0"/>
          <w:lang w:val="fr-FR"/>
          <w14:ligatures w14:val="none"/>
        </w:rPr>
      </w:pPr>
    </w:p>
    <w:p w14:paraId="6C9E276A" w14:textId="77777777" w:rsidR="004B42D7" w:rsidRPr="004B42D7" w:rsidRDefault="004B42D7" w:rsidP="004B42D7">
      <w:pPr>
        <w:spacing w:after="271" w:line="259" w:lineRule="auto"/>
        <w:ind w:left="90"/>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u w:val="single" w:color="181717"/>
          <w:lang w:val="fr-FR"/>
          <w14:ligatures w14:val="none"/>
        </w:rPr>
        <w:t>Groupe de gestion de la sécurité (SMG)</w:t>
      </w:r>
    </w:p>
    <w:p w14:paraId="0A5B0D44" w14:textId="77777777" w:rsidR="004B42D7" w:rsidRPr="004B42D7" w:rsidRDefault="004B42D7" w:rsidP="004B42D7">
      <w:pPr>
        <w:numPr>
          <w:ilvl w:val="0"/>
          <w:numId w:val="7"/>
        </w:numPr>
        <w:spacing w:after="276"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La supervision des activités relatives à la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est déléguée au Groupe de gestion de la sécurité (SMG) et les plans de gestion de la continuité des opérations sont des points permanents à l’ordre du jour du SMG à intervalles réguliers.</w:t>
      </w:r>
    </w:p>
    <w:p w14:paraId="4CFE574F" w14:textId="77777777" w:rsidR="004B42D7" w:rsidRDefault="004B42D7" w:rsidP="004B42D7">
      <w:pPr>
        <w:spacing w:after="276" w:line="259" w:lineRule="auto"/>
        <w:jc w:val="both"/>
        <w:rPr>
          <w:rFonts w:ascii="Calibri" w:eastAsia="Calibri" w:hAnsi="Calibri" w:cs="Calibri"/>
          <w:color w:val="000000"/>
          <w:kern w:val="0"/>
          <w:u w:val="single"/>
          <w:lang w:val="fr-FR"/>
          <w14:ligatures w14:val="none"/>
        </w:rPr>
      </w:pPr>
    </w:p>
    <w:p w14:paraId="621891A3" w14:textId="2684BAC8" w:rsidR="004B42D7" w:rsidRPr="004B42D7" w:rsidRDefault="004B42D7" w:rsidP="004B42D7">
      <w:pPr>
        <w:spacing w:after="276" w:line="259" w:lineRule="auto"/>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 xml:space="preserve">Bureaux régionaux et centraux : </w:t>
      </w:r>
    </w:p>
    <w:p w14:paraId="6398134C" w14:textId="77777777" w:rsidR="004B42D7" w:rsidRPr="004B42D7" w:rsidRDefault="004B42D7" w:rsidP="004B42D7">
      <w:pPr>
        <w:numPr>
          <w:ilvl w:val="0"/>
          <w:numId w:val="7"/>
        </w:numPr>
        <w:spacing w:after="276" w:line="259" w:lineRule="auto"/>
        <w:contextualSpacing/>
        <w:jc w:val="both"/>
        <w:rPr>
          <w:rFonts w:ascii="Calibri" w:eastAsia="Calibri" w:hAnsi="Calibri" w:cs="Calibri"/>
          <w:bCs/>
          <w:color w:val="000000"/>
          <w:kern w:val="0"/>
          <w:u w:val="single"/>
          <w:lang w:val="fr-FR"/>
          <w14:ligatures w14:val="none"/>
        </w:rPr>
      </w:pPr>
      <w:r w:rsidRPr="004B42D7">
        <w:rPr>
          <w:rFonts w:ascii="Calibri" w:eastAsia="Calibri" w:hAnsi="Calibri" w:cs="Calibri"/>
          <w:color w:val="000000"/>
          <w:kern w:val="0"/>
          <w:lang w:val="fr-FR"/>
          <w14:ligatures w14:val="none"/>
        </w:rPr>
        <w:t xml:space="preserve">Les Bureaux régionaux/centraux supervisent leurs régions et bureaux respectifs pour s’assurer que les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sont révisés, mis à jour et testés chaque année.</w:t>
      </w:r>
      <w:r w:rsidRPr="004B42D7">
        <w:rPr>
          <w:rFonts w:ascii="Calibri" w:eastAsia="Calibri" w:hAnsi="Calibri" w:cs="Calibri"/>
          <w:bCs/>
          <w:color w:val="000000"/>
          <w:kern w:val="0"/>
          <w:lang w:val="fr-FR"/>
          <w14:ligatures w14:val="none"/>
        </w:rPr>
        <w:t xml:space="preserve"> </w:t>
      </w:r>
    </w:p>
    <w:p w14:paraId="4494589B" w14:textId="77777777" w:rsidR="004B42D7" w:rsidRDefault="004B42D7" w:rsidP="004B42D7">
      <w:pPr>
        <w:spacing w:line="259" w:lineRule="auto"/>
        <w:jc w:val="both"/>
        <w:rPr>
          <w:rFonts w:ascii="Calibri" w:eastAsia="Calibri" w:hAnsi="Calibri" w:cs="Calibri"/>
          <w:color w:val="000000"/>
          <w:kern w:val="0"/>
          <w:u w:val="single"/>
          <w:lang w:val="fr-FR"/>
          <w14:ligatures w14:val="none"/>
        </w:rPr>
      </w:pPr>
    </w:p>
    <w:p w14:paraId="5C2938D4" w14:textId="049AE01D" w:rsidR="004B42D7" w:rsidRPr="004B42D7" w:rsidRDefault="004B42D7" w:rsidP="004B42D7">
      <w:pPr>
        <w:spacing w:line="259" w:lineRule="auto"/>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Chefs de Bureaux / Unités et Bureaux Centraux</w:t>
      </w:r>
    </w:p>
    <w:p w14:paraId="3475FE46" w14:textId="77777777" w:rsidR="004B42D7" w:rsidRPr="004B42D7" w:rsidRDefault="004B42D7" w:rsidP="004B42D7">
      <w:pPr>
        <w:spacing w:line="259" w:lineRule="auto"/>
        <w:ind w:left="720"/>
        <w:contextualSpacing/>
        <w:jc w:val="both"/>
        <w:rPr>
          <w:rFonts w:ascii="Calibri" w:eastAsia="Calibri" w:hAnsi="Calibri" w:cs="Calibri"/>
          <w:color w:val="000000"/>
          <w:kern w:val="0"/>
          <w:u w:val="single"/>
          <w:lang w:val="fr-FR"/>
          <w14:ligatures w14:val="none"/>
        </w:rPr>
      </w:pPr>
    </w:p>
    <w:p w14:paraId="2DA8946E"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Les activités de gestion de la continuité des opérations devraient être incluses dans les plans de travail des bureaux / unités et bureaux centraux. Il est recommandé qu’une référence aux responsabilités en matière de gestion de la continuité des activités (</w:t>
      </w:r>
      <w:r w:rsidRPr="004B42D7">
        <w:rPr>
          <w:rFonts w:ascii="Calibri" w:eastAsia="Calibri" w:hAnsi="Calibri" w:cs="Calibri"/>
          <w:b/>
          <w:color w:val="000000"/>
          <w:kern w:val="0"/>
          <w:lang w:val="fr-FR"/>
          <w14:ligatures w14:val="none"/>
        </w:rPr>
        <w:t>BCM</w:t>
      </w:r>
      <w:r w:rsidRPr="004B42D7">
        <w:rPr>
          <w:rFonts w:ascii="Calibri" w:eastAsia="Calibri" w:hAnsi="Calibri" w:cs="Calibri"/>
          <w:color w:val="000000"/>
          <w:kern w:val="0"/>
          <w:lang w:val="fr-FR"/>
          <w14:ligatures w14:val="none"/>
        </w:rPr>
        <w:t xml:space="preserve">) soit incluse dans les descriptions de travail pour s’assurer que les membres clés du personnel soient conscient de leur rôle et de ses responsabilités personnelles en cas de disruption. </w:t>
      </w:r>
    </w:p>
    <w:p w14:paraId="37530100" w14:textId="77777777" w:rsidR="004B42D7" w:rsidRPr="004B42D7" w:rsidRDefault="004B42D7" w:rsidP="004B42D7">
      <w:pPr>
        <w:spacing w:line="259" w:lineRule="auto"/>
        <w:ind w:left="360"/>
        <w:contextualSpacing/>
        <w:jc w:val="both"/>
        <w:rPr>
          <w:rFonts w:ascii="Calibri" w:eastAsia="Calibri" w:hAnsi="Calibri" w:cs="Calibri"/>
          <w:color w:val="000000"/>
          <w:kern w:val="0"/>
          <w:lang w:val="fr-FR"/>
          <w14:ligatures w14:val="none"/>
        </w:rPr>
      </w:pPr>
    </w:p>
    <w:p w14:paraId="065A29F5"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Des points focaux pour la continuité des opérations BCP doivent être désignés pour coordonner l’analyse d’impact sur les opérations (</w:t>
      </w:r>
      <w:r w:rsidRPr="004B42D7">
        <w:rPr>
          <w:rFonts w:ascii="Calibri" w:eastAsia="Calibri" w:hAnsi="Calibri" w:cs="Calibri"/>
          <w:b/>
          <w:color w:val="000000"/>
          <w:kern w:val="0"/>
          <w:lang w:val="fr-FR"/>
          <w14:ligatures w14:val="none"/>
        </w:rPr>
        <w:t>BIA</w:t>
      </w:r>
      <w:r w:rsidRPr="004B42D7">
        <w:rPr>
          <w:rFonts w:ascii="Calibri" w:eastAsia="Calibri" w:hAnsi="Calibri" w:cs="Calibri"/>
          <w:color w:val="000000"/>
          <w:kern w:val="0"/>
          <w:lang w:val="fr-FR"/>
          <w14:ligatures w14:val="none"/>
        </w:rPr>
        <w:t xml:space="preserve">) ainsi que l’élaboration et la mise à jour des plans de continuité des opérations (BCP). Les points focaux pour la continuité des opérations (BCP) travaillent en étroite collaboration avec un personnel assumant différentes fonctions, notamment les cadres supérieurs ainsi que le personnel informatique, qui est généralement responsable de tenir à jour les </w:t>
      </w:r>
      <w:proofErr w:type="spellStart"/>
      <w:r w:rsidRPr="004B42D7">
        <w:rPr>
          <w:rFonts w:ascii="Calibri" w:eastAsia="Calibri" w:hAnsi="Calibri" w:cs="Calibri"/>
          <w:b/>
          <w:color w:val="000000"/>
          <w:kern w:val="0"/>
          <w:lang w:val="fr-FR"/>
          <w14:ligatures w14:val="none"/>
        </w:rPr>
        <w:t>ITDRP</w:t>
      </w:r>
      <w:r w:rsidRPr="004B42D7">
        <w:rPr>
          <w:rFonts w:ascii="Calibri" w:eastAsia="Calibri" w:hAnsi="Calibri" w:cs="Calibri"/>
          <w:color w:val="000000"/>
          <w:kern w:val="0"/>
          <w:lang w:val="fr-FR"/>
          <w14:ligatures w14:val="none"/>
        </w:rPr>
        <w:t>s</w:t>
      </w:r>
      <w:proofErr w:type="spellEnd"/>
      <w:r w:rsidRPr="004B42D7">
        <w:rPr>
          <w:rFonts w:ascii="Calibri" w:eastAsia="Calibri" w:hAnsi="Calibri" w:cs="Calibri"/>
          <w:color w:val="000000"/>
          <w:kern w:val="0"/>
          <w:lang w:val="fr-FR"/>
          <w14:ligatures w14:val="none"/>
        </w:rPr>
        <w:t xml:space="preserve">. </w:t>
      </w:r>
    </w:p>
    <w:p w14:paraId="4C083E05" w14:textId="77777777" w:rsidR="004B42D7" w:rsidRPr="004B42D7" w:rsidRDefault="004B42D7" w:rsidP="004B42D7">
      <w:pPr>
        <w:spacing w:line="259" w:lineRule="auto"/>
        <w:ind w:left="720"/>
        <w:contextualSpacing/>
        <w:rPr>
          <w:rFonts w:ascii="Calibri" w:eastAsia="Calibri" w:hAnsi="Calibri" w:cs="Calibri"/>
          <w:color w:val="000000"/>
          <w:kern w:val="0"/>
          <w:lang w:val="fr-FR"/>
          <w14:ligatures w14:val="none"/>
        </w:rPr>
      </w:pPr>
    </w:p>
    <w:p w14:paraId="7340317C"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Le point focal BCP soumet le projet de BCP au chef de bureau / unité ou du bureau pour examen final et approbation.</w:t>
      </w:r>
    </w:p>
    <w:p w14:paraId="147652AA" w14:textId="77777777" w:rsidR="004B42D7" w:rsidRDefault="004B42D7" w:rsidP="004B42D7">
      <w:pPr>
        <w:spacing w:line="259" w:lineRule="auto"/>
        <w:jc w:val="both"/>
        <w:rPr>
          <w:rFonts w:ascii="Calibri" w:eastAsia="Calibri" w:hAnsi="Calibri" w:cs="Calibri"/>
          <w:color w:val="000000"/>
          <w:kern w:val="0"/>
          <w:u w:val="single"/>
          <w:lang w:val="fr-FR"/>
          <w14:ligatures w14:val="none"/>
        </w:rPr>
      </w:pPr>
    </w:p>
    <w:p w14:paraId="00B762ED" w14:textId="262C81A5" w:rsidR="004B42D7" w:rsidRPr="004B42D7" w:rsidRDefault="004B42D7" w:rsidP="004B42D7">
      <w:pPr>
        <w:spacing w:line="259" w:lineRule="auto"/>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 xml:space="preserve">Supérieurs hiérarchiques </w:t>
      </w:r>
    </w:p>
    <w:p w14:paraId="165AE1C3" w14:textId="77777777" w:rsidR="004B42D7" w:rsidRP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Les directeurs à tous les niveaux devraient discuter régulièrement la question liée à la continuité des opérations lors des réunions d’équipe et veiller à ce que la BCM fasse partie du processus d’intégration de tous les nouveaux employés. </w:t>
      </w:r>
    </w:p>
    <w:p w14:paraId="3793AA24"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color w:val="000000"/>
          <w:kern w:val="0"/>
          <w:u w:val="single"/>
          <w:lang w:val="fr-FR"/>
          <w14:ligatures w14:val="none"/>
        </w:rPr>
      </w:pPr>
      <w:bookmarkStart w:id="7" w:name="_Toc179986649"/>
      <w:r w:rsidRPr="004B42D7">
        <w:rPr>
          <w:rFonts w:ascii="Calibri" w:eastAsia="Cambria" w:hAnsi="Calibri" w:cs="Cambria"/>
          <w:b/>
          <w:color w:val="000000"/>
          <w:kern w:val="0"/>
          <w:u w:val="single"/>
          <w:lang w:val="fr-FR"/>
          <w14:ligatures w14:val="none"/>
        </w:rPr>
        <w:t>Élément déclencheur de la mise en place des plans de continuité des opérations</w:t>
      </w:r>
      <w:bookmarkEnd w:id="7"/>
    </w:p>
    <w:p w14:paraId="36F3042D"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23F41375" w14:textId="77777777" w:rsidR="004B42D7" w:rsidRPr="004B42D7" w:rsidRDefault="004B42D7" w:rsidP="004B42D7">
      <w:pPr>
        <w:spacing w:after="286" w:line="259" w:lineRule="auto"/>
        <w:ind w:right="-500"/>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t xml:space="preserve">Sièges (HQ) - New York : </w:t>
      </w:r>
    </w:p>
    <w:p w14:paraId="659B3290" w14:textId="77777777" w:rsidR="004B42D7" w:rsidRP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Lors d’incidents touchant toutes les opérations du PNUD à New York (HQ), le président du </w:t>
      </w:r>
      <w:r w:rsidRPr="004B42D7">
        <w:rPr>
          <w:rFonts w:ascii="Calibri" w:eastAsia="Calibri" w:hAnsi="Calibri" w:cs="Calibri"/>
          <w:b/>
          <w:color w:val="000000"/>
          <w:kern w:val="0"/>
          <w:lang w:val="fr-FR"/>
          <w14:ligatures w14:val="none"/>
        </w:rPr>
        <w:t>SMG</w:t>
      </w:r>
      <w:r w:rsidRPr="004B42D7">
        <w:rPr>
          <w:rFonts w:ascii="Calibri" w:eastAsia="Calibri" w:hAnsi="Calibri" w:cs="Calibri"/>
          <w:color w:val="000000"/>
          <w:kern w:val="0"/>
          <w:lang w:val="fr-FR"/>
          <w14:ligatures w14:val="none"/>
        </w:rPr>
        <w:t>) conseillera aux bureaux /unités et bureaux centraux de mettre en place leurs plans de continuité des opérations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Dans le cas d’incidents </w:t>
      </w:r>
      <w:proofErr w:type="gramStart"/>
      <w:r w:rsidRPr="004B42D7">
        <w:rPr>
          <w:rFonts w:ascii="Calibri" w:eastAsia="Calibri" w:hAnsi="Calibri" w:cs="Calibri"/>
          <w:color w:val="000000"/>
          <w:kern w:val="0"/>
          <w:lang w:val="fr-FR"/>
          <w14:ligatures w14:val="none"/>
        </w:rPr>
        <w:t>ayant</w:t>
      </w:r>
      <w:proofErr w:type="gramEnd"/>
      <w:r w:rsidRPr="004B42D7">
        <w:rPr>
          <w:rFonts w:ascii="Calibri" w:eastAsia="Calibri" w:hAnsi="Calibri" w:cs="Calibri"/>
          <w:color w:val="000000"/>
          <w:kern w:val="0"/>
          <w:lang w:val="fr-FR"/>
          <w14:ligatures w14:val="none"/>
        </w:rPr>
        <w:t xml:space="preserve"> des répercussions uniquement sur un l’office/unité, bureau en particulier (par exemple, un incendie limité), le directeur de l’office/unité, bureau touché mettra en place son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et </w:t>
      </w:r>
      <w:proofErr w:type="gramStart"/>
      <w:r w:rsidRPr="004B42D7">
        <w:rPr>
          <w:rFonts w:ascii="Calibri" w:eastAsia="Calibri" w:hAnsi="Calibri" w:cs="Calibri"/>
          <w:color w:val="000000"/>
          <w:kern w:val="0"/>
          <w:lang w:val="fr-FR"/>
          <w14:ligatures w14:val="none"/>
        </w:rPr>
        <w:t>donnera</w:t>
      </w:r>
      <w:proofErr w:type="gramEnd"/>
      <w:r w:rsidRPr="004B42D7">
        <w:rPr>
          <w:rFonts w:ascii="Calibri" w:eastAsia="Calibri" w:hAnsi="Calibri" w:cs="Calibri"/>
          <w:color w:val="000000"/>
          <w:kern w:val="0"/>
          <w:lang w:val="fr-FR"/>
          <w14:ligatures w14:val="none"/>
        </w:rPr>
        <w:t xml:space="preserve"> des conseils au personnel sur la marche à suivre en fonction du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de l’unité. </w:t>
      </w:r>
    </w:p>
    <w:p w14:paraId="75F3F9C0" w14:textId="77777777" w:rsidR="004B42D7" w:rsidRDefault="004B42D7" w:rsidP="004B42D7">
      <w:pPr>
        <w:spacing w:after="286" w:line="259" w:lineRule="auto"/>
        <w:ind w:right="-500"/>
        <w:jc w:val="both"/>
        <w:rPr>
          <w:rFonts w:ascii="Calibri" w:eastAsia="Calibri" w:hAnsi="Calibri" w:cs="Calibri"/>
          <w:color w:val="000000"/>
          <w:kern w:val="0"/>
          <w:u w:val="single"/>
          <w:lang w:val="fr-FR"/>
          <w14:ligatures w14:val="none"/>
        </w:rPr>
      </w:pPr>
    </w:p>
    <w:p w14:paraId="0DEFADF6" w14:textId="407F7D3A" w:rsidR="004B42D7" w:rsidRPr="004B42D7" w:rsidRDefault="004B42D7" w:rsidP="004B42D7">
      <w:pPr>
        <w:spacing w:after="286" w:line="259" w:lineRule="auto"/>
        <w:ind w:right="-500"/>
        <w:jc w:val="both"/>
        <w:rPr>
          <w:rFonts w:ascii="Calibri" w:eastAsia="Calibri" w:hAnsi="Calibri" w:cs="Calibri"/>
          <w:color w:val="000000"/>
          <w:kern w:val="0"/>
          <w:u w:val="single"/>
          <w:lang w:val="fr-FR"/>
          <w14:ligatures w14:val="none"/>
        </w:rPr>
      </w:pPr>
      <w:r w:rsidRPr="004B42D7">
        <w:rPr>
          <w:rFonts w:ascii="Calibri" w:eastAsia="Calibri" w:hAnsi="Calibri" w:cs="Calibri"/>
          <w:color w:val="000000"/>
          <w:kern w:val="0"/>
          <w:u w:val="single"/>
          <w:lang w:val="fr-FR"/>
          <w14:ligatures w14:val="none"/>
        </w:rPr>
        <w:lastRenderedPageBreak/>
        <w:t xml:space="preserve">Tous les Bureaux en dehors du siège à NY) : </w:t>
      </w:r>
    </w:p>
    <w:p w14:paraId="3EF15C35" w14:textId="77777777" w:rsidR="004B42D7" w:rsidRPr="004B42D7" w:rsidRDefault="004B42D7" w:rsidP="004B42D7">
      <w:pPr>
        <w:numPr>
          <w:ilvl w:val="0"/>
          <w:numId w:val="7"/>
        </w:numPr>
        <w:spacing w:after="286" w:line="259" w:lineRule="auto"/>
        <w:ind w:right="-500"/>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 Représentant </w:t>
      </w:r>
      <w:proofErr w:type="gramStart"/>
      <w:r w:rsidRPr="004B42D7">
        <w:rPr>
          <w:rFonts w:ascii="Calibri" w:eastAsia="Calibri" w:hAnsi="Calibri" w:cs="Calibri"/>
          <w:color w:val="000000"/>
          <w:kern w:val="0"/>
          <w:lang w:val="fr-FR"/>
          <w14:ligatures w14:val="none"/>
        </w:rPr>
        <w:t>résident</w:t>
      </w:r>
      <w:proofErr w:type="gramEnd"/>
      <w:r w:rsidRPr="004B42D7">
        <w:rPr>
          <w:rFonts w:ascii="Calibri" w:eastAsia="Calibri" w:hAnsi="Calibri" w:cs="Calibri"/>
          <w:color w:val="000000"/>
          <w:kern w:val="0"/>
          <w:lang w:val="fr-FR"/>
          <w14:ligatures w14:val="none"/>
        </w:rPr>
        <w:t xml:space="preserve"> / chef d’office/unité activera le plan de continuité des opérations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sur la base des conseils de l’</w:t>
      </w:r>
      <w:r w:rsidRPr="004B42D7">
        <w:rPr>
          <w:rFonts w:ascii="Calibri" w:eastAsia="Calibri" w:hAnsi="Calibri" w:cs="Calibri"/>
          <w:b/>
          <w:color w:val="000000"/>
          <w:kern w:val="0"/>
          <w:lang w:val="fr-FR"/>
          <w14:ligatures w14:val="none"/>
        </w:rPr>
        <w:t>équipe de coordination du dispositif de sécurité</w:t>
      </w:r>
      <w:r w:rsidRPr="004B42D7">
        <w:rPr>
          <w:rFonts w:ascii="Calibri" w:eastAsia="Calibri" w:hAnsi="Calibri" w:cs="Calibri"/>
          <w:color w:val="000000"/>
          <w:kern w:val="0"/>
          <w:lang w:val="fr-FR"/>
          <w14:ligatures w14:val="none"/>
        </w:rPr>
        <w:t xml:space="preserve"> (</w:t>
      </w:r>
      <w:r w:rsidRPr="004B42D7">
        <w:rPr>
          <w:rFonts w:ascii="Calibri" w:eastAsia="Calibri" w:hAnsi="Calibri" w:cs="Calibri"/>
          <w:b/>
          <w:color w:val="000000"/>
          <w:kern w:val="0"/>
          <w:lang w:val="fr-FR"/>
          <w14:ligatures w14:val="none"/>
        </w:rPr>
        <w:t>SMT</w:t>
      </w:r>
      <w:r w:rsidRPr="004B42D7">
        <w:rPr>
          <w:rFonts w:ascii="Calibri" w:eastAsia="Calibri" w:hAnsi="Calibri" w:cs="Calibri"/>
          <w:color w:val="000000"/>
          <w:kern w:val="0"/>
          <w:lang w:val="fr-FR"/>
          <w14:ligatures w14:val="none"/>
        </w:rPr>
        <w:t xml:space="preserve">) du pays/zone, les décisions du fonctionnaire désigné et/ou des comités de santé et de sécurité au travail (SST). </w:t>
      </w:r>
    </w:p>
    <w:p w14:paraId="4C6B2CAD" w14:textId="77777777" w:rsidR="004B42D7" w:rsidRPr="004B42D7" w:rsidRDefault="004B42D7" w:rsidP="004B42D7">
      <w:pPr>
        <w:spacing w:after="286" w:line="259" w:lineRule="auto"/>
        <w:ind w:left="360" w:right="-500"/>
        <w:contextualSpacing/>
        <w:jc w:val="both"/>
        <w:rPr>
          <w:rFonts w:ascii="Calibri" w:eastAsia="Calibri" w:hAnsi="Calibri" w:cs="Calibri"/>
          <w:color w:val="000000"/>
          <w:kern w:val="0"/>
          <w:lang w:val="fr-FR"/>
          <w14:ligatures w14:val="none"/>
        </w:rPr>
      </w:pPr>
    </w:p>
    <w:p w14:paraId="469DD75E" w14:textId="77777777" w:rsidR="004B42D7" w:rsidRDefault="004B42D7" w:rsidP="004B42D7">
      <w:pPr>
        <w:numPr>
          <w:ilvl w:val="0"/>
          <w:numId w:val="7"/>
        </w:numPr>
        <w:spacing w:line="259" w:lineRule="auto"/>
        <w:contextualSpacing/>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Pour s'assurer que le processus de planification de la continuité des activités est solide, les offices/unités, bureaux sont tenus d'utiliser leurs ressources internes. </w:t>
      </w:r>
    </w:p>
    <w:p w14:paraId="15E4C096" w14:textId="77777777" w:rsidR="004B42D7" w:rsidRPr="004B42D7" w:rsidRDefault="004B42D7" w:rsidP="00FA510A">
      <w:pPr>
        <w:spacing w:line="259" w:lineRule="auto"/>
        <w:contextualSpacing/>
        <w:jc w:val="both"/>
        <w:rPr>
          <w:rFonts w:ascii="Calibri" w:eastAsia="Calibri" w:hAnsi="Calibri" w:cs="Calibri"/>
          <w:color w:val="000000"/>
          <w:kern w:val="0"/>
          <w:lang w:val="fr-FR"/>
          <w14:ligatures w14:val="none"/>
        </w:rPr>
      </w:pPr>
    </w:p>
    <w:p w14:paraId="305C07EB" w14:textId="77777777" w:rsidR="004B42D7" w:rsidRPr="004B42D7" w:rsidRDefault="004B42D7" w:rsidP="004B42D7">
      <w:pPr>
        <w:keepNext/>
        <w:keepLines/>
        <w:numPr>
          <w:ilvl w:val="0"/>
          <w:numId w:val="6"/>
        </w:numPr>
        <w:spacing w:after="3" w:line="265" w:lineRule="auto"/>
        <w:jc w:val="both"/>
        <w:outlineLvl w:val="0"/>
        <w:rPr>
          <w:rFonts w:ascii="Calibri" w:eastAsia="Cambria" w:hAnsi="Calibri" w:cs="Cambria"/>
          <w:b/>
          <w:color w:val="000000"/>
          <w:kern w:val="0"/>
          <w:u w:val="single"/>
          <w:lang w:val="fr-FR"/>
          <w14:ligatures w14:val="none"/>
        </w:rPr>
      </w:pPr>
      <w:bookmarkStart w:id="8" w:name="_Toc179986650"/>
      <w:r w:rsidRPr="004B42D7">
        <w:rPr>
          <w:rFonts w:ascii="Calibri" w:eastAsia="Cambria" w:hAnsi="Calibri" w:cs="Cambria"/>
          <w:b/>
          <w:color w:val="000000"/>
          <w:kern w:val="0"/>
          <w:u w:val="single"/>
          <w:lang w:val="fr-FR"/>
          <w14:ligatures w14:val="none"/>
        </w:rPr>
        <w:t>Formation, exercice et examen</w:t>
      </w:r>
      <w:bookmarkEnd w:id="8"/>
    </w:p>
    <w:p w14:paraId="55A882E2" w14:textId="77777777" w:rsidR="004B42D7" w:rsidRPr="004B42D7" w:rsidRDefault="004B42D7" w:rsidP="004B42D7">
      <w:pPr>
        <w:spacing w:line="259" w:lineRule="auto"/>
        <w:jc w:val="both"/>
        <w:rPr>
          <w:rFonts w:ascii="Calibri" w:eastAsia="Calibri" w:hAnsi="Calibri" w:cs="Calibri"/>
          <w:color w:val="000000"/>
          <w:kern w:val="0"/>
          <w:lang w:val="fr-FR"/>
          <w14:ligatures w14:val="none"/>
        </w:rPr>
      </w:pPr>
    </w:p>
    <w:p w14:paraId="3CB20100" w14:textId="77777777" w:rsidR="004B42D7" w:rsidRPr="004B42D7" w:rsidRDefault="004B42D7" w:rsidP="004B42D7">
      <w:pPr>
        <w:numPr>
          <w:ilvl w:val="0"/>
          <w:numId w:val="7"/>
        </w:numPr>
        <w:spacing w:after="0" w:line="240" w:lineRule="auto"/>
        <w:jc w:val="both"/>
        <w:rPr>
          <w:rFonts w:ascii="Calibri" w:eastAsia="Calibri" w:hAnsi="Calibri" w:cs="Calibri"/>
          <w:color w:val="000000"/>
          <w:kern w:val="0"/>
          <w:lang w:val="fr-FR"/>
          <w14:ligatures w14:val="none"/>
        </w:rPr>
      </w:pPr>
      <w:r w:rsidRPr="004B42D7">
        <w:rPr>
          <w:rFonts w:ascii="Calibri" w:eastAsia="Calibri" w:hAnsi="Calibri" w:cs="Calibri"/>
          <w:color w:val="000000"/>
          <w:kern w:val="0"/>
          <w:lang w:val="fr-FR"/>
          <w14:ligatures w14:val="none"/>
        </w:rPr>
        <w:t xml:space="preserve">Les BCP doivent être examinés par les points focaux du </w:t>
      </w:r>
      <w:r w:rsidRPr="004B42D7">
        <w:rPr>
          <w:rFonts w:ascii="Calibri" w:eastAsia="Calibri" w:hAnsi="Calibri" w:cs="Calibri"/>
          <w:b/>
          <w:color w:val="000000"/>
          <w:kern w:val="0"/>
          <w:lang w:val="fr-FR"/>
          <w14:ligatures w14:val="none"/>
        </w:rPr>
        <w:t>BCP</w:t>
      </w:r>
      <w:r w:rsidRPr="004B42D7">
        <w:rPr>
          <w:rFonts w:ascii="Calibri" w:eastAsia="Calibri" w:hAnsi="Calibri" w:cs="Calibri"/>
          <w:color w:val="000000"/>
          <w:kern w:val="0"/>
          <w:lang w:val="fr-FR"/>
          <w14:ligatures w14:val="none"/>
        </w:rPr>
        <w:t xml:space="preserve"> de l’unité / bureau ou bureau concerné au moins une fois par an ou de façon plus régulière, selon les conditions suivantes :</w:t>
      </w:r>
    </w:p>
    <w:p w14:paraId="13DD423B" w14:textId="77777777" w:rsidR="004B42D7" w:rsidRPr="004B42D7" w:rsidRDefault="004B42D7" w:rsidP="004B42D7">
      <w:pPr>
        <w:numPr>
          <w:ilvl w:val="0"/>
          <w:numId w:val="2"/>
        </w:numPr>
        <w:spacing w:after="0" w:line="240" w:lineRule="auto"/>
        <w:jc w:val="both"/>
        <w:rPr>
          <w:rFonts w:ascii="Calibri" w:eastAsia="Calibri" w:hAnsi="Calibri" w:cs="Calibri"/>
          <w:b/>
          <w:bCs/>
          <w:color w:val="000000"/>
          <w:kern w:val="0"/>
          <w:u w:val="single"/>
          <w:lang w:val="fr-FR"/>
          <w14:ligatures w14:val="none"/>
        </w:rPr>
      </w:pPr>
      <w:r w:rsidRPr="004B42D7">
        <w:rPr>
          <w:rFonts w:ascii="Calibri" w:eastAsia="Calibri" w:hAnsi="Calibri" w:cs="Calibri"/>
          <w:color w:val="000000"/>
          <w:kern w:val="0"/>
          <w:lang w:val="fr-FR"/>
          <w14:ligatures w14:val="none"/>
        </w:rPr>
        <w:t xml:space="preserve">Mise à jour des coordonnées ; </w:t>
      </w:r>
    </w:p>
    <w:p w14:paraId="2A42941F" w14:textId="77777777" w:rsidR="004B42D7" w:rsidRPr="004B42D7" w:rsidRDefault="004B42D7" w:rsidP="004B42D7">
      <w:pPr>
        <w:numPr>
          <w:ilvl w:val="0"/>
          <w:numId w:val="2"/>
        </w:numPr>
        <w:spacing w:after="0" w:line="240" w:lineRule="auto"/>
        <w:jc w:val="both"/>
        <w:rPr>
          <w:rFonts w:ascii="Calibri" w:eastAsia="Calibri" w:hAnsi="Calibri" w:cs="Calibri"/>
          <w:b/>
          <w:bCs/>
          <w:color w:val="000000"/>
          <w:kern w:val="0"/>
          <w:u w:val="single"/>
          <w:lang w:val="fr-FR"/>
          <w14:ligatures w14:val="none"/>
        </w:rPr>
      </w:pPr>
      <w:r w:rsidRPr="004B42D7">
        <w:rPr>
          <w:rFonts w:ascii="Calibri" w:eastAsia="Calibri" w:hAnsi="Calibri" w:cs="Calibri"/>
          <w:color w:val="000000"/>
          <w:kern w:val="0"/>
          <w:lang w:val="fr-FR"/>
          <w14:ligatures w14:val="none"/>
        </w:rPr>
        <w:t xml:space="preserve">À la suite d’un changement dans la structure de l’Organisation et/ou dans l’office/ unité, </w:t>
      </w:r>
      <w:proofErr w:type="gramStart"/>
      <w:r w:rsidRPr="004B42D7">
        <w:rPr>
          <w:rFonts w:ascii="Calibri" w:eastAsia="Calibri" w:hAnsi="Calibri" w:cs="Calibri"/>
          <w:color w:val="000000"/>
          <w:kern w:val="0"/>
          <w:lang w:val="fr-FR"/>
          <w14:ligatures w14:val="none"/>
        </w:rPr>
        <w:t>bureau;</w:t>
      </w:r>
      <w:proofErr w:type="gramEnd"/>
    </w:p>
    <w:p w14:paraId="57393610" w14:textId="77777777" w:rsidR="004B42D7" w:rsidRPr="004B42D7" w:rsidRDefault="004B42D7" w:rsidP="004B42D7">
      <w:pPr>
        <w:numPr>
          <w:ilvl w:val="0"/>
          <w:numId w:val="2"/>
        </w:numPr>
        <w:spacing w:after="0" w:line="240" w:lineRule="auto"/>
        <w:jc w:val="both"/>
        <w:rPr>
          <w:rFonts w:ascii="Calibri" w:eastAsia="Calibri" w:hAnsi="Calibri" w:cs="Calibri"/>
          <w:b/>
          <w:bCs/>
          <w:color w:val="000000"/>
          <w:kern w:val="0"/>
          <w:u w:val="single"/>
          <w:lang w:val="fr-FR"/>
          <w14:ligatures w14:val="none"/>
        </w:rPr>
      </w:pPr>
      <w:r w:rsidRPr="004B42D7">
        <w:rPr>
          <w:rFonts w:ascii="Calibri" w:eastAsia="Calibri" w:hAnsi="Calibri" w:cs="Calibri"/>
          <w:color w:val="000000"/>
          <w:kern w:val="0"/>
          <w:lang w:val="fr-FR"/>
          <w14:ligatures w14:val="none"/>
        </w:rPr>
        <w:t>À la suite d’un changement intervenu sur le plan de la dotation en personnel, notamment le personnel indispensable ;</w:t>
      </w:r>
    </w:p>
    <w:p w14:paraId="48DBE49F" w14:textId="77777777" w:rsidR="004B42D7" w:rsidRPr="004B42D7" w:rsidRDefault="004B42D7" w:rsidP="004B42D7">
      <w:pPr>
        <w:numPr>
          <w:ilvl w:val="0"/>
          <w:numId w:val="2"/>
        </w:numPr>
        <w:spacing w:after="0" w:line="240" w:lineRule="auto"/>
        <w:jc w:val="both"/>
        <w:rPr>
          <w:rFonts w:ascii="Calibri" w:eastAsia="Calibri" w:hAnsi="Calibri" w:cs="Calibri"/>
          <w:b/>
          <w:bCs/>
          <w:color w:val="000000"/>
          <w:kern w:val="0"/>
          <w:u w:val="single"/>
          <w:lang w:val="fr-FR"/>
          <w14:ligatures w14:val="none"/>
        </w:rPr>
      </w:pPr>
      <w:r w:rsidRPr="004B42D7">
        <w:rPr>
          <w:rFonts w:ascii="Calibri" w:eastAsia="Calibri" w:hAnsi="Calibri" w:cs="Calibri"/>
          <w:color w:val="000000"/>
          <w:kern w:val="0"/>
          <w:lang w:val="fr-FR"/>
          <w14:ligatures w14:val="none"/>
        </w:rPr>
        <w:t>En réponse à une nouvelle évaluation importante et à une évaluation des risques, ou à un incident/une crise ; et ;</w:t>
      </w:r>
    </w:p>
    <w:p w14:paraId="36DE7550" w14:textId="77777777" w:rsidR="004B42D7" w:rsidRPr="004B42D7" w:rsidRDefault="004B42D7" w:rsidP="004B42D7">
      <w:pPr>
        <w:numPr>
          <w:ilvl w:val="0"/>
          <w:numId w:val="2"/>
        </w:numPr>
        <w:spacing w:after="0" w:line="240" w:lineRule="auto"/>
        <w:jc w:val="both"/>
        <w:rPr>
          <w:rFonts w:ascii="Calibri" w:eastAsia="Calibri" w:hAnsi="Calibri" w:cs="Calibri"/>
          <w:b/>
          <w:bCs/>
          <w:color w:val="000000"/>
          <w:kern w:val="0"/>
          <w:u w:val="single"/>
          <w:lang w:val="fr-FR"/>
          <w14:ligatures w14:val="none"/>
        </w:rPr>
      </w:pPr>
      <w:r w:rsidRPr="004B42D7">
        <w:rPr>
          <w:rFonts w:ascii="Calibri" w:eastAsia="Calibri" w:hAnsi="Calibri" w:cs="Calibri"/>
          <w:color w:val="000000"/>
          <w:kern w:val="0"/>
          <w:lang w:val="fr-FR"/>
          <w14:ligatures w14:val="none"/>
        </w:rPr>
        <w:t>Modifications des exigences réglementaires nationales.</w:t>
      </w:r>
    </w:p>
    <w:p w14:paraId="0F4757D4" w14:textId="77777777" w:rsidR="004B42D7" w:rsidRPr="004B42D7" w:rsidRDefault="004B42D7" w:rsidP="004B42D7">
      <w:pPr>
        <w:spacing w:after="0" w:line="240" w:lineRule="auto"/>
        <w:ind w:left="360"/>
        <w:jc w:val="both"/>
        <w:rPr>
          <w:rFonts w:ascii="Calibri" w:eastAsia="Calibri" w:hAnsi="Calibri" w:cs="Calibri"/>
          <w:color w:val="000000"/>
          <w:kern w:val="0"/>
          <w:lang w:val="fr-FR"/>
          <w14:ligatures w14:val="none"/>
        </w:rPr>
      </w:pPr>
    </w:p>
    <w:p w14:paraId="3F012AB8" w14:textId="77777777" w:rsidR="004B42D7" w:rsidRPr="004B42D7" w:rsidRDefault="004B42D7" w:rsidP="004B42D7">
      <w:pPr>
        <w:numPr>
          <w:ilvl w:val="0"/>
          <w:numId w:val="7"/>
        </w:numPr>
        <w:spacing w:after="0" w:line="240" w:lineRule="auto"/>
        <w:jc w:val="both"/>
        <w:rPr>
          <w:rFonts w:ascii="Calibri" w:eastAsia="Calibri" w:hAnsi="Calibri" w:cs="Calibri"/>
          <w:color w:val="000000"/>
          <w:kern w:val="0"/>
          <w:sz w:val="22"/>
          <w:szCs w:val="22"/>
          <w:lang w:val="fr-FR"/>
          <w14:ligatures w14:val="none"/>
        </w:rPr>
      </w:pPr>
      <w:r w:rsidRPr="004B42D7">
        <w:rPr>
          <w:rFonts w:ascii="Calibri" w:eastAsia="Calibri" w:hAnsi="Calibri" w:cs="Calibri"/>
          <w:color w:val="000000"/>
          <w:kern w:val="0"/>
          <w:lang w:val="fr-FR"/>
          <w14:ligatures w14:val="none"/>
        </w:rPr>
        <w:t xml:space="preserve">Le BCP doit être testé au moins une fois par an. La portée de l'exercice peut varier en fonction du contexte national et de l'évaluation des risques. </w:t>
      </w:r>
    </w:p>
    <w:p w14:paraId="2AD0B25B" w14:textId="77777777" w:rsidR="004B42D7" w:rsidRPr="004B42D7" w:rsidRDefault="004B42D7" w:rsidP="004B42D7">
      <w:pPr>
        <w:spacing w:after="0" w:line="240" w:lineRule="auto"/>
        <w:ind w:left="360"/>
        <w:jc w:val="both"/>
        <w:rPr>
          <w:rFonts w:ascii="Calibri" w:eastAsia="Calibri" w:hAnsi="Calibri" w:cs="Calibri"/>
          <w:color w:val="000000"/>
          <w:kern w:val="0"/>
          <w:sz w:val="22"/>
          <w:szCs w:val="22"/>
          <w:lang w:val="fr-FR"/>
          <w14:ligatures w14:val="none"/>
        </w:rPr>
      </w:pPr>
    </w:p>
    <w:p w14:paraId="23571AE9" w14:textId="77777777" w:rsidR="004B42D7" w:rsidRPr="004B42D7" w:rsidRDefault="004B42D7" w:rsidP="004B42D7">
      <w:pPr>
        <w:numPr>
          <w:ilvl w:val="0"/>
          <w:numId w:val="7"/>
        </w:numPr>
        <w:spacing w:after="0" w:line="240" w:lineRule="auto"/>
        <w:jc w:val="both"/>
        <w:rPr>
          <w:rFonts w:ascii="Calibri" w:eastAsia="Calibri" w:hAnsi="Calibri" w:cs="Calibri"/>
          <w:color w:val="000000"/>
          <w:kern w:val="0"/>
          <w:sz w:val="22"/>
          <w:szCs w:val="22"/>
          <w:lang w:val="fr-FR"/>
          <w14:ligatures w14:val="none"/>
        </w:rPr>
      </w:pPr>
      <w:r w:rsidRPr="004B42D7">
        <w:rPr>
          <w:rFonts w:ascii="Calibri" w:eastAsia="Calibri" w:hAnsi="Calibri" w:cs="Calibri"/>
          <w:color w:val="000000"/>
          <w:kern w:val="0"/>
          <w:lang w:val="fr-FR"/>
          <w14:ligatures w14:val="none"/>
        </w:rPr>
        <w:t>Le matériel de formation BCM et le guide correspondant sont mis à la disposition des points focaux BCP sur le site BCM</w:t>
      </w:r>
      <w:r w:rsidRPr="004B42D7">
        <w:rPr>
          <w:rFonts w:ascii="Calibri" w:eastAsia="Calibri" w:hAnsi="Calibri" w:cs="Calibri"/>
          <w:color w:val="000000"/>
          <w:kern w:val="0"/>
          <w:sz w:val="22"/>
          <w:szCs w:val="22"/>
          <w:lang w:val="fr-FR"/>
          <w14:ligatures w14:val="none"/>
        </w:rPr>
        <w:t>.</w:t>
      </w:r>
    </w:p>
    <w:p w14:paraId="5FB02BEB" w14:textId="77777777" w:rsidR="004B42D7" w:rsidRPr="004B42D7" w:rsidRDefault="004B42D7" w:rsidP="004B42D7">
      <w:pPr>
        <w:spacing w:line="259" w:lineRule="auto"/>
        <w:rPr>
          <w:rFonts w:ascii="Calibri" w:eastAsia="Calibri" w:hAnsi="Calibri" w:cs="Calibri"/>
          <w:color w:val="000000"/>
          <w:kern w:val="0"/>
          <w:sz w:val="22"/>
          <w:szCs w:val="22"/>
          <w:lang w:val="fr-FR"/>
          <w14:ligatures w14:val="none"/>
        </w:rPr>
      </w:pPr>
    </w:p>
    <w:p w14:paraId="0491B6F5" w14:textId="77777777" w:rsidR="004B42D7" w:rsidRPr="004B42D7" w:rsidRDefault="004B42D7" w:rsidP="004B42D7">
      <w:pPr>
        <w:spacing w:line="259" w:lineRule="auto"/>
        <w:rPr>
          <w:rFonts w:ascii="Calibri" w:eastAsia="Calibri" w:hAnsi="Calibri" w:cs="Calibri"/>
          <w:color w:val="000000"/>
          <w:kern w:val="0"/>
          <w:sz w:val="22"/>
          <w:szCs w:val="22"/>
          <w:lang w:val="fr-FR"/>
          <w14:ligatures w14:val="none"/>
        </w:rPr>
      </w:pPr>
    </w:p>
    <w:p w14:paraId="257AC4AD" w14:textId="77777777" w:rsidR="004B42D7" w:rsidRPr="00A20DFF" w:rsidRDefault="004B42D7" w:rsidP="004B42D7">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t>Avertissement</w:t>
      </w:r>
      <w:r>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71D7D7C4" w14:textId="77777777" w:rsidR="004B42D7" w:rsidRPr="00A20DFF" w:rsidRDefault="004B42D7" w:rsidP="004B42D7">
      <w:pPr>
        <w:shd w:val="clear" w:color="auto" w:fill="FFFFFF"/>
        <w:spacing w:after="0" w:line="240" w:lineRule="auto"/>
        <w:rPr>
          <w:rFonts w:ascii="Calibri" w:eastAsia="Times New Roman" w:hAnsi="Calibri" w:cs="Times New Roman"/>
          <w:i/>
          <w:color w:val="000000"/>
          <w:kern w:val="0"/>
          <w:lang w:val="fr-FR"/>
          <w14:ligatures w14:val="none"/>
        </w:rPr>
      </w:pPr>
    </w:p>
    <w:p w14:paraId="2C060EE8" w14:textId="05BC397A" w:rsidR="004B42D7" w:rsidRPr="004B42D7" w:rsidRDefault="004B42D7" w:rsidP="004B42D7">
      <w:pPr>
        <w:spacing w:line="259" w:lineRule="auto"/>
        <w:rPr>
          <w:rFonts w:ascii="Calibri" w:eastAsia="Calibri" w:hAnsi="Calibri" w:cs="Calibri"/>
          <w:color w:val="000000"/>
          <w:kern w:val="0"/>
          <w:sz w:val="22"/>
          <w:szCs w:val="22"/>
          <w:lang w:val="fr-FR"/>
          <w14:ligatures w14:val="none"/>
        </w:rPr>
      </w:pPr>
      <w:r w:rsidRPr="00A20DFF">
        <w:rPr>
          <w:rFonts w:ascii="Calibri" w:eastAsia="Times New Roman" w:hAnsi="Calibri" w:cs="Times New Roman"/>
          <w:b/>
          <w:bCs/>
          <w:i/>
          <w:color w:val="000000"/>
          <w:kern w:val="0"/>
          <w:sz w:val="22"/>
          <w:szCs w:val="22"/>
          <w:u w:val="single"/>
          <w:lang w:val="en-GB"/>
          <w14:ligatures w14:val="none"/>
        </w:rPr>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p w14:paraId="56077604" w14:textId="77777777" w:rsidR="00DA504D" w:rsidRDefault="00DA504D"/>
    <w:sectPr w:rsidR="00DA504D" w:rsidSect="004B42D7">
      <w:headerReference w:type="default" r:id="rId7"/>
      <w:footerReference w:type="even" r:id="rId8"/>
      <w:footerReference w:type="default" r:id="rId9"/>
      <w:headerReference w:type="first" r:id="rId10"/>
      <w:footerReference w:type="first" r:id="rId11"/>
      <w:pgSz w:w="11906" w:h="16838" w:code="9"/>
      <w:pgMar w:top="1440" w:right="1080" w:bottom="1440" w:left="1080" w:header="720" w:footer="95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C8FC" w14:textId="77777777" w:rsidR="00F242F6" w:rsidRDefault="00F242F6" w:rsidP="00F11EAD">
      <w:pPr>
        <w:spacing w:after="0" w:line="240" w:lineRule="auto"/>
      </w:pPr>
      <w:r>
        <w:separator/>
      </w:r>
    </w:p>
  </w:endnote>
  <w:endnote w:type="continuationSeparator" w:id="0">
    <w:p w14:paraId="185DE31D" w14:textId="77777777" w:rsidR="00F242F6" w:rsidRDefault="00F242F6" w:rsidP="00F1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EBC" w14:textId="77777777" w:rsidR="004B42D7" w:rsidRPr="009F5D42" w:rsidRDefault="004B42D7">
    <w:pPr>
      <w:spacing w:after="218"/>
      <w:ind w:left="336"/>
      <w:jc w:val="center"/>
    </w:pPr>
    <w:r w:rsidRPr="009F5D42">
      <w:fldChar w:fldCharType="begin"/>
    </w:r>
    <w:r w:rsidRPr="009F5D42">
      <w:instrText xml:space="preserve"> PAGE   \* MERGEFORMAT </w:instrText>
    </w:r>
    <w:r w:rsidRPr="009F5D42">
      <w:fldChar w:fldCharType="separate"/>
    </w:r>
    <w:r w:rsidRPr="005A4645">
      <w:t>9</w:t>
    </w:r>
    <w:r w:rsidRPr="009F5D42">
      <w:fldChar w:fldCharType="end"/>
    </w:r>
    <w:r w:rsidRPr="009F5D42">
      <w:t xml:space="preserve"> </w:t>
    </w:r>
  </w:p>
  <w:p w14:paraId="1E1EA493" w14:textId="77777777" w:rsidR="004B42D7" w:rsidRPr="009F5D42" w:rsidRDefault="004B42D7">
    <w:pPr>
      <w:spacing w:after="0"/>
    </w:pPr>
    <w:r w:rsidRPr="009F5D4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253A" w14:textId="001FA2E6" w:rsidR="004B42D7" w:rsidRPr="005A4645" w:rsidRDefault="004B42D7">
    <w:pPr>
      <w:spacing w:after="0"/>
    </w:pPr>
    <w:r w:rsidRPr="00FA510A">
      <w:rPr>
        <w:rFonts w:ascii="Calibri" w:hAnsi="Calibri" w:cs="Calibri"/>
      </w:rPr>
      <w:t xml:space="preserve">Page </w:t>
    </w:r>
    <w:r w:rsidRPr="00FA510A">
      <w:rPr>
        <w:rFonts w:ascii="Calibri" w:hAnsi="Calibri" w:cs="Calibri"/>
        <w:b/>
        <w:bCs/>
      </w:rPr>
      <w:fldChar w:fldCharType="begin"/>
    </w:r>
    <w:r w:rsidRPr="00FA510A">
      <w:rPr>
        <w:rFonts w:ascii="Calibri" w:hAnsi="Calibri" w:cs="Calibri"/>
        <w:b/>
        <w:bCs/>
      </w:rPr>
      <w:instrText xml:space="preserve"> PAGE  \* Arabic  \* MERGEFORMAT </w:instrText>
    </w:r>
    <w:r w:rsidRPr="00FA510A">
      <w:rPr>
        <w:rFonts w:ascii="Calibri" w:hAnsi="Calibri" w:cs="Calibri"/>
        <w:b/>
        <w:bCs/>
      </w:rPr>
      <w:fldChar w:fldCharType="separate"/>
    </w:r>
    <w:r w:rsidRPr="00FA510A">
      <w:rPr>
        <w:rFonts w:ascii="Calibri" w:hAnsi="Calibri" w:cs="Calibri"/>
        <w:b/>
        <w:bCs/>
      </w:rPr>
      <w:t>8</w:t>
    </w:r>
    <w:r w:rsidRPr="00FA510A">
      <w:rPr>
        <w:rFonts w:ascii="Calibri" w:hAnsi="Calibri" w:cs="Calibri"/>
        <w:b/>
        <w:bCs/>
      </w:rPr>
      <w:fldChar w:fldCharType="end"/>
    </w:r>
    <w:r w:rsidRPr="00FA510A">
      <w:rPr>
        <w:rFonts w:ascii="Calibri" w:hAnsi="Calibri" w:cs="Calibri"/>
      </w:rPr>
      <w:t xml:space="preserve"> de </w:t>
    </w:r>
    <w:r w:rsidRPr="00FA510A">
      <w:rPr>
        <w:rFonts w:ascii="Calibri" w:hAnsi="Calibri" w:cs="Calibri"/>
        <w:b/>
        <w:bCs/>
      </w:rPr>
      <w:fldChar w:fldCharType="begin"/>
    </w:r>
    <w:r w:rsidRPr="00FA510A">
      <w:rPr>
        <w:rFonts w:ascii="Calibri" w:hAnsi="Calibri" w:cs="Calibri"/>
        <w:b/>
        <w:bCs/>
      </w:rPr>
      <w:instrText xml:space="preserve"> NUMPAGES  \* Arabic  \* MERGEFORMAT </w:instrText>
    </w:r>
    <w:r w:rsidRPr="00FA510A">
      <w:rPr>
        <w:rFonts w:ascii="Calibri" w:hAnsi="Calibri" w:cs="Calibri"/>
        <w:b/>
        <w:bCs/>
      </w:rPr>
      <w:fldChar w:fldCharType="separate"/>
    </w:r>
    <w:r w:rsidRPr="00FA510A">
      <w:rPr>
        <w:rFonts w:ascii="Calibri" w:hAnsi="Calibri" w:cs="Calibri"/>
        <w:b/>
        <w:bCs/>
      </w:rPr>
      <w:t>8</w:t>
    </w:r>
    <w:r w:rsidRPr="00FA510A">
      <w:rPr>
        <w:rFonts w:ascii="Calibri" w:hAnsi="Calibri" w:cs="Calibri"/>
        <w:b/>
        <w:bCs/>
      </w:rPr>
      <w:fldChar w:fldCharType="end"/>
    </w:r>
    <w:r w:rsidRPr="00FA510A">
      <w:rPr>
        <w:rFonts w:ascii="Calibri" w:hAnsi="Calibri" w:cs="Calibri"/>
      </w:rPr>
      <w:ptab w:relativeTo="margin" w:alignment="center" w:leader="none"/>
    </w:r>
    <w:r w:rsidRPr="00FA510A">
      <w:rPr>
        <w:rFonts w:ascii="Calibri" w:hAnsi="Calibri" w:cs="Calibri"/>
      </w:rPr>
      <w:t xml:space="preserve">Date </w:t>
    </w:r>
    <w:proofErr w:type="spellStart"/>
    <w:r w:rsidRPr="00FA510A">
      <w:rPr>
        <w:rFonts w:ascii="Calibri" w:hAnsi="Calibri" w:cs="Calibri"/>
      </w:rPr>
      <w:t>d’entrée</w:t>
    </w:r>
    <w:proofErr w:type="spellEnd"/>
    <w:r w:rsidRPr="00FA510A">
      <w:rPr>
        <w:rFonts w:ascii="Calibri" w:hAnsi="Calibri" w:cs="Calibri"/>
      </w:rPr>
      <w:t xml:space="preserve"> </w:t>
    </w:r>
    <w:proofErr w:type="spellStart"/>
    <w:r w:rsidRPr="00FA510A">
      <w:rPr>
        <w:rFonts w:ascii="Calibri" w:hAnsi="Calibri" w:cs="Calibri"/>
      </w:rPr>
      <w:t>en</w:t>
    </w:r>
    <w:proofErr w:type="spellEnd"/>
    <w:r w:rsidRPr="00FA510A">
      <w:rPr>
        <w:rFonts w:ascii="Calibri" w:hAnsi="Calibri" w:cs="Calibri"/>
      </w:rPr>
      <w:t xml:space="preserve"> </w:t>
    </w:r>
    <w:proofErr w:type="spellStart"/>
    <w:proofErr w:type="gramStart"/>
    <w:r w:rsidRPr="00FA510A">
      <w:rPr>
        <w:rFonts w:ascii="Calibri" w:hAnsi="Calibri" w:cs="Calibri"/>
      </w:rPr>
      <w:t>vigueur</w:t>
    </w:r>
    <w:proofErr w:type="spellEnd"/>
    <w:r w:rsidRPr="00FA510A">
      <w:rPr>
        <w:rFonts w:ascii="Calibri" w:hAnsi="Calibri" w:cs="Calibri"/>
      </w:rPr>
      <w:t xml:space="preserve"> :</w:t>
    </w:r>
    <w:proofErr w:type="gramEnd"/>
    <w:r w:rsidRPr="00FA510A">
      <w:rPr>
        <w:rFonts w:ascii="Calibri" w:hAnsi="Calibri" w:cs="Calibri"/>
      </w:rPr>
      <w:t xml:space="preserve"> 30/10/2024</w:t>
    </w:r>
    <w:r w:rsidRPr="00FA510A">
      <w:rPr>
        <w:rFonts w:ascii="Calibri" w:hAnsi="Calibri" w:cs="Calibri"/>
      </w:rPr>
      <w:ptab w:relativeTo="margin" w:alignment="right" w:leader="none"/>
    </w:r>
    <w:r w:rsidRPr="00FA510A">
      <w:rPr>
        <w:rFonts w:ascii="Calibri" w:hAnsi="Calibri" w:cs="Calibri"/>
      </w:rPr>
      <w:t xml:space="preserve">Version </w:t>
    </w:r>
    <w:proofErr w:type="gramStart"/>
    <w:r w:rsidRPr="00FA510A">
      <w:rPr>
        <w:rFonts w:ascii="Calibri" w:hAnsi="Calibri" w:cs="Calibri"/>
      </w:rPr>
      <w:t># :</w:t>
    </w:r>
    <w:proofErr w:type="gramEnd"/>
    <w:r w:rsidRPr="00FA510A">
      <w:rPr>
        <w:rFonts w:ascii="Calibri" w:hAnsi="Calibri" w:cs="Calibri"/>
      </w:rPr>
      <w:t xml:space="preserve"> 5</w:t>
    </w:r>
    <w:r w:rsidRPr="009F5D42">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0EBF" w14:textId="77777777" w:rsidR="004B42D7" w:rsidRPr="009F5D42" w:rsidRDefault="004B42D7" w:rsidP="00F66694">
    <w:pPr>
      <w:spacing w:after="218"/>
    </w:pPr>
  </w:p>
  <w:p w14:paraId="52EAAAF3" w14:textId="77777777" w:rsidR="004B42D7" w:rsidRPr="009F5D42" w:rsidRDefault="004B42D7">
    <w:pPr>
      <w:spacing w:after="0"/>
    </w:pPr>
    <w:r w:rsidRPr="009F5D4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2D78" w14:textId="77777777" w:rsidR="00F242F6" w:rsidRDefault="00F242F6" w:rsidP="00F11EAD">
      <w:pPr>
        <w:spacing w:after="0" w:line="240" w:lineRule="auto"/>
      </w:pPr>
      <w:r>
        <w:separator/>
      </w:r>
    </w:p>
  </w:footnote>
  <w:footnote w:type="continuationSeparator" w:id="0">
    <w:p w14:paraId="2E161D6A" w14:textId="77777777" w:rsidR="00F242F6" w:rsidRDefault="00F242F6" w:rsidP="00F11EAD">
      <w:pPr>
        <w:spacing w:after="0" w:line="240" w:lineRule="auto"/>
      </w:pPr>
      <w:r>
        <w:continuationSeparator/>
      </w:r>
    </w:p>
  </w:footnote>
  <w:footnote w:id="1">
    <w:p w14:paraId="5692AB6B" w14:textId="41824C2E" w:rsidR="004B42D7" w:rsidRPr="00FA510A" w:rsidRDefault="004B42D7" w:rsidP="004B42D7">
      <w:pPr>
        <w:pStyle w:val="FootnoteText"/>
        <w:rPr>
          <w:rFonts w:ascii="Calibri" w:hAnsi="Calibri" w:cs="Calibri"/>
        </w:rPr>
      </w:pPr>
      <w:r w:rsidRPr="00FA510A">
        <w:rPr>
          <w:rStyle w:val="FootnoteReference"/>
          <w:rFonts w:ascii="Calibri" w:hAnsi="Calibri" w:cs="Calibri"/>
        </w:rPr>
        <w:footnoteRef/>
      </w:r>
      <w:r w:rsidRPr="00FA510A">
        <w:rPr>
          <w:rFonts w:ascii="Calibri" w:hAnsi="Calibri" w:cs="Calibri"/>
        </w:rPr>
        <w:t xml:space="preserve"> Le cadre de </w:t>
      </w:r>
      <w:proofErr w:type="spellStart"/>
      <w:r w:rsidRPr="00FA510A">
        <w:rPr>
          <w:rFonts w:ascii="Calibri" w:hAnsi="Calibri" w:cs="Calibri"/>
        </w:rPr>
        <w:t>criticité</w:t>
      </w:r>
      <w:proofErr w:type="spellEnd"/>
      <w:r w:rsidRPr="00FA510A">
        <w:rPr>
          <w:rFonts w:ascii="Calibri" w:hAnsi="Calibri" w:cs="Calibri"/>
        </w:rPr>
        <w:t xml:space="preserve"> des </w:t>
      </w:r>
      <w:proofErr w:type="spellStart"/>
      <w:r w:rsidRPr="00FA510A">
        <w:rPr>
          <w:rFonts w:ascii="Calibri" w:hAnsi="Calibri" w:cs="Calibri"/>
        </w:rPr>
        <w:t>programmes</w:t>
      </w:r>
      <w:proofErr w:type="spellEnd"/>
      <w:r w:rsidRPr="00FA510A">
        <w:rPr>
          <w:rFonts w:ascii="Calibri" w:hAnsi="Calibri" w:cs="Calibri"/>
        </w:rPr>
        <w:t xml:space="preserve"> est </w:t>
      </w:r>
      <w:proofErr w:type="spellStart"/>
      <w:r w:rsidRPr="00FA510A">
        <w:rPr>
          <w:rFonts w:ascii="Calibri" w:hAnsi="Calibri" w:cs="Calibri"/>
        </w:rPr>
        <w:t>une</w:t>
      </w:r>
      <w:proofErr w:type="spellEnd"/>
      <w:r w:rsidRPr="00FA510A">
        <w:rPr>
          <w:rFonts w:ascii="Calibri" w:hAnsi="Calibri" w:cs="Calibri"/>
        </w:rPr>
        <w:t xml:space="preserve"> politique commune du </w:t>
      </w:r>
      <w:proofErr w:type="spellStart"/>
      <w:r w:rsidRPr="00FA510A">
        <w:rPr>
          <w:rFonts w:ascii="Calibri" w:hAnsi="Calibri" w:cs="Calibri"/>
        </w:rPr>
        <w:t>système</w:t>
      </w:r>
      <w:proofErr w:type="spellEnd"/>
      <w:r w:rsidRPr="00FA510A">
        <w:rPr>
          <w:rFonts w:ascii="Calibri" w:hAnsi="Calibri" w:cs="Calibri"/>
        </w:rPr>
        <w:t xml:space="preserve"> des Nations </w:t>
      </w:r>
      <w:proofErr w:type="spellStart"/>
      <w:r w:rsidRPr="00FA510A">
        <w:rPr>
          <w:rFonts w:ascii="Calibri" w:hAnsi="Calibri" w:cs="Calibri"/>
        </w:rPr>
        <w:t>unies</w:t>
      </w:r>
      <w:proofErr w:type="spellEnd"/>
      <w:r w:rsidRPr="00FA510A">
        <w:rPr>
          <w:rFonts w:ascii="Calibri" w:hAnsi="Calibri" w:cs="Calibri"/>
        </w:rPr>
        <w:t xml:space="preserve"> pour la </w:t>
      </w:r>
      <w:proofErr w:type="spellStart"/>
      <w:r w:rsidRPr="00FA510A">
        <w:rPr>
          <w:rFonts w:ascii="Calibri" w:hAnsi="Calibri" w:cs="Calibri"/>
        </w:rPr>
        <w:t>prise</w:t>
      </w:r>
      <w:proofErr w:type="spellEnd"/>
      <w:r w:rsidRPr="00FA510A">
        <w:rPr>
          <w:rFonts w:ascii="Calibri" w:hAnsi="Calibri" w:cs="Calibri"/>
        </w:rPr>
        <w:t xml:space="preserve"> de </w:t>
      </w:r>
      <w:proofErr w:type="spellStart"/>
      <w:r w:rsidRPr="00FA510A">
        <w:rPr>
          <w:rFonts w:ascii="Calibri" w:hAnsi="Calibri" w:cs="Calibri"/>
        </w:rPr>
        <w:t>décision</w:t>
      </w:r>
      <w:proofErr w:type="spellEnd"/>
      <w:r w:rsidRPr="00FA510A">
        <w:rPr>
          <w:rFonts w:ascii="Calibri" w:hAnsi="Calibri" w:cs="Calibri"/>
        </w:rPr>
        <w:t xml:space="preserve"> sur les </w:t>
      </w:r>
      <w:proofErr w:type="spellStart"/>
      <w:r w:rsidRPr="00FA510A">
        <w:rPr>
          <w:rFonts w:ascii="Calibri" w:hAnsi="Calibri" w:cs="Calibri"/>
        </w:rPr>
        <w:t>risques</w:t>
      </w:r>
      <w:proofErr w:type="spellEnd"/>
      <w:r w:rsidRPr="00FA510A">
        <w:rPr>
          <w:rFonts w:ascii="Calibri" w:hAnsi="Calibri" w:cs="Calibri"/>
        </w:rPr>
        <w:t xml:space="preserve"> </w:t>
      </w:r>
      <w:proofErr w:type="spellStart"/>
      <w:r w:rsidRPr="00FA510A">
        <w:rPr>
          <w:rFonts w:ascii="Calibri" w:hAnsi="Calibri" w:cs="Calibri"/>
        </w:rPr>
        <w:t>acceptables</w:t>
      </w:r>
      <w:proofErr w:type="spellEnd"/>
      <w:r w:rsidRPr="00FA510A">
        <w:rPr>
          <w:rFonts w:ascii="Calibri" w:hAnsi="Calibri" w:cs="Calibri"/>
        </w:rPr>
        <w:t xml:space="preserve">. Il met </w:t>
      </w:r>
      <w:proofErr w:type="spellStart"/>
      <w:r w:rsidRPr="00FA510A">
        <w:rPr>
          <w:rFonts w:ascii="Calibri" w:hAnsi="Calibri" w:cs="Calibri"/>
        </w:rPr>
        <w:t>en</w:t>
      </w:r>
      <w:proofErr w:type="spellEnd"/>
      <w:r w:rsidRPr="00FA510A">
        <w:rPr>
          <w:rFonts w:ascii="Calibri" w:hAnsi="Calibri" w:cs="Calibri"/>
        </w:rPr>
        <w:t xml:space="preserve"> place des principes </w:t>
      </w:r>
      <w:proofErr w:type="spellStart"/>
      <w:r w:rsidRPr="00FA510A">
        <w:rPr>
          <w:rFonts w:ascii="Calibri" w:hAnsi="Calibri" w:cs="Calibri"/>
        </w:rPr>
        <w:t>directeurs</w:t>
      </w:r>
      <w:proofErr w:type="spellEnd"/>
      <w:r w:rsidRPr="00FA510A">
        <w:rPr>
          <w:rFonts w:ascii="Calibri" w:hAnsi="Calibri" w:cs="Calibri"/>
        </w:rPr>
        <w:t xml:space="preserve"> et </w:t>
      </w:r>
      <w:proofErr w:type="spellStart"/>
      <w:r w:rsidRPr="00FA510A">
        <w:rPr>
          <w:rFonts w:ascii="Calibri" w:hAnsi="Calibri" w:cs="Calibri"/>
        </w:rPr>
        <w:t>une</w:t>
      </w:r>
      <w:proofErr w:type="spellEnd"/>
      <w:r w:rsidRPr="00FA510A">
        <w:rPr>
          <w:rFonts w:ascii="Calibri" w:hAnsi="Calibri" w:cs="Calibri"/>
        </w:rPr>
        <w:t xml:space="preserve"> </w:t>
      </w:r>
      <w:proofErr w:type="spellStart"/>
      <w:r w:rsidRPr="00FA510A">
        <w:rPr>
          <w:rFonts w:ascii="Calibri" w:hAnsi="Calibri" w:cs="Calibri"/>
        </w:rPr>
        <w:t>approche</w:t>
      </w:r>
      <w:proofErr w:type="spellEnd"/>
      <w:r w:rsidRPr="00FA510A">
        <w:rPr>
          <w:rFonts w:ascii="Calibri" w:hAnsi="Calibri" w:cs="Calibri"/>
        </w:rPr>
        <w:t xml:space="preserve"> </w:t>
      </w:r>
      <w:proofErr w:type="spellStart"/>
      <w:r w:rsidRPr="00FA510A">
        <w:rPr>
          <w:rFonts w:ascii="Calibri" w:hAnsi="Calibri" w:cs="Calibri"/>
        </w:rPr>
        <w:t>systématique</w:t>
      </w:r>
      <w:proofErr w:type="spellEnd"/>
      <w:r w:rsidRPr="00FA510A">
        <w:rPr>
          <w:rFonts w:ascii="Calibri" w:hAnsi="Calibri" w:cs="Calibri"/>
        </w:rPr>
        <w:t xml:space="preserve"> et </w:t>
      </w:r>
      <w:proofErr w:type="spellStart"/>
      <w:r w:rsidRPr="00FA510A">
        <w:rPr>
          <w:rFonts w:ascii="Calibri" w:hAnsi="Calibri" w:cs="Calibri"/>
        </w:rPr>
        <w:t>structurée</w:t>
      </w:r>
      <w:proofErr w:type="spellEnd"/>
      <w:r w:rsidRPr="00FA510A">
        <w:rPr>
          <w:rFonts w:ascii="Calibri" w:hAnsi="Calibri" w:cs="Calibri"/>
        </w:rPr>
        <w:t xml:space="preserve"> pour </w:t>
      </w:r>
      <w:proofErr w:type="spellStart"/>
      <w:r w:rsidRPr="00FA510A">
        <w:rPr>
          <w:rFonts w:ascii="Calibri" w:hAnsi="Calibri" w:cs="Calibri"/>
        </w:rPr>
        <w:t>garantir</w:t>
      </w:r>
      <w:proofErr w:type="spellEnd"/>
      <w:r w:rsidRPr="00FA510A">
        <w:rPr>
          <w:rFonts w:ascii="Calibri" w:hAnsi="Calibri" w:cs="Calibri"/>
        </w:rPr>
        <w:t xml:space="preserve"> </w:t>
      </w:r>
      <w:proofErr w:type="spellStart"/>
      <w:r w:rsidRPr="00FA510A">
        <w:rPr>
          <w:rFonts w:ascii="Calibri" w:hAnsi="Calibri" w:cs="Calibri"/>
        </w:rPr>
        <w:t>que</w:t>
      </w:r>
      <w:proofErr w:type="spellEnd"/>
      <w:r w:rsidRPr="00FA510A">
        <w:rPr>
          <w:rFonts w:ascii="Calibri" w:hAnsi="Calibri" w:cs="Calibri"/>
        </w:rPr>
        <w:t xml:space="preserve"> les </w:t>
      </w:r>
      <w:proofErr w:type="spellStart"/>
      <w:r w:rsidRPr="00FA510A">
        <w:rPr>
          <w:rFonts w:ascii="Calibri" w:hAnsi="Calibri" w:cs="Calibri"/>
        </w:rPr>
        <w:t>activités</w:t>
      </w:r>
      <w:proofErr w:type="spellEnd"/>
      <w:r w:rsidRPr="00FA510A">
        <w:rPr>
          <w:rFonts w:ascii="Calibri" w:hAnsi="Calibri" w:cs="Calibri"/>
        </w:rPr>
        <w:t xml:space="preserve"> </w:t>
      </w:r>
      <w:proofErr w:type="spellStart"/>
      <w:r w:rsidRPr="00FA510A">
        <w:rPr>
          <w:rFonts w:ascii="Calibri" w:hAnsi="Calibri" w:cs="Calibri"/>
        </w:rPr>
        <w:t>impliquant</w:t>
      </w:r>
      <w:proofErr w:type="spellEnd"/>
      <w:r w:rsidRPr="00FA510A">
        <w:rPr>
          <w:rFonts w:ascii="Calibri" w:hAnsi="Calibri" w:cs="Calibri"/>
        </w:rPr>
        <w:t xml:space="preserve"> le personnel des Nations </w:t>
      </w:r>
      <w:proofErr w:type="spellStart"/>
      <w:r w:rsidRPr="00FA510A">
        <w:rPr>
          <w:rFonts w:ascii="Calibri" w:hAnsi="Calibri" w:cs="Calibri"/>
        </w:rPr>
        <w:t>Unies</w:t>
      </w:r>
      <w:proofErr w:type="spellEnd"/>
      <w:r w:rsidRPr="00FA510A">
        <w:rPr>
          <w:rFonts w:ascii="Calibri" w:hAnsi="Calibri" w:cs="Calibri"/>
        </w:rPr>
        <w:t xml:space="preserve"> </w:t>
      </w:r>
      <w:proofErr w:type="spellStart"/>
      <w:r w:rsidRPr="00FA510A">
        <w:rPr>
          <w:rFonts w:ascii="Calibri" w:hAnsi="Calibri" w:cs="Calibri"/>
        </w:rPr>
        <w:t>puissent</w:t>
      </w:r>
      <w:proofErr w:type="spellEnd"/>
      <w:r w:rsidRPr="00FA510A">
        <w:rPr>
          <w:rFonts w:ascii="Calibri" w:hAnsi="Calibri" w:cs="Calibri"/>
        </w:rPr>
        <w:t xml:space="preserve"> </w:t>
      </w:r>
      <w:proofErr w:type="spellStart"/>
      <w:r w:rsidRPr="00FA510A">
        <w:rPr>
          <w:rFonts w:ascii="Calibri" w:hAnsi="Calibri" w:cs="Calibri"/>
        </w:rPr>
        <w:t>être</w:t>
      </w:r>
      <w:proofErr w:type="spellEnd"/>
      <w:r w:rsidRPr="00FA510A">
        <w:rPr>
          <w:rFonts w:ascii="Calibri" w:hAnsi="Calibri" w:cs="Calibri"/>
        </w:rPr>
        <w:t xml:space="preserve"> </w:t>
      </w:r>
      <w:proofErr w:type="spellStart"/>
      <w:r w:rsidRPr="00FA510A">
        <w:rPr>
          <w:rFonts w:ascii="Calibri" w:hAnsi="Calibri" w:cs="Calibri"/>
        </w:rPr>
        <w:t>équilibrées</w:t>
      </w:r>
      <w:proofErr w:type="spellEnd"/>
      <w:r w:rsidRPr="00FA510A">
        <w:rPr>
          <w:rFonts w:ascii="Calibri" w:hAnsi="Calibri" w:cs="Calibri"/>
        </w:rPr>
        <w:t xml:space="preserve"> par rapport aux </w:t>
      </w:r>
      <w:proofErr w:type="spellStart"/>
      <w:r w:rsidRPr="00FA510A">
        <w:rPr>
          <w:rFonts w:ascii="Calibri" w:hAnsi="Calibri" w:cs="Calibri"/>
        </w:rPr>
        <w:t>risques</w:t>
      </w:r>
      <w:proofErr w:type="spellEnd"/>
      <w:r w:rsidRPr="00FA510A">
        <w:rPr>
          <w:rFonts w:ascii="Calibri" w:hAnsi="Calibri" w:cs="Calibri"/>
        </w:rPr>
        <w:t xml:space="preserve"> de sécurité. Pour plus de </w:t>
      </w:r>
      <w:proofErr w:type="spellStart"/>
      <w:r w:rsidRPr="00FA510A">
        <w:rPr>
          <w:rFonts w:ascii="Calibri" w:hAnsi="Calibri" w:cs="Calibri"/>
        </w:rPr>
        <w:t>détails</w:t>
      </w:r>
      <w:proofErr w:type="spellEnd"/>
      <w:r w:rsidRPr="00FA510A">
        <w:rPr>
          <w:rFonts w:ascii="Calibri" w:hAnsi="Calibri" w:cs="Calibri"/>
        </w:rPr>
        <w:t xml:space="preserve">, </w:t>
      </w:r>
      <w:proofErr w:type="spellStart"/>
      <w:r w:rsidRPr="00FA510A">
        <w:rPr>
          <w:rFonts w:ascii="Calibri" w:hAnsi="Calibri" w:cs="Calibri"/>
        </w:rPr>
        <w:t>veuillez</w:t>
      </w:r>
      <w:proofErr w:type="spellEnd"/>
      <w:r w:rsidRPr="00FA510A">
        <w:rPr>
          <w:rFonts w:ascii="Calibri" w:hAnsi="Calibri" w:cs="Calibri"/>
        </w:rPr>
        <w:t xml:space="preserve"> </w:t>
      </w:r>
      <w:proofErr w:type="gramStart"/>
      <w:r w:rsidRPr="00FA510A">
        <w:rPr>
          <w:rFonts w:ascii="Calibri" w:hAnsi="Calibri" w:cs="Calibri"/>
        </w:rPr>
        <w:t>consulter :</w:t>
      </w:r>
      <w:proofErr w:type="gramEnd"/>
      <w:r w:rsidRPr="00FA510A">
        <w:rPr>
          <w:rFonts w:ascii="Calibri" w:hAnsi="Calibri" w:cs="Calibri"/>
        </w:rPr>
        <w:t xml:space="preserve"> </w:t>
      </w:r>
      <w:hyperlink r:id="rId1" w:history="1">
        <w:r w:rsidRPr="00FA510A">
          <w:rPr>
            <w:rStyle w:val="Hyperlink1"/>
            <w:rFonts w:ascii="Calibri" w:hAnsi="Calibri" w:cs="Calibri"/>
          </w:rPr>
          <w:t>https://programmecriticality.org/Static/index.html?loc=Fr</w:t>
        </w:r>
      </w:hyperlink>
      <w:r w:rsidRPr="00FA510A">
        <w:rPr>
          <w:rFonts w:ascii="Calibri" w:hAnsi="Calibri" w:cs="Calibri"/>
        </w:rPr>
        <w:t xml:space="preserve"> </w:t>
      </w:r>
    </w:p>
  </w:footnote>
  <w:footnote w:id="2">
    <w:p w14:paraId="53C716EA" w14:textId="2BF6BF4D" w:rsidR="004B42D7" w:rsidRPr="00FA510A" w:rsidRDefault="004B42D7" w:rsidP="004B42D7">
      <w:pPr>
        <w:pStyle w:val="FootnoteText"/>
        <w:rPr>
          <w:rFonts w:ascii="Calibri" w:hAnsi="Calibri" w:cs="Calibri"/>
        </w:rPr>
      </w:pPr>
      <w:r w:rsidRPr="00FA510A">
        <w:rPr>
          <w:rStyle w:val="FootnoteReference"/>
          <w:rFonts w:ascii="Calibri" w:hAnsi="Calibri" w:cs="Calibri"/>
        </w:rPr>
        <w:footnoteRef/>
      </w:r>
      <w:r w:rsidRPr="00FA510A">
        <w:rPr>
          <w:rFonts w:ascii="Calibri" w:hAnsi="Calibri" w:cs="Calibri"/>
        </w:rPr>
        <w:t xml:space="preserve"> </w:t>
      </w:r>
      <w:hyperlink r:id="rId2" w:history="1">
        <w:r w:rsidRPr="00FA510A">
          <w:rPr>
            <w:rStyle w:val="Hyperlink"/>
            <w:rFonts w:ascii="Calibri" w:hAnsi="Calibri" w:cs="Calibri"/>
          </w:rPr>
          <w:t>https://unsceb.org/organizational-resilience-management-system-orms</w:t>
        </w:r>
      </w:hyperlink>
    </w:p>
  </w:footnote>
  <w:footnote w:id="3">
    <w:p w14:paraId="17C6F031" w14:textId="41A90292" w:rsidR="004B42D7" w:rsidRPr="00FA510A" w:rsidRDefault="004B42D7" w:rsidP="004B42D7">
      <w:pPr>
        <w:pStyle w:val="FootnoteText"/>
        <w:rPr>
          <w:rFonts w:ascii="Calibri" w:hAnsi="Calibri" w:cs="Calibri"/>
          <w:lang w:val="fr-CH"/>
        </w:rPr>
      </w:pPr>
      <w:r w:rsidRPr="00FA510A">
        <w:rPr>
          <w:rStyle w:val="FootnoteReference"/>
          <w:rFonts w:ascii="Calibri" w:hAnsi="Calibri" w:cs="Calibri"/>
        </w:rPr>
        <w:footnoteRef/>
      </w:r>
      <w:r w:rsidRPr="00FA510A">
        <w:rPr>
          <w:rFonts w:ascii="Calibri" w:hAnsi="Calibri" w:cs="Calibri"/>
        </w:rPr>
        <w:t xml:space="preserve"> </w:t>
      </w:r>
      <w:bookmarkStart w:id="5" w:name="_Hlk177635843"/>
      <w:r w:rsidRPr="00FA510A">
        <w:rPr>
          <w:rFonts w:ascii="Calibri" w:hAnsi="Calibri" w:cs="Calibri"/>
        </w:rPr>
        <w:fldChar w:fldCharType="begin"/>
      </w:r>
      <w:r w:rsidRPr="00FA510A">
        <w:rPr>
          <w:rFonts w:ascii="Calibri" w:hAnsi="Calibri" w:cs="Calibri"/>
        </w:rPr>
        <w:instrText>HYPERLINK "https://unsceb.org/sites/default/files/2021-12/Approved%20revision%20of%20Add.2.Rev_.1_ORMS%20MER%20Regime.pdf"</w:instrText>
      </w:r>
      <w:r w:rsidRPr="00FA510A">
        <w:rPr>
          <w:rFonts w:ascii="Calibri" w:hAnsi="Calibri" w:cs="Calibri"/>
        </w:rPr>
      </w:r>
      <w:r w:rsidRPr="00FA510A">
        <w:rPr>
          <w:rFonts w:ascii="Calibri" w:hAnsi="Calibri" w:cs="Calibri"/>
        </w:rPr>
        <w:fldChar w:fldCharType="separate"/>
      </w:r>
      <w:r w:rsidRPr="00FA510A">
        <w:rPr>
          <w:rStyle w:val="Hyperlink1"/>
          <w:rFonts w:ascii="Calibri" w:hAnsi="Calibri" w:cs="Calibri"/>
        </w:rPr>
        <w:t>https://unsceb.org/sites/default/files/2021-12/Approved%20revision%20of%20Add.2.Rev_.1_ORMS%20MER%20Regime.pdf</w:t>
      </w:r>
      <w:bookmarkEnd w:id="5"/>
      <w:r w:rsidRPr="00FA510A">
        <w:rPr>
          <w:rFonts w:ascii="Calibri" w:hAnsi="Calibri" w:cs="Calibri"/>
        </w:rPr>
        <w:fldChar w:fldCharType="end"/>
      </w:r>
      <w:r w:rsidRPr="00FA510A">
        <w:rPr>
          <w:rFonts w:ascii="Calibri" w:hAnsi="Calibri" w:cs="Calibri"/>
        </w:rPr>
        <w:t xml:space="preserve"> (</w:t>
      </w:r>
      <w:proofErr w:type="spellStart"/>
      <w:r w:rsidRPr="00FA510A">
        <w:rPr>
          <w:rFonts w:ascii="Calibri" w:hAnsi="Calibri" w:cs="Calibri"/>
        </w:rPr>
        <w:t>en</w:t>
      </w:r>
      <w:proofErr w:type="spellEnd"/>
      <w:r w:rsidRPr="00FA510A">
        <w:rPr>
          <w:rFonts w:ascii="Calibri" w:hAnsi="Calibri" w:cs="Calibri"/>
        </w:rPr>
        <w:t xml:space="preserve"> anglais)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51D4" w14:textId="20F5BD3D" w:rsidR="004B42D7" w:rsidRDefault="004B42D7" w:rsidP="007C7459">
    <w:pPr>
      <w:pStyle w:val="Header"/>
      <w:jc w:val="right"/>
    </w:pPr>
    <w:r>
      <w:rPr>
        <w:noProof/>
        <w:lang w:val="en-US"/>
      </w:rPr>
      <w:drawing>
        <wp:inline distT="0" distB="0" distL="0" distR="0" wp14:anchorId="53EFD106" wp14:editId="185BC7C5">
          <wp:extent cx="227754" cy="44527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32745" cy="455031"/>
                  </a:xfrm>
                  <a:prstGeom prst="rect">
                    <a:avLst/>
                  </a:prstGeom>
                  <a:noFill/>
                  <a:ln>
                    <a:noFill/>
                  </a:ln>
                  <a:extLst>
                    <a:ext uri="{53640926-AAD7-44D8-BBD7-CCE9431645EC}">
                      <a14:shadowObscured xmlns:a14="http://schemas.microsoft.com/office/drawing/2010/main"/>
                    </a:ext>
                  </a:extLst>
                </pic:spPr>
              </pic:pic>
            </a:graphicData>
          </a:graphic>
        </wp:inline>
      </w:drawing>
    </w:r>
  </w:p>
  <w:p w14:paraId="6F24DF19" w14:textId="77777777" w:rsidR="004B42D7" w:rsidRPr="009F5D42" w:rsidRDefault="004B42D7" w:rsidP="007C74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A6CF" w14:textId="58B9113E" w:rsidR="004B42D7" w:rsidRPr="009F5D42" w:rsidRDefault="004B42D7" w:rsidP="007C7459">
    <w:pPr>
      <w:pStyle w:val="Header"/>
      <w:jc w:val="right"/>
    </w:pPr>
    <w:r>
      <w:rPr>
        <w:noProof/>
        <w:lang w:val="en-US"/>
      </w:rPr>
      <w:drawing>
        <wp:inline distT="0" distB="0" distL="0" distR="0" wp14:anchorId="34AA02D6" wp14:editId="793B9A30">
          <wp:extent cx="332170" cy="649411"/>
          <wp:effectExtent l="0" t="0" r="0" b="0"/>
          <wp:docPr id="814633181" name="Picture 81463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2170" cy="64941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111"/>
    <w:multiLevelType w:val="hybridMultilevel"/>
    <w:tmpl w:val="1534B108"/>
    <w:lvl w:ilvl="0" w:tplc="FA0A079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48C6"/>
    <w:multiLevelType w:val="hybridMultilevel"/>
    <w:tmpl w:val="2D1253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4D742E"/>
    <w:multiLevelType w:val="hybridMultilevel"/>
    <w:tmpl w:val="A1CCA47E"/>
    <w:lvl w:ilvl="0" w:tplc="04090019">
      <w:start w:val="1"/>
      <w:numFmt w:val="lowerLetter"/>
      <w:lvlText w:val="%1."/>
      <w:lvlJc w:val="left"/>
      <w:pPr>
        <w:ind w:left="720" w:hanging="360"/>
      </w:pPr>
    </w:lvl>
    <w:lvl w:ilvl="1" w:tplc="09DA3A3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D636D"/>
    <w:multiLevelType w:val="hybridMultilevel"/>
    <w:tmpl w:val="369ED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36CAC"/>
    <w:multiLevelType w:val="hybridMultilevel"/>
    <w:tmpl w:val="A8A659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A47DB2"/>
    <w:multiLevelType w:val="hybridMultilevel"/>
    <w:tmpl w:val="DD185CCA"/>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C907A0"/>
    <w:multiLevelType w:val="hybridMultilevel"/>
    <w:tmpl w:val="34169CCA"/>
    <w:lvl w:ilvl="0" w:tplc="FFFFFFFF">
      <w:start w:val="1"/>
      <w:numFmt w:val="lowerRoman"/>
      <w:lvlText w:val="(%1)"/>
      <w:lvlJc w:val="left"/>
      <w:pPr>
        <w:ind w:left="720" w:hanging="360"/>
      </w:pPr>
      <w:rPr>
        <w:rFonts w:hint="default"/>
      </w:rPr>
    </w:lvl>
    <w:lvl w:ilvl="1" w:tplc="FC3C502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E65794B"/>
    <w:multiLevelType w:val="hybridMultilevel"/>
    <w:tmpl w:val="09B2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673B2"/>
    <w:multiLevelType w:val="hybridMultilevel"/>
    <w:tmpl w:val="A1826E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DF6385"/>
    <w:multiLevelType w:val="hybridMultilevel"/>
    <w:tmpl w:val="AF723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609488">
    <w:abstractNumId w:val="4"/>
  </w:num>
  <w:num w:numId="2" w16cid:durableId="1937252791">
    <w:abstractNumId w:val="5"/>
  </w:num>
  <w:num w:numId="3" w16cid:durableId="133135113">
    <w:abstractNumId w:val="3"/>
  </w:num>
  <w:num w:numId="4" w16cid:durableId="393701205">
    <w:abstractNumId w:val="2"/>
  </w:num>
  <w:num w:numId="5" w16cid:durableId="1732923145">
    <w:abstractNumId w:val="0"/>
  </w:num>
  <w:num w:numId="6" w16cid:durableId="1349213734">
    <w:abstractNumId w:val="1"/>
  </w:num>
  <w:num w:numId="7" w16cid:durableId="1162548870">
    <w:abstractNumId w:val="9"/>
  </w:num>
  <w:num w:numId="8" w16cid:durableId="212885367">
    <w:abstractNumId w:val="8"/>
  </w:num>
  <w:num w:numId="9" w16cid:durableId="1561331555">
    <w:abstractNumId w:val="7"/>
  </w:num>
  <w:num w:numId="10" w16cid:durableId="1106924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AD"/>
    <w:rsid w:val="004B42D7"/>
    <w:rsid w:val="005675FB"/>
    <w:rsid w:val="005E5DDC"/>
    <w:rsid w:val="00694E50"/>
    <w:rsid w:val="00793BCD"/>
    <w:rsid w:val="009A7FA8"/>
    <w:rsid w:val="00AE2713"/>
    <w:rsid w:val="00B0312B"/>
    <w:rsid w:val="00C61B9D"/>
    <w:rsid w:val="00D33A0D"/>
    <w:rsid w:val="00D51025"/>
    <w:rsid w:val="00DA504D"/>
    <w:rsid w:val="00E2066B"/>
    <w:rsid w:val="00F11EAD"/>
    <w:rsid w:val="00F242F6"/>
    <w:rsid w:val="00FA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2DA4"/>
  <w15:chartTrackingRefBased/>
  <w15:docId w15:val="{2DDB58D8-0446-4395-8B31-FAA80459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EAD"/>
    <w:rPr>
      <w:rFonts w:eastAsiaTheme="majorEastAsia" w:cstheme="majorBidi"/>
      <w:color w:val="272727" w:themeColor="text1" w:themeTint="D8"/>
    </w:rPr>
  </w:style>
  <w:style w:type="paragraph" w:styleId="Title">
    <w:name w:val="Title"/>
    <w:basedOn w:val="Normal"/>
    <w:next w:val="Normal"/>
    <w:link w:val="TitleChar"/>
    <w:uiPriority w:val="10"/>
    <w:qFormat/>
    <w:rsid w:val="00F11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EAD"/>
    <w:pPr>
      <w:spacing w:before="160"/>
      <w:jc w:val="center"/>
    </w:pPr>
    <w:rPr>
      <w:i/>
      <w:iCs/>
      <w:color w:val="404040" w:themeColor="text1" w:themeTint="BF"/>
    </w:rPr>
  </w:style>
  <w:style w:type="character" w:customStyle="1" w:styleId="QuoteChar">
    <w:name w:val="Quote Char"/>
    <w:basedOn w:val="DefaultParagraphFont"/>
    <w:link w:val="Quote"/>
    <w:uiPriority w:val="29"/>
    <w:rsid w:val="00F11EAD"/>
    <w:rPr>
      <w:i/>
      <w:iCs/>
      <w:color w:val="404040" w:themeColor="text1" w:themeTint="BF"/>
    </w:rPr>
  </w:style>
  <w:style w:type="paragraph" w:styleId="ListParagraph">
    <w:name w:val="List Paragraph"/>
    <w:basedOn w:val="Normal"/>
    <w:uiPriority w:val="34"/>
    <w:qFormat/>
    <w:rsid w:val="00F11EAD"/>
    <w:pPr>
      <w:ind w:left="720"/>
      <w:contextualSpacing/>
    </w:pPr>
  </w:style>
  <w:style w:type="character" w:styleId="IntenseEmphasis">
    <w:name w:val="Intense Emphasis"/>
    <w:basedOn w:val="DefaultParagraphFont"/>
    <w:uiPriority w:val="21"/>
    <w:qFormat/>
    <w:rsid w:val="00F11EAD"/>
    <w:rPr>
      <w:i/>
      <w:iCs/>
      <w:color w:val="0F4761" w:themeColor="accent1" w:themeShade="BF"/>
    </w:rPr>
  </w:style>
  <w:style w:type="paragraph" w:styleId="IntenseQuote">
    <w:name w:val="Intense Quote"/>
    <w:basedOn w:val="Normal"/>
    <w:next w:val="Normal"/>
    <w:link w:val="IntenseQuoteChar"/>
    <w:uiPriority w:val="30"/>
    <w:qFormat/>
    <w:rsid w:val="00F11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EAD"/>
    <w:rPr>
      <w:i/>
      <w:iCs/>
      <w:color w:val="0F4761" w:themeColor="accent1" w:themeShade="BF"/>
    </w:rPr>
  </w:style>
  <w:style w:type="character" w:styleId="IntenseReference">
    <w:name w:val="Intense Reference"/>
    <w:basedOn w:val="DefaultParagraphFont"/>
    <w:uiPriority w:val="32"/>
    <w:qFormat/>
    <w:rsid w:val="00F11EAD"/>
    <w:rPr>
      <w:b/>
      <w:bCs/>
      <w:smallCaps/>
      <w:color w:val="0F4761" w:themeColor="accent1" w:themeShade="BF"/>
      <w:spacing w:val="5"/>
    </w:rPr>
  </w:style>
  <w:style w:type="paragraph" w:styleId="FootnoteText">
    <w:name w:val="footnote text"/>
    <w:basedOn w:val="Normal"/>
    <w:link w:val="FootnoteTextChar"/>
    <w:uiPriority w:val="99"/>
    <w:semiHidden/>
    <w:unhideWhenUsed/>
    <w:rsid w:val="004B4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2D7"/>
    <w:rPr>
      <w:sz w:val="20"/>
      <w:szCs w:val="20"/>
    </w:rPr>
  </w:style>
  <w:style w:type="character" w:customStyle="1" w:styleId="Hyperlink1">
    <w:name w:val="Hyperlink1"/>
    <w:basedOn w:val="DefaultParagraphFont"/>
    <w:uiPriority w:val="99"/>
    <w:unhideWhenUsed/>
    <w:rsid w:val="004B42D7"/>
    <w:rPr>
      <w:color w:val="0563C1"/>
      <w:u w:val="single"/>
    </w:rPr>
  </w:style>
  <w:style w:type="paragraph" w:styleId="Header">
    <w:name w:val="header"/>
    <w:basedOn w:val="Normal"/>
    <w:link w:val="HeaderChar"/>
    <w:uiPriority w:val="99"/>
    <w:unhideWhenUsed/>
    <w:rsid w:val="004B42D7"/>
    <w:pPr>
      <w:tabs>
        <w:tab w:val="center" w:pos="4680"/>
        <w:tab w:val="right" w:pos="9360"/>
      </w:tabs>
      <w:spacing w:after="0" w:line="240" w:lineRule="auto"/>
    </w:pPr>
    <w:rPr>
      <w:rFonts w:ascii="Calibri" w:eastAsia="Calibri" w:hAnsi="Calibri" w:cs="Calibri"/>
      <w:color w:val="000000"/>
      <w:kern w:val="0"/>
      <w:sz w:val="22"/>
      <w:szCs w:val="22"/>
      <w:lang w:val="fr-FR"/>
      <w14:ligatures w14:val="none"/>
    </w:rPr>
  </w:style>
  <w:style w:type="character" w:customStyle="1" w:styleId="HeaderChar">
    <w:name w:val="Header Char"/>
    <w:basedOn w:val="DefaultParagraphFont"/>
    <w:link w:val="Header"/>
    <w:uiPriority w:val="99"/>
    <w:rsid w:val="004B42D7"/>
    <w:rPr>
      <w:rFonts w:ascii="Calibri" w:eastAsia="Calibri" w:hAnsi="Calibri" w:cs="Calibri"/>
      <w:color w:val="000000"/>
      <w:kern w:val="0"/>
      <w:sz w:val="22"/>
      <w:szCs w:val="22"/>
      <w:lang w:val="fr-FR"/>
      <w14:ligatures w14:val="none"/>
    </w:rPr>
  </w:style>
  <w:style w:type="character" w:styleId="FootnoteReference">
    <w:name w:val="footnote reference"/>
    <w:basedOn w:val="DefaultParagraphFont"/>
    <w:uiPriority w:val="99"/>
    <w:unhideWhenUsed/>
    <w:rsid w:val="004B42D7"/>
    <w:rPr>
      <w:vertAlign w:val="superscript"/>
    </w:rPr>
  </w:style>
  <w:style w:type="character" w:styleId="Hyperlink">
    <w:name w:val="Hyperlink"/>
    <w:basedOn w:val="DefaultParagraphFont"/>
    <w:uiPriority w:val="99"/>
    <w:unhideWhenUsed/>
    <w:rsid w:val="004B42D7"/>
    <w:rPr>
      <w:color w:val="467886" w:themeColor="hyperlink"/>
      <w:u w:val="single"/>
    </w:rPr>
  </w:style>
  <w:style w:type="paragraph" w:styleId="Revision">
    <w:name w:val="Revision"/>
    <w:hidden/>
    <w:uiPriority w:val="99"/>
    <w:semiHidden/>
    <w:rsid w:val="004B42D7"/>
    <w:pPr>
      <w:spacing w:after="0" w:line="240" w:lineRule="auto"/>
    </w:pPr>
  </w:style>
  <w:style w:type="character" w:styleId="UnresolvedMention">
    <w:name w:val="Unresolved Mention"/>
    <w:basedOn w:val="DefaultParagraphFont"/>
    <w:uiPriority w:val="99"/>
    <w:semiHidden/>
    <w:unhideWhenUsed/>
    <w:rsid w:val="004B4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organizational-resilience-management-system-orms" TargetMode="External"/><Relationship Id="rId1" Type="http://schemas.openxmlformats.org/officeDocument/2006/relationships/hyperlink" Target="https://programmecriticality.org/Static/index.html?loc=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3039</Words>
  <Characters>17327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2026-04-30T14:29:00Z</dcterms:created>
  <dcterms:modified xsi:type="dcterms:W3CDTF">2026-04-30T20:23:00Z</dcterms:modified>
</cp:coreProperties>
</file>