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FF71" w14:textId="6471D5F0" w:rsidR="00117AC3" w:rsidRPr="001C09DF" w:rsidRDefault="00117AC3" w:rsidP="00117AC3">
      <w:pPr>
        <w:pStyle w:val="Heading1"/>
        <w:rPr>
          <w:lang w:val="fr-FR"/>
        </w:rPr>
      </w:pPr>
      <w:bookmarkStart w:id="0" w:name="_Toc157419448"/>
      <w:r>
        <w:rPr>
          <w:lang w:val="fr-FR" w:bidi="fr-FR"/>
        </w:rPr>
        <w:t>Orientations sur la Déclaration sur l</w:t>
      </w:r>
      <w:r w:rsidR="001C09DF">
        <w:rPr>
          <w:lang w:val="fr-FR" w:bidi="fr-FR"/>
        </w:rPr>
        <w:t>’</w:t>
      </w:r>
      <w:r>
        <w:rPr>
          <w:lang w:val="fr-FR" w:bidi="fr-FR"/>
        </w:rPr>
        <w:t>appétit pour le risque du PNUD</w:t>
      </w:r>
      <w:bookmarkEnd w:id="0"/>
    </w:p>
    <w:p w14:paraId="515C6C0A" w14:textId="77777777" w:rsidR="00117AC3" w:rsidRPr="001C09DF" w:rsidRDefault="00117AC3" w:rsidP="00117AC3">
      <w:pPr>
        <w:pStyle w:val="Heading1"/>
        <w:rPr>
          <w:lang w:val="fr-FR"/>
        </w:rPr>
      </w:pPr>
    </w:p>
    <w:p w14:paraId="61A99B3D" w14:textId="0E03A19F" w:rsidR="00117AC3" w:rsidRPr="001C09DF" w:rsidRDefault="7D3376F4" w:rsidP="00117AC3">
      <w:pPr>
        <w:pStyle w:val="Heading1"/>
        <w:rPr>
          <w:lang w:val="fr-FR"/>
        </w:rPr>
      </w:pPr>
      <w:bookmarkStart w:id="1" w:name="_Toc157419449"/>
      <w:r w:rsidRPr="43ADDD22">
        <w:rPr>
          <w:lang w:val="fr-FR" w:bidi="fr-FR"/>
        </w:rPr>
        <w:t>Orientations détaillées sur la Déclaration sur l</w:t>
      </w:r>
      <w:r w:rsidR="001C09DF">
        <w:rPr>
          <w:lang w:val="fr-FR" w:bidi="fr-FR"/>
        </w:rPr>
        <w:t>’</w:t>
      </w:r>
      <w:r w:rsidRPr="43ADDD22">
        <w:rPr>
          <w:lang w:val="fr-FR" w:bidi="fr-FR"/>
        </w:rPr>
        <w:t>appétit pour le risque</w:t>
      </w:r>
      <w:bookmarkEnd w:id="1"/>
    </w:p>
    <w:p w14:paraId="42B56AAC" w14:textId="6E976D44" w:rsidR="00117AC3" w:rsidRDefault="00DB0F35" w:rsidP="00117AC3">
      <w:pPr>
        <w:pStyle w:val="Heading1"/>
        <w:rPr>
          <w:lang w:val="en-GB"/>
        </w:rPr>
      </w:pPr>
      <w:bookmarkStart w:id="2" w:name="_Toc157419450"/>
      <w:r>
        <w:rPr>
          <w:lang w:val="fr-FR" w:bidi="fr-FR"/>
        </w:rPr>
        <w:t>Octobre 2021</w:t>
      </w:r>
      <w:bookmarkEnd w:id="2"/>
    </w:p>
    <w:p w14:paraId="012148D0" w14:textId="77777777" w:rsidR="00117AC3" w:rsidRDefault="00117AC3">
      <w:pPr>
        <w:rPr>
          <w:lang w:val="en-GB"/>
        </w:rPr>
      </w:pPr>
      <w:r>
        <w:rPr>
          <w:lang w:val="fr-FR" w:bidi="fr-FR"/>
        </w:rPr>
        <w:br w:type="page"/>
      </w:r>
    </w:p>
    <w:sdt>
      <w:sdtPr>
        <w:rPr>
          <w:rFonts w:asciiTheme="minorHAnsi" w:eastAsiaTheme="minorHAnsi" w:hAnsiTheme="minorHAnsi" w:cstheme="minorBidi"/>
          <w:color w:val="auto"/>
          <w:sz w:val="22"/>
          <w:szCs w:val="22"/>
        </w:rPr>
        <w:id w:val="-1518692366"/>
        <w:docPartObj>
          <w:docPartGallery w:val="Table of Contents"/>
          <w:docPartUnique/>
        </w:docPartObj>
      </w:sdtPr>
      <w:sdtEndPr>
        <w:rPr>
          <w:b/>
          <w:bCs/>
          <w:noProof/>
        </w:rPr>
      </w:sdtEndPr>
      <w:sdtContent>
        <w:p w14:paraId="09AA6BD5" w14:textId="77777777" w:rsidR="001C09DF" w:rsidRDefault="00117AC3" w:rsidP="003245DD">
          <w:pPr>
            <w:pStyle w:val="TOCHeading"/>
            <w:rPr>
              <w:noProof/>
            </w:rPr>
          </w:pPr>
          <w:r>
            <w:rPr>
              <w:lang w:val="fr-FR" w:bidi="fr-FR"/>
            </w:rPr>
            <w:t>Table des matières</w:t>
          </w:r>
          <w:r>
            <w:rPr>
              <w:lang w:val="fr-FR" w:bidi="fr-FR"/>
            </w:rPr>
            <w:fldChar w:fldCharType="begin"/>
          </w:r>
          <w:r>
            <w:rPr>
              <w:lang w:val="fr-FR" w:bidi="fr-FR"/>
            </w:rPr>
            <w:instrText xml:space="preserve"> TOC \o "1-3" \h \z \u </w:instrText>
          </w:r>
          <w:r>
            <w:rPr>
              <w:lang w:val="fr-FR" w:bidi="fr-FR"/>
            </w:rPr>
            <w:fldChar w:fldCharType="separate"/>
          </w:r>
        </w:p>
        <w:p w14:paraId="5EE562CB" w14:textId="69A8CCD5" w:rsidR="001C09DF" w:rsidRDefault="00000000">
          <w:pPr>
            <w:pStyle w:val="TOC1"/>
            <w:tabs>
              <w:tab w:val="left" w:pos="440"/>
              <w:tab w:val="right" w:leader="dot" w:pos="9350"/>
            </w:tabs>
            <w:rPr>
              <w:rFonts w:eastAsiaTheme="minorEastAsia"/>
              <w:noProof/>
              <w:kern w:val="2"/>
              <w:lang w:val="en-GB" w:eastAsia="en-GB"/>
              <w14:ligatures w14:val="standardContextual"/>
            </w:rPr>
          </w:pPr>
          <w:hyperlink w:anchor="_Toc157419451" w:history="1">
            <w:r w:rsidR="001C09DF" w:rsidRPr="000476AC">
              <w:rPr>
                <w:rStyle w:val="Hyperlink"/>
                <w:noProof/>
              </w:rPr>
              <w:t>1)</w:t>
            </w:r>
            <w:r w:rsidR="001C09DF">
              <w:rPr>
                <w:rFonts w:eastAsiaTheme="minorEastAsia"/>
                <w:noProof/>
                <w:kern w:val="2"/>
                <w:lang w:val="en-GB" w:eastAsia="en-GB"/>
                <w14:ligatures w14:val="standardContextual"/>
              </w:rPr>
              <w:tab/>
            </w:r>
            <w:r w:rsidR="001C09DF" w:rsidRPr="000476AC">
              <w:rPr>
                <w:rStyle w:val="Hyperlink"/>
                <w:noProof/>
                <w:lang w:val="fr-FR" w:bidi="fr-FR"/>
              </w:rPr>
              <w:t>Introduction</w:t>
            </w:r>
            <w:r w:rsidR="001C09DF">
              <w:rPr>
                <w:noProof/>
                <w:webHidden/>
              </w:rPr>
              <w:tab/>
            </w:r>
            <w:r w:rsidR="001C09DF">
              <w:rPr>
                <w:noProof/>
                <w:webHidden/>
              </w:rPr>
              <w:fldChar w:fldCharType="begin"/>
            </w:r>
            <w:r w:rsidR="001C09DF">
              <w:rPr>
                <w:noProof/>
                <w:webHidden/>
              </w:rPr>
              <w:instrText xml:space="preserve"> PAGEREF _Toc157419451 \h </w:instrText>
            </w:r>
            <w:r w:rsidR="001C09DF">
              <w:rPr>
                <w:noProof/>
                <w:webHidden/>
              </w:rPr>
            </w:r>
            <w:r w:rsidR="001C09DF">
              <w:rPr>
                <w:noProof/>
                <w:webHidden/>
              </w:rPr>
              <w:fldChar w:fldCharType="separate"/>
            </w:r>
            <w:r w:rsidR="002E055D">
              <w:rPr>
                <w:noProof/>
                <w:webHidden/>
              </w:rPr>
              <w:t>3</w:t>
            </w:r>
            <w:r w:rsidR="001C09DF">
              <w:rPr>
                <w:noProof/>
                <w:webHidden/>
              </w:rPr>
              <w:fldChar w:fldCharType="end"/>
            </w:r>
          </w:hyperlink>
        </w:p>
        <w:p w14:paraId="210BEE6D" w14:textId="507A6B6D" w:rsidR="001C09DF" w:rsidRDefault="00000000">
          <w:pPr>
            <w:pStyle w:val="TOC1"/>
            <w:tabs>
              <w:tab w:val="left" w:pos="440"/>
              <w:tab w:val="right" w:leader="dot" w:pos="9350"/>
            </w:tabs>
            <w:rPr>
              <w:rFonts w:eastAsiaTheme="minorEastAsia"/>
              <w:noProof/>
              <w:kern w:val="2"/>
              <w:lang w:val="en-GB" w:eastAsia="en-GB"/>
              <w14:ligatures w14:val="standardContextual"/>
            </w:rPr>
          </w:pPr>
          <w:hyperlink w:anchor="_Toc157419452" w:history="1">
            <w:r w:rsidR="001C09DF" w:rsidRPr="000476AC">
              <w:rPr>
                <w:rStyle w:val="Hyperlink"/>
                <w:noProof/>
                <w:lang w:val="fr-FR"/>
              </w:rPr>
              <w:t>2)</w:t>
            </w:r>
            <w:r w:rsidR="001C09DF">
              <w:rPr>
                <w:rFonts w:eastAsiaTheme="minorEastAsia"/>
                <w:noProof/>
                <w:kern w:val="2"/>
                <w:lang w:val="en-GB" w:eastAsia="en-GB"/>
                <w14:ligatures w14:val="standardContextual"/>
              </w:rPr>
              <w:tab/>
            </w:r>
            <w:r w:rsidR="001C09DF" w:rsidRPr="000476AC">
              <w:rPr>
                <w:rStyle w:val="Hyperlink"/>
                <w:noProof/>
                <w:lang w:val="fr-FR" w:bidi="fr-FR"/>
              </w:rPr>
              <w:t>Comprendre la déclaration d’appétit pour le risque</w:t>
            </w:r>
            <w:r w:rsidR="001C09DF">
              <w:rPr>
                <w:noProof/>
                <w:webHidden/>
              </w:rPr>
              <w:tab/>
            </w:r>
            <w:r w:rsidR="001C09DF">
              <w:rPr>
                <w:noProof/>
                <w:webHidden/>
              </w:rPr>
              <w:fldChar w:fldCharType="begin"/>
            </w:r>
            <w:r w:rsidR="001C09DF">
              <w:rPr>
                <w:noProof/>
                <w:webHidden/>
              </w:rPr>
              <w:instrText xml:space="preserve"> PAGEREF _Toc157419452 \h </w:instrText>
            </w:r>
            <w:r w:rsidR="001C09DF">
              <w:rPr>
                <w:noProof/>
                <w:webHidden/>
              </w:rPr>
            </w:r>
            <w:r w:rsidR="001C09DF">
              <w:rPr>
                <w:noProof/>
                <w:webHidden/>
              </w:rPr>
              <w:fldChar w:fldCharType="separate"/>
            </w:r>
            <w:r w:rsidR="002E055D">
              <w:rPr>
                <w:noProof/>
                <w:webHidden/>
              </w:rPr>
              <w:t>3</w:t>
            </w:r>
            <w:r w:rsidR="001C09DF">
              <w:rPr>
                <w:noProof/>
                <w:webHidden/>
              </w:rPr>
              <w:fldChar w:fldCharType="end"/>
            </w:r>
          </w:hyperlink>
        </w:p>
        <w:p w14:paraId="61C68C8F" w14:textId="57B15B4F" w:rsidR="001C09DF" w:rsidRDefault="00000000">
          <w:pPr>
            <w:pStyle w:val="TOC1"/>
            <w:tabs>
              <w:tab w:val="left" w:pos="440"/>
              <w:tab w:val="right" w:leader="dot" w:pos="9350"/>
            </w:tabs>
            <w:rPr>
              <w:rFonts w:eastAsiaTheme="minorEastAsia"/>
              <w:noProof/>
              <w:kern w:val="2"/>
              <w:lang w:val="en-GB" w:eastAsia="en-GB"/>
              <w14:ligatures w14:val="standardContextual"/>
            </w:rPr>
          </w:pPr>
          <w:hyperlink w:anchor="_Toc157419453" w:history="1">
            <w:r w:rsidR="001C09DF" w:rsidRPr="000476AC">
              <w:rPr>
                <w:rStyle w:val="Hyperlink"/>
                <w:noProof/>
                <w:lang w:val="fr-FR"/>
              </w:rPr>
              <w:t>3)</w:t>
            </w:r>
            <w:r w:rsidR="001C09DF">
              <w:rPr>
                <w:rFonts w:eastAsiaTheme="minorEastAsia"/>
                <w:noProof/>
                <w:kern w:val="2"/>
                <w:lang w:val="en-GB" w:eastAsia="en-GB"/>
                <w14:ligatures w14:val="standardContextual"/>
              </w:rPr>
              <w:tab/>
            </w:r>
            <w:r w:rsidR="001C09DF" w:rsidRPr="000476AC">
              <w:rPr>
                <w:rStyle w:val="Hyperlink"/>
                <w:noProof/>
                <w:lang w:val="fr-FR" w:bidi="fr-FR"/>
              </w:rPr>
              <w:t>Comment et quand dois-je utiliser la déclaration d’appétit pour le risque ?</w:t>
            </w:r>
            <w:r w:rsidR="001C09DF">
              <w:rPr>
                <w:noProof/>
                <w:webHidden/>
              </w:rPr>
              <w:tab/>
            </w:r>
            <w:r w:rsidR="001C09DF">
              <w:rPr>
                <w:noProof/>
                <w:webHidden/>
              </w:rPr>
              <w:fldChar w:fldCharType="begin"/>
            </w:r>
            <w:r w:rsidR="001C09DF">
              <w:rPr>
                <w:noProof/>
                <w:webHidden/>
              </w:rPr>
              <w:instrText xml:space="preserve"> PAGEREF _Toc157419453 \h </w:instrText>
            </w:r>
            <w:r w:rsidR="001C09DF">
              <w:rPr>
                <w:noProof/>
                <w:webHidden/>
              </w:rPr>
            </w:r>
            <w:r w:rsidR="001C09DF">
              <w:rPr>
                <w:noProof/>
                <w:webHidden/>
              </w:rPr>
              <w:fldChar w:fldCharType="separate"/>
            </w:r>
            <w:r w:rsidR="002E055D">
              <w:rPr>
                <w:noProof/>
                <w:webHidden/>
              </w:rPr>
              <w:t>3</w:t>
            </w:r>
            <w:r w:rsidR="001C09DF">
              <w:rPr>
                <w:noProof/>
                <w:webHidden/>
              </w:rPr>
              <w:fldChar w:fldCharType="end"/>
            </w:r>
          </w:hyperlink>
        </w:p>
        <w:p w14:paraId="190B364C" w14:textId="5A5847AC" w:rsidR="001C09DF" w:rsidRDefault="00000000">
          <w:pPr>
            <w:pStyle w:val="TOC1"/>
            <w:tabs>
              <w:tab w:val="left" w:pos="440"/>
              <w:tab w:val="right" w:leader="dot" w:pos="9350"/>
            </w:tabs>
            <w:rPr>
              <w:rFonts w:eastAsiaTheme="minorEastAsia"/>
              <w:noProof/>
              <w:kern w:val="2"/>
              <w:lang w:val="en-GB" w:eastAsia="en-GB"/>
              <w14:ligatures w14:val="standardContextual"/>
            </w:rPr>
          </w:pPr>
          <w:hyperlink w:anchor="_Toc157419454" w:history="1">
            <w:r w:rsidR="001C09DF" w:rsidRPr="000476AC">
              <w:rPr>
                <w:rStyle w:val="Hyperlink"/>
                <w:noProof/>
                <w:lang w:val="fr-FR"/>
              </w:rPr>
              <w:t>4)</w:t>
            </w:r>
            <w:r w:rsidR="001C09DF">
              <w:rPr>
                <w:rFonts w:eastAsiaTheme="minorEastAsia"/>
                <w:noProof/>
                <w:kern w:val="2"/>
                <w:lang w:val="en-GB" w:eastAsia="en-GB"/>
                <w14:ligatures w14:val="standardContextual"/>
              </w:rPr>
              <w:tab/>
            </w:r>
            <w:r w:rsidR="001C09DF" w:rsidRPr="000476AC">
              <w:rPr>
                <w:rStyle w:val="Hyperlink"/>
                <w:noProof/>
                <w:lang w:val="fr-FR" w:bidi="fr-FR"/>
              </w:rPr>
              <w:t>Appliquer la déclaration d’appétit pour le risque</w:t>
            </w:r>
            <w:r w:rsidR="001C09DF">
              <w:rPr>
                <w:noProof/>
                <w:webHidden/>
              </w:rPr>
              <w:tab/>
            </w:r>
            <w:r w:rsidR="001C09DF">
              <w:rPr>
                <w:noProof/>
                <w:webHidden/>
              </w:rPr>
              <w:fldChar w:fldCharType="begin"/>
            </w:r>
            <w:r w:rsidR="001C09DF">
              <w:rPr>
                <w:noProof/>
                <w:webHidden/>
              </w:rPr>
              <w:instrText xml:space="preserve"> PAGEREF _Toc157419454 \h </w:instrText>
            </w:r>
            <w:r w:rsidR="001C09DF">
              <w:rPr>
                <w:noProof/>
                <w:webHidden/>
              </w:rPr>
            </w:r>
            <w:r w:rsidR="001C09DF">
              <w:rPr>
                <w:noProof/>
                <w:webHidden/>
              </w:rPr>
              <w:fldChar w:fldCharType="separate"/>
            </w:r>
            <w:r w:rsidR="002E055D">
              <w:rPr>
                <w:noProof/>
                <w:webHidden/>
              </w:rPr>
              <w:t>5</w:t>
            </w:r>
            <w:r w:rsidR="001C09DF">
              <w:rPr>
                <w:noProof/>
                <w:webHidden/>
              </w:rPr>
              <w:fldChar w:fldCharType="end"/>
            </w:r>
          </w:hyperlink>
        </w:p>
        <w:p w14:paraId="5E2ECE1C" w14:textId="26461258" w:rsidR="001C09DF" w:rsidRDefault="00000000">
          <w:pPr>
            <w:pStyle w:val="TOC1"/>
            <w:tabs>
              <w:tab w:val="left" w:pos="440"/>
              <w:tab w:val="right" w:leader="dot" w:pos="9350"/>
            </w:tabs>
            <w:rPr>
              <w:rFonts w:eastAsiaTheme="minorEastAsia"/>
              <w:noProof/>
              <w:kern w:val="2"/>
              <w:lang w:val="en-GB" w:eastAsia="en-GB"/>
              <w14:ligatures w14:val="standardContextual"/>
            </w:rPr>
          </w:pPr>
          <w:hyperlink w:anchor="_Toc157419455" w:history="1">
            <w:r w:rsidR="001C09DF" w:rsidRPr="000476AC">
              <w:rPr>
                <w:rStyle w:val="Hyperlink"/>
                <w:noProof/>
                <w:lang w:val="fr-FR"/>
              </w:rPr>
              <w:t>5)</w:t>
            </w:r>
            <w:r w:rsidR="001C09DF">
              <w:rPr>
                <w:rFonts w:eastAsiaTheme="minorEastAsia"/>
                <w:noProof/>
                <w:kern w:val="2"/>
                <w:lang w:val="en-GB" w:eastAsia="en-GB"/>
                <w14:ligatures w14:val="standardContextual"/>
              </w:rPr>
              <w:tab/>
            </w:r>
            <w:r w:rsidR="001C09DF" w:rsidRPr="000476AC">
              <w:rPr>
                <w:rStyle w:val="Hyperlink"/>
                <w:noProof/>
                <w:lang w:val="fr-FR" w:bidi="fr-FR"/>
              </w:rPr>
              <w:t>Tirer des enseignements de l’appétit pour le risque</w:t>
            </w:r>
            <w:r w:rsidR="001C09DF">
              <w:rPr>
                <w:noProof/>
                <w:webHidden/>
              </w:rPr>
              <w:tab/>
            </w:r>
            <w:r w:rsidR="001C09DF">
              <w:rPr>
                <w:noProof/>
                <w:webHidden/>
              </w:rPr>
              <w:fldChar w:fldCharType="begin"/>
            </w:r>
            <w:r w:rsidR="001C09DF">
              <w:rPr>
                <w:noProof/>
                <w:webHidden/>
              </w:rPr>
              <w:instrText xml:space="preserve"> PAGEREF _Toc157419455 \h </w:instrText>
            </w:r>
            <w:r w:rsidR="001C09DF">
              <w:rPr>
                <w:noProof/>
                <w:webHidden/>
              </w:rPr>
            </w:r>
            <w:r w:rsidR="001C09DF">
              <w:rPr>
                <w:noProof/>
                <w:webHidden/>
              </w:rPr>
              <w:fldChar w:fldCharType="separate"/>
            </w:r>
            <w:r w:rsidR="002E055D">
              <w:rPr>
                <w:noProof/>
                <w:webHidden/>
              </w:rPr>
              <w:t>10</w:t>
            </w:r>
            <w:r w:rsidR="001C09DF">
              <w:rPr>
                <w:noProof/>
                <w:webHidden/>
              </w:rPr>
              <w:fldChar w:fldCharType="end"/>
            </w:r>
          </w:hyperlink>
        </w:p>
        <w:p w14:paraId="44A5F378" w14:textId="100495C3" w:rsidR="001C09DF" w:rsidRDefault="00000000">
          <w:pPr>
            <w:pStyle w:val="TOC1"/>
            <w:tabs>
              <w:tab w:val="left" w:pos="440"/>
              <w:tab w:val="right" w:leader="dot" w:pos="9350"/>
            </w:tabs>
            <w:rPr>
              <w:rFonts w:eastAsiaTheme="minorEastAsia"/>
              <w:noProof/>
              <w:kern w:val="2"/>
              <w:lang w:val="en-GB" w:eastAsia="en-GB"/>
              <w14:ligatures w14:val="standardContextual"/>
            </w:rPr>
          </w:pPr>
          <w:hyperlink w:anchor="_Toc157419456" w:history="1">
            <w:r w:rsidR="001C09DF" w:rsidRPr="000476AC">
              <w:rPr>
                <w:rStyle w:val="Hyperlink"/>
                <w:noProof/>
                <w:lang w:val="fr-FR"/>
              </w:rPr>
              <w:t>6)</w:t>
            </w:r>
            <w:r w:rsidR="001C09DF">
              <w:rPr>
                <w:rFonts w:eastAsiaTheme="minorEastAsia"/>
                <w:noProof/>
                <w:kern w:val="2"/>
                <w:lang w:val="en-GB" w:eastAsia="en-GB"/>
                <w14:ligatures w14:val="standardContextual"/>
              </w:rPr>
              <w:tab/>
            </w:r>
            <w:r w:rsidR="001C09DF" w:rsidRPr="000476AC">
              <w:rPr>
                <w:rStyle w:val="Hyperlink"/>
                <w:noProof/>
                <w:lang w:val="fr-FR" w:bidi="fr-FR"/>
              </w:rPr>
              <w:t>Écarts par rapport à l’appétit pour le risque déclaré</w:t>
            </w:r>
            <w:r w:rsidR="001C09DF">
              <w:rPr>
                <w:noProof/>
                <w:webHidden/>
              </w:rPr>
              <w:tab/>
            </w:r>
            <w:r w:rsidR="001C09DF">
              <w:rPr>
                <w:noProof/>
                <w:webHidden/>
              </w:rPr>
              <w:fldChar w:fldCharType="begin"/>
            </w:r>
            <w:r w:rsidR="001C09DF">
              <w:rPr>
                <w:noProof/>
                <w:webHidden/>
              </w:rPr>
              <w:instrText xml:space="preserve"> PAGEREF _Toc157419456 \h </w:instrText>
            </w:r>
            <w:r w:rsidR="001C09DF">
              <w:rPr>
                <w:noProof/>
                <w:webHidden/>
              </w:rPr>
            </w:r>
            <w:r w:rsidR="001C09DF">
              <w:rPr>
                <w:noProof/>
                <w:webHidden/>
              </w:rPr>
              <w:fldChar w:fldCharType="separate"/>
            </w:r>
            <w:r w:rsidR="002E055D">
              <w:rPr>
                <w:noProof/>
                <w:webHidden/>
              </w:rPr>
              <w:t>10</w:t>
            </w:r>
            <w:r w:rsidR="001C09DF">
              <w:rPr>
                <w:noProof/>
                <w:webHidden/>
              </w:rPr>
              <w:fldChar w:fldCharType="end"/>
            </w:r>
          </w:hyperlink>
        </w:p>
        <w:p w14:paraId="2D7A20A1" w14:textId="4A4306FE" w:rsidR="001C09DF" w:rsidRDefault="00000000">
          <w:pPr>
            <w:pStyle w:val="TOC1"/>
            <w:tabs>
              <w:tab w:val="right" w:leader="dot" w:pos="9350"/>
            </w:tabs>
            <w:rPr>
              <w:rFonts w:eastAsiaTheme="minorEastAsia"/>
              <w:noProof/>
              <w:kern w:val="2"/>
              <w:lang w:val="en-GB" w:eastAsia="en-GB"/>
              <w14:ligatures w14:val="standardContextual"/>
            </w:rPr>
          </w:pPr>
          <w:hyperlink w:anchor="_Toc157419457" w:history="1">
            <w:r w:rsidR="001C09DF" w:rsidRPr="000476AC">
              <w:rPr>
                <w:rStyle w:val="Hyperlink"/>
                <w:noProof/>
                <w:lang w:val="fr-FR" w:bidi="fr-FR"/>
              </w:rPr>
              <w:t>Annexe 1 : Les catégories de risques de la GRI</w:t>
            </w:r>
            <w:r w:rsidR="001C09DF">
              <w:rPr>
                <w:noProof/>
                <w:webHidden/>
              </w:rPr>
              <w:tab/>
            </w:r>
            <w:r w:rsidR="001C09DF">
              <w:rPr>
                <w:noProof/>
                <w:webHidden/>
              </w:rPr>
              <w:fldChar w:fldCharType="begin"/>
            </w:r>
            <w:r w:rsidR="001C09DF">
              <w:rPr>
                <w:noProof/>
                <w:webHidden/>
              </w:rPr>
              <w:instrText xml:space="preserve"> PAGEREF _Toc157419457 \h </w:instrText>
            </w:r>
            <w:r w:rsidR="001C09DF">
              <w:rPr>
                <w:noProof/>
                <w:webHidden/>
              </w:rPr>
            </w:r>
            <w:r w:rsidR="001C09DF">
              <w:rPr>
                <w:noProof/>
                <w:webHidden/>
              </w:rPr>
              <w:fldChar w:fldCharType="separate"/>
            </w:r>
            <w:r w:rsidR="002E055D">
              <w:rPr>
                <w:noProof/>
                <w:webHidden/>
              </w:rPr>
              <w:t>11</w:t>
            </w:r>
            <w:r w:rsidR="001C09DF">
              <w:rPr>
                <w:noProof/>
                <w:webHidden/>
              </w:rPr>
              <w:fldChar w:fldCharType="end"/>
            </w:r>
          </w:hyperlink>
        </w:p>
        <w:p w14:paraId="414298C1" w14:textId="0FA5F7BF" w:rsidR="001C09DF" w:rsidRDefault="00000000">
          <w:pPr>
            <w:pStyle w:val="TOC1"/>
            <w:tabs>
              <w:tab w:val="right" w:leader="dot" w:pos="9350"/>
            </w:tabs>
            <w:rPr>
              <w:rFonts w:eastAsiaTheme="minorEastAsia"/>
              <w:noProof/>
              <w:kern w:val="2"/>
              <w:lang w:val="en-GB" w:eastAsia="en-GB"/>
              <w14:ligatures w14:val="standardContextual"/>
            </w:rPr>
          </w:pPr>
          <w:hyperlink w:anchor="_Toc157419458" w:history="1">
            <w:r w:rsidR="001C09DF" w:rsidRPr="000476AC">
              <w:rPr>
                <w:rStyle w:val="Hyperlink"/>
                <w:noProof/>
                <w:lang w:val="fr-FR" w:bidi="fr-FR"/>
              </w:rPr>
              <w:t>Annexe 2 : Catégories et niveaux de la déclaration de l’appétit pour le risque</w:t>
            </w:r>
            <w:r w:rsidR="001C09DF">
              <w:rPr>
                <w:noProof/>
                <w:webHidden/>
              </w:rPr>
              <w:tab/>
            </w:r>
            <w:r w:rsidR="001C09DF">
              <w:rPr>
                <w:noProof/>
                <w:webHidden/>
              </w:rPr>
              <w:fldChar w:fldCharType="begin"/>
            </w:r>
            <w:r w:rsidR="001C09DF">
              <w:rPr>
                <w:noProof/>
                <w:webHidden/>
              </w:rPr>
              <w:instrText xml:space="preserve"> PAGEREF _Toc157419458 \h </w:instrText>
            </w:r>
            <w:r w:rsidR="001C09DF">
              <w:rPr>
                <w:noProof/>
                <w:webHidden/>
              </w:rPr>
            </w:r>
            <w:r w:rsidR="001C09DF">
              <w:rPr>
                <w:noProof/>
                <w:webHidden/>
              </w:rPr>
              <w:fldChar w:fldCharType="separate"/>
            </w:r>
            <w:r w:rsidR="002E055D">
              <w:rPr>
                <w:noProof/>
                <w:webHidden/>
              </w:rPr>
              <w:t>12</w:t>
            </w:r>
            <w:r w:rsidR="001C09DF">
              <w:rPr>
                <w:noProof/>
                <w:webHidden/>
              </w:rPr>
              <w:fldChar w:fldCharType="end"/>
            </w:r>
          </w:hyperlink>
        </w:p>
        <w:p w14:paraId="32EAFCE8" w14:textId="366CB812" w:rsidR="001C09DF" w:rsidRDefault="00000000">
          <w:pPr>
            <w:pStyle w:val="TOC1"/>
            <w:tabs>
              <w:tab w:val="right" w:leader="dot" w:pos="9350"/>
            </w:tabs>
            <w:rPr>
              <w:rFonts w:eastAsiaTheme="minorEastAsia"/>
              <w:noProof/>
              <w:kern w:val="2"/>
              <w:lang w:val="en-GB" w:eastAsia="en-GB"/>
              <w14:ligatures w14:val="standardContextual"/>
            </w:rPr>
          </w:pPr>
          <w:hyperlink w:anchor="_Toc157419459" w:history="1">
            <w:r w:rsidR="001C09DF" w:rsidRPr="000476AC">
              <w:rPr>
                <w:rStyle w:val="Hyperlink"/>
                <w:noProof/>
                <w:lang w:val="fr-FR" w:bidi="fr-FR"/>
              </w:rPr>
              <w:t>Annexe 3 : Aligner l’appétit pour le risque sur l’importance du risque dans la matrice des risques</w:t>
            </w:r>
            <w:r w:rsidR="001C09DF">
              <w:rPr>
                <w:noProof/>
                <w:webHidden/>
              </w:rPr>
              <w:tab/>
            </w:r>
            <w:r w:rsidR="001C09DF">
              <w:rPr>
                <w:noProof/>
                <w:webHidden/>
              </w:rPr>
              <w:fldChar w:fldCharType="begin"/>
            </w:r>
            <w:r w:rsidR="001C09DF">
              <w:rPr>
                <w:noProof/>
                <w:webHidden/>
              </w:rPr>
              <w:instrText xml:space="preserve"> PAGEREF _Toc157419459 \h </w:instrText>
            </w:r>
            <w:r w:rsidR="001C09DF">
              <w:rPr>
                <w:noProof/>
                <w:webHidden/>
              </w:rPr>
            </w:r>
            <w:r w:rsidR="001C09DF">
              <w:rPr>
                <w:noProof/>
                <w:webHidden/>
              </w:rPr>
              <w:fldChar w:fldCharType="separate"/>
            </w:r>
            <w:r w:rsidR="002E055D">
              <w:rPr>
                <w:noProof/>
                <w:webHidden/>
              </w:rPr>
              <w:t>15</w:t>
            </w:r>
            <w:r w:rsidR="001C09DF">
              <w:rPr>
                <w:noProof/>
                <w:webHidden/>
              </w:rPr>
              <w:fldChar w:fldCharType="end"/>
            </w:r>
          </w:hyperlink>
        </w:p>
        <w:p w14:paraId="7BF50D1F" w14:textId="40A25F82" w:rsidR="001C09DF" w:rsidRDefault="00000000">
          <w:pPr>
            <w:pStyle w:val="TOC1"/>
            <w:tabs>
              <w:tab w:val="right" w:leader="dot" w:pos="9350"/>
            </w:tabs>
            <w:rPr>
              <w:rFonts w:eastAsiaTheme="minorEastAsia"/>
              <w:noProof/>
              <w:kern w:val="2"/>
              <w:lang w:val="en-GB" w:eastAsia="en-GB"/>
              <w14:ligatures w14:val="standardContextual"/>
            </w:rPr>
          </w:pPr>
          <w:hyperlink w:anchor="_Toc157419460" w:history="1">
            <w:r w:rsidR="001C09DF" w:rsidRPr="000476AC">
              <w:rPr>
                <w:rStyle w:val="Hyperlink"/>
                <w:noProof/>
                <w:lang w:val="fr-FR" w:bidi="fr-FR"/>
              </w:rPr>
              <w:t>Annexe 4 : Synthèse de l’appétit pour le risque</w:t>
            </w:r>
            <w:r w:rsidR="001C09DF">
              <w:rPr>
                <w:noProof/>
                <w:webHidden/>
              </w:rPr>
              <w:tab/>
            </w:r>
            <w:r w:rsidR="001C09DF">
              <w:rPr>
                <w:noProof/>
                <w:webHidden/>
              </w:rPr>
              <w:fldChar w:fldCharType="begin"/>
            </w:r>
            <w:r w:rsidR="001C09DF">
              <w:rPr>
                <w:noProof/>
                <w:webHidden/>
              </w:rPr>
              <w:instrText xml:space="preserve"> PAGEREF _Toc157419460 \h </w:instrText>
            </w:r>
            <w:r w:rsidR="001C09DF">
              <w:rPr>
                <w:noProof/>
                <w:webHidden/>
              </w:rPr>
            </w:r>
            <w:r w:rsidR="001C09DF">
              <w:rPr>
                <w:noProof/>
                <w:webHidden/>
              </w:rPr>
              <w:fldChar w:fldCharType="separate"/>
            </w:r>
            <w:r w:rsidR="002E055D">
              <w:rPr>
                <w:noProof/>
                <w:webHidden/>
              </w:rPr>
              <w:t>16</w:t>
            </w:r>
            <w:r w:rsidR="001C09DF">
              <w:rPr>
                <w:noProof/>
                <w:webHidden/>
              </w:rPr>
              <w:fldChar w:fldCharType="end"/>
            </w:r>
          </w:hyperlink>
        </w:p>
        <w:p w14:paraId="16D5F206" w14:textId="79728AAB" w:rsidR="00117AC3" w:rsidRDefault="00117AC3">
          <w:r>
            <w:rPr>
              <w:b/>
              <w:noProof/>
              <w:lang w:val="fr-FR" w:bidi="fr-FR"/>
            </w:rPr>
            <w:fldChar w:fldCharType="end"/>
          </w:r>
        </w:p>
      </w:sdtContent>
    </w:sdt>
    <w:p w14:paraId="17A4FBF4" w14:textId="2F628DF1" w:rsidR="00BC57B0" w:rsidRDefault="00BC57B0">
      <w:pPr>
        <w:rPr>
          <w:rFonts w:asciiTheme="majorHAnsi" w:eastAsiaTheme="majorEastAsia" w:hAnsiTheme="majorHAnsi" w:cstheme="majorBidi"/>
          <w:color w:val="2F5496" w:themeColor="accent1" w:themeShade="BF"/>
          <w:sz w:val="32"/>
          <w:szCs w:val="32"/>
        </w:rPr>
      </w:pPr>
      <w:r>
        <w:rPr>
          <w:lang w:val="fr-FR" w:bidi="fr-FR"/>
        </w:rPr>
        <w:br w:type="page"/>
      </w:r>
    </w:p>
    <w:p w14:paraId="3A55EA28" w14:textId="472954BF" w:rsidR="00BB7E15" w:rsidRDefault="00BB7E15" w:rsidP="003F0B20">
      <w:pPr>
        <w:pStyle w:val="Heading1"/>
        <w:numPr>
          <w:ilvl w:val="0"/>
          <w:numId w:val="7"/>
        </w:numPr>
        <w:ind w:left="357" w:hanging="357"/>
      </w:pPr>
      <w:bookmarkStart w:id="3" w:name="_Toc157419451"/>
      <w:r>
        <w:rPr>
          <w:lang w:val="fr-FR" w:bidi="fr-FR"/>
        </w:rPr>
        <w:lastRenderedPageBreak/>
        <w:t>Introduction</w:t>
      </w:r>
      <w:bookmarkEnd w:id="3"/>
    </w:p>
    <w:p w14:paraId="3517AC41" w14:textId="5096BCAC" w:rsidR="00701300" w:rsidRPr="001C09DF" w:rsidRDefault="00BB7E15" w:rsidP="00BB7E15">
      <w:pPr>
        <w:rPr>
          <w:lang w:val="fr-FR"/>
        </w:rPr>
      </w:pPr>
      <w:r>
        <w:rPr>
          <w:lang w:val="fr-FR" w:bidi="fr-FR"/>
        </w:rPr>
        <w:t>Ces orientations ont été conçues dans le but de favoriser une application cohérente de la déclaration d</w:t>
      </w:r>
      <w:r w:rsidR="001C09DF">
        <w:rPr>
          <w:lang w:val="fr-FR" w:bidi="fr-FR"/>
        </w:rPr>
        <w:t>’</w:t>
      </w:r>
      <w:r>
        <w:rPr>
          <w:lang w:val="fr-FR" w:bidi="fr-FR"/>
        </w:rPr>
        <w:t>appétit pour le risque à tous les niveaux du PNUD. Elles s</w:t>
      </w:r>
      <w:r w:rsidR="001C09DF">
        <w:rPr>
          <w:lang w:val="fr-FR" w:bidi="fr-FR"/>
        </w:rPr>
        <w:t>’</w:t>
      </w:r>
      <w:r>
        <w:rPr>
          <w:lang w:val="fr-FR" w:bidi="fr-FR"/>
        </w:rPr>
        <w:t>adressent à l</w:t>
      </w:r>
      <w:r w:rsidR="001C09DF">
        <w:rPr>
          <w:lang w:val="fr-FR" w:bidi="fr-FR"/>
        </w:rPr>
        <w:t>’</w:t>
      </w:r>
      <w:r>
        <w:rPr>
          <w:lang w:val="fr-FR" w:bidi="fr-FR"/>
        </w:rPr>
        <w:t>ensemble du personnel et des partenaires du PNUD, et plus généralement à tous ceux qui collaborent avec l</w:t>
      </w:r>
      <w:r w:rsidR="001C09DF">
        <w:rPr>
          <w:lang w:val="fr-FR" w:bidi="fr-FR"/>
        </w:rPr>
        <w:t>’</w:t>
      </w:r>
      <w:r>
        <w:rPr>
          <w:lang w:val="fr-FR" w:bidi="fr-FR"/>
        </w:rPr>
        <w:t>organisation pour l</w:t>
      </w:r>
      <w:r w:rsidR="001C09DF">
        <w:rPr>
          <w:lang w:val="fr-FR" w:bidi="fr-FR"/>
        </w:rPr>
        <w:t>’</w:t>
      </w:r>
      <w:r>
        <w:rPr>
          <w:lang w:val="fr-FR" w:bidi="fr-FR"/>
        </w:rPr>
        <w:t>aider à mettre en œuvre son Plan stratégique. La déclaration d</w:t>
      </w:r>
      <w:r w:rsidR="001C09DF">
        <w:rPr>
          <w:lang w:val="fr-FR" w:bidi="fr-FR"/>
        </w:rPr>
        <w:t>’</w:t>
      </w:r>
      <w:r>
        <w:rPr>
          <w:lang w:val="fr-FR" w:bidi="fr-FR"/>
        </w:rPr>
        <w:t>appétit pour le risque et les présentes orientations font partie du cadre de la politique de gestion du risque institutionnel (GRI) du PNUD. Elles sont alignées sur la méthodologie de la GRI ainsi que sur le processus d</w:t>
      </w:r>
      <w:r w:rsidR="001C09DF">
        <w:rPr>
          <w:lang w:val="fr-FR" w:bidi="fr-FR"/>
        </w:rPr>
        <w:t>’</w:t>
      </w:r>
      <w:r>
        <w:rPr>
          <w:lang w:val="fr-FR" w:bidi="fr-FR"/>
        </w:rPr>
        <w:t>évaluation des risques.</w:t>
      </w:r>
    </w:p>
    <w:p w14:paraId="400E397B" w14:textId="280AA73A" w:rsidR="00306CC0" w:rsidRPr="001C09DF" w:rsidRDefault="000D50E7" w:rsidP="00BB7E15">
      <w:pPr>
        <w:rPr>
          <w:lang w:val="fr-FR"/>
        </w:rPr>
      </w:pPr>
      <w:r>
        <w:rPr>
          <w:lang w:val="fr-FR" w:bidi="fr-FR"/>
        </w:rPr>
        <w:t>La gestion des risques permet, dans des conditions incertaines, de maximiser les impacts des résultats obtenus par la mobilisation des ressources et des idées. Définir un appétit pour le risque relève d</w:t>
      </w:r>
      <w:r w:rsidR="001C09DF">
        <w:rPr>
          <w:lang w:val="fr-FR" w:bidi="fr-FR"/>
        </w:rPr>
        <w:t>’</w:t>
      </w:r>
      <w:r>
        <w:rPr>
          <w:lang w:val="fr-FR" w:bidi="fr-FR"/>
        </w:rPr>
        <w:t>un double objectif : d</w:t>
      </w:r>
      <w:r w:rsidR="001C09DF">
        <w:rPr>
          <w:lang w:val="fr-FR" w:bidi="fr-FR"/>
        </w:rPr>
        <w:t>’</w:t>
      </w:r>
      <w:r>
        <w:rPr>
          <w:lang w:val="fr-FR" w:bidi="fr-FR"/>
        </w:rPr>
        <w:t>une part, favoriser la gestion effective de ces risques (menaces et opportunités) à travers des discussions ouvertes sur le niveau de risque que le PNUD est prêt ou n</w:t>
      </w:r>
      <w:r w:rsidR="001C09DF">
        <w:rPr>
          <w:lang w:val="fr-FR" w:bidi="fr-FR"/>
        </w:rPr>
        <w:t>’</w:t>
      </w:r>
      <w:r>
        <w:rPr>
          <w:lang w:val="fr-FR" w:bidi="fr-FR"/>
        </w:rPr>
        <w:t>est pas prêt à prendre, et d</w:t>
      </w:r>
      <w:r w:rsidR="001C09DF">
        <w:rPr>
          <w:lang w:val="fr-FR" w:bidi="fr-FR"/>
        </w:rPr>
        <w:t>’</w:t>
      </w:r>
      <w:r>
        <w:rPr>
          <w:lang w:val="fr-FR" w:bidi="fr-FR"/>
        </w:rPr>
        <w:t>autre part, faire en sorte qu</w:t>
      </w:r>
      <w:r w:rsidR="001C09DF">
        <w:rPr>
          <w:lang w:val="fr-FR" w:bidi="fr-FR"/>
        </w:rPr>
        <w:t>’</w:t>
      </w:r>
      <w:r>
        <w:rPr>
          <w:lang w:val="fr-FR" w:bidi="fr-FR"/>
        </w:rPr>
        <w:t>une approche cohérente du risque soit adoptée par tous les membres de l</w:t>
      </w:r>
      <w:r w:rsidR="001C09DF">
        <w:rPr>
          <w:lang w:val="fr-FR" w:bidi="fr-FR"/>
        </w:rPr>
        <w:t>’</w:t>
      </w:r>
      <w:r>
        <w:rPr>
          <w:lang w:val="fr-FR" w:bidi="fr-FR"/>
        </w:rPr>
        <w:t>organisation. Les présentes orientations doivent être utilisées dans le cadre de l</w:t>
      </w:r>
      <w:r w:rsidR="001C09DF">
        <w:rPr>
          <w:lang w:val="fr-FR" w:bidi="fr-FR"/>
        </w:rPr>
        <w:t>’</w:t>
      </w:r>
      <w:r>
        <w:rPr>
          <w:lang w:val="fr-FR" w:bidi="fr-FR"/>
        </w:rPr>
        <w:t>évaluation générale de la GRI de votre bureau, unité opérationnelle ou projet afin de permettre la réalisation effective des plans et objectifs du PNUD.</w:t>
      </w:r>
    </w:p>
    <w:p w14:paraId="6AEAA300" w14:textId="0755A94A" w:rsidR="004F3A7B" w:rsidRPr="001C09DF" w:rsidRDefault="004F3A7B" w:rsidP="004F3A7B">
      <w:pPr>
        <w:pStyle w:val="Heading1"/>
        <w:numPr>
          <w:ilvl w:val="0"/>
          <w:numId w:val="7"/>
        </w:numPr>
        <w:ind w:left="357" w:hanging="357"/>
        <w:rPr>
          <w:lang w:val="fr-FR"/>
        </w:rPr>
      </w:pPr>
      <w:bookmarkStart w:id="4" w:name="_Toc157419452"/>
      <w:r>
        <w:rPr>
          <w:lang w:val="fr-FR" w:bidi="fr-FR"/>
        </w:rPr>
        <w:t>Comprendre la déclaration d</w:t>
      </w:r>
      <w:r w:rsidR="001C09DF">
        <w:rPr>
          <w:lang w:val="fr-FR" w:bidi="fr-FR"/>
        </w:rPr>
        <w:t>’</w:t>
      </w:r>
      <w:r>
        <w:rPr>
          <w:lang w:val="fr-FR" w:bidi="fr-FR"/>
        </w:rPr>
        <w:t>appétit pour le risque</w:t>
      </w:r>
      <w:bookmarkEnd w:id="4"/>
    </w:p>
    <w:p w14:paraId="3A6C3C78" w14:textId="72C8D814" w:rsidR="00761C08" w:rsidRPr="001C09DF" w:rsidRDefault="004F3A7B" w:rsidP="004F3A7B">
      <w:pPr>
        <w:rPr>
          <w:lang w:val="fr-FR"/>
        </w:rPr>
      </w:pPr>
      <w:r>
        <w:rPr>
          <w:lang w:val="fr-FR" w:bidi="fr-FR"/>
        </w:rPr>
        <w:t>Que l</w:t>
      </w:r>
      <w:r w:rsidR="001C09DF">
        <w:rPr>
          <w:lang w:val="fr-FR" w:bidi="fr-FR"/>
        </w:rPr>
        <w:t>’</w:t>
      </w:r>
      <w:r>
        <w:rPr>
          <w:lang w:val="fr-FR" w:bidi="fr-FR"/>
        </w:rPr>
        <w:t>on se place dans le contexte d</w:t>
      </w:r>
      <w:r w:rsidR="001C09DF">
        <w:rPr>
          <w:lang w:val="fr-FR" w:bidi="fr-FR"/>
        </w:rPr>
        <w:t>’</w:t>
      </w:r>
      <w:r>
        <w:rPr>
          <w:lang w:val="fr-FR" w:bidi="fr-FR"/>
        </w:rPr>
        <w:t>un projet, d</w:t>
      </w:r>
      <w:r w:rsidR="001C09DF">
        <w:rPr>
          <w:lang w:val="fr-FR" w:bidi="fr-FR"/>
        </w:rPr>
        <w:t>’</w:t>
      </w:r>
      <w:r>
        <w:rPr>
          <w:lang w:val="fr-FR" w:bidi="fr-FR"/>
        </w:rPr>
        <w:t>un programme ou d</w:t>
      </w:r>
      <w:r w:rsidR="001C09DF">
        <w:rPr>
          <w:lang w:val="fr-FR" w:bidi="fr-FR"/>
        </w:rPr>
        <w:t>’</w:t>
      </w:r>
      <w:r>
        <w:rPr>
          <w:lang w:val="fr-FR" w:bidi="fr-FR"/>
        </w:rPr>
        <w:t>un processus opérationnel visant à faciliter la réalisation des objectifs du PNUD, il faut procéder à l</w:t>
      </w:r>
      <w:r w:rsidR="001C09DF">
        <w:rPr>
          <w:lang w:val="fr-FR" w:bidi="fr-FR"/>
        </w:rPr>
        <w:t>’</w:t>
      </w:r>
      <w:r>
        <w:rPr>
          <w:lang w:val="fr-FR" w:bidi="fr-FR"/>
        </w:rPr>
        <w:t>évaluation des risques au moyen de la méthodologie de la GRI. Cette analyse conduit à couvrir un large éventail de risques, et donc à définir l</w:t>
      </w:r>
      <w:r w:rsidR="001C09DF">
        <w:rPr>
          <w:lang w:val="fr-FR" w:bidi="fr-FR"/>
        </w:rPr>
        <w:t>’</w:t>
      </w:r>
      <w:r>
        <w:rPr>
          <w:lang w:val="fr-FR" w:bidi="fr-FR"/>
        </w:rPr>
        <w:t>appétit pour le risque dans de multiples domaines. Nous nous sommes appuyés sur l</w:t>
      </w:r>
      <w:r w:rsidR="001C09DF">
        <w:rPr>
          <w:lang w:val="fr-FR" w:bidi="fr-FR"/>
        </w:rPr>
        <w:t>’</w:t>
      </w:r>
      <w:r>
        <w:rPr>
          <w:lang w:val="fr-FR" w:bidi="fr-FR"/>
        </w:rPr>
        <w:t>exemple de l</w:t>
      </w:r>
      <w:r w:rsidR="001C09DF">
        <w:rPr>
          <w:lang w:val="fr-FR" w:bidi="fr-FR"/>
        </w:rPr>
        <w:t>’</w:t>
      </w:r>
      <w:r>
        <w:rPr>
          <w:lang w:val="fr-FR" w:bidi="fr-FR"/>
        </w:rPr>
        <w:t>établissement d</w:t>
      </w:r>
      <w:r w:rsidR="001C09DF">
        <w:rPr>
          <w:lang w:val="fr-FR" w:bidi="fr-FR"/>
        </w:rPr>
        <w:t>’</w:t>
      </w:r>
      <w:r>
        <w:rPr>
          <w:lang w:val="fr-FR" w:bidi="fr-FR"/>
        </w:rPr>
        <w:t>un nouveau bureau du PNUD pour vous aider à comprendre comment appliquer les dispositions de la déclaration d</w:t>
      </w:r>
      <w:r w:rsidR="001C09DF">
        <w:rPr>
          <w:lang w:val="fr-FR" w:bidi="fr-FR"/>
        </w:rPr>
        <w:t>’</w:t>
      </w:r>
      <w:r>
        <w:rPr>
          <w:lang w:val="fr-FR" w:bidi="fr-FR"/>
        </w:rPr>
        <w:t>appétit pour le risque dans le cadre de votre évaluation des risques. Ces orientations constituent un point de départ et non une approche immuable de la mise en œuvre de la déclaration d</w:t>
      </w:r>
      <w:r w:rsidR="001C09DF">
        <w:rPr>
          <w:lang w:val="fr-FR" w:bidi="fr-FR"/>
        </w:rPr>
        <w:t>’</w:t>
      </w:r>
      <w:r>
        <w:rPr>
          <w:lang w:val="fr-FR" w:bidi="fr-FR"/>
        </w:rPr>
        <w:t>appétit pour le risque ; vous devrez faire preuve de discernement et échanger avec différents interlocuteurs lorsque vous souhaiterez appliquer la déclaration d</w:t>
      </w:r>
      <w:r w:rsidR="001C09DF">
        <w:rPr>
          <w:lang w:val="fr-FR" w:bidi="fr-FR"/>
        </w:rPr>
        <w:t>’</w:t>
      </w:r>
      <w:r>
        <w:rPr>
          <w:lang w:val="fr-FR" w:bidi="fr-FR"/>
        </w:rPr>
        <w:t>appétit pour le risque.</w:t>
      </w:r>
    </w:p>
    <w:p w14:paraId="59329103" w14:textId="5C572658" w:rsidR="00CF17BF" w:rsidRPr="001C09DF" w:rsidRDefault="00CF17BF" w:rsidP="00CF17BF">
      <w:pPr>
        <w:pStyle w:val="Heading1"/>
        <w:numPr>
          <w:ilvl w:val="0"/>
          <w:numId w:val="7"/>
        </w:numPr>
        <w:ind w:left="357" w:hanging="357"/>
        <w:rPr>
          <w:lang w:val="fr-FR"/>
        </w:rPr>
      </w:pPr>
      <w:bookmarkStart w:id="5" w:name="_Toc157419453"/>
      <w:r>
        <w:rPr>
          <w:lang w:val="fr-FR" w:bidi="fr-FR"/>
        </w:rPr>
        <w:t>Comment et quand dois-je utiliser la déclaration d</w:t>
      </w:r>
      <w:r w:rsidR="001C09DF">
        <w:rPr>
          <w:lang w:val="fr-FR" w:bidi="fr-FR"/>
        </w:rPr>
        <w:t>’</w:t>
      </w:r>
      <w:r>
        <w:rPr>
          <w:lang w:val="fr-FR" w:bidi="fr-FR"/>
        </w:rPr>
        <w:t>appétit pour le risque ?</w:t>
      </w:r>
      <w:bookmarkEnd w:id="5"/>
    </w:p>
    <w:p w14:paraId="3FB2BE26" w14:textId="4A4A864E" w:rsidR="000C1C75" w:rsidRPr="001C09DF" w:rsidRDefault="00D603FF" w:rsidP="00626401">
      <w:pPr>
        <w:rPr>
          <w:lang w:val="fr-FR"/>
        </w:rPr>
      </w:pPr>
      <w:r>
        <w:rPr>
          <w:lang w:val="fr-FR" w:bidi="fr-FR"/>
        </w:rPr>
        <w:t>La déclaration d</w:t>
      </w:r>
      <w:r w:rsidR="001C09DF">
        <w:rPr>
          <w:lang w:val="fr-FR" w:bidi="fr-FR"/>
        </w:rPr>
        <w:t>’</w:t>
      </w:r>
      <w:r>
        <w:rPr>
          <w:lang w:val="fr-FR" w:bidi="fr-FR"/>
        </w:rPr>
        <w:t>appétit pour le risque est utilisée dans le cadre de l</w:t>
      </w:r>
      <w:r w:rsidR="001C09DF">
        <w:rPr>
          <w:lang w:val="fr-FR" w:bidi="fr-FR"/>
        </w:rPr>
        <w:t>’</w:t>
      </w:r>
      <w:r>
        <w:rPr>
          <w:lang w:val="fr-FR" w:bidi="fr-FR"/>
        </w:rPr>
        <w:t>exercice d</w:t>
      </w:r>
      <w:r w:rsidR="001C09DF">
        <w:rPr>
          <w:lang w:val="fr-FR" w:bidi="fr-FR"/>
        </w:rPr>
        <w:t>’</w:t>
      </w:r>
      <w:r>
        <w:rPr>
          <w:lang w:val="fr-FR" w:bidi="fr-FR"/>
        </w:rPr>
        <w:t xml:space="preserve">évaluation des risques mené par les responsables de la gestion des risques (plan de travail intégré, nouveau projet/programme) afin que les processus décisionnels tiennent compte de ces risques ; </w:t>
      </w:r>
      <w:proofErr w:type="spellStart"/>
      <w:r>
        <w:rPr>
          <w:lang w:val="fr-FR" w:bidi="fr-FR"/>
        </w:rPr>
        <w:t>veuillez vous</w:t>
      </w:r>
      <w:proofErr w:type="spellEnd"/>
      <w:r>
        <w:rPr>
          <w:lang w:val="fr-FR" w:bidi="fr-FR"/>
        </w:rPr>
        <w:t xml:space="preserve"> reporter aux </w:t>
      </w:r>
      <w:hyperlink r:id="rId13" w:history="1">
        <w:r w:rsidR="005720CD" w:rsidRPr="005720CD">
          <w:rPr>
            <w:rStyle w:val="Hyperlink"/>
            <w:lang w:val="fr-FR" w:bidi="fr-FR"/>
          </w:rPr>
          <w:t>Orientations sur la GRI</w:t>
        </w:r>
      </w:hyperlink>
      <w:r>
        <w:rPr>
          <w:lang w:val="fr-FR" w:bidi="fr-FR"/>
        </w:rPr>
        <w:t xml:space="preserve"> pour une explication détaillée de la méthodologie de la GRI. L</w:t>
      </w:r>
      <w:r w:rsidR="001C09DF">
        <w:rPr>
          <w:lang w:val="fr-FR" w:bidi="fr-FR"/>
        </w:rPr>
        <w:t>’</w:t>
      </w:r>
      <w:r>
        <w:rPr>
          <w:lang w:val="fr-FR" w:bidi="fr-FR"/>
        </w:rPr>
        <w:t>approche de l</w:t>
      </w:r>
      <w:r w:rsidR="001C09DF">
        <w:rPr>
          <w:lang w:val="fr-FR" w:bidi="fr-FR"/>
        </w:rPr>
        <w:t>’</w:t>
      </w:r>
      <w:r>
        <w:rPr>
          <w:lang w:val="fr-FR" w:bidi="fr-FR"/>
        </w:rPr>
        <w:t>appétit pour le risque repose sur un processus qui doit être intégré aux activités d</w:t>
      </w:r>
      <w:r w:rsidR="001C09DF">
        <w:rPr>
          <w:lang w:val="fr-FR" w:bidi="fr-FR"/>
        </w:rPr>
        <w:t>’</w:t>
      </w:r>
      <w:r>
        <w:rPr>
          <w:lang w:val="fr-FR" w:bidi="fr-FR"/>
        </w:rPr>
        <w:t>évaluation des risques du bureau ou de l</w:t>
      </w:r>
      <w:r w:rsidR="001C09DF">
        <w:rPr>
          <w:lang w:val="fr-FR" w:bidi="fr-FR"/>
        </w:rPr>
        <w:t>’</w:t>
      </w:r>
      <w:r>
        <w:rPr>
          <w:lang w:val="fr-FR" w:bidi="fr-FR"/>
        </w:rPr>
        <w:t>unité opérationnelle (et non pas constituer un processus indépendant), comme précisé ci-après :</w:t>
      </w:r>
    </w:p>
    <w:p w14:paraId="0292375E" w14:textId="13D8FA90" w:rsidR="00CF17BF" w:rsidRPr="001C09DF" w:rsidRDefault="00CF17BF" w:rsidP="00CF17BF">
      <w:pPr>
        <w:pStyle w:val="ListParagraph"/>
        <w:numPr>
          <w:ilvl w:val="2"/>
          <w:numId w:val="7"/>
        </w:numPr>
        <w:ind w:left="709"/>
        <w:rPr>
          <w:lang w:val="fr-FR"/>
        </w:rPr>
      </w:pPr>
      <w:r>
        <w:rPr>
          <w:lang w:val="fr-FR" w:bidi="fr-FR"/>
        </w:rPr>
        <w:t>Commencez par mener une évaluation des risques afin d</w:t>
      </w:r>
      <w:r w:rsidR="001C09DF">
        <w:rPr>
          <w:lang w:val="fr-FR" w:bidi="fr-FR"/>
        </w:rPr>
        <w:t>’</w:t>
      </w:r>
      <w:r>
        <w:rPr>
          <w:lang w:val="fr-FR" w:bidi="fr-FR"/>
        </w:rPr>
        <w:t>identifier les risques auxquels vous êtes confronté, formulez clairement vos risques et attribuez-leur des scores (probabilité et impact) à l</w:t>
      </w:r>
      <w:r w:rsidR="001C09DF">
        <w:rPr>
          <w:lang w:val="fr-FR" w:bidi="fr-FR"/>
        </w:rPr>
        <w:t>’</w:t>
      </w:r>
      <w:r>
        <w:rPr>
          <w:lang w:val="fr-FR" w:bidi="fr-FR"/>
        </w:rPr>
        <w:t>aide de la méthodologie standard de la GRI ;</w:t>
      </w:r>
    </w:p>
    <w:p w14:paraId="276D987F" w14:textId="5AA999F3" w:rsidR="00B0384A" w:rsidRPr="001C09DF" w:rsidRDefault="000C1C75" w:rsidP="00CF17BF">
      <w:pPr>
        <w:pStyle w:val="ListParagraph"/>
        <w:numPr>
          <w:ilvl w:val="2"/>
          <w:numId w:val="7"/>
        </w:numPr>
        <w:ind w:left="709"/>
        <w:rPr>
          <w:lang w:val="fr-FR"/>
        </w:rPr>
      </w:pPr>
      <w:r>
        <w:rPr>
          <w:lang w:val="fr-FR" w:bidi="fr-FR"/>
        </w:rPr>
        <w:t xml:space="preserve">Identifiez de quelles catégories/sous-catégories chacun de vos risques relève (social et environnemental, financier, opérationnel, organisationnel, réglementaire, stratégique, lié à la </w:t>
      </w:r>
      <w:r>
        <w:rPr>
          <w:lang w:val="fr-FR" w:bidi="fr-FR"/>
        </w:rPr>
        <w:lastRenderedPageBreak/>
        <w:t>réputation ou à la sûreté et à la sécurité) à l</w:t>
      </w:r>
      <w:r w:rsidR="001C09DF">
        <w:rPr>
          <w:lang w:val="fr-FR" w:bidi="fr-FR"/>
        </w:rPr>
        <w:t>’</w:t>
      </w:r>
      <w:r>
        <w:rPr>
          <w:lang w:val="fr-FR" w:bidi="fr-FR"/>
        </w:rPr>
        <w:t xml:space="preserve">aide des catégories de risques de la GRI (voir Annexe 1) ; </w:t>
      </w:r>
    </w:p>
    <w:p w14:paraId="131848A3" w14:textId="7359C3E9" w:rsidR="00B0384A" w:rsidRPr="001C09DF" w:rsidRDefault="00B0384A" w:rsidP="00CF17BF">
      <w:pPr>
        <w:pStyle w:val="ListParagraph"/>
        <w:numPr>
          <w:ilvl w:val="2"/>
          <w:numId w:val="7"/>
        </w:numPr>
        <w:ind w:left="709"/>
        <w:rPr>
          <w:lang w:val="fr-FR"/>
        </w:rPr>
      </w:pPr>
      <w:r>
        <w:rPr>
          <w:lang w:val="fr-FR" w:bidi="fr-FR"/>
        </w:rPr>
        <w:t>Comparez l</w:t>
      </w:r>
      <w:r w:rsidR="001C09DF">
        <w:rPr>
          <w:lang w:val="fr-FR" w:bidi="fr-FR"/>
        </w:rPr>
        <w:t>’</w:t>
      </w:r>
      <w:r>
        <w:rPr>
          <w:lang w:val="fr-FR" w:bidi="fr-FR"/>
        </w:rPr>
        <w:t>importance du risque au degré d</w:t>
      </w:r>
      <w:r w:rsidR="001C09DF">
        <w:rPr>
          <w:lang w:val="fr-FR" w:bidi="fr-FR"/>
        </w:rPr>
        <w:t>’</w:t>
      </w:r>
      <w:r>
        <w:rPr>
          <w:lang w:val="fr-FR" w:bidi="fr-FR"/>
        </w:rPr>
        <w:t>appétit pour le risque de cette catégorie (voir Annexe 2) ;</w:t>
      </w:r>
    </w:p>
    <w:p w14:paraId="2F6BB54B" w14:textId="111C5BF9" w:rsidR="006C7235" w:rsidRPr="001C09DF" w:rsidRDefault="00ED19C0" w:rsidP="00CF17BF">
      <w:pPr>
        <w:pStyle w:val="ListParagraph"/>
        <w:numPr>
          <w:ilvl w:val="2"/>
          <w:numId w:val="7"/>
        </w:numPr>
        <w:ind w:left="709"/>
        <w:rPr>
          <w:lang w:val="fr-FR"/>
        </w:rPr>
      </w:pPr>
      <w:r>
        <w:rPr>
          <w:lang w:val="fr-FR" w:bidi="fr-FR"/>
        </w:rPr>
        <w:t xml:space="preserve">Reportez-vous à la matrice des risques (voir Annexe 3) : si le score </w:t>
      </w:r>
      <w:r>
        <w:rPr>
          <w:b/>
          <w:lang w:val="fr-FR" w:bidi="fr-FR"/>
        </w:rPr>
        <w:t xml:space="preserve">dépasse </w:t>
      </w:r>
      <w:r>
        <w:rPr>
          <w:lang w:val="fr-FR" w:bidi="fr-FR"/>
        </w:rPr>
        <w:t>l</w:t>
      </w:r>
      <w:r w:rsidR="001C09DF">
        <w:rPr>
          <w:lang w:val="fr-FR" w:bidi="fr-FR"/>
        </w:rPr>
        <w:t>’</w:t>
      </w:r>
      <w:r>
        <w:rPr>
          <w:lang w:val="fr-FR" w:bidi="fr-FR"/>
        </w:rPr>
        <w:t>appétit pour le risque, vous devrez prendre une décision fondée sur l</w:t>
      </w:r>
      <w:r w:rsidR="001C09DF">
        <w:rPr>
          <w:lang w:val="fr-FR" w:bidi="fr-FR"/>
        </w:rPr>
        <w:t>’</w:t>
      </w:r>
      <w:r>
        <w:rPr>
          <w:lang w:val="fr-FR" w:bidi="fr-FR"/>
        </w:rPr>
        <w:t>analyse du risque pour déterminer ce que vous pourriez faire de plus ramener le risque à un niveau acceptable. La décision peut être d</w:t>
      </w:r>
      <w:r w:rsidR="001C09DF">
        <w:rPr>
          <w:lang w:val="fr-FR" w:bidi="fr-FR"/>
        </w:rPr>
        <w:t>’</w:t>
      </w:r>
      <w:r>
        <w:rPr>
          <w:lang w:val="fr-FR" w:bidi="fr-FR"/>
        </w:rPr>
        <w:t>accepter le risque s</w:t>
      </w:r>
      <w:r w:rsidR="001C09DF">
        <w:rPr>
          <w:lang w:val="fr-FR" w:bidi="fr-FR"/>
        </w:rPr>
        <w:t>’</w:t>
      </w:r>
      <w:r>
        <w:rPr>
          <w:lang w:val="fr-FR" w:bidi="fr-FR"/>
        </w:rPr>
        <w:t>il n</w:t>
      </w:r>
      <w:r w:rsidR="001C09DF">
        <w:rPr>
          <w:lang w:val="fr-FR" w:bidi="fr-FR"/>
        </w:rPr>
        <w:t>’</w:t>
      </w:r>
      <w:r>
        <w:rPr>
          <w:lang w:val="fr-FR" w:bidi="fr-FR"/>
        </w:rPr>
        <w:t>y a rien qui puisse être fait ou s</w:t>
      </w:r>
      <w:r w:rsidR="001C09DF">
        <w:rPr>
          <w:lang w:val="fr-FR" w:bidi="fr-FR"/>
        </w:rPr>
        <w:t>’</w:t>
      </w:r>
      <w:r>
        <w:rPr>
          <w:lang w:val="fr-FR" w:bidi="fr-FR"/>
        </w:rPr>
        <w:t>il vous est impossible de le réduire suffisamment de manière rapide, effective et financièrement raisonnable, ou d</w:t>
      </w:r>
      <w:r w:rsidR="001C09DF">
        <w:rPr>
          <w:lang w:val="fr-FR" w:bidi="fr-FR"/>
        </w:rPr>
        <w:t>’</w:t>
      </w:r>
      <w:r>
        <w:rPr>
          <w:lang w:val="fr-FR" w:bidi="fr-FR"/>
        </w:rPr>
        <w:t>éviter le risque en redéfinissant l</w:t>
      </w:r>
      <w:r w:rsidR="001C09DF">
        <w:rPr>
          <w:lang w:val="fr-FR" w:bidi="fr-FR"/>
        </w:rPr>
        <w:t>’</w:t>
      </w:r>
      <w:r>
        <w:rPr>
          <w:lang w:val="fr-FR" w:bidi="fr-FR"/>
        </w:rPr>
        <w:t>objectif et/ou l</w:t>
      </w:r>
      <w:r w:rsidR="001C09DF">
        <w:rPr>
          <w:lang w:val="fr-FR" w:bidi="fr-FR"/>
        </w:rPr>
        <w:t>’</w:t>
      </w:r>
      <w:r>
        <w:rPr>
          <w:lang w:val="fr-FR" w:bidi="fr-FR"/>
        </w:rPr>
        <w:t>activité. Les responsables de la gestion des risques doivent garantir la disponibilité des ressources nécessaires pour gérer les risques et mettre en œuvre les contrôles préalablement validés ;</w:t>
      </w:r>
    </w:p>
    <w:p w14:paraId="3164F802" w14:textId="6CC7C57E" w:rsidR="000C1C75" w:rsidRPr="001C09DF" w:rsidRDefault="006C7235" w:rsidP="00CF17BF">
      <w:pPr>
        <w:pStyle w:val="ListParagraph"/>
        <w:numPr>
          <w:ilvl w:val="2"/>
          <w:numId w:val="7"/>
        </w:numPr>
        <w:ind w:left="709"/>
        <w:rPr>
          <w:lang w:val="fr-FR"/>
        </w:rPr>
      </w:pPr>
      <w:r>
        <w:rPr>
          <w:lang w:val="fr-FR" w:bidi="fr-FR"/>
        </w:rPr>
        <w:t xml:space="preserve">Si le score </w:t>
      </w:r>
      <w:r>
        <w:rPr>
          <w:b/>
          <w:lang w:val="fr-FR" w:bidi="fr-FR"/>
        </w:rPr>
        <w:t>n</w:t>
      </w:r>
      <w:r w:rsidR="001C09DF">
        <w:rPr>
          <w:b/>
          <w:lang w:val="fr-FR" w:bidi="fr-FR"/>
        </w:rPr>
        <w:t>’</w:t>
      </w:r>
      <w:r>
        <w:rPr>
          <w:b/>
          <w:lang w:val="fr-FR" w:bidi="fr-FR"/>
        </w:rPr>
        <w:t>excède pas la limite</w:t>
      </w:r>
      <w:r>
        <w:rPr>
          <w:lang w:val="fr-FR" w:bidi="fr-FR"/>
        </w:rPr>
        <w:t xml:space="preserve"> de l</w:t>
      </w:r>
      <w:r w:rsidR="001C09DF">
        <w:rPr>
          <w:lang w:val="fr-FR" w:bidi="fr-FR"/>
        </w:rPr>
        <w:t>’</w:t>
      </w:r>
      <w:r>
        <w:rPr>
          <w:lang w:val="fr-FR" w:bidi="fr-FR"/>
        </w:rPr>
        <w:t>appétit pour le risque, demandez-vous si tous les contrôles que vous avez mis en place sont nécessaires. Il peut être envisageable et approprié d</w:t>
      </w:r>
      <w:r w:rsidR="001C09DF">
        <w:rPr>
          <w:lang w:val="fr-FR" w:bidi="fr-FR"/>
        </w:rPr>
        <w:t>’</w:t>
      </w:r>
      <w:r>
        <w:rPr>
          <w:lang w:val="fr-FR" w:bidi="fr-FR"/>
        </w:rPr>
        <w:t>assouplir les procédures de contrôle, mais vous devez toujours chercher à contrôler les risques si c</w:t>
      </w:r>
      <w:r w:rsidR="001C09DF">
        <w:rPr>
          <w:lang w:val="fr-FR" w:bidi="fr-FR"/>
        </w:rPr>
        <w:t>’</w:t>
      </w:r>
      <w:r>
        <w:rPr>
          <w:lang w:val="fr-FR" w:bidi="fr-FR"/>
        </w:rPr>
        <w:t>est économiquement viable et efficace.</w:t>
      </w:r>
    </w:p>
    <w:p w14:paraId="60A71E10" w14:textId="0E66F5F4" w:rsidR="00467AA0" w:rsidRPr="001C09DF" w:rsidRDefault="00E66BD2" w:rsidP="00CF17BF">
      <w:pPr>
        <w:pStyle w:val="ListParagraph"/>
        <w:numPr>
          <w:ilvl w:val="2"/>
          <w:numId w:val="7"/>
        </w:numPr>
        <w:ind w:left="709"/>
        <w:rPr>
          <w:lang w:val="fr-FR"/>
        </w:rPr>
      </w:pPr>
      <w:r>
        <w:rPr>
          <w:lang w:val="fr-FR" w:bidi="fr-FR"/>
        </w:rPr>
        <w:t>Suivez les pratiques habituelles de GRI, documentez clairement le processus et vos décisions, réévaluez les risques en permanence et redéfinissez leur score. Les risques peuvent être évolutifs, ce qui peut se traduire par une révision du degré d</w:t>
      </w:r>
      <w:r w:rsidR="001C09DF">
        <w:rPr>
          <w:lang w:val="fr-FR" w:bidi="fr-FR"/>
        </w:rPr>
        <w:t>’</w:t>
      </w:r>
      <w:r>
        <w:rPr>
          <w:lang w:val="fr-FR" w:bidi="fr-FR"/>
        </w:rPr>
        <w:t>appétit et vous amener à devoir ajuster les mesures de contrôle en conséquence. Les raisons de ces évolutions doivent également être documentées afin de justifier vos décisions et pour des raisons de transparence.</w:t>
      </w:r>
    </w:p>
    <w:p w14:paraId="7DCD6550" w14:textId="1A8BF8A1" w:rsidR="004C5060" w:rsidRPr="001C09DF" w:rsidRDefault="004C5060" w:rsidP="004C5060">
      <w:pPr>
        <w:rPr>
          <w:lang w:val="fr-FR"/>
        </w:rPr>
      </w:pPr>
      <w:r>
        <w:rPr>
          <w:lang w:val="fr-FR" w:bidi="fr-FR"/>
        </w:rPr>
        <w:t>Le processus est synthétisé par le diagramme ci-dessous.</w:t>
      </w:r>
      <w:r w:rsidR="00113CEF" w:rsidRPr="00113CEF">
        <w:rPr>
          <w:noProof/>
          <w:lang w:val="fr-FR" w:bidi="fr-FR"/>
        </w:rPr>
        <w:t xml:space="preserve"> </w:t>
      </w:r>
    </w:p>
    <w:p w14:paraId="6F3EA4E2" w14:textId="0C3F7E52" w:rsidR="0079491E" w:rsidRPr="00113CEF" w:rsidRDefault="00113CEF" w:rsidP="004C5060">
      <w:pPr>
        <w:rPr>
          <w:lang w:val="fr-FR"/>
        </w:rPr>
      </w:pPr>
      <w:r>
        <w:rPr>
          <w:noProof/>
        </w:rPr>
        <w:drawing>
          <wp:inline distT="0" distB="0" distL="0" distR="0" wp14:anchorId="7ADDD492" wp14:editId="688BA142">
            <wp:extent cx="5943600" cy="3455035"/>
            <wp:effectExtent l="0" t="0" r="0" b="0"/>
            <wp:docPr id="350273290"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73290" name="Picture 1" descr="A diagram of a company&#10;&#10;Description automatically generated"/>
                    <pic:cNvPicPr/>
                  </pic:nvPicPr>
                  <pic:blipFill>
                    <a:blip r:embed="rId14"/>
                    <a:stretch>
                      <a:fillRect/>
                    </a:stretch>
                  </pic:blipFill>
                  <pic:spPr>
                    <a:xfrm>
                      <a:off x="0" y="0"/>
                      <a:ext cx="5943600" cy="3455035"/>
                    </a:xfrm>
                    <a:prstGeom prst="rect">
                      <a:avLst/>
                    </a:prstGeom>
                  </pic:spPr>
                </pic:pic>
              </a:graphicData>
            </a:graphic>
          </wp:inline>
        </w:drawing>
      </w:r>
    </w:p>
    <w:p w14:paraId="47DEEF1D" w14:textId="66EC16E8" w:rsidR="00790125" w:rsidRPr="001C09DF" w:rsidRDefault="000C4828" w:rsidP="003F0B20">
      <w:pPr>
        <w:pStyle w:val="Heading1"/>
        <w:numPr>
          <w:ilvl w:val="0"/>
          <w:numId w:val="7"/>
        </w:numPr>
        <w:ind w:left="357" w:hanging="357"/>
        <w:rPr>
          <w:lang w:val="fr-FR"/>
        </w:rPr>
      </w:pPr>
      <w:bookmarkStart w:id="6" w:name="_Toc157419454"/>
      <w:r>
        <w:rPr>
          <w:lang w:val="fr-FR" w:bidi="fr-FR"/>
        </w:rPr>
        <w:lastRenderedPageBreak/>
        <w:t>Appliquer la déclaration d</w:t>
      </w:r>
      <w:r w:rsidR="001C09DF">
        <w:rPr>
          <w:lang w:val="fr-FR" w:bidi="fr-FR"/>
        </w:rPr>
        <w:t>’</w:t>
      </w:r>
      <w:r>
        <w:rPr>
          <w:lang w:val="fr-FR" w:bidi="fr-FR"/>
        </w:rPr>
        <w:t>appétit pour le risque</w:t>
      </w:r>
      <w:bookmarkEnd w:id="6"/>
    </w:p>
    <w:p w14:paraId="18B57B85" w14:textId="5F5DA68E" w:rsidR="003226B6" w:rsidRPr="001C09DF" w:rsidRDefault="000C6910" w:rsidP="00AE7753">
      <w:pPr>
        <w:rPr>
          <w:lang w:val="fr-FR"/>
        </w:rPr>
      </w:pPr>
      <w:r>
        <w:rPr>
          <w:lang w:val="fr-FR" w:bidi="fr-FR"/>
        </w:rPr>
        <w:t>Comme cela ressort de la déclaration d</w:t>
      </w:r>
      <w:r w:rsidR="001C09DF">
        <w:rPr>
          <w:lang w:val="fr-FR" w:bidi="fr-FR"/>
        </w:rPr>
        <w:t>’</w:t>
      </w:r>
      <w:r>
        <w:rPr>
          <w:lang w:val="fr-FR" w:bidi="fr-FR"/>
        </w:rPr>
        <w:t>appétit pour le risque, le PNUD a déterminé huit domaines pour lesquels l</w:t>
      </w:r>
      <w:r w:rsidR="001C09DF">
        <w:rPr>
          <w:lang w:val="fr-FR" w:bidi="fr-FR"/>
        </w:rPr>
        <w:t>’</w:t>
      </w:r>
      <w:r>
        <w:rPr>
          <w:lang w:val="fr-FR" w:bidi="fr-FR"/>
        </w:rPr>
        <w:t>appétit pour le risque a été défini (Annexe 2). Pour vous aider à comprendre et à mettre en pratique la déclaration d</w:t>
      </w:r>
      <w:r w:rsidR="001C09DF">
        <w:rPr>
          <w:lang w:val="fr-FR" w:bidi="fr-FR"/>
        </w:rPr>
        <w:t>’</w:t>
      </w:r>
      <w:r>
        <w:rPr>
          <w:lang w:val="fr-FR" w:bidi="fr-FR"/>
        </w:rPr>
        <w:t>appétit pour le risque, nous nous appuierons, dans cette section, sur deux exemples.</w:t>
      </w:r>
    </w:p>
    <w:p w14:paraId="486D5C7B" w14:textId="77777777" w:rsidR="008948D9" w:rsidRPr="001C09DF" w:rsidRDefault="008948D9" w:rsidP="00ED19C0">
      <w:pPr>
        <w:rPr>
          <w:b/>
          <w:u w:val="single"/>
          <w:lang w:val="fr-FR"/>
        </w:rPr>
      </w:pPr>
      <w:r w:rsidRPr="00513FC1">
        <w:rPr>
          <w:b/>
          <w:u w:val="single"/>
          <w:lang w:val="fr-FR" w:bidi="fr-FR"/>
        </w:rPr>
        <w:t>Exemple 1 :</w:t>
      </w:r>
    </w:p>
    <w:p w14:paraId="05FA568C" w14:textId="658719E1" w:rsidR="00302B2D" w:rsidRPr="001C09DF" w:rsidRDefault="00526443" w:rsidP="00ED19C0">
      <w:pPr>
        <w:rPr>
          <w:lang w:val="fr-FR"/>
        </w:rPr>
      </w:pPr>
      <w:r>
        <w:rPr>
          <w:lang w:val="fr-FR" w:bidi="fr-FR"/>
        </w:rPr>
        <w:t>Le bureau de pays du PNUD en Océanie souhaite ouvrir une structure de représentation pour un projet dans une région montagneuse que nous appellerons Terra. Cette région a récemment traversé une période de conflit. Malgré les avancées remarquables obtenues en Océanie, des obstacles au développement subsistent, et notamment des inégalités tenaces entre les différents groupes ethniques, les genres et les localités. Les trois quarts de la population sont quasiment en situation de pauvreté et n</w:t>
      </w:r>
      <w:r w:rsidR="001C09DF">
        <w:rPr>
          <w:lang w:val="fr-FR" w:bidi="fr-FR"/>
        </w:rPr>
        <w:t>’</w:t>
      </w:r>
      <w:r>
        <w:rPr>
          <w:lang w:val="fr-FR" w:bidi="fr-FR"/>
        </w:rPr>
        <w:t>ont pas la résilience nécessaire pour faire face aux chocs.</w:t>
      </w:r>
      <w:r w:rsidR="00302B2D">
        <w:rPr>
          <w:position w:val="9"/>
          <w:sz w:val="13"/>
          <w:lang w:val="fr-FR" w:bidi="fr-FR"/>
        </w:rPr>
        <w:t xml:space="preserve"> </w:t>
      </w:r>
      <w:r>
        <w:rPr>
          <w:lang w:val="fr-FR" w:bidi="fr-FR"/>
        </w:rPr>
        <w:t>De nouvelles formes de privations sociales, économiques et environnementales ont émergé en raison de la guerre civile, touchant les travailleurs immigrés et ceux du secteur informel, et particulièrement les femmes.</w:t>
      </w:r>
    </w:p>
    <w:p w14:paraId="373C1727" w14:textId="41D0E9A0" w:rsidR="009973F4" w:rsidRPr="001C09DF" w:rsidRDefault="002430C5" w:rsidP="009973F4">
      <w:pPr>
        <w:spacing w:before="4"/>
        <w:rPr>
          <w:lang w:val="fr-FR"/>
        </w:rPr>
      </w:pPr>
      <w:r>
        <w:rPr>
          <w:lang w:val="fr-FR" w:bidi="fr-FR"/>
        </w:rPr>
        <w:t>Vous avez été nommé responsable de programme/coordonnateur du bureau de pays pour conduire ce processus. Avant de créer le bureau de projet, vous devez prendre en compte de nombreux paramètres, chacun porteur à la fois d</w:t>
      </w:r>
      <w:r w:rsidR="001C09DF">
        <w:rPr>
          <w:lang w:val="fr-FR" w:bidi="fr-FR"/>
        </w:rPr>
        <w:t>’</w:t>
      </w:r>
      <w:r>
        <w:rPr>
          <w:lang w:val="fr-FR" w:bidi="fr-FR"/>
        </w:rPr>
        <w:t>opportunités et de risques, à savoir, par exemple : le soutien et l</w:t>
      </w:r>
      <w:r w:rsidR="001C09DF">
        <w:rPr>
          <w:lang w:val="fr-FR" w:bidi="fr-FR"/>
        </w:rPr>
        <w:t>’</w:t>
      </w:r>
      <w:r>
        <w:rPr>
          <w:lang w:val="fr-FR" w:bidi="fr-FR"/>
        </w:rPr>
        <w:t>accord du Gouvernement pour créer un bureau, l</w:t>
      </w:r>
      <w:r w:rsidR="001C09DF">
        <w:rPr>
          <w:lang w:val="fr-FR" w:bidi="fr-FR"/>
        </w:rPr>
        <w:t>’</w:t>
      </w:r>
      <w:r>
        <w:rPr>
          <w:lang w:val="fr-FR" w:bidi="fr-FR"/>
        </w:rPr>
        <w:t>adhésion des principales parties prenantes et principaux donateurs pour l</w:t>
      </w:r>
      <w:r w:rsidR="001C09DF">
        <w:rPr>
          <w:lang w:val="fr-FR" w:bidi="fr-FR"/>
        </w:rPr>
        <w:t>’</w:t>
      </w:r>
      <w:r>
        <w:rPr>
          <w:lang w:val="fr-FR" w:bidi="fr-FR"/>
        </w:rPr>
        <w:t>établissement d</w:t>
      </w:r>
      <w:r w:rsidR="001C09DF">
        <w:rPr>
          <w:lang w:val="fr-FR" w:bidi="fr-FR"/>
        </w:rPr>
        <w:t>’</w:t>
      </w:r>
      <w:r>
        <w:rPr>
          <w:lang w:val="fr-FR" w:bidi="fr-FR"/>
        </w:rPr>
        <w:t>une structure de représentation, des inquiétudes en matière de sûreté et de sécurité, des contraintes relatives à l</w:t>
      </w:r>
      <w:r w:rsidR="001C09DF">
        <w:rPr>
          <w:lang w:val="fr-FR" w:bidi="fr-FR"/>
        </w:rPr>
        <w:t>’</w:t>
      </w:r>
      <w:r>
        <w:rPr>
          <w:lang w:val="fr-FR" w:bidi="fr-FR"/>
        </w:rPr>
        <w:t>ouverture d</w:t>
      </w:r>
      <w:r w:rsidR="001C09DF">
        <w:rPr>
          <w:lang w:val="fr-FR" w:bidi="fr-FR"/>
        </w:rPr>
        <w:t>’</w:t>
      </w:r>
      <w:r>
        <w:rPr>
          <w:lang w:val="fr-FR" w:bidi="fr-FR"/>
        </w:rPr>
        <w:t>un bureau et des obligations opérationnelles (approvisionnement, procédures juridiques, RH, etc.), les enjeux financiers (investissements et conséquences, viabilité), les programmes en cours et la mobilisation de ressources du PNUD, la concurrence et les points forts du PNUD, les partenariats, les modalités de mise en œuvre, y compris les préoccupations sociales et environnementales, etc.</w:t>
      </w:r>
    </w:p>
    <w:p w14:paraId="22218F1C" w14:textId="52F94772" w:rsidR="002430C5" w:rsidRPr="001C09DF" w:rsidRDefault="00567E72" w:rsidP="00567E72">
      <w:pPr>
        <w:rPr>
          <w:lang w:val="fr-FR"/>
        </w:rPr>
      </w:pPr>
      <w:r>
        <w:rPr>
          <w:lang w:val="fr-FR" w:bidi="fr-FR"/>
        </w:rPr>
        <w:t>En considérant ces aspects, quels sont les risques possibles associés à l</w:t>
      </w:r>
      <w:r w:rsidR="001C09DF">
        <w:rPr>
          <w:lang w:val="fr-FR" w:bidi="fr-FR"/>
        </w:rPr>
        <w:t>’</w:t>
      </w:r>
      <w:r>
        <w:rPr>
          <w:lang w:val="fr-FR" w:bidi="fr-FR"/>
        </w:rPr>
        <w:t>établissement d</w:t>
      </w:r>
      <w:r w:rsidR="001C09DF">
        <w:rPr>
          <w:lang w:val="fr-FR" w:bidi="fr-FR"/>
        </w:rPr>
        <w:t>’</w:t>
      </w:r>
      <w:r>
        <w:rPr>
          <w:lang w:val="fr-FR" w:bidi="fr-FR"/>
        </w:rPr>
        <w:t>une présence locale ? Quelles sont les menaces qui peuvent avoir une incidence sur vos objectifs, et quelles sont les opportunités dont vous pouvez tirer parti pour établir la présence du PNUD à Terra ? Pour vous aider, nous allons sélectionner quelques risques, les évaluer et rapprocher chacun d</w:t>
      </w:r>
      <w:r w:rsidR="001C09DF">
        <w:rPr>
          <w:lang w:val="fr-FR" w:bidi="fr-FR"/>
        </w:rPr>
        <w:t>’</w:t>
      </w:r>
      <w:r>
        <w:rPr>
          <w:lang w:val="fr-FR" w:bidi="fr-FR"/>
        </w:rPr>
        <w:t>entre eux de l</w:t>
      </w:r>
      <w:r w:rsidR="001C09DF">
        <w:rPr>
          <w:lang w:val="fr-FR" w:bidi="fr-FR"/>
        </w:rPr>
        <w:t>’</w:t>
      </w:r>
      <w:r>
        <w:rPr>
          <w:lang w:val="fr-FR" w:bidi="fr-FR"/>
        </w:rPr>
        <w:t>appétit pour le risque de la catégorie concernée afin de juger si le niveau actuel de risque excède ou non la limite de l</w:t>
      </w:r>
      <w:r w:rsidR="001C09DF">
        <w:rPr>
          <w:lang w:val="fr-FR" w:bidi="fr-FR"/>
        </w:rPr>
        <w:t>’</w:t>
      </w:r>
      <w:r>
        <w:rPr>
          <w:lang w:val="fr-FR" w:bidi="fr-FR"/>
        </w:rPr>
        <w:t>appétit pour le risque, et, le cas échéant, quelles sont les mesures adaptées et d</w:t>
      </w:r>
      <w:r w:rsidR="001C09DF">
        <w:rPr>
          <w:lang w:val="fr-FR" w:bidi="fr-FR"/>
        </w:rPr>
        <w:t>’</w:t>
      </w:r>
      <w:r>
        <w:rPr>
          <w:lang w:val="fr-FR" w:bidi="fr-FR"/>
        </w:rPr>
        <w:t>un rapport coût-efficacité acceptable qu</w:t>
      </w:r>
      <w:r w:rsidR="001C09DF">
        <w:rPr>
          <w:lang w:val="fr-FR" w:bidi="fr-FR"/>
        </w:rPr>
        <w:t>’</w:t>
      </w:r>
      <w:r>
        <w:rPr>
          <w:lang w:val="fr-FR" w:bidi="fr-FR"/>
        </w:rPr>
        <w:t>il convient de mettre en œuvre pour gérer le risque. Nous nous concentrerons sur les risques financiers, opérationnels, sociaux et environnementaux, ainsi que sur le risque de réputation.</w:t>
      </w:r>
    </w:p>
    <w:p w14:paraId="0B6C2228" w14:textId="03910D96" w:rsidR="002430C5" w:rsidRDefault="00843C08" w:rsidP="00AE7753">
      <w:pPr>
        <w:rPr>
          <w:lang w:val="fr-FR" w:bidi="fr-FR"/>
        </w:rPr>
      </w:pPr>
      <w:r>
        <w:rPr>
          <w:lang w:val="fr-FR" w:bidi="fr-FR"/>
        </w:rPr>
        <w:t>Le budget pour établir une présence locale est basé sur une estimation initiale des coûts, réalisée au moment de la préparation de la proposition. Vous êtes désormais sur le terrain, vous avez mené des études et analyses de marché approfondies, et il vous apparaît clairement que de nombreuses incertitudes vous empêchent de vous faire une idée précise du coût réel de l</w:t>
      </w:r>
      <w:r w:rsidR="001C09DF">
        <w:rPr>
          <w:lang w:val="fr-FR" w:bidi="fr-FR"/>
        </w:rPr>
        <w:t>’</w:t>
      </w:r>
      <w:r>
        <w:rPr>
          <w:lang w:val="fr-FR" w:bidi="fr-FR"/>
        </w:rPr>
        <w:t>établissement d</w:t>
      </w:r>
      <w:r w:rsidR="001C09DF">
        <w:rPr>
          <w:lang w:val="fr-FR" w:bidi="fr-FR"/>
        </w:rPr>
        <w:t>’</w:t>
      </w:r>
      <w:r>
        <w:rPr>
          <w:lang w:val="fr-FR" w:bidi="fr-FR"/>
        </w:rPr>
        <w:t>un bureau de projet. Vous êtes particulièrement préoccupé par le fait que les coûts liés à la location et à la rénovation des bureaux, à l</w:t>
      </w:r>
      <w:r w:rsidR="001C09DF">
        <w:rPr>
          <w:lang w:val="fr-FR" w:bidi="fr-FR"/>
        </w:rPr>
        <w:t>’</w:t>
      </w:r>
      <w:r>
        <w:rPr>
          <w:lang w:val="fr-FR" w:bidi="fr-FR"/>
        </w:rPr>
        <w:t>infrastructure TIC et aux mesures d</w:t>
      </w:r>
      <w:r w:rsidR="001C09DF">
        <w:rPr>
          <w:lang w:val="fr-FR" w:bidi="fr-FR"/>
        </w:rPr>
        <w:t>’</w:t>
      </w:r>
      <w:r>
        <w:rPr>
          <w:lang w:val="fr-FR" w:bidi="fr-FR"/>
        </w:rPr>
        <w:t>atténuation des risques de sécurité pourraient dépasser le budget attribué. Votre évaluation des risques se résume ainsi :</w:t>
      </w:r>
    </w:p>
    <w:p w14:paraId="1D9393C5" w14:textId="77777777" w:rsidR="002E055D" w:rsidRDefault="002E055D" w:rsidP="00AE7753"/>
    <w:tbl>
      <w:tblPr>
        <w:tblStyle w:val="TableGrid"/>
        <w:tblW w:w="9355" w:type="dxa"/>
        <w:tblLook w:val="04A0" w:firstRow="1" w:lastRow="0" w:firstColumn="1" w:lastColumn="0" w:noHBand="0" w:noVBand="1"/>
      </w:tblPr>
      <w:tblGrid>
        <w:gridCol w:w="3118"/>
        <w:gridCol w:w="3118"/>
        <w:gridCol w:w="3119"/>
      </w:tblGrid>
      <w:tr w:rsidR="00301691" w14:paraId="36A9DA6C" w14:textId="77777777" w:rsidTr="00301691">
        <w:tc>
          <w:tcPr>
            <w:tcW w:w="3118" w:type="dxa"/>
          </w:tcPr>
          <w:p w14:paraId="068ACE28" w14:textId="56B84468" w:rsidR="00301691" w:rsidRPr="001C09DF" w:rsidRDefault="00301691" w:rsidP="00301691">
            <w:pPr>
              <w:rPr>
                <w:b/>
                <w:bCs/>
                <w:lang w:val="fr-FR"/>
              </w:rPr>
            </w:pPr>
            <w:r>
              <w:rPr>
                <w:b/>
                <w:lang w:val="fr-FR" w:bidi="fr-FR"/>
              </w:rPr>
              <w:lastRenderedPageBreak/>
              <w:t>Événement</w:t>
            </w:r>
          </w:p>
          <w:p w14:paraId="024E8406" w14:textId="104C866D" w:rsidR="00301691" w:rsidRPr="001C09DF" w:rsidRDefault="00B55137" w:rsidP="00301691">
            <w:pPr>
              <w:rPr>
                <w:lang w:val="fr-FR"/>
              </w:rPr>
            </w:pPr>
            <w:r>
              <w:rPr>
                <w:lang w:val="fr-FR" w:bidi="fr-FR"/>
              </w:rPr>
              <w:t>Les fonds/le budget pour établir le bureau de projet peuvent être insuffisants</w:t>
            </w:r>
          </w:p>
        </w:tc>
        <w:tc>
          <w:tcPr>
            <w:tcW w:w="3118" w:type="dxa"/>
          </w:tcPr>
          <w:p w14:paraId="09FE1FAA" w14:textId="77777777" w:rsidR="00301691" w:rsidRPr="001C09DF" w:rsidRDefault="00301691" w:rsidP="00301691">
            <w:pPr>
              <w:rPr>
                <w:b/>
                <w:bCs/>
                <w:lang w:val="fr-FR"/>
              </w:rPr>
            </w:pPr>
            <w:r>
              <w:rPr>
                <w:b/>
                <w:lang w:val="fr-FR" w:bidi="fr-FR"/>
              </w:rPr>
              <w:t>Cause</w:t>
            </w:r>
          </w:p>
          <w:p w14:paraId="7F80AC38" w14:textId="77777777" w:rsidR="00BA48E6" w:rsidRPr="001C09DF" w:rsidRDefault="00BA48E6" w:rsidP="00BA48E6">
            <w:pPr>
              <w:rPr>
                <w:lang w:val="fr-FR"/>
              </w:rPr>
            </w:pPr>
            <w:r>
              <w:rPr>
                <w:lang w:val="fr-FR" w:bidi="fr-FR"/>
              </w:rPr>
              <w:t>Écarts de coûts observés pour la location du bâtiment, les travaux de rénovation, la sécurité et le fonctionnement du bureau</w:t>
            </w:r>
          </w:p>
          <w:p w14:paraId="694259D3" w14:textId="77777777" w:rsidR="00301691" w:rsidRPr="001C09DF" w:rsidRDefault="00301691" w:rsidP="00301691">
            <w:pPr>
              <w:rPr>
                <w:lang w:val="fr-FR"/>
              </w:rPr>
            </w:pPr>
          </w:p>
          <w:p w14:paraId="5BF5B00B" w14:textId="317CF5E1" w:rsidR="00301691" w:rsidRDefault="00301691" w:rsidP="00301691">
            <w:pPr>
              <w:rPr>
                <w:b/>
                <w:bCs/>
              </w:rPr>
            </w:pPr>
            <w:r w:rsidRPr="00971669">
              <w:rPr>
                <w:b/>
                <w:lang w:val="fr-FR" w:bidi="fr-FR"/>
              </w:rPr>
              <w:t>Probabilité :</w:t>
            </w:r>
            <w:r w:rsidRPr="00971669">
              <w:rPr>
                <w:lang w:val="fr-FR" w:bidi="fr-FR"/>
              </w:rPr>
              <w:t xml:space="preserve"> 3 – Modérément probable</w:t>
            </w:r>
          </w:p>
        </w:tc>
        <w:tc>
          <w:tcPr>
            <w:tcW w:w="3119" w:type="dxa"/>
          </w:tcPr>
          <w:p w14:paraId="7E1CD309" w14:textId="76253D78" w:rsidR="00301691" w:rsidRDefault="00301691" w:rsidP="00301691">
            <w:pPr>
              <w:rPr>
                <w:b/>
                <w:bCs/>
              </w:rPr>
            </w:pPr>
            <w:r>
              <w:rPr>
                <w:b/>
                <w:lang w:val="fr-FR" w:bidi="fr-FR"/>
              </w:rPr>
              <w:t xml:space="preserve">Impact </w:t>
            </w:r>
          </w:p>
          <w:p w14:paraId="4D93C6C8" w14:textId="77777777" w:rsidR="005518C2" w:rsidRPr="001C09DF" w:rsidRDefault="005518C2" w:rsidP="005518C2">
            <w:pPr>
              <w:pStyle w:val="ListParagraph"/>
              <w:numPr>
                <w:ilvl w:val="0"/>
                <w:numId w:val="35"/>
              </w:numPr>
              <w:rPr>
                <w:lang w:val="fr-FR"/>
              </w:rPr>
            </w:pPr>
            <w:r>
              <w:rPr>
                <w:lang w:val="fr-FR" w:bidi="fr-FR"/>
              </w:rPr>
              <w:t>Augmentation du budget, potentiellement de 25 %</w:t>
            </w:r>
          </w:p>
          <w:p w14:paraId="393DBE40" w14:textId="4412A190" w:rsidR="005518C2" w:rsidRPr="001C09DF" w:rsidRDefault="005518C2" w:rsidP="005518C2">
            <w:pPr>
              <w:pStyle w:val="ListParagraph"/>
              <w:numPr>
                <w:ilvl w:val="0"/>
                <w:numId w:val="35"/>
              </w:numPr>
              <w:rPr>
                <w:lang w:val="fr-FR"/>
              </w:rPr>
            </w:pPr>
            <w:r>
              <w:rPr>
                <w:lang w:val="fr-FR" w:bidi="fr-FR"/>
              </w:rPr>
              <w:t>Impossibilité d</w:t>
            </w:r>
            <w:r w:rsidR="001C09DF">
              <w:rPr>
                <w:lang w:val="fr-FR" w:bidi="fr-FR"/>
              </w:rPr>
              <w:t>’</w:t>
            </w:r>
            <w:r>
              <w:rPr>
                <w:lang w:val="fr-FR" w:bidi="fr-FR"/>
              </w:rPr>
              <w:t>établir le bureau de projet dans les délais convenus</w:t>
            </w:r>
          </w:p>
          <w:p w14:paraId="4D16E85F" w14:textId="77777777" w:rsidR="00301691" w:rsidRPr="001C09DF" w:rsidRDefault="00301691" w:rsidP="00301691">
            <w:pPr>
              <w:rPr>
                <w:lang w:val="fr-FR"/>
              </w:rPr>
            </w:pPr>
          </w:p>
          <w:p w14:paraId="192B8C16" w14:textId="38E26DF9" w:rsidR="00301691" w:rsidRPr="00A41D96" w:rsidRDefault="00301691" w:rsidP="00301691">
            <w:pPr>
              <w:tabs>
                <w:tab w:val="left" w:pos="357"/>
              </w:tabs>
            </w:pPr>
            <w:r w:rsidRPr="00971669">
              <w:rPr>
                <w:b/>
                <w:lang w:val="fr-FR" w:bidi="fr-FR"/>
              </w:rPr>
              <w:t>Impact :</w:t>
            </w:r>
            <w:r w:rsidRPr="00971669">
              <w:rPr>
                <w:lang w:val="fr-FR" w:bidi="fr-FR"/>
              </w:rPr>
              <w:t xml:space="preserve"> 3 - Intermédiaire</w:t>
            </w:r>
          </w:p>
        </w:tc>
      </w:tr>
      <w:tr w:rsidR="00301691" w14:paraId="37D2C952" w14:textId="77777777" w:rsidTr="00301691">
        <w:tc>
          <w:tcPr>
            <w:tcW w:w="3118" w:type="dxa"/>
          </w:tcPr>
          <w:p w14:paraId="5A93EC84" w14:textId="576BBFB6" w:rsidR="00301691" w:rsidRPr="001C09DF" w:rsidRDefault="00301691" w:rsidP="00301691">
            <w:pPr>
              <w:rPr>
                <w:b/>
                <w:bCs/>
                <w:lang w:val="fr-FR"/>
              </w:rPr>
            </w:pPr>
            <w:r>
              <w:rPr>
                <w:b/>
                <w:lang w:val="fr-FR" w:bidi="fr-FR"/>
              </w:rPr>
              <w:t xml:space="preserve">Appétit pour le risque (financier) : </w:t>
            </w:r>
            <w:r>
              <w:rPr>
                <w:lang w:val="fr-FR" w:bidi="fr-FR"/>
              </w:rPr>
              <w:t>Minimum à prudent</w:t>
            </w:r>
          </w:p>
        </w:tc>
        <w:tc>
          <w:tcPr>
            <w:tcW w:w="3118" w:type="dxa"/>
          </w:tcPr>
          <w:p w14:paraId="21F186BE" w14:textId="1D934755" w:rsidR="00301691" w:rsidRDefault="00301691" w:rsidP="00301691">
            <w:pPr>
              <w:rPr>
                <w:b/>
                <w:bCs/>
              </w:rPr>
            </w:pPr>
            <w:r w:rsidRPr="00A8410B">
              <w:rPr>
                <w:b/>
                <w:lang w:val="fr-FR" w:bidi="fr-FR"/>
              </w:rPr>
              <w:t xml:space="preserve">Niveau de risque : </w:t>
            </w:r>
          </w:p>
          <w:p w14:paraId="178F0AAC" w14:textId="49CADDDF" w:rsidR="00301691" w:rsidRDefault="00301691" w:rsidP="00301691">
            <w:pPr>
              <w:rPr>
                <w:b/>
                <w:bCs/>
              </w:rPr>
            </w:pPr>
            <w:r>
              <w:rPr>
                <w:lang w:val="fr-FR" w:bidi="fr-FR"/>
              </w:rPr>
              <w:t>Modéré</w:t>
            </w:r>
          </w:p>
        </w:tc>
        <w:tc>
          <w:tcPr>
            <w:tcW w:w="3119" w:type="dxa"/>
          </w:tcPr>
          <w:p w14:paraId="63496E66" w14:textId="4D1705AE" w:rsidR="00301691" w:rsidRPr="001C09DF" w:rsidRDefault="00301691" w:rsidP="00301691">
            <w:pPr>
              <w:rPr>
                <w:b/>
                <w:bCs/>
                <w:lang w:val="fr-FR"/>
              </w:rPr>
            </w:pPr>
            <w:r>
              <w:rPr>
                <w:b/>
                <w:lang w:val="fr-FR" w:bidi="fr-FR"/>
              </w:rPr>
              <w:t>Catégorie et sous-catégorie de risque :</w:t>
            </w:r>
          </w:p>
          <w:p w14:paraId="30B92AAB" w14:textId="78CFDDE0" w:rsidR="00301691" w:rsidRDefault="00301691" w:rsidP="00301691">
            <w:r>
              <w:rPr>
                <w:lang w:val="fr-FR" w:bidi="fr-FR"/>
              </w:rPr>
              <w:t>2. Risque financier</w:t>
            </w:r>
          </w:p>
          <w:p w14:paraId="77E56EA6" w14:textId="526144A2" w:rsidR="00301691" w:rsidRPr="004C636A" w:rsidRDefault="00301691" w:rsidP="00301691">
            <w:r>
              <w:rPr>
                <w:lang w:val="fr-FR" w:bidi="fr-FR"/>
              </w:rPr>
              <w:t>2.5. Exécution</w:t>
            </w:r>
          </w:p>
        </w:tc>
      </w:tr>
    </w:tbl>
    <w:p w14:paraId="71B7EACB" w14:textId="5FBFFFEB" w:rsidR="00843C08" w:rsidRDefault="00843C08" w:rsidP="00AE7753"/>
    <w:p w14:paraId="63C9BA6D" w14:textId="2BBAA1CD" w:rsidR="00C455AC" w:rsidRPr="001C09DF" w:rsidRDefault="00A8410B" w:rsidP="00AE7753">
      <w:pPr>
        <w:rPr>
          <w:lang w:val="fr-FR"/>
        </w:rPr>
      </w:pPr>
      <w:r>
        <w:rPr>
          <w:lang w:val="fr-FR" w:bidi="fr-FR"/>
        </w:rPr>
        <w:t>Vous avez utilisé la méthodologie de la GRI pour calculer les scores de risque et avez établi que les scores d</w:t>
      </w:r>
      <w:r w:rsidR="001C09DF">
        <w:rPr>
          <w:lang w:val="fr-FR" w:bidi="fr-FR"/>
        </w:rPr>
        <w:t>’</w:t>
      </w:r>
      <w:r>
        <w:rPr>
          <w:lang w:val="fr-FR" w:bidi="fr-FR"/>
        </w:rPr>
        <w:t>impact et de probabilité sont l</w:t>
      </w:r>
      <w:r w:rsidR="001C09DF">
        <w:rPr>
          <w:lang w:val="fr-FR" w:bidi="fr-FR"/>
        </w:rPr>
        <w:t>’</w:t>
      </w:r>
      <w:r>
        <w:rPr>
          <w:lang w:val="fr-FR" w:bidi="fr-FR"/>
        </w:rPr>
        <w:t>un et l</w:t>
      </w:r>
      <w:r w:rsidR="001C09DF">
        <w:rPr>
          <w:lang w:val="fr-FR" w:bidi="fr-FR"/>
        </w:rPr>
        <w:t>’</w:t>
      </w:r>
      <w:r>
        <w:rPr>
          <w:lang w:val="fr-FR" w:bidi="fr-FR"/>
        </w:rPr>
        <w:t>autre de 3 Cela correspond à un niveau global de risque « modéré » (Annexe 3), ce qui équivaut à un appétit pour le risque « exploratoire ». Vous avez également déterminé que la catégorie de risque (à partir des colonnes des risques) est « financier » (Annexe 1) et que l</w:t>
      </w:r>
      <w:r w:rsidR="001C09DF">
        <w:rPr>
          <w:lang w:val="fr-FR" w:bidi="fr-FR"/>
        </w:rPr>
        <w:t>’</w:t>
      </w:r>
      <w:r>
        <w:rPr>
          <w:lang w:val="fr-FR" w:bidi="fr-FR"/>
        </w:rPr>
        <w:t>appétit pour le risque dans le cas des risques financiers est « minimum à prudent » (Annexe 2). Il est donc clair que vos risques financiers excèdent actuellement la limite d</w:t>
      </w:r>
      <w:r w:rsidR="001C09DF">
        <w:rPr>
          <w:lang w:val="fr-FR" w:bidi="fr-FR"/>
        </w:rPr>
        <w:t>’</w:t>
      </w:r>
      <w:r>
        <w:rPr>
          <w:lang w:val="fr-FR" w:bidi="fr-FR"/>
        </w:rPr>
        <w:t>appétit pour le risque que s</w:t>
      </w:r>
      <w:r w:rsidR="001C09DF">
        <w:rPr>
          <w:lang w:val="fr-FR" w:bidi="fr-FR"/>
        </w:rPr>
        <w:t>’</w:t>
      </w:r>
      <w:r>
        <w:rPr>
          <w:lang w:val="fr-FR" w:bidi="fr-FR"/>
        </w:rPr>
        <w:t xml:space="preserve">est </w:t>
      </w:r>
      <w:proofErr w:type="gramStart"/>
      <w:r>
        <w:rPr>
          <w:lang w:val="fr-FR" w:bidi="fr-FR"/>
        </w:rPr>
        <w:t>fixée</w:t>
      </w:r>
      <w:proofErr w:type="gramEnd"/>
      <w:r>
        <w:rPr>
          <w:lang w:val="fr-FR" w:bidi="fr-FR"/>
        </w:rPr>
        <w:t xml:space="preserve"> le PNUD.</w:t>
      </w:r>
    </w:p>
    <w:p w14:paraId="5A81A6F3" w14:textId="0902A65A" w:rsidR="005C7551" w:rsidRPr="001C09DF" w:rsidRDefault="005C7551" w:rsidP="00AE7753">
      <w:pPr>
        <w:rPr>
          <w:lang w:val="fr-FR"/>
        </w:rPr>
      </w:pPr>
      <w:r>
        <w:rPr>
          <w:lang w:val="fr-FR" w:bidi="fr-FR"/>
        </w:rPr>
        <w:t>Vous devez désormais décider comment gérer ce risque pour le ramener à un niveau acceptable (réduire la probabilité à 1 et/ou limiter l</w:t>
      </w:r>
      <w:r w:rsidR="001C09DF">
        <w:rPr>
          <w:lang w:val="fr-FR" w:bidi="fr-FR"/>
        </w:rPr>
        <w:t>’</w:t>
      </w:r>
      <w:r>
        <w:rPr>
          <w:lang w:val="fr-FR" w:bidi="fr-FR"/>
        </w:rPr>
        <w:t>impact à 2 au maximum). Vous pouvez pour cela modifier légèrement vos plans, réviser le cahier des charges applicable au choix du bureau et aux rénovations OU augmenter le budget initial en vous coordonnant avec le bureau de pays, les principales parties prenantes et les principaux donateurs, car un changement par rapport au plan original peut être préjudiciable à la réputation du PNUD, l</w:t>
      </w:r>
      <w:r w:rsidR="001C09DF">
        <w:rPr>
          <w:lang w:val="fr-FR" w:bidi="fr-FR"/>
        </w:rPr>
        <w:t>’</w:t>
      </w:r>
      <w:r>
        <w:rPr>
          <w:lang w:val="fr-FR" w:bidi="fr-FR"/>
        </w:rPr>
        <w:t>organisation s</w:t>
      </w:r>
      <w:r w:rsidR="001C09DF">
        <w:rPr>
          <w:lang w:val="fr-FR" w:bidi="fr-FR"/>
        </w:rPr>
        <w:t>’</w:t>
      </w:r>
      <w:r>
        <w:rPr>
          <w:lang w:val="fr-FR" w:bidi="fr-FR"/>
        </w:rPr>
        <w:t>étant engagée vis-à-vis du Gouvernement d</w:t>
      </w:r>
      <w:r w:rsidR="001C09DF">
        <w:rPr>
          <w:lang w:val="fr-FR" w:bidi="fr-FR"/>
        </w:rPr>
        <w:t>’</w:t>
      </w:r>
      <w:r>
        <w:rPr>
          <w:lang w:val="fr-FR" w:bidi="fr-FR"/>
        </w:rPr>
        <w:t>Océanie, des donateurs et des parties prenantes à établir une présence locale dans des délais établis. Une fois que vous aurez mis en place ces mesures d</w:t>
      </w:r>
      <w:r w:rsidR="001C09DF">
        <w:rPr>
          <w:lang w:val="fr-FR" w:bidi="fr-FR"/>
        </w:rPr>
        <w:t>’</w:t>
      </w:r>
      <w:r>
        <w:rPr>
          <w:lang w:val="fr-FR" w:bidi="fr-FR"/>
        </w:rPr>
        <w:t>atténuation, vous devrez continuer à suivre la situation afin de vous assurer que les contrôles ont les effets prévus et que les risques sont maintenus à un niveau acceptable, comme vous le feriez pour n</w:t>
      </w:r>
      <w:r w:rsidR="001C09DF">
        <w:rPr>
          <w:lang w:val="fr-FR" w:bidi="fr-FR"/>
        </w:rPr>
        <w:t>’</w:t>
      </w:r>
      <w:r>
        <w:rPr>
          <w:lang w:val="fr-FR" w:bidi="fr-FR"/>
        </w:rPr>
        <w:t>importe quel risque.</w:t>
      </w:r>
    </w:p>
    <w:p w14:paraId="1D554883" w14:textId="069F827C" w:rsidR="004C50FC" w:rsidRDefault="00015491" w:rsidP="00AE7753">
      <w:pPr>
        <w:rPr>
          <w:lang w:val="fr-FR" w:bidi="fr-FR"/>
        </w:rPr>
      </w:pPr>
      <w:r>
        <w:rPr>
          <w:lang w:val="fr-FR" w:bidi="fr-FR"/>
        </w:rPr>
        <w:t>Le Gouvernement d</w:t>
      </w:r>
      <w:r w:rsidR="001C09DF">
        <w:rPr>
          <w:lang w:val="fr-FR" w:bidi="fr-FR"/>
        </w:rPr>
        <w:t>’</w:t>
      </w:r>
      <w:r>
        <w:rPr>
          <w:lang w:val="fr-FR" w:bidi="fr-FR"/>
        </w:rPr>
        <w:t>Océanie et les principales parties prenantes sont ravis que le PNUD ait décidé d</w:t>
      </w:r>
      <w:r w:rsidR="001C09DF">
        <w:rPr>
          <w:lang w:val="fr-FR" w:bidi="fr-FR"/>
        </w:rPr>
        <w:t>’</w:t>
      </w:r>
      <w:r>
        <w:rPr>
          <w:lang w:val="fr-FR" w:bidi="fr-FR"/>
        </w:rPr>
        <w:t>établir un bureau de projet à Terra. Ils interprètent cette décision comme le signe de l</w:t>
      </w:r>
      <w:r w:rsidR="001C09DF">
        <w:rPr>
          <w:lang w:val="fr-FR" w:bidi="fr-FR"/>
        </w:rPr>
        <w:t>’</w:t>
      </w:r>
      <w:r>
        <w:rPr>
          <w:lang w:val="fr-FR" w:bidi="fr-FR"/>
        </w:rPr>
        <w:t>engagement permanent de l</w:t>
      </w:r>
      <w:r w:rsidR="001C09DF">
        <w:rPr>
          <w:lang w:val="fr-FR" w:bidi="fr-FR"/>
        </w:rPr>
        <w:t>’</w:t>
      </w:r>
      <w:r>
        <w:rPr>
          <w:lang w:val="fr-FR" w:bidi="fr-FR"/>
        </w:rPr>
        <w:t>organisation pour soutenir l</w:t>
      </w:r>
      <w:r w:rsidR="001C09DF">
        <w:rPr>
          <w:lang w:val="fr-FR" w:bidi="fr-FR"/>
        </w:rPr>
        <w:t>’</w:t>
      </w:r>
      <w:r>
        <w:rPr>
          <w:lang w:val="fr-FR" w:bidi="fr-FR"/>
        </w:rPr>
        <w:t>Océanie dans la réalisation de ses objectifs de développement. Toutefois, le PNUD étant perçu comme un nouvel acteur sur la scène du développement de la région de Terra, il est possible que les partenaires de mise en œuvre, les organisations de la société civile et les acteurs locaux remettent en question l</w:t>
      </w:r>
      <w:r w:rsidR="001C09DF">
        <w:rPr>
          <w:lang w:val="fr-FR" w:bidi="fr-FR"/>
        </w:rPr>
        <w:t>’</w:t>
      </w:r>
      <w:r>
        <w:rPr>
          <w:lang w:val="fr-FR" w:bidi="fr-FR"/>
        </w:rPr>
        <w:t>approche inclusive de ses activités et interventions programmatiques, d</w:t>
      </w:r>
      <w:r w:rsidR="001C09DF">
        <w:rPr>
          <w:lang w:val="fr-FR" w:bidi="fr-FR"/>
        </w:rPr>
        <w:t>’</w:t>
      </w:r>
      <w:r>
        <w:rPr>
          <w:lang w:val="fr-FR" w:bidi="fr-FR"/>
        </w:rPr>
        <w:t>autant plus que plusieurs minorités ethniques vivent dans la zone et que, conséquence de la guerre civile, la confiance entre ces groupes et la population majoritaire d</w:t>
      </w:r>
      <w:r w:rsidR="001C09DF">
        <w:rPr>
          <w:lang w:val="fr-FR" w:bidi="fr-FR"/>
        </w:rPr>
        <w:t>’</w:t>
      </w:r>
      <w:r>
        <w:rPr>
          <w:lang w:val="fr-FR" w:bidi="fr-FR"/>
        </w:rPr>
        <w:t>Océanie (les Océaniques) est très limitée. Les différentes parties prenantes et bénéficiaires pourraient ne pas coopérer entièrement avec le PNUD, faisant obstacle aux activités de nos projets et nous empêchant d</w:t>
      </w:r>
      <w:r w:rsidR="001C09DF">
        <w:rPr>
          <w:lang w:val="fr-FR" w:bidi="fr-FR"/>
        </w:rPr>
        <w:t>’</w:t>
      </w:r>
      <w:r>
        <w:rPr>
          <w:lang w:val="fr-FR" w:bidi="fr-FR"/>
        </w:rPr>
        <w:t>honorer nos engagements envers le Gouvernement d</w:t>
      </w:r>
      <w:r w:rsidR="001C09DF">
        <w:rPr>
          <w:lang w:val="fr-FR" w:bidi="fr-FR"/>
        </w:rPr>
        <w:t>’</w:t>
      </w:r>
      <w:r>
        <w:rPr>
          <w:lang w:val="fr-FR" w:bidi="fr-FR"/>
        </w:rPr>
        <w:t>Océanie et les donateurs.</w:t>
      </w:r>
    </w:p>
    <w:p w14:paraId="0D9069ED" w14:textId="77777777" w:rsidR="001C09DF" w:rsidRPr="001C09DF" w:rsidRDefault="001C09DF" w:rsidP="00AE7753">
      <w:pPr>
        <w:rPr>
          <w:lang w:val="fr-FR"/>
        </w:rPr>
      </w:pPr>
    </w:p>
    <w:tbl>
      <w:tblPr>
        <w:tblStyle w:val="TableGrid"/>
        <w:tblW w:w="0" w:type="auto"/>
        <w:tblLook w:val="04A0" w:firstRow="1" w:lastRow="0" w:firstColumn="1" w:lastColumn="0" w:noHBand="0" w:noVBand="1"/>
      </w:tblPr>
      <w:tblGrid>
        <w:gridCol w:w="3116"/>
        <w:gridCol w:w="3116"/>
        <w:gridCol w:w="3117"/>
      </w:tblGrid>
      <w:tr w:rsidR="00B843E9" w14:paraId="34A7482A" w14:textId="77777777" w:rsidTr="00A56B5F">
        <w:tc>
          <w:tcPr>
            <w:tcW w:w="3116" w:type="dxa"/>
          </w:tcPr>
          <w:p w14:paraId="6878F39B" w14:textId="77777777" w:rsidR="00B843E9" w:rsidRPr="001C09DF" w:rsidRDefault="00B843E9" w:rsidP="00B843E9">
            <w:pPr>
              <w:rPr>
                <w:b/>
                <w:bCs/>
                <w:lang w:val="fr-FR"/>
              </w:rPr>
            </w:pPr>
            <w:r>
              <w:rPr>
                <w:b/>
                <w:lang w:val="fr-FR" w:bidi="fr-FR"/>
              </w:rPr>
              <w:lastRenderedPageBreak/>
              <w:t>Événement</w:t>
            </w:r>
          </w:p>
          <w:p w14:paraId="7B66F2B6" w14:textId="643BF884" w:rsidR="00B843E9" w:rsidRPr="001C09DF" w:rsidRDefault="00B843E9" w:rsidP="00B843E9">
            <w:pPr>
              <w:rPr>
                <w:b/>
                <w:bCs/>
                <w:lang w:val="fr-FR"/>
              </w:rPr>
            </w:pPr>
            <w:r>
              <w:rPr>
                <w:lang w:val="fr-FR" w:bidi="fr-FR"/>
              </w:rPr>
              <w:t>Les partenaires de mise en œuvre et les acteurs locaux qui sont réticents à coopérer avec le PNUD et à l</w:t>
            </w:r>
            <w:r w:rsidR="001C09DF">
              <w:rPr>
                <w:lang w:val="fr-FR" w:bidi="fr-FR"/>
              </w:rPr>
              <w:t>’</w:t>
            </w:r>
            <w:r>
              <w:rPr>
                <w:lang w:val="fr-FR" w:bidi="fr-FR"/>
              </w:rPr>
              <w:t>accepter comme un partenaire de confiance du développement</w:t>
            </w:r>
          </w:p>
        </w:tc>
        <w:tc>
          <w:tcPr>
            <w:tcW w:w="3116" w:type="dxa"/>
          </w:tcPr>
          <w:p w14:paraId="31DC6B92" w14:textId="508AE458" w:rsidR="00B843E9" w:rsidRDefault="00B843E9" w:rsidP="00B843E9">
            <w:pPr>
              <w:rPr>
                <w:b/>
                <w:bCs/>
              </w:rPr>
            </w:pPr>
            <w:r>
              <w:rPr>
                <w:b/>
                <w:lang w:val="fr-FR" w:bidi="fr-FR"/>
              </w:rPr>
              <w:t>Cause</w:t>
            </w:r>
          </w:p>
          <w:p w14:paraId="701781F9" w14:textId="50418519" w:rsidR="00B843E9" w:rsidRPr="001C09DF" w:rsidRDefault="00B843E9" w:rsidP="00B843E9">
            <w:pPr>
              <w:pStyle w:val="ListParagraph"/>
              <w:numPr>
                <w:ilvl w:val="0"/>
                <w:numId w:val="34"/>
              </w:numPr>
              <w:rPr>
                <w:lang w:val="fr-FR"/>
              </w:rPr>
            </w:pPr>
            <w:r>
              <w:rPr>
                <w:lang w:val="fr-FR" w:bidi="fr-FR"/>
              </w:rPr>
              <w:t>Le PNUD est perçu comme un nouvel acteur du développement dans la région de Terra et n</w:t>
            </w:r>
            <w:r w:rsidR="001C09DF">
              <w:rPr>
                <w:lang w:val="fr-FR" w:bidi="fr-FR"/>
              </w:rPr>
              <w:t>’</w:t>
            </w:r>
            <w:r>
              <w:rPr>
                <w:lang w:val="fr-FR" w:bidi="fr-FR"/>
              </w:rPr>
              <w:t xml:space="preserve">est pas considéré comme bien informé du contexte local et des tensions politiques entre les différents bénéficiaires </w:t>
            </w:r>
          </w:p>
          <w:p w14:paraId="50E227AA" w14:textId="77777777" w:rsidR="00B843E9" w:rsidRPr="001C09DF" w:rsidRDefault="00B843E9" w:rsidP="00B843E9">
            <w:pPr>
              <w:rPr>
                <w:lang w:val="fr-FR"/>
              </w:rPr>
            </w:pPr>
          </w:p>
          <w:p w14:paraId="3B38F42F" w14:textId="62DDBB4A" w:rsidR="00B843E9" w:rsidRPr="00843C08" w:rsidRDefault="00B843E9" w:rsidP="00B843E9">
            <w:pPr>
              <w:tabs>
                <w:tab w:val="left" w:pos="357"/>
              </w:tabs>
            </w:pPr>
            <w:r w:rsidRPr="00C27BD7">
              <w:rPr>
                <w:b/>
                <w:lang w:val="fr-FR" w:bidi="fr-FR"/>
              </w:rPr>
              <w:t>Probabilité :</w:t>
            </w:r>
            <w:r w:rsidRPr="00C27BD7">
              <w:rPr>
                <w:lang w:val="fr-FR" w:bidi="fr-FR"/>
              </w:rPr>
              <w:t xml:space="preserve"> 3 – Modérément probable</w:t>
            </w:r>
          </w:p>
        </w:tc>
        <w:tc>
          <w:tcPr>
            <w:tcW w:w="3117" w:type="dxa"/>
          </w:tcPr>
          <w:p w14:paraId="30D24551" w14:textId="2E152E21" w:rsidR="00B843E9" w:rsidRDefault="00B843E9" w:rsidP="00B843E9">
            <w:pPr>
              <w:rPr>
                <w:b/>
                <w:bCs/>
              </w:rPr>
            </w:pPr>
            <w:r>
              <w:rPr>
                <w:b/>
                <w:lang w:val="fr-FR" w:bidi="fr-FR"/>
              </w:rPr>
              <w:t>Impact</w:t>
            </w:r>
          </w:p>
          <w:p w14:paraId="0DBA0461" w14:textId="03FC9953" w:rsidR="00B843E9" w:rsidRPr="001C09DF" w:rsidRDefault="00B843E9" w:rsidP="00B843E9">
            <w:pPr>
              <w:pStyle w:val="ListParagraph"/>
              <w:numPr>
                <w:ilvl w:val="0"/>
                <w:numId w:val="35"/>
              </w:numPr>
              <w:rPr>
                <w:lang w:val="fr-FR"/>
              </w:rPr>
            </w:pPr>
            <w:r>
              <w:rPr>
                <w:lang w:val="fr-FR" w:bidi="fr-FR"/>
              </w:rPr>
              <w:t>L</w:t>
            </w:r>
            <w:r w:rsidR="001C09DF">
              <w:rPr>
                <w:lang w:val="fr-FR" w:bidi="fr-FR"/>
              </w:rPr>
              <w:t>’</w:t>
            </w:r>
            <w:r>
              <w:rPr>
                <w:lang w:val="fr-FR" w:bidi="fr-FR"/>
              </w:rPr>
              <w:t>implication des parties prenantes est réduite et les activités et la mise en œuvre des projets sont entravées</w:t>
            </w:r>
          </w:p>
          <w:p w14:paraId="5F0A20DF" w14:textId="45D8887A" w:rsidR="00B843E9" w:rsidRPr="001C09DF" w:rsidRDefault="00B843E9" w:rsidP="00B843E9">
            <w:pPr>
              <w:pStyle w:val="ListParagraph"/>
              <w:numPr>
                <w:ilvl w:val="0"/>
                <w:numId w:val="35"/>
              </w:numPr>
              <w:rPr>
                <w:lang w:val="fr-FR"/>
              </w:rPr>
            </w:pPr>
            <w:r>
              <w:rPr>
                <w:lang w:val="fr-FR" w:bidi="fr-FR"/>
              </w:rPr>
              <w:t>Incapacité à respecter les objectifs en matière de résultats et les engagements envers le Gouvernement et les donateurs</w:t>
            </w:r>
          </w:p>
          <w:p w14:paraId="3446A972" w14:textId="77777777" w:rsidR="00B843E9" w:rsidRPr="001C09DF" w:rsidRDefault="00B843E9" w:rsidP="00B843E9">
            <w:pPr>
              <w:rPr>
                <w:lang w:val="fr-FR"/>
              </w:rPr>
            </w:pPr>
          </w:p>
          <w:p w14:paraId="15DF5AB3" w14:textId="4683592E" w:rsidR="00B843E9" w:rsidRPr="00A41D96" w:rsidRDefault="00B843E9" w:rsidP="00B843E9">
            <w:pPr>
              <w:tabs>
                <w:tab w:val="left" w:pos="357"/>
              </w:tabs>
            </w:pPr>
            <w:r w:rsidRPr="00C27BD7">
              <w:rPr>
                <w:b/>
                <w:lang w:val="fr-FR" w:bidi="fr-FR"/>
              </w:rPr>
              <w:t>Impact :</w:t>
            </w:r>
            <w:r w:rsidRPr="00C27BD7">
              <w:rPr>
                <w:lang w:val="fr-FR" w:bidi="fr-FR"/>
              </w:rPr>
              <w:t xml:space="preserve"> 3 - Intermédiaire</w:t>
            </w:r>
          </w:p>
        </w:tc>
      </w:tr>
      <w:tr w:rsidR="00B843E9" w:rsidRPr="00B53004" w14:paraId="36852B23" w14:textId="77777777" w:rsidTr="00A56B5F">
        <w:tc>
          <w:tcPr>
            <w:tcW w:w="3116" w:type="dxa"/>
          </w:tcPr>
          <w:p w14:paraId="737ECF88" w14:textId="52B94CDA" w:rsidR="00B843E9" w:rsidRPr="001C09DF" w:rsidRDefault="00B843E9" w:rsidP="00B843E9">
            <w:pPr>
              <w:rPr>
                <w:b/>
                <w:bCs/>
                <w:lang w:val="fr-FR"/>
              </w:rPr>
            </w:pPr>
            <w:r>
              <w:rPr>
                <w:b/>
                <w:lang w:val="fr-FR" w:bidi="fr-FR"/>
              </w:rPr>
              <w:t xml:space="preserve">Appétit pour le risque (de réputation) : </w:t>
            </w:r>
            <w:r>
              <w:rPr>
                <w:lang w:val="fr-FR" w:bidi="fr-FR"/>
              </w:rPr>
              <w:t>Prudent</w:t>
            </w:r>
          </w:p>
        </w:tc>
        <w:tc>
          <w:tcPr>
            <w:tcW w:w="3116" w:type="dxa"/>
          </w:tcPr>
          <w:p w14:paraId="7E958CEB" w14:textId="2FCBD501" w:rsidR="00B843E9" w:rsidRDefault="00B843E9" w:rsidP="00B843E9">
            <w:pPr>
              <w:rPr>
                <w:b/>
                <w:bCs/>
              </w:rPr>
            </w:pPr>
            <w:r w:rsidRPr="00A8410B">
              <w:rPr>
                <w:b/>
                <w:lang w:val="fr-FR" w:bidi="fr-FR"/>
              </w:rPr>
              <w:t xml:space="preserve">Niveau de risque : </w:t>
            </w:r>
          </w:p>
          <w:p w14:paraId="10884382" w14:textId="65132F13" w:rsidR="00B843E9" w:rsidRPr="00A8410B" w:rsidRDefault="00B843E9" w:rsidP="00B843E9">
            <w:r>
              <w:rPr>
                <w:lang w:val="fr-FR" w:bidi="fr-FR"/>
              </w:rPr>
              <w:t>Modéré</w:t>
            </w:r>
          </w:p>
        </w:tc>
        <w:tc>
          <w:tcPr>
            <w:tcW w:w="3117" w:type="dxa"/>
          </w:tcPr>
          <w:p w14:paraId="295DF929" w14:textId="39B75AFC" w:rsidR="00B843E9" w:rsidRPr="001C09DF" w:rsidRDefault="00B843E9" w:rsidP="00B843E9">
            <w:pPr>
              <w:rPr>
                <w:lang w:val="fr-FR"/>
              </w:rPr>
            </w:pPr>
            <w:r w:rsidRPr="00383C62">
              <w:rPr>
                <w:b/>
                <w:lang w:val="fr-FR" w:bidi="fr-FR"/>
              </w:rPr>
              <w:t xml:space="preserve">Catégorie et sous-catégorie de risque : </w:t>
            </w:r>
          </w:p>
          <w:p w14:paraId="09C73C92" w14:textId="77777777" w:rsidR="00B843E9" w:rsidRPr="001C09DF" w:rsidRDefault="00B843E9" w:rsidP="00B843E9">
            <w:pPr>
              <w:rPr>
                <w:lang w:val="fr-FR"/>
              </w:rPr>
            </w:pPr>
            <w:r>
              <w:rPr>
                <w:lang w:val="fr-FR" w:bidi="fr-FR"/>
              </w:rPr>
              <w:t>5. Risque de réputation</w:t>
            </w:r>
          </w:p>
          <w:p w14:paraId="5136987F" w14:textId="2FC81DFF" w:rsidR="00B843E9" w:rsidRPr="001C09DF" w:rsidRDefault="00B843E9" w:rsidP="00B843E9">
            <w:pPr>
              <w:rPr>
                <w:b/>
                <w:lang w:val="fr-FR"/>
              </w:rPr>
            </w:pPr>
            <w:r>
              <w:rPr>
                <w:lang w:val="fr-FR" w:bidi="fr-FR"/>
              </w:rPr>
              <w:t>5.1. Opinion publique et médias</w:t>
            </w:r>
          </w:p>
        </w:tc>
      </w:tr>
    </w:tbl>
    <w:p w14:paraId="4AC8D0BB" w14:textId="783C5A2C" w:rsidR="004F5419" w:rsidRPr="001C09DF" w:rsidRDefault="000D3EF9" w:rsidP="00AE7753">
      <w:pPr>
        <w:rPr>
          <w:lang w:val="fr-FR"/>
        </w:rPr>
      </w:pPr>
      <w:r>
        <w:rPr>
          <w:lang w:val="fr-FR" w:bidi="fr-FR"/>
        </w:rPr>
        <w:t>Ce risque a été analysé à l</w:t>
      </w:r>
      <w:r w:rsidR="001C09DF">
        <w:rPr>
          <w:lang w:val="fr-FR" w:bidi="fr-FR"/>
        </w:rPr>
        <w:t>’</w:t>
      </w:r>
      <w:r>
        <w:rPr>
          <w:lang w:val="fr-FR" w:bidi="fr-FR"/>
        </w:rPr>
        <w:t>aide de la méthodologie de la GRI : on estime que la plupart des parties prenantes devraient rester impliquées, que la majorité des résultats devrait ainsi pouvoir être fournie (écart pouvant aller jusqu</w:t>
      </w:r>
      <w:r w:rsidR="001C09DF">
        <w:rPr>
          <w:lang w:val="fr-FR" w:bidi="fr-FR"/>
        </w:rPr>
        <w:t>’</w:t>
      </w:r>
      <w:r>
        <w:rPr>
          <w:lang w:val="fr-FR" w:bidi="fr-FR"/>
        </w:rPr>
        <w:t>à 30 %, soit un score d</w:t>
      </w:r>
      <w:r w:rsidR="001C09DF">
        <w:rPr>
          <w:lang w:val="fr-FR" w:bidi="fr-FR"/>
        </w:rPr>
        <w:t>’</w:t>
      </w:r>
      <w:r>
        <w:rPr>
          <w:lang w:val="fr-FR" w:bidi="fr-FR"/>
        </w:rPr>
        <w:t>impact de 3), et qu</w:t>
      </w:r>
      <w:r w:rsidR="001C09DF">
        <w:rPr>
          <w:lang w:val="fr-FR" w:bidi="fr-FR"/>
        </w:rPr>
        <w:t>’</w:t>
      </w:r>
      <w:r>
        <w:rPr>
          <w:lang w:val="fr-FR" w:bidi="fr-FR"/>
        </w:rPr>
        <w:t>il existe une probabilité moyenne (score de 3) que cela se produise. Cela correspond à un niveau global de risque « modéré », ce qui équivaut à un appétit pour le risque « exploratoire ». Le risque entre dans la catégorie « risque de réputation » car cette catégorie recouvre les relations de travail avec les partenaires. L</w:t>
      </w:r>
      <w:r w:rsidR="001C09DF">
        <w:rPr>
          <w:lang w:val="fr-FR" w:bidi="fr-FR"/>
        </w:rPr>
        <w:t>’</w:t>
      </w:r>
      <w:r>
        <w:rPr>
          <w:lang w:val="fr-FR" w:bidi="fr-FR"/>
        </w:rPr>
        <w:t>appétit du PNUD pour le risque de réputation est « prudent », ce qui est plus contraignant que le niveau « exploratoire », et le risque doit donc être atténué pour être acceptable.</w:t>
      </w:r>
    </w:p>
    <w:p w14:paraId="46B3D4A8" w14:textId="5ECEE30E" w:rsidR="00891773" w:rsidRDefault="00EC06B2" w:rsidP="00AE7753">
      <w:pPr>
        <w:rPr>
          <w:lang w:val="fr-FR" w:bidi="fr-FR"/>
        </w:rPr>
      </w:pPr>
      <w:r>
        <w:rPr>
          <w:lang w:val="fr-FR" w:bidi="fr-FR"/>
        </w:rPr>
        <w:t>Vous avez également élaboré des plans opérationnels, et notamment une stratégie et un plan de recrutement. En raison des niveaux de privation et de la guerre à Terra, le niveau d</w:t>
      </w:r>
      <w:r w:rsidR="001C09DF">
        <w:rPr>
          <w:lang w:val="fr-FR" w:bidi="fr-FR"/>
        </w:rPr>
        <w:t>’</w:t>
      </w:r>
      <w:r>
        <w:rPr>
          <w:lang w:val="fr-FR" w:bidi="fr-FR"/>
        </w:rPr>
        <w:t>éducation est faible et il est difficile de trouver des candidats qualifiés pour rejoindre le bureau de projet du PNUD. Le marché est caractérisé par des offres d</w:t>
      </w:r>
      <w:r w:rsidR="001C09DF">
        <w:rPr>
          <w:lang w:val="fr-FR" w:bidi="fr-FR"/>
        </w:rPr>
        <w:t>’</w:t>
      </w:r>
      <w:r>
        <w:rPr>
          <w:lang w:val="fr-FR" w:bidi="fr-FR"/>
        </w:rPr>
        <w:t>emploi limitées et le taux de chômage chez les jeunes gens et les femmes est plus élevé que la moyenne. Le forum de l</w:t>
      </w:r>
      <w:r w:rsidR="001C09DF">
        <w:rPr>
          <w:lang w:val="fr-FR" w:bidi="fr-FR"/>
        </w:rPr>
        <w:t>’</w:t>
      </w:r>
      <w:r>
        <w:rPr>
          <w:lang w:val="fr-FR" w:bidi="fr-FR"/>
        </w:rPr>
        <w:t>emploi du PNUD est considéré comme une opportunité très intéressante pour de nombreux habitants de Terra, mais il pourrait ne pas être possible de trouver des candidats ayant la compétence et l</w:t>
      </w:r>
      <w:r w:rsidR="001C09DF">
        <w:rPr>
          <w:lang w:val="fr-FR" w:bidi="fr-FR"/>
        </w:rPr>
        <w:t>’</w:t>
      </w:r>
      <w:r>
        <w:rPr>
          <w:lang w:val="fr-FR" w:bidi="fr-FR"/>
        </w:rPr>
        <w:t xml:space="preserve">expérience requises, et correspondant aux profils et exigences des postes à pourvoir, y compris au critère de parité, qui ont été définis conformément à la politique de recrutement du PNUD. </w:t>
      </w:r>
    </w:p>
    <w:p w14:paraId="19BF1FA7" w14:textId="77777777" w:rsidR="002E055D" w:rsidRDefault="002E055D" w:rsidP="00AE7753">
      <w:pPr>
        <w:rPr>
          <w:lang w:val="fr-FR" w:bidi="fr-FR"/>
        </w:rPr>
      </w:pPr>
    </w:p>
    <w:p w14:paraId="050FF233" w14:textId="77777777" w:rsidR="002E055D" w:rsidRDefault="002E055D" w:rsidP="00AE7753">
      <w:pPr>
        <w:rPr>
          <w:lang w:val="fr-FR" w:bidi="fr-FR"/>
        </w:rPr>
      </w:pPr>
    </w:p>
    <w:p w14:paraId="463F548C" w14:textId="77777777" w:rsidR="002E055D" w:rsidRDefault="002E055D" w:rsidP="00AE7753">
      <w:pPr>
        <w:rPr>
          <w:lang w:val="fr-FR" w:bidi="fr-FR"/>
        </w:rPr>
      </w:pPr>
    </w:p>
    <w:p w14:paraId="1380BBDA" w14:textId="77777777" w:rsidR="002E055D" w:rsidRDefault="002E055D" w:rsidP="00AE7753">
      <w:pPr>
        <w:rPr>
          <w:lang w:val="fr-FR" w:bidi="fr-FR"/>
        </w:rPr>
      </w:pPr>
    </w:p>
    <w:p w14:paraId="19C2629A" w14:textId="77777777" w:rsidR="002E055D" w:rsidRDefault="002E055D" w:rsidP="00AE7753">
      <w:pPr>
        <w:rPr>
          <w:lang w:val="fr-FR" w:bidi="fr-FR"/>
        </w:rPr>
      </w:pPr>
    </w:p>
    <w:p w14:paraId="2270E8F5" w14:textId="77777777" w:rsidR="002E055D" w:rsidRPr="001C09DF" w:rsidRDefault="002E055D" w:rsidP="00AE7753">
      <w:pPr>
        <w:rPr>
          <w:lang w:val="fr-FR"/>
        </w:rPr>
      </w:pPr>
    </w:p>
    <w:tbl>
      <w:tblPr>
        <w:tblStyle w:val="TableGrid"/>
        <w:tblW w:w="0" w:type="auto"/>
        <w:tblLook w:val="04A0" w:firstRow="1" w:lastRow="0" w:firstColumn="1" w:lastColumn="0" w:noHBand="0" w:noVBand="1"/>
      </w:tblPr>
      <w:tblGrid>
        <w:gridCol w:w="3116"/>
        <w:gridCol w:w="3116"/>
        <w:gridCol w:w="3117"/>
      </w:tblGrid>
      <w:tr w:rsidR="00053A9C" w14:paraId="0EFF467A" w14:textId="77777777" w:rsidTr="00A56B5F">
        <w:tc>
          <w:tcPr>
            <w:tcW w:w="3116" w:type="dxa"/>
          </w:tcPr>
          <w:p w14:paraId="118CFA58" w14:textId="77777777" w:rsidR="00053A9C" w:rsidRPr="001C09DF" w:rsidRDefault="00053A9C" w:rsidP="00053A9C">
            <w:pPr>
              <w:rPr>
                <w:b/>
                <w:bCs/>
                <w:lang w:val="fr-FR"/>
              </w:rPr>
            </w:pPr>
            <w:r>
              <w:rPr>
                <w:b/>
                <w:lang w:val="fr-FR" w:bidi="fr-FR"/>
              </w:rPr>
              <w:lastRenderedPageBreak/>
              <w:t>Événement</w:t>
            </w:r>
          </w:p>
          <w:p w14:paraId="6998EC44" w14:textId="686CCD32" w:rsidR="00053A9C" w:rsidRPr="001C09DF" w:rsidRDefault="00053A9C" w:rsidP="00053A9C">
            <w:pPr>
              <w:rPr>
                <w:b/>
                <w:bCs/>
                <w:lang w:val="fr-FR"/>
              </w:rPr>
            </w:pPr>
            <w:r>
              <w:rPr>
                <w:lang w:val="fr-FR" w:bidi="fr-FR"/>
              </w:rPr>
              <w:t>Impossibilité de recruter en temps voulu suffisamment de personnel formé et de respecter la stratégie de recrutement</w:t>
            </w:r>
          </w:p>
        </w:tc>
        <w:tc>
          <w:tcPr>
            <w:tcW w:w="3116" w:type="dxa"/>
          </w:tcPr>
          <w:p w14:paraId="68235112" w14:textId="2B835D24" w:rsidR="00053A9C" w:rsidRDefault="00053A9C" w:rsidP="00053A9C">
            <w:pPr>
              <w:rPr>
                <w:b/>
                <w:bCs/>
              </w:rPr>
            </w:pPr>
            <w:r>
              <w:rPr>
                <w:b/>
                <w:lang w:val="fr-FR" w:bidi="fr-FR"/>
              </w:rPr>
              <w:t>Cause</w:t>
            </w:r>
          </w:p>
          <w:p w14:paraId="2DEA1E78" w14:textId="753C31A2" w:rsidR="00053A9C" w:rsidRDefault="00053A9C" w:rsidP="00053A9C">
            <w:pPr>
              <w:pStyle w:val="ListParagraph"/>
              <w:numPr>
                <w:ilvl w:val="0"/>
                <w:numId w:val="34"/>
              </w:numPr>
            </w:pPr>
            <w:r>
              <w:rPr>
                <w:lang w:val="fr-FR" w:bidi="fr-FR"/>
              </w:rPr>
              <w:t xml:space="preserve">Ressources qualifiées inexistantes ou limitées </w:t>
            </w:r>
          </w:p>
          <w:p w14:paraId="099FAFE6" w14:textId="77777777" w:rsidR="00053A9C" w:rsidRDefault="00053A9C" w:rsidP="00053A9C"/>
          <w:p w14:paraId="575291DA" w14:textId="77777777" w:rsidR="00053A9C" w:rsidRDefault="00053A9C" w:rsidP="00053A9C">
            <w:pPr>
              <w:ind w:firstLine="28"/>
              <w:rPr>
                <w:lang w:val="fr-FR" w:bidi="fr-FR"/>
              </w:rPr>
            </w:pPr>
            <w:r w:rsidRPr="00C7395A">
              <w:rPr>
                <w:b/>
                <w:lang w:val="fr-FR" w:bidi="fr-FR"/>
              </w:rPr>
              <w:t>Probabilité :</w:t>
            </w:r>
            <w:r w:rsidRPr="00C7395A">
              <w:rPr>
                <w:lang w:val="fr-FR" w:bidi="fr-FR"/>
              </w:rPr>
              <w:t xml:space="preserve"> 2 – Faible probabilité</w:t>
            </w:r>
          </w:p>
          <w:p w14:paraId="6EFFE2E8" w14:textId="77777777" w:rsidR="002E055D" w:rsidRPr="002E055D" w:rsidRDefault="002E055D" w:rsidP="002E055D"/>
          <w:p w14:paraId="3EF867F4" w14:textId="77777777" w:rsidR="002E055D" w:rsidRPr="002E055D" w:rsidRDefault="002E055D" w:rsidP="002E055D"/>
          <w:p w14:paraId="7E531354" w14:textId="77777777" w:rsidR="002E055D" w:rsidRDefault="002E055D" w:rsidP="002E055D">
            <w:pPr>
              <w:rPr>
                <w:lang w:val="fr-FR" w:bidi="fr-FR"/>
              </w:rPr>
            </w:pPr>
          </w:p>
          <w:p w14:paraId="7E14F6DC" w14:textId="67E4A646" w:rsidR="002E055D" w:rsidRPr="002E055D" w:rsidRDefault="002E055D" w:rsidP="002E055D">
            <w:pPr>
              <w:jc w:val="center"/>
            </w:pPr>
          </w:p>
        </w:tc>
        <w:tc>
          <w:tcPr>
            <w:tcW w:w="3117" w:type="dxa"/>
          </w:tcPr>
          <w:p w14:paraId="1AD57EEB" w14:textId="2636CDDE" w:rsidR="00053A9C" w:rsidRDefault="00053A9C" w:rsidP="00053A9C">
            <w:pPr>
              <w:rPr>
                <w:b/>
                <w:bCs/>
              </w:rPr>
            </w:pPr>
            <w:r>
              <w:rPr>
                <w:b/>
                <w:lang w:val="fr-FR" w:bidi="fr-FR"/>
              </w:rPr>
              <w:t>Impact</w:t>
            </w:r>
          </w:p>
          <w:p w14:paraId="0B72C215" w14:textId="10E23469" w:rsidR="00053A9C" w:rsidRPr="001C09DF" w:rsidRDefault="00053A9C" w:rsidP="00053A9C">
            <w:pPr>
              <w:pStyle w:val="ListParagraph"/>
              <w:numPr>
                <w:ilvl w:val="0"/>
                <w:numId w:val="35"/>
              </w:numPr>
              <w:rPr>
                <w:lang w:val="fr-FR"/>
              </w:rPr>
            </w:pPr>
            <w:r>
              <w:rPr>
                <w:lang w:val="fr-FR" w:bidi="fr-FR"/>
              </w:rPr>
              <w:t xml:space="preserve">Retards dans la mise en œuvre du programme et du projet </w:t>
            </w:r>
          </w:p>
          <w:p w14:paraId="1C3FCC16" w14:textId="43F8A62D" w:rsidR="00053A9C" w:rsidRPr="001C09DF" w:rsidRDefault="00053A9C" w:rsidP="00053A9C">
            <w:pPr>
              <w:pStyle w:val="ListParagraph"/>
              <w:numPr>
                <w:ilvl w:val="0"/>
                <w:numId w:val="35"/>
              </w:numPr>
              <w:rPr>
                <w:lang w:val="fr-FR"/>
              </w:rPr>
            </w:pPr>
            <w:r>
              <w:rPr>
                <w:lang w:val="fr-FR" w:bidi="fr-FR"/>
              </w:rPr>
              <w:t>Incapacité à être entièrement opérationnel à temps</w:t>
            </w:r>
          </w:p>
          <w:p w14:paraId="4C8C68C2" w14:textId="77777777" w:rsidR="00053A9C" w:rsidRPr="001C09DF" w:rsidRDefault="00053A9C" w:rsidP="00053A9C">
            <w:pPr>
              <w:rPr>
                <w:lang w:val="fr-FR"/>
              </w:rPr>
            </w:pPr>
          </w:p>
          <w:p w14:paraId="419BBF1B" w14:textId="695C4AA8" w:rsidR="00053A9C" w:rsidRPr="00A41D96" w:rsidRDefault="00053A9C" w:rsidP="00053A9C">
            <w:pPr>
              <w:ind w:left="360" w:hanging="360"/>
            </w:pPr>
            <w:r w:rsidRPr="00C7395A">
              <w:rPr>
                <w:b/>
                <w:lang w:val="fr-FR" w:bidi="fr-FR"/>
              </w:rPr>
              <w:t>Impact :</w:t>
            </w:r>
            <w:r w:rsidRPr="00C7395A">
              <w:rPr>
                <w:lang w:val="fr-FR" w:bidi="fr-FR"/>
              </w:rPr>
              <w:t xml:space="preserve"> 4 – Très probable</w:t>
            </w:r>
          </w:p>
        </w:tc>
      </w:tr>
      <w:tr w:rsidR="00053A9C" w14:paraId="4C810285" w14:textId="77777777" w:rsidTr="00A56B5F">
        <w:tc>
          <w:tcPr>
            <w:tcW w:w="3116" w:type="dxa"/>
          </w:tcPr>
          <w:p w14:paraId="3108DF17" w14:textId="757186F0" w:rsidR="00053A9C" w:rsidRPr="001C09DF" w:rsidRDefault="00053A9C" w:rsidP="00053A9C">
            <w:pPr>
              <w:rPr>
                <w:b/>
                <w:bCs/>
                <w:lang w:val="fr-FR"/>
              </w:rPr>
            </w:pPr>
            <w:r>
              <w:rPr>
                <w:b/>
                <w:lang w:val="fr-FR" w:bidi="fr-FR"/>
              </w:rPr>
              <w:t>Appétit pour le risque (organisationnel) :</w:t>
            </w:r>
          </w:p>
          <w:p w14:paraId="557CE365" w14:textId="3C634CB9" w:rsidR="00053A9C" w:rsidRPr="00A8410B" w:rsidRDefault="00053A9C" w:rsidP="00053A9C">
            <w:pPr>
              <w:rPr>
                <w:b/>
                <w:bCs/>
              </w:rPr>
            </w:pPr>
            <w:r>
              <w:rPr>
                <w:lang w:val="fr-FR" w:bidi="fr-FR"/>
              </w:rPr>
              <w:t>Exploratoire à ouvert</w:t>
            </w:r>
          </w:p>
        </w:tc>
        <w:tc>
          <w:tcPr>
            <w:tcW w:w="3116" w:type="dxa"/>
          </w:tcPr>
          <w:p w14:paraId="7B7249A9" w14:textId="3E5C4937" w:rsidR="00053A9C" w:rsidRDefault="00053A9C" w:rsidP="00053A9C">
            <w:pPr>
              <w:rPr>
                <w:b/>
                <w:bCs/>
              </w:rPr>
            </w:pPr>
            <w:r w:rsidRPr="00A8410B">
              <w:rPr>
                <w:b/>
                <w:lang w:val="fr-FR" w:bidi="fr-FR"/>
              </w:rPr>
              <w:t>Niveau de risque :</w:t>
            </w:r>
          </w:p>
          <w:p w14:paraId="723F7DB9" w14:textId="2E72431A" w:rsidR="00053A9C" w:rsidRPr="00A8410B" w:rsidRDefault="00053A9C" w:rsidP="00053A9C">
            <w:r>
              <w:rPr>
                <w:lang w:val="fr-FR" w:bidi="fr-FR"/>
              </w:rPr>
              <w:t>Modéré</w:t>
            </w:r>
          </w:p>
        </w:tc>
        <w:tc>
          <w:tcPr>
            <w:tcW w:w="3117" w:type="dxa"/>
          </w:tcPr>
          <w:p w14:paraId="2E7C2CC1" w14:textId="77777777" w:rsidR="00053A9C" w:rsidRPr="001C09DF" w:rsidRDefault="00053A9C" w:rsidP="00053A9C">
            <w:pPr>
              <w:rPr>
                <w:b/>
                <w:bCs/>
                <w:lang w:val="fr-FR"/>
              </w:rPr>
            </w:pPr>
            <w:r w:rsidRPr="00B33857">
              <w:rPr>
                <w:b/>
                <w:lang w:val="fr-FR" w:bidi="fr-FR"/>
              </w:rPr>
              <w:t>Catégorie et sous-catégorie de risque :</w:t>
            </w:r>
          </w:p>
          <w:p w14:paraId="20D5580D" w14:textId="337EFD57" w:rsidR="00053A9C" w:rsidRDefault="00053A9C" w:rsidP="00053A9C">
            <w:r>
              <w:rPr>
                <w:lang w:val="fr-FR" w:bidi="fr-FR"/>
              </w:rPr>
              <w:t>4. Risque institutionnel</w:t>
            </w:r>
          </w:p>
          <w:p w14:paraId="5B1840F6" w14:textId="7679F3DD" w:rsidR="00053A9C" w:rsidRPr="00A8410B" w:rsidRDefault="00053A9C" w:rsidP="00053A9C">
            <w:r>
              <w:rPr>
                <w:lang w:val="fr-FR" w:bidi="fr-FR"/>
              </w:rPr>
              <w:t>4.7. Ressources humaines</w:t>
            </w:r>
          </w:p>
        </w:tc>
      </w:tr>
    </w:tbl>
    <w:p w14:paraId="22AC3BFB" w14:textId="77777777" w:rsidR="00891773" w:rsidRDefault="00891773" w:rsidP="00AE7753"/>
    <w:p w14:paraId="093C2F99" w14:textId="3A5CDAE4" w:rsidR="0040672E" w:rsidRPr="001C09DF" w:rsidRDefault="00757EB6" w:rsidP="00AE7753">
      <w:pPr>
        <w:rPr>
          <w:lang w:val="fr-FR"/>
        </w:rPr>
      </w:pPr>
      <w:r>
        <w:rPr>
          <w:lang w:val="fr-FR" w:bidi="fr-FR"/>
        </w:rPr>
        <w:t>Les risques liés au personnel sont de type « organisationnel » et l</w:t>
      </w:r>
      <w:r w:rsidR="001C09DF">
        <w:rPr>
          <w:lang w:val="fr-FR" w:bidi="fr-FR"/>
        </w:rPr>
        <w:t>’</w:t>
      </w:r>
      <w:r>
        <w:rPr>
          <w:lang w:val="fr-FR" w:bidi="fr-FR"/>
        </w:rPr>
        <w:t>appétit pour le risque associé à cette catégorie est défini comme « exploratoire » à « ouvert ». Si l</w:t>
      </w:r>
      <w:r w:rsidR="001C09DF">
        <w:rPr>
          <w:lang w:val="fr-FR" w:bidi="fr-FR"/>
        </w:rPr>
        <w:t>’</w:t>
      </w:r>
      <w:r>
        <w:rPr>
          <w:lang w:val="fr-FR" w:bidi="fr-FR"/>
        </w:rPr>
        <w:t>impact de l</w:t>
      </w:r>
      <w:r w:rsidR="001C09DF">
        <w:rPr>
          <w:lang w:val="fr-FR" w:bidi="fr-FR"/>
        </w:rPr>
        <w:t>’</w:t>
      </w:r>
      <w:r>
        <w:rPr>
          <w:lang w:val="fr-FR" w:bidi="fr-FR"/>
        </w:rPr>
        <w:t>impossibilité de pourvoir tous les postes du bureau avec des employés qualifiés est très élevé (score de 4), la probabilité que cela arrive est faible (score de 2). Cette combinaison correspond à un niveau global de risque « modéré », ce qui est acceptable au regard de l</w:t>
      </w:r>
      <w:r w:rsidR="001C09DF">
        <w:rPr>
          <w:lang w:val="fr-FR" w:bidi="fr-FR"/>
        </w:rPr>
        <w:t>’</w:t>
      </w:r>
      <w:r>
        <w:rPr>
          <w:lang w:val="fr-FR" w:bidi="fr-FR"/>
        </w:rPr>
        <w:t>appétit pour le risque. On pourrait envisager de recruter du personnel en prenant davantage de risques, par exemple en sélectionnant des personnes ayant des aptitudes potentielles plutôt qu</w:t>
      </w:r>
      <w:r w:rsidR="001C09DF">
        <w:rPr>
          <w:lang w:val="fr-FR" w:bidi="fr-FR"/>
        </w:rPr>
        <w:t>’</w:t>
      </w:r>
      <w:r>
        <w:rPr>
          <w:lang w:val="fr-FR" w:bidi="fr-FR"/>
        </w:rPr>
        <w:t>avérées et en investissant dans le renforcement de leurs capacités et compétences.</w:t>
      </w:r>
    </w:p>
    <w:p w14:paraId="45CA6A21" w14:textId="2B4B0D80" w:rsidR="00FB2438" w:rsidRPr="001C09DF" w:rsidRDefault="00FB2438" w:rsidP="00AE7753">
      <w:pPr>
        <w:rPr>
          <w:lang w:val="fr-FR"/>
        </w:rPr>
      </w:pPr>
      <w:r>
        <w:rPr>
          <w:lang w:val="fr-FR" w:bidi="fr-FR"/>
        </w:rPr>
        <w:t>Comme l</w:t>
      </w:r>
      <w:r w:rsidR="001C09DF">
        <w:rPr>
          <w:lang w:val="fr-FR" w:bidi="fr-FR"/>
        </w:rPr>
        <w:t>’</w:t>
      </w:r>
      <w:r>
        <w:rPr>
          <w:lang w:val="fr-FR" w:bidi="fr-FR"/>
        </w:rPr>
        <w:t>illustrent les exemples ci-dessus, il est important d</w:t>
      </w:r>
      <w:r w:rsidR="001C09DF">
        <w:rPr>
          <w:lang w:val="fr-FR" w:bidi="fr-FR"/>
        </w:rPr>
        <w:t>’</w:t>
      </w:r>
      <w:r>
        <w:rPr>
          <w:lang w:val="fr-FR" w:bidi="fr-FR"/>
        </w:rPr>
        <w:t>évaluer les risques et de les quantifier en suivant la méthodologie de la GRI, puis de les comparer à l</w:t>
      </w:r>
      <w:r w:rsidR="001C09DF">
        <w:rPr>
          <w:lang w:val="fr-FR" w:bidi="fr-FR"/>
        </w:rPr>
        <w:t>’</w:t>
      </w:r>
      <w:r>
        <w:rPr>
          <w:lang w:val="fr-FR" w:bidi="fr-FR"/>
        </w:rPr>
        <w:t>appétit pour le risque correspondant à leur catégorie respective. Vous serez ainsi en mesure de déterminer si vous devez appliquer des contrôles plus stricts ou si vous pouvez envisager de les assouplir et/ou de prendre des risques plus importants.</w:t>
      </w:r>
    </w:p>
    <w:p w14:paraId="23AB57C7" w14:textId="653842B9" w:rsidR="003226B6" w:rsidRPr="001C09DF" w:rsidRDefault="00863F9F" w:rsidP="00AE7753">
      <w:pPr>
        <w:rPr>
          <w:b/>
          <w:bCs/>
          <w:u w:val="single"/>
          <w:lang w:val="fr-FR"/>
        </w:rPr>
      </w:pPr>
      <w:r w:rsidRPr="007D0C60">
        <w:rPr>
          <w:b/>
          <w:u w:val="single"/>
          <w:lang w:val="fr-FR" w:bidi="fr-FR"/>
        </w:rPr>
        <w:t>Exemple 2 :</w:t>
      </w:r>
    </w:p>
    <w:p w14:paraId="0920B34C" w14:textId="759D1749" w:rsidR="003226B6" w:rsidRPr="001C09DF" w:rsidRDefault="003226B6" w:rsidP="003226B6">
      <w:pPr>
        <w:spacing w:after="0" w:line="240" w:lineRule="auto"/>
        <w:rPr>
          <w:lang w:val="fr-FR"/>
        </w:rPr>
      </w:pPr>
      <w:r>
        <w:rPr>
          <w:lang w:val="fr-FR" w:bidi="fr-FR"/>
        </w:rPr>
        <w:t>Vous supervisez à Terra la conception d</w:t>
      </w:r>
      <w:r w:rsidR="001C09DF">
        <w:rPr>
          <w:lang w:val="fr-FR" w:bidi="fr-FR"/>
        </w:rPr>
        <w:t>’</w:t>
      </w:r>
      <w:r>
        <w:rPr>
          <w:lang w:val="fr-FR" w:bidi="fr-FR"/>
        </w:rPr>
        <w:t>un projet géographiquement ciblé. Le projet est axé sur le renforcement des capacités des autorités locales pour les aider à gérer certains services, et en particulier l</w:t>
      </w:r>
      <w:r w:rsidR="001C09DF">
        <w:rPr>
          <w:lang w:val="fr-FR" w:bidi="fr-FR"/>
        </w:rPr>
        <w:t>’</w:t>
      </w:r>
      <w:r>
        <w:rPr>
          <w:lang w:val="fr-FR" w:bidi="fr-FR"/>
        </w:rPr>
        <w:t>enregistrement des titres fonciers, ainsi que les capacités des tribunaux de village qui fournissent des services de justice pour les litiges mineurs. Douze minorités ethniques cohabitent à Terra et la guerre civile qui a pris fin il y a deux ans explique la relation de défiance qui s</w:t>
      </w:r>
      <w:r w:rsidR="001C09DF">
        <w:rPr>
          <w:lang w:val="fr-FR" w:bidi="fr-FR"/>
        </w:rPr>
        <w:t>’</w:t>
      </w:r>
      <w:r>
        <w:rPr>
          <w:lang w:val="fr-FR" w:bidi="fr-FR"/>
        </w:rPr>
        <w:t>est établie entre elles et la population majoritaire d</w:t>
      </w:r>
      <w:r w:rsidR="001C09DF">
        <w:rPr>
          <w:lang w:val="fr-FR" w:bidi="fr-FR"/>
        </w:rPr>
        <w:t>’</w:t>
      </w:r>
      <w:r>
        <w:rPr>
          <w:lang w:val="fr-FR" w:bidi="fr-FR"/>
        </w:rPr>
        <w:t>Océanie (les Océaniques).</w:t>
      </w:r>
    </w:p>
    <w:p w14:paraId="468B316B" w14:textId="77777777" w:rsidR="003226B6" w:rsidRPr="001C09DF" w:rsidRDefault="003226B6" w:rsidP="003226B6">
      <w:pPr>
        <w:spacing w:after="0" w:line="240" w:lineRule="auto"/>
        <w:rPr>
          <w:lang w:val="fr-FR"/>
        </w:rPr>
      </w:pPr>
    </w:p>
    <w:p w14:paraId="64F3A24C" w14:textId="0712B68D" w:rsidR="003226B6" w:rsidRPr="001C09DF" w:rsidRDefault="003226B6" w:rsidP="003226B6">
      <w:pPr>
        <w:spacing w:after="0" w:line="240" w:lineRule="auto"/>
        <w:rPr>
          <w:lang w:val="fr-FR"/>
        </w:rPr>
      </w:pPr>
      <w:r>
        <w:rPr>
          <w:lang w:val="fr-FR" w:bidi="fr-FR"/>
        </w:rPr>
        <w:t>Ce projet est critique pour l</w:t>
      </w:r>
      <w:r w:rsidR="001C09DF">
        <w:rPr>
          <w:lang w:val="fr-FR" w:bidi="fr-FR"/>
        </w:rPr>
        <w:t>’</w:t>
      </w:r>
      <w:r>
        <w:rPr>
          <w:lang w:val="fr-FR" w:bidi="fr-FR"/>
        </w:rPr>
        <w:t>Océanie. Au cours des dernières années, les nombreux litiges portant sur l</w:t>
      </w:r>
      <w:r w:rsidR="001C09DF">
        <w:rPr>
          <w:lang w:val="fr-FR" w:bidi="fr-FR"/>
        </w:rPr>
        <w:t>’</w:t>
      </w:r>
      <w:r>
        <w:rPr>
          <w:lang w:val="fr-FR" w:bidi="fr-FR"/>
        </w:rPr>
        <w:t>accès aux terres ont failli replonger le pays dans la guerre civile. Les groupes ethniques minoritaires soutiennent que les Océaniques leur ont volé leurs terres grâce à des procédures administratives contrôlées par l</w:t>
      </w:r>
      <w:r w:rsidR="001C09DF">
        <w:rPr>
          <w:lang w:val="fr-FR" w:bidi="fr-FR"/>
        </w:rPr>
        <w:t>’</w:t>
      </w:r>
      <w:r>
        <w:rPr>
          <w:lang w:val="fr-FR" w:bidi="fr-FR"/>
        </w:rPr>
        <w:t>État dans la capitale, à laquelle les groupes minoritaires n</w:t>
      </w:r>
      <w:r w:rsidR="001C09DF">
        <w:rPr>
          <w:lang w:val="fr-FR" w:bidi="fr-FR"/>
        </w:rPr>
        <w:t>’</w:t>
      </w:r>
      <w:r>
        <w:rPr>
          <w:lang w:val="fr-FR" w:bidi="fr-FR"/>
        </w:rPr>
        <w:t>ont pas accès. En transférant la compétence du processus de gestion des titres aux autorités locales, le projet devrait permettre une gestion des titres plus équitable, et également, grâce à l</w:t>
      </w:r>
      <w:r w:rsidR="001C09DF">
        <w:rPr>
          <w:lang w:val="fr-FR" w:bidi="fr-FR"/>
        </w:rPr>
        <w:t>’</w:t>
      </w:r>
      <w:r>
        <w:rPr>
          <w:lang w:val="fr-FR" w:bidi="fr-FR"/>
        </w:rPr>
        <w:t>accès aux services de justice qu</w:t>
      </w:r>
      <w:r w:rsidR="001C09DF">
        <w:rPr>
          <w:lang w:val="fr-FR" w:bidi="fr-FR"/>
        </w:rPr>
        <w:t>’</w:t>
      </w:r>
      <w:r>
        <w:rPr>
          <w:lang w:val="fr-FR" w:bidi="fr-FR"/>
        </w:rPr>
        <w:t xml:space="preserve">auront les villages, assurer le règlement local des litiges fonciers. </w:t>
      </w:r>
    </w:p>
    <w:p w14:paraId="71A621F0" w14:textId="77777777" w:rsidR="003226B6" w:rsidRPr="001C09DF" w:rsidRDefault="003226B6" w:rsidP="003226B6">
      <w:pPr>
        <w:spacing w:after="0" w:line="240" w:lineRule="auto"/>
        <w:rPr>
          <w:lang w:val="fr-FR"/>
        </w:rPr>
      </w:pPr>
    </w:p>
    <w:p w14:paraId="0D70D659" w14:textId="1A3C9A9F" w:rsidR="003226B6" w:rsidRPr="001C09DF" w:rsidRDefault="003226B6" w:rsidP="003226B6">
      <w:pPr>
        <w:spacing w:after="0" w:line="240" w:lineRule="auto"/>
        <w:rPr>
          <w:lang w:val="fr-FR"/>
        </w:rPr>
      </w:pPr>
      <w:r>
        <w:rPr>
          <w:lang w:val="fr-FR" w:bidi="fr-FR"/>
        </w:rPr>
        <w:lastRenderedPageBreak/>
        <w:t>Ce projet présente toutefois un risque élevé. Le bureau de pays a en effet relevé, au cours de l</w:t>
      </w:r>
      <w:r w:rsidR="001C09DF">
        <w:rPr>
          <w:lang w:val="fr-FR" w:bidi="fr-FR"/>
        </w:rPr>
        <w:t>’</w:t>
      </w:r>
      <w:r>
        <w:rPr>
          <w:lang w:val="fr-FR" w:bidi="fr-FR"/>
        </w:rPr>
        <w:t>examen préalable social et environnemental, que les communautés locales craignaient que le personnel des services publics soit constitué d</w:t>
      </w:r>
      <w:r w:rsidR="001C09DF">
        <w:rPr>
          <w:lang w:val="fr-FR" w:bidi="fr-FR"/>
        </w:rPr>
        <w:t>’</w:t>
      </w:r>
      <w:r>
        <w:rPr>
          <w:lang w:val="fr-FR" w:bidi="fr-FR"/>
        </w:rPr>
        <w:t>Océaniques et que les groupes minoritaires pensaient qu</w:t>
      </w:r>
      <w:r w:rsidR="001C09DF">
        <w:rPr>
          <w:lang w:val="fr-FR" w:bidi="fr-FR"/>
        </w:rPr>
        <w:t>’</w:t>
      </w:r>
      <w:r>
        <w:rPr>
          <w:lang w:val="fr-FR" w:bidi="fr-FR"/>
        </w:rPr>
        <w:t>ils ne seraient pas traités de manière équitable. Les chefs de village ont également fait part de leur inquiétude en raison de l</w:t>
      </w:r>
      <w:r w:rsidR="001C09DF">
        <w:rPr>
          <w:lang w:val="fr-FR" w:bidi="fr-FR"/>
        </w:rPr>
        <w:t>’</w:t>
      </w:r>
      <w:r>
        <w:rPr>
          <w:lang w:val="fr-FR" w:bidi="fr-FR"/>
        </w:rPr>
        <w:t>incapacité des communautés locales à gérer les questions de gestion des terres et à intervenir dans le processus de règlement des litiges, car les membres de ces communautés ne parlent pas la langue utilisée dans les documents et les procédures judiciaires. Cela pourrait avoir des impacts discriminatoires sur les communautés minoritaires, ce qui exacerbera certainement le conflit. La probabilité d</w:t>
      </w:r>
      <w:r w:rsidR="001C09DF">
        <w:rPr>
          <w:lang w:val="fr-FR" w:bidi="fr-FR"/>
        </w:rPr>
        <w:t>’</w:t>
      </w:r>
      <w:r>
        <w:rPr>
          <w:lang w:val="fr-FR" w:bidi="fr-FR"/>
        </w:rPr>
        <w:t>évolutions injustes dans la reconnaissance du droit à la propriété collective est élevée.</w:t>
      </w:r>
    </w:p>
    <w:p w14:paraId="3CDBC603" w14:textId="77777777" w:rsidR="003226B6" w:rsidRPr="001C09DF" w:rsidRDefault="003226B6" w:rsidP="003226B6">
      <w:pPr>
        <w:spacing w:after="0" w:line="240" w:lineRule="auto"/>
        <w:rPr>
          <w:lang w:val="fr-FR"/>
        </w:rPr>
      </w:pPr>
    </w:p>
    <w:p w14:paraId="564824F9" w14:textId="77777777" w:rsidR="003226B6" w:rsidRPr="001C09DF" w:rsidRDefault="003226B6" w:rsidP="003226B6">
      <w:pPr>
        <w:spacing w:after="0" w:line="240" w:lineRule="auto"/>
        <w:rPr>
          <w:lang w:val="fr-FR"/>
        </w:rPr>
      </w:pPr>
      <w:r>
        <w:rPr>
          <w:lang w:val="fr-FR" w:bidi="fr-FR"/>
        </w:rPr>
        <w:t>Votre évaluation des risques se résume ainsi :</w:t>
      </w:r>
    </w:p>
    <w:p w14:paraId="28BF5407" w14:textId="77777777" w:rsidR="003226B6" w:rsidRPr="001C09DF" w:rsidRDefault="003226B6" w:rsidP="003226B6">
      <w:pPr>
        <w:spacing w:after="0" w:line="240" w:lineRule="auto"/>
        <w:rPr>
          <w:lang w:val="fr-FR"/>
        </w:rPr>
      </w:pPr>
    </w:p>
    <w:tbl>
      <w:tblPr>
        <w:tblStyle w:val="TableGrid"/>
        <w:tblW w:w="0" w:type="auto"/>
        <w:tblLook w:val="04A0" w:firstRow="1" w:lastRow="0" w:firstColumn="1" w:lastColumn="0" w:noHBand="0" w:noVBand="1"/>
      </w:tblPr>
      <w:tblGrid>
        <w:gridCol w:w="3116"/>
        <w:gridCol w:w="3116"/>
        <w:gridCol w:w="3117"/>
      </w:tblGrid>
      <w:tr w:rsidR="00FB44B5" w14:paraId="7FA0F0B0" w14:textId="77777777" w:rsidTr="00A56B5F">
        <w:tc>
          <w:tcPr>
            <w:tcW w:w="3116" w:type="dxa"/>
          </w:tcPr>
          <w:p w14:paraId="6742E31E" w14:textId="77777777" w:rsidR="00FB44B5" w:rsidRPr="001C09DF" w:rsidRDefault="00FB44B5" w:rsidP="00FB44B5">
            <w:pPr>
              <w:rPr>
                <w:b/>
                <w:bCs/>
                <w:lang w:val="fr-FR"/>
              </w:rPr>
            </w:pPr>
            <w:r>
              <w:rPr>
                <w:b/>
                <w:lang w:val="fr-FR" w:bidi="fr-FR"/>
              </w:rPr>
              <w:t>Événement</w:t>
            </w:r>
          </w:p>
          <w:p w14:paraId="4C76FDDA" w14:textId="0C0FDA75" w:rsidR="00FB44B5" w:rsidRPr="001C09DF" w:rsidRDefault="00FB44B5" w:rsidP="00FB44B5">
            <w:pPr>
              <w:rPr>
                <w:b/>
                <w:bCs/>
                <w:lang w:val="fr-FR"/>
              </w:rPr>
            </w:pPr>
            <w:r>
              <w:rPr>
                <w:lang w:val="fr-FR" w:bidi="fr-FR"/>
              </w:rPr>
              <w:t>Évolutions injustes dans la reconnaissance du droit à la propriété collective, à caractère discriminatoire pour les communautés minoritaires.</w:t>
            </w:r>
          </w:p>
        </w:tc>
        <w:tc>
          <w:tcPr>
            <w:tcW w:w="3116" w:type="dxa"/>
          </w:tcPr>
          <w:p w14:paraId="4F0755C7" w14:textId="29235B6C" w:rsidR="00FB44B5" w:rsidRDefault="00FB44B5" w:rsidP="00FB44B5">
            <w:pPr>
              <w:rPr>
                <w:b/>
                <w:bCs/>
              </w:rPr>
            </w:pPr>
            <w:r>
              <w:rPr>
                <w:b/>
                <w:lang w:val="fr-FR" w:bidi="fr-FR"/>
              </w:rPr>
              <w:t>Cause</w:t>
            </w:r>
          </w:p>
          <w:p w14:paraId="51E03A30" w14:textId="77777777" w:rsidR="00FB44B5" w:rsidRPr="001C09DF" w:rsidRDefault="00FB44B5" w:rsidP="00FB44B5">
            <w:pPr>
              <w:pStyle w:val="ListParagraph"/>
              <w:numPr>
                <w:ilvl w:val="0"/>
                <w:numId w:val="34"/>
              </w:numPr>
              <w:rPr>
                <w:lang w:val="fr-FR"/>
              </w:rPr>
            </w:pPr>
            <w:r>
              <w:rPr>
                <w:lang w:val="fr-FR" w:bidi="fr-FR"/>
              </w:rPr>
              <w:t xml:space="preserve">Les processus de gestion des titres fonciers et </w:t>
            </w:r>
          </w:p>
          <w:p w14:paraId="677286D6" w14:textId="3AC926BF" w:rsidR="00FB44B5" w:rsidRPr="001C09DF" w:rsidRDefault="00FB44B5" w:rsidP="00FB44B5">
            <w:pPr>
              <w:pStyle w:val="ListParagraph"/>
              <w:numPr>
                <w:ilvl w:val="0"/>
                <w:numId w:val="34"/>
              </w:numPr>
              <w:rPr>
                <w:lang w:val="fr-FR"/>
              </w:rPr>
            </w:pPr>
            <w:proofErr w:type="gramStart"/>
            <w:r>
              <w:rPr>
                <w:lang w:val="fr-FR" w:bidi="fr-FR"/>
              </w:rPr>
              <w:t>de</w:t>
            </w:r>
            <w:proofErr w:type="gramEnd"/>
            <w:r>
              <w:rPr>
                <w:lang w:val="fr-FR" w:bidi="fr-FR"/>
              </w:rPr>
              <w:t xml:space="preserve"> résolution des litiges locaux ne sont pas conçus pour être accessibles aux communautés minoritaires et donc équitables.</w:t>
            </w:r>
          </w:p>
          <w:p w14:paraId="2FABADE3" w14:textId="77777777" w:rsidR="00FB44B5" w:rsidRPr="001C09DF" w:rsidRDefault="00FB44B5" w:rsidP="00FB44B5">
            <w:pPr>
              <w:pStyle w:val="ListParagraph"/>
              <w:ind w:left="360"/>
              <w:rPr>
                <w:lang w:val="fr-FR"/>
              </w:rPr>
            </w:pPr>
          </w:p>
          <w:p w14:paraId="683AB7C0" w14:textId="30F7F2AB" w:rsidR="00FB44B5" w:rsidRPr="00843C08" w:rsidRDefault="00FB44B5" w:rsidP="00FB44B5">
            <w:pPr>
              <w:tabs>
                <w:tab w:val="left" w:pos="357"/>
              </w:tabs>
            </w:pPr>
            <w:r w:rsidRPr="00971669">
              <w:rPr>
                <w:b/>
                <w:lang w:val="fr-FR" w:bidi="fr-FR"/>
              </w:rPr>
              <w:t>Probabilité :</w:t>
            </w:r>
            <w:r w:rsidRPr="00971669">
              <w:rPr>
                <w:lang w:val="fr-FR" w:bidi="fr-FR"/>
              </w:rPr>
              <w:t xml:space="preserve"> 4 – Très probable</w:t>
            </w:r>
          </w:p>
        </w:tc>
        <w:tc>
          <w:tcPr>
            <w:tcW w:w="3117" w:type="dxa"/>
          </w:tcPr>
          <w:p w14:paraId="0F9BA158" w14:textId="19EC4E13" w:rsidR="00FB44B5" w:rsidRDefault="00FB44B5" w:rsidP="00FB44B5">
            <w:pPr>
              <w:rPr>
                <w:b/>
                <w:bCs/>
              </w:rPr>
            </w:pPr>
            <w:r>
              <w:rPr>
                <w:b/>
                <w:lang w:val="fr-FR" w:bidi="fr-FR"/>
              </w:rPr>
              <w:t>Impact</w:t>
            </w:r>
          </w:p>
          <w:p w14:paraId="60896397" w14:textId="1809FE92" w:rsidR="00FB44B5" w:rsidRPr="001C09DF" w:rsidRDefault="00FB44B5" w:rsidP="00FB44B5">
            <w:pPr>
              <w:pStyle w:val="ListParagraph"/>
              <w:numPr>
                <w:ilvl w:val="0"/>
                <w:numId w:val="35"/>
              </w:numPr>
              <w:rPr>
                <w:lang w:val="fr-FR"/>
              </w:rPr>
            </w:pPr>
            <w:r>
              <w:rPr>
                <w:lang w:val="fr-FR" w:bidi="fr-FR"/>
              </w:rPr>
              <w:t>Les populations minoritaires perdent l</w:t>
            </w:r>
            <w:r w:rsidR="001C09DF">
              <w:rPr>
                <w:lang w:val="fr-FR" w:bidi="fr-FR"/>
              </w:rPr>
              <w:t>’</w:t>
            </w:r>
            <w:r>
              <w:rPr>
                <w:lang w:val="fr-FR" w:bidi="fr-FR"/>
              </w:rPr>
              <w:t>accès à leurs terres, qu</w:t>
            </w:r>
            <w:r w:rsidR="001C09DF">
              <w:rPr>
                <w:lang w:val="fr-FR" w:bidi="fr-FR"/>
              </w:rPr>
              <w:t>’</w:t>
            </w:r>
            <w:r>
              <w:rPr>
                <w:lang w:val="fr-FR" w:bidi="fr-FR"/>
              </w:rPr>
              <w:t>elles utilisent depuis des générations.</w:t>
            </w:r>
          </w:p>
          <w:p w14:paraId="11BE81A8" w14:textId="77777777" w:rsidR="00FB44B5" w:rsidRPr="001C09DF" w:rsidRDefault="00FB44B5" w:rsidP="00FB44B5">
            <w:pPr>
              <w:pStyle w:val="ListParagraph"/>
              <w:numPr>
                <w:ilvl w:val="0"/>
                <w:numId w:val="35"/>
              </w:numPr>
              <w:rPr>
                <w:lang w:val="fr-FR"/>
              </w:rPr>
            </w:pPr>
            <w:r>
              <w:rPr>
                <w:lang w:val="fr-FR" w:bidi="fr-FR"/>
              </w:rPr>
              <w:t>Perte des moyens de subsistance agricoles.</w:t>
            </w:r>
          </w:p>
          <w:p w14:paraId="5480CFCA" w14:textId="77777777" w:rsidR="00FB44B5" w:rsidRPr="001C09DF" w:rsidRDefault="00FB44B5" w:rsidP="00FB44B5">
            <w:pPr>
              <w:pStyle w:val="ListParagraph"/>
              <w:numPr>
                <w:ilvl w:val="0"/>
                <w:numId w:val="35"/>
              </w:numPr>
              <w:rPr>
                <w:lang w:val="fr-FR"/>
              </w:rPr>
            </w:pPr>
            <w:r>
              <w:rPr>
                <w:lang w:val="fr-FR" w:bidi="fr-FR"/>
              </w:rPr>
              <w:t>Perte de domicile et éclatement des communautés minoritaires.</w:t>
            </w:r>
          </w:p>
          <w:p w14:paraId="6CB05657" w14:textId="77777777" w:rsidR="00FB44B5" w:rsidRPr="001C09DF" w:rsidRDefault="00FB44B5" w:rsidP="00FB44B5">
            <w:pPr>
              <w:rPr>
                <w:lang w:val="fr-FR"/>
              </w:rPr>
            </w:pPr>
          </w:p>
          <w:p w14:paraId="43ED3F44" w14:textId="28ACC049" w:rsidR="00FB44B5" w:rsidRPr="00A41D96" w:rsidRDefault="00FB44B5" w:rsidP="00FB44B5">
            <w:pPr>
              <w:tabs>
                <w:tab w:val="left" w:pos="357"/>
              </w:tabs>
            </w:pPr>
            <w:r w:rsidRPr="00971669">
              <w:rPr>
                <w:b/>
                <w:lang w:val="fr-FR" w:bidi="fr-FR"/>
              </w:rPr>
              <w:t>Impact :</w:t>
            </w:r>
            <w:r w:rsidRPr="00971669">
              <w:rPr>
                <w:lang w:val="fr-FR" w:bidi="fr-FR"/>
              </w:rPr>
              <w:t xml:space="preserve"> 4 – Étendu </w:t>
            </w:r>
          </w:p>
        </w:tc>
      </w:tr>
      <w:tr w:rsidR="00FB44B5" w:rsidRPr="00B53004" w14:paraId="540AECC2" w14:textId="77777777" w:rsidTr="00A56B5F">
        <w:tc>
          <w:tcPr>
            <w:tcW w:w="3116" w:type="dxa"/>
          </w:tcPr>
          <w:p w14:paraId="573C64D6" w14:textId="0226F1F0" w:rsidR="00FB44B5" w:rsidRPr="001C09DF" w:rsidRDefault="00FB44B5" w:rsidP="00FB44B5">
            <w:pPr>
              <w:rPr>
                <w:b/>
                <w:bCs/>
                <w:lang w:val="fr-FR"/>
              </w:rPr>
            </w:pPr>
            <w:r>
              <w:rPr>
                <w:b/>
                <w:lang w:val="fr-FR" w:bidi="fr-FR"/>
              </w:rPr>
              <w:t xml:space="preserve">Appétit pour le risque (social et environnemental) : </w:t>
            </w:r>
          </w:p>
          <w:p w14:paraId="30BC5650" w14:textId="42F557A2" w:rsidR="00FB44B5" w:rsidRPr="00A8410B" w:rsidRDefault="00FB44B5" w:rsidP="00FB44B5">
            <w:pPr>
              <w:rPr>
                <w:b/>
                <w:bCs/>
              </w:rPr>
            </w:pPr>
            <w:r w:rsidRPr="00C2589E">
              <w:rPr>
                <w:lang w:val="fr-FR" w:bidi="fr-FR"/>
              </w:rPr>
              <w:t>Prudent</w:t>
            </w:r>
          </w:p>
        </w:tc>
        <w:tc>
          <w:tcPr>
            <w:tcW w:w="3116" w:type="dxa"/>
          </w:tcPr>
          <w:p w14:paraId="1A250A8D" w14:textId="5713E16F" w:rsidR="00FB44B5" w:rsidRDefault="00FB44B5" w:rsidP="00FB44B5">
            <w:r w:rsidRPr="00A8410B">
              <w:rPr>
                <w:b/>
                <w:lang w:val="fr-FR" w:bidi="fr-FR"/>
              </w:rPr>
              <w:t xml:space="preserve">Importance du risque : </w:t>
            </w:r>
          </w:p>
          <w:p w14:paraId="5C3E79BC" w14:textId="6B6844D2" w:rsidR="00FB44B5" w:rsidRPr="00A8410B" w:rsidRDefault="00FB44B5" w:rsidP="00FB44B5">
            <w:r w:rsidRPr="002852AA">
              <w:rPr>
                <w:lang w:val="fr-FR" w:bidi="fr-FR"/>
              </w:rPr>
              <w:t>Significatif</w:t>
            </w:r>
          </w:p>
        </w:tc>
        <w:tc>
          <w:tcPr>
            <w:tcW w:w="3117" w:type="dxa"/>
          </w:tcPr>
          <w:p w14:paraId="427C26B4" w14:textId="75483E27" w:rsidR="00FB44B5" w:rsidRPr="001C09DF" w:rsidRDefault="00FB44B5" w:rsidP="00FB44B5">
            <w:pPr>
              <w:rPr>
                <w:b/>
                <w:bCs/>
                <w:lang w:val="fr-FR"/>
              </w:rPr>
            </w:pPr>
            <w:r>
              <w:rPr>
                <w:b/>
                <w:lang w:val="fr-FR" w:bidi="fr-FR"/>
              </w:rPr>
              <w:t xml:space="preserve">Catégorie et sous-catégorie de risque : </w:t>
            </w:r>
          </w:p>
          <w:p w14:paraId="33433350" w14:textId="77777777" w:rsidR="00FB44B5" w:rsidRPr="001C09DF" w:rsidRDefault="00FB44B5" w:rsidP="00FB44B5">
            <w:pPr>
              <w:rPr>
                <w:lang w:val="fr-FR"/>
              </w:rPr>
            </w:pPr>
            <w:r w:rsidRPr="00745451">
              <w:rPr>
                <w:lang w:val="fr-FR" w:bidi="fr-FR"/>
              </w:rPr>
              <w:t>1. Risque social et environnemental</w:t>
            </w:r>
          </w:p>
          <w:p w14:paraId="278C7FAE" w14:textId="0D001D86" w:rsidR="00FB44B5" w:rsidRPr="001C09DF" w:rsidRDefault="00FB44B5" w:rsidP="00FB44B5">
            <w:pPr>
              <w:rPr>
                <w:lang w:val="fr-FR"/>
              </w:rPr>
            </w:pPr>
            <w:r>
              <w:rPr>
                <w:lang w:val="fr-FR" w:bidi="fr-FR"/>
              </w:rPr>
              <w:t>1.1. Droits humains</w:t>
            </w:r>
          </w:p>
        </w:tc>
      </w:tr>
    </w:tbl>
    <w:p w14:paraId="4229B14F" w14:textId="77777777" w:rsidR="003226B6" w:rsidRPr="001C09DF" w:rsidRDefault="003226B6" w:rsidP="003226B6">
      <w:pPr>
        <w:spacing w:after="0" w:line="240" w:lineRule="auto"/>
        <w:rPr>
          <w:lang w:val="fr-FR"/>
        </w:rPr>
      </w:pPr>
    </w:p>
    <w:p w14:paraId="5483ED94" w14:textId="62138090" w:rsidR="003226B6" w:rsidRPr="001C09DF" w:rsidRDefault="003226B6" w:rsidP="003226B6">
      <w:pPr>
        <w:spacing w:after="0" w:line="240" w:lineRule="auto"/>
        <w:rPr>
          <w:lang w:val="fr-FR"/>
        </w:rPr>
      </w:pPr>
      <w:r>
        <w:rPr>
          <w:lang w:val="fr-FR" w:bidi="fr-FR"/>
        </w:rPr>
        <w:t>Dans ce cas, le risque est plus élevé que l</w:t>
      </w:r>
      <w:r w:rsidR="001C09DF">
        <w:rPr>
          <w:lang w:val="fr-FR" w:bidi="fr-FR"/>
        </w:rPr>
        <w:t>’</w:t>
      </w:r>
      <w:r>
        <w:rPr>
          <w:lang w:val="fr-FR" w:bidi="fr-FR"/>
        </w:rPr>
        <w:t>appétit pour le risque du PNUD. Nous devons atténuer le risque pour le ramener à des niveaux acceptables compte tenu de l</w:t>
      </w:r>
      <w:r w:rsidR="001C09DF">
        <w:rPr>
          <w:lang w:val="fr-FR" w:bidi="fr-FR"/>
        </w:rPr>
        <w:t>’</w:t>
      </w:r>
      <w:r>
        <w:rPr>
          <w:lang w:val="fr-FR" w:bidi="fr-FR"/>
        </w:rPr>
        <w:t>appétit pour le risque du PNUD.</w:t>
      </w:r>
    </w:p>
    <w:p w14:paraId="643E2459" w14:textId="77777777" w:rsidR="003226B6" w:rsidRPr="001C09DF" w:rsidRDefault="003226B6" w:rsidP="003226B6">
      <w:pPr>
        <w:spacing w:after="0" w:line="240" w:lineRule="auto"/>
        <w:rPr>
          <w:lang w:val="fr-FR"/>
        </w:rPr>
      </w:pPr>
    </w:p>
    <w:p w14:paraId="3F056584" w14:textId="480D12EE" w:rsidR="003226B6" w:rsidRPr="001C09DF" w:rsidRDefault="003226B6" w:rsidP="003226B6">
      <w:pPr>
        <w:spacing w:after="0" w:line="240" w:lineRule="auto"/>
        <w:rPr>
          <w:lang w:val="fr-FR"/>
        </w:rPr>
      </w:pPr>
      <w:r>
        <w:rPr>
          <w:lang w:val="fr-FR" w:bidi="fr-FR"/>
        </w:rPr>
        <w:t>Dans ce cas, les autorités ont donné leur feu vert pour que, dans le cadre du projet, l</w:t>
      </w:r>
      <w:r w:rsidR="001C09DF">
        <w:rPr>
          <w:lang w:val="fr-FR" w:bidi="fr-FR"/>
        </w:rPr>
        <w:t>’</w:t>
      </w:r>
      <w:r>
        <w:rPr>
          <w:lang w:val="fr-FR" w:bidi="fr-FR"/>
        </w:rPr>
        <w:t>ensemble des documents administratifs relatifs aux titres fonciers soient traduits dans la langue locale afin de les rendre accessibles aux groupes ethniques minoritaires, et pour former les avocats locaux issus des groupes minoritaires au droit foncier. Le projet a également permis d</w:t>
      </w:r>
      <w:r w:rsidR="001C09DF">
        <w:rPr>
          <w:lang w:val="fr-FR" w:bidi="fr-FR"/>
        </w:rPr>
        <w:t>’</w:t>
      </w:r>
      <w:r>
        <w:rPr>
          <w:lang w:val="fr-FR" w:bidi="fr-FR"/>
        </w:rPr>
        <w:t>obtenir des autorités locales qu</w:t>
      </w:r>
      <w:r w:rsidR="001C09DF">
        <w:rPr>
          <w:lang w:val="fr-FR" w:bidi="fr-FR"/>
        </w:rPr>
        <w:t>’</w:t>
      </w:r>
      <w:r>
        <w:rPr>
          <w:lang w:val="fr-FR" w:bidi="fr-FR"/>
        </w:rPr>
        <w:t>elles s</w:t>
      </w:r>
      <w:r w:rsidR="001C09DF">
        <w:rPr>
          <w:lang w:val="fr-FR" w:bidi="fr-FR"/>
        </w:rPr>
        <w:t>’</w:t>
      </w:r>
      <w:r>
        <w:rPr>
          <w:lang w:val="fr-FR" w:bidi="fr-FR"/>
        </w:rPr>
        <w:t>engagent à recruter 60 % de son personnel au sein des communautés minoritaires afin de mieux représenter la population du district de Terra. Le PNUD a affecté des ressources à la formation de ce nouveau personnel et à son accompagnement tout au long du projet, tout en mettant en place un système de mentorat interne, conçu pour que le personnel existant apporte un soutien continu aux personnes nouvellement embauchées.</w:t>
      </w:r>
    </w:p>
    <w:p w14:paraId="4D14441B" w14:textId="77777777" w:rsidR="003226B6" w:rsidRPr="001C09DF" w:rsidRDefault="003226B6" w:rsidP="003226B6">
      <w:pPr>
        <w:spacing w:after="0" w:line="240" w:lineRule="auto"/>
        <w:rPr>
          <w:lang w:val="fr-FR"/>
        </w:rPr>
      </w:pPr>
    </w:p>
    <w:p w14:paraId="1D85A0C5" w14:textId="539AABEF" w:rsidR="003226B6" w:rsidRPr="001C09DF" w:rsidRDefault="003226B6" w:rsidP="003226B6">
      <w:pPr>
        <w:spacing w:after="0" w:line="240" w:lineRule="auto"/>
        <w:rPr>
          <w:lang w:val="fr-FR"/>
        </w:rPr>
      </w:pPr>
      <w:r>
        <w:rPr>
          <w:lang w:val="fr-FR" w:bidi="fr-FR"/>
        </w:rPr>
        <w:t>Ces modifications apportées au projet ont fait passer la probabilité du risque de 4 à 1 (l</w:t>
      </w:r>
      <w:r w:rsidR="001C09DF">
        <w:rPr>
          <w:lang w:val="fr-FR" w:bidi="fr-FR"/>
        </w:rPr>
        <w:t>’</w:t>
      </w:r>
      <w:r>
        <w:rPr>
          <w:lang w:val="fr-FR" w:bidi="fr-FR"/>
        </w:rPr>
        <w:t>impact est resté le même), les mesures d</w:t>
      </w:r>
      <w:r w:rsidR="001C09DF">
        <w:rPr>
          <w:lang w:val="fr-FR" w:bidi="fr-FR"/>
        </w:rPr>
        <w:t>’</w:t>
      </w:r>
      <w:r>
        <w:rPr>
          <w:lang w:val="fr-FR" w:bidi="fr-FR"/>
        </w:rPr>
        <w:t>atténuation ainsi définies rendant le risque acceptable.</w:t>
      </w:r>
    </w:p>
    <w:p w14:paraId="35DA57AF" w14:textId="77777777" w:rsidR="003226B6" w:rsidRPr="001C09DF" w:rsidRDefault="003226B6" w:rsidP="00AE7753">
      <w:pPr>
        <w:rPr>
          <w:lang w:val="fr-FR"/>
        </w:rPr>
      </w:pPr>
    </w:p>
    <w:p w14:paraId="070B0E77" w14:textId="1ED64F66" w:rsidR="00672D45" w:rsidRPr="001C09DF" w:rsidRDefault="00672D45" w:rsidP="00672D45">
      <w:pPr>
        <w:pStyle w:val="Heading1"/>
        <w:numPr>
          <w:ilvl w:val="0"/>
          <w:numId w:val="7"/>
        </w:numPr>
        <w:ind w:left="357" w:hanging="357"/>
        <w:rPr>
          <w:lang w:val="fr-FR"/>
        </w:rPr>
      </w:pPr>
      <w:bookmarkStart w:id="7" w:name="_Toc157419455"/>
      <w:r>
        <w:rPr>
          <w:lang w:val="fr-FR" w:bidi="fr-FR"/>
        </w:rPr>
        <w:lastRenderedPageBreak/>
        <w:t>Tirer des enseignements de l</w:t>
      </w:r>
      <w:r w:rsidR="001C09DF">
        <w:rPr>
          <w:lang w:val="fr-FR" w:bidi="fr-FR"/>
        </w:rPr>
        <w:t>’</w:t>
      </w:r>
      <w:r>
        <w:rPr>
          <w:lang w:val="fr-FR" w:bidi="fr-FR"/>
        </w:rPr>
        <w:t>appétit pour le risque</w:t>
      </w:r>
      <w:bookmarkEnd w:id="7"/>
    </w:p>
    <w:p w14:paraId="1556BF4D" w14:textId="320EA72D" w:rsidR="008125FF" w:rsidRDefault="00FA4FAA" w:rsidP="00FA4FAA">
      <w:r>
        <w:rPr>
          <w:lang w:val="fr-FR" w:bidi="fr-FR"/>
        </w:rPr>
        <w:t>La déclaration d</w:t>
      </w:r>
      <w:r w:rsidR="001C09DF">
        <w:rPr>
          <w:lang w:val="fr-FR" w:bidi="fr-FR"/>
        </w:rPr>
        <w:t>’</w:t>
      </w:r>
      <w:r>
        <w:rPr>
          <w:lang w:val="fr-FR" w:bidi="fr-FR"/>
        </w:rPr>
        <w:t>appétit pour le risque et les présentes orientations sont mises en œuvre dans un esprit d</w:t>
      </w:r>
      <w:r w:rsidR="001C09DF">
        <w:rPr>
          <w:lang w:val="fr-FR" w:bidi="fr-FR"/>
        </w:rPr>
        <w:t>’</w:t>
      </w:r>
      <w:r>
        <w:rPr>
          <w:lang w:val="fr-FR" w:bidi="fr-FR"/>
        </w:rPr>
        <w:t>apprentissage et d</w:t>
      </w:r>
      <w:r w:rsidR="001C09DF">
        <w:rPr>
          <w:lang w:val="fr-FR" w:bidi="fr-FR"/>
        </w:rPr>
        <w:t>’</w:t>
      </w:r>
      <w:r>
        <w:rPr>
          <w:lang w:val="fr-FR" w:bidi="fr-FR"/>
        </w:rPr>
        <w:t>amélioration continue. Il ne s</w:t>
      </w:r>
      <w:r w:rsidR="001C09DF">
        <w:rPr>
          <w:lang w:val="fr-FR" w:bidi="fr-FR"/>
        </w:rPr>
        <w:t>’</w:t>
      </w:r>
      <w:r>
        <w:rPr>
          <w:lang w:val="fr-FR" w:bidi="fr-FR"/>
        </w:rPr>
        <w:t>agit pas de documents statiques, et ils évolueront dans le temps au fil du développement de la culture du risque du PNUD et de l</w:t>
      </w:r>
      <w:r w:rsidR="001C09DF">
        <w:rPr>
          <w:lang w:val="fr-FR" w:bidi="fr-FR"/>
        </w:rPr>
        <w:t>’</w:t>
      </w:r>
      <w:r>
        <w:rPr>
          <w:lang w:val="fr-FR" w:bidi="fr-FR"/>
        </w:rPr>
        <w:t>amélioration de la compréhension de l</w:t>
      </w:r>
      <w:r w:rsidR="001C09DF">
        <w:rPr>
          <w:lang w:val="fr-FR" w:bidi="fr-FR"/>
        </w:rPr>
        <w:t>’</w:t>
      </w:r>
      <w:r>
        <w:rPr>
          <w:lang w:val="fr-FR" w:bidi="fr-FR"/>
        </w:rPr>
        <w:t>approche de l</w:t>
      </w:r>
      <w:r w:rsidR="001C09DF">
        <w:rPr>
          <w:lang w:val="fr-FR" w:bidi="fr-FR"/>
        </w:rPr>
        <w:t>’</w:t>
      </w:r>
      <w:r>
        <w:rPr>
          <w:lang w:val="fr-FR" w:bidi="fr-FR"/>
        </w:rPr>
        <w:t>appétit pour le risque. Votre contribution à l</w:t>
      </w:r>
      <w:r w:rsidR="001C09DF">
        <w:rPr>
          <w:lang w:val="fr-FR" w:bidi="fr-FR"/>
        </w:rPr>
        <w:t>’</w:t>
      </w:r>
      <w:r>
        <w:rPr>
          <w:lang w:val="fr-FR" w:bidi="fr-FR"/>
        </w:rPr>
        <w:t>apprentissage et à l</w:t>
      </w:r>
      <w:r w:rsidR="001C09DF">
        <w:rPr>
          <w:lang w:val="fr-FR" w:bidi="fr-FR"/>
        </w:rPr>
        <w:t>’</w:t>
      </w:r>
      <w:r>
        <w:rPr>
          <w:lang w:val="fr-FR" w:bidi="fr-FR"/>
        </w:rPr>
        <w:t>amélioration est vitale :</w:t>
      </w:r>
    </w:p>
    <w:p w14:paraId="4BC3BB85" w14:textId="6316FAB9" w:rsidR="00FA4FAA" w:rsidRPr="001C09DF" w:rsidRDefault="008125FF" w:rsidP="008125FF">
      <w:pPr>
        <w:pStyle w:val="ListParagraph"/>
        <w:numPr>
          <w:ilvl w:val="0"/>
          <w:numId w:val="21"/>
        </w:numPr>
        <w:rPr>
          <w:lang w:val="fr-FR"/>
        </w:rPr>
      </w:pPr>
      <w:r>
        <w:rPr>
          <w:lang w:val="fr-FR" w:bidi="fr-FR"/>
        </w:rPr>
        <w:t>En reconnaissant les échecs dans l</w:t>
      </w:r>
      <w:r w:rsidR="001C09DF">
        <w:rPr>
          <w:lang w:val="fr-FR" w:bidi="fr-FR"/>
        </w:rPr>
        <w:t>’</w:t>
      </w:r>
      <w:r>
        <w:rPr>
          <w:lang w:val="fr-FR" w:bidi="fr-FR"/>
        </w:rPr>
        <w:t>innovation, dans le cadre des projets et programmes ainsi que de la mise en œuvre de la déclaration d</w:t>
      </w:r>
      <w:r w:rsidR="001C09DF">
        <w:rPr>
          <w:lang w:val="fr-FR" w:bidi="fr-FR"/>
        </w:rPr>
        <w:t>’</w:t>
      </w:r>
      <w:r>
        <w:rPr>
          <w:lang w:val="fr-FR" w:bidi="fr-FR"/>
        </w:rPr>
        <w:t>appétit pour le risque, et en tirant des enseignements ;</w:t>
      </w:r>
    </w:p>
    <w:p w14:paraId="371FB354" w14:textId="4CE0597D" w:rsidR="008125FF" w:rsidRPr="001C09DF" w:rsidRDefault="008125FF" w:rsidP="008125FF">
      <w:pPr>
        <w:pStyle w:val="ListParagraph"/>
        <w:numPr>
          <w:ilvl w:val="0"/>
          <w:numId w:val="21"/>
        </w:numPr>
        <w:rPr>
          <w:lang w:val="fr-FR"/>
        </w:rPr>
      </w:pPr>
      <w:r>
        <w:rPr>
          <w:lang w:val="fr-FR" w:bidi="fr-FR"/>
        </w:rPr>
        <w:t>En accordant une plus grande attention aux risques qui ont été acceptés en dépit du non-respect des seuils de tolérance définis par la déclaration d</w:t>
      </w:r>
      <w:r w:rsidR="001C09DF">
        <w:rPr>
          <w:lang w:val="fr-FR" w:bidi="fr-FR"/>
        </w:rPr>
        <w:t>’</w:t>
      </w:r>
      <w:r>
        <w:rPr>
          <w:lang w:val="fr-FR" w:bidi="fr-FR"/>
        </w:rPr>
        <w:t>appétit pour le risque, et en suivant les conséquences de ces choix ;</w:t>
      </w:r>
    </w:p>
    <w:p w14:paraId="6F57F12C" w14:textId="1BCF8462" w:rsidR="008F1111" w:rsidRPr="001C09DF" w:rsidRDefault="008125FF" w:rsidP="008125FF">
      <w:pPr>
        <w:pStyle w:val="ListParagraph"/>
        <w:numPr>
          <w:ilvl w:val="0"/>
          <w:numId w:val="21"/>
        </w:numPr>
        <w:rPr>
          <w:lang w:val="fr-FR"/>
        </w:rPr>
      </w:pPr>
      <w:r>
        <w:rPr>
          <w:lang w:val="fr-FR" w:bidi="fr-FR"/>
        </w:rPr>
        <w:t>En signalant les situations où les contrôles et le cadre de gouvernance n</w:t>
      </w:r>
      <w:r w:rsidR="001C09DF">
        <w:rPr>
          <w:lang w:val="fr-FR" w:bidi="fr-FR"/>
        </w:rPr>
        <w:t>’</w:t>
      </w:r>
      <w:r>
        <w:rPr>
          <w:lang w:val="fr-FR" w:bidi="fr-FR"/>
        </w:rPr>
        <w:t>ont pas été appliqués de façon appropriée et où le risque s</w:t>
      </w:r>
      <w:r w:rsidR="001C09DF">
        <w:rPr>
          <w:lang w:val="fr-FR" w:bidi="fr-FR"/>
        </w:rPr>
        <w:t>’</w:t>
      </w:r>
      <w:r>
        <w:rPr>
          <w:lang w:val="fr-FR" w:bidi="fr-FR"/>
        </w:rPr>
        <w:t>est matérialisé et a eu un impact ;</w:t>
      </w:r>
    </w:p>
    <w:p w14:paraId="2FB51F5C" w14:textId="2FF08F5C" w:rsidR="008125FF" w:rsidRPr="001C09DF" w:rsidRDefault="008F1111" w:rsidP="008125FF">
      <w:pPr>
        <w:pStyle w:val="ListParagraph"/>
        <w:numPr>
          <w:ilvl w:val="0"/>
          <w:numId w:val="21"/>
        </w:numPr>
        <w:rPr>
          <w:lang w:val="fr-FR"/>
        </w:rPr>
      </w:pPr>
      <w:r>
        <w:rPr>
          <w:lang w:val="fr-FR" w:bidi="fr-FR"/>
        </w:rPr>
        <w:t>En identifiant les points pour lesquels davantage d</w:t>
      </w:r>
      <w:r w:rsidR="001C09DF">
        <w:rPr>
          <w:lang w:val="fr-FR" w:bidi="fr-FR"/>
        </w:rPr>
        <w:t>’</w:t>
      </w:r>
      <w:r>
        <w:rPr>
          <w:lang w:val="fr-FR" w:bidi="fr-FR"/>
        </w:rPr>
        <w:t>orientations seraient nécessaires pour garantir la cohérence et l</w:t>
      </w:r>
      <w:r w:rsidR="001C09DF">
        <w:rPr>
          <w:lang w:val="fr-FR" w:bidi="fr-FR"/>
        </w:rPr>
        <w:t>’</w:t>
      </w:r>
      <w:r>
        <w:rPr>
          <w:lang w:val="fr-FR" w:bidi="fr-FR"/>
        </w:rPr>
        <w:t>utilité de la mise en œuvre de la RAS.</w:t>
      </w:r>
    </w:p>
    <w:p w14:paraId="053AA11E" w14:textId="6A065CBF" w:rsidR="00811B27" w:rsidRPr="001C09DF" w:rsidRDefault="00811B27" w:rsidP="00811B27">
      <w:pPr>
        <w:rPr>
          <w:lang w:val="fr-FR"/>
        </w:rPr>
      </w:pPr>
      <w:r>
        <w:rPr>
          <w:lang w:val="fr-FR" w:bidi="fr-FR"/>
        </w:rPr>
        <w:t>En suivant ces règles, l</w:t>
      </w:r>
      <w:r w:rsidR="001C09DF">
        <w:rPr>
          <w:lang w:val="fr-FR" w:bidi="fr-FR"/>
        </w:rPr>
        <w:t>’</w:t>
      </w:r>
      <w:r>
        <w:rPr>
          <w:lang w:val="fr-FR" w:bidi="fr-FR"/>
        </w:rPr>
        <w:t>appétit pour le risque continuera à se développer afin de répondre à l</w:t>
      </w:r>
      <w:r w:rsidR="001C09DF">
        <w:rPr>
          <w:lang w:val="fr-FR" w:bidi="fr-FR"/>
        </w:rPr>
        <w:t>’</w:t>
      </w:r>
      <w:r>
        <w:rPr>
          <w:lang w:val="fr-FR" w:bidi="fr-FR"/>
        </w:rPr>
        <w:t>évolution des besoins du PNUD, et s</w:t>
      </w:r>
      <w:r w:rsidR="001C09DF">
        <w:rPr>
          <w:lang w:val="fr-FR" w:bidi="fr-FR"/>
        </w:rPr>
        <w:t>’</w:t>
      </w:r>
      <w:r>
        <w:rPr>
          <w:lang w:val="fr-FR" w:bidi="fr-FR"/>
        </w:rPr>
        <w:t>intégrera au cadre de la GRI comme outil indispensable à la prise de décisions fondée sur les risques et à la réalisation des plans stratégiques du PNUD.</w:t>
      </w:r>
    </w:p>
    <w:p w14:paraId="5E8C7D25" w14:textId="7D5A4B85" w:rsidR="001A187F" w:rsidRPr="001C09DF" w:rsidRDefault="001A187F" w:rsidP="00811B27">
      <w:pPr>
        <w:rPr>
          <w:lang w:val="fr-FR"/>
        </w:rPr>
      </w:pPr>
      <w:r>
        <w:rPr>
          <w:lang w:val="fr-FR" w:bidi="fr-FR"/>
        </w:rPr>
        <w:t>L</w:t>
      </w:r>
      <w:r w:rsidR="001C09DF">
        <w:rPr>
          <w:lang w:val="fr-FR" w:bidi="fr-FR"/>
        </w:rPr>
        <w:t>’</w:t>
      </w:r>
      <w:r>
        <w:rPr>
          <w:lang w:val="fr-FR" w:bidi="fr-FR"/>
        </w:rPr>
        <w:t>Annexe 3 synthétise les différents niveaux de l</w:t>
      </w:r>
      <w:r w:rsidR="001C09DF">
        <w:rPr>
          <w:lang w:val="fr-FR" w:bidi="fr-FR"/>
        </w:rPr>
        <w:t>’</w:t>
      </w:r>
      <w:r>
        <w:rPr>
          <w:lang w:val="fr-FR" w:bidi="fr-FR"/>
        </w:rPr>
        <w:t>appétit pour le risque pour chaque catégorie de risques, montrant à quoi peut correspondre un appétit pour le risque plus élevé ou plus faible.</w:t>
      </w:r>
    </w:p>
    <w:p w14:paraId="53F1A288" w14:textId="611FB68C" w:rsidR="00FE3B6B" w:rsidRPr="001C09DF" w:rsidRDefault="00FE3B6B" w:rsidP="00672D45">
      <w:pPr>
        <w:pStyle w:val="Heading1"/>
        <w:numPr>
          <w:ilvl w:val="0"/>
          <w:numId w:val="7"/>
        </w:numPr>
        <w:ind w:left="426"/>
        <w:rPr>
          <w:lang w:val="fr-FR"/>
        </w:rPr>
      </w:pPr>
      <w:bookmarkStart w:id="8" w:name="_Toc157419456"/>
      <w:r w:rsidRPr="003F0B20">
        <w:rPr>
          <w:lang w:val="fr-FR" w:bidi="fr-FR"/>
        </w:rPr>
        <w:t>Écarts par rapport à l</w:t>
      </w:r>
      <w:r w:rsidR="001C09DF">
        <w:rPr>
          <w:lang w:val="fr-FR" w:bidi="fr-FR"/>
        </w:rPr>
        <w:t>’</w:t>
      </w:r>
      <w:r w:rsidRPr="003F0B20">
        <w:rPr>
          <w:lang w:val="fr-FR" w:bidi="fr-FR"/>
        </w:rPr>
        <w:t>appétit pour le risque déclaré</w:t>
      </w:r>
      <w:bookmarkEnd w:id="8"/>
    </w:p>
    <w:p w14:paraId="4AA2B6BE" w14:textId="60BAAA9D" w:rsidR="00CF3AFC" w:rsidRPr="001C09DF" w:rsidRDefault="00FE3B6B" w:rsidP="00FE3B6B">
      <w:pPr>
        <w:rPr>
          <w:lang w:val="fr-FR"/>
        </w:rPr>
      </w:pPr>
      <w:r w:rsidRPr="00073D44">
        <w:rPr>
          <w:lang w:val="fr-FR" w:bidi="fr-FR"/>
        </w:rPr>
        <w:t>Le but d</w:t>
      </w:r>
      <w:r w:rsidR="001C09DF">
        <w:rPr>
          <w:lang w:val="fr-FR" w:bidi="fr-FR"/>
        </w:rPr>
        <w:t>’</w:t>
      </w:r>
      <w:r w:rsidRPr="00073D44">
        <w:rPr>
          <w:lang w:val="fr-FR" w:bidi="fr-FR"/>
        </w:rPr>
        <w:t>une déclaration d</w:t>
      </w:r>
      <w:r w:rsidR="001C09DF">
        <w:rPr>
          <w:lang w:val="fr-FR" w:bidi="fr-FR"/>
        </w:rPr>
        <w:t>’</w:t>
      </w:r>
      <w:r w:rsidRPr="00073D44">
        <w:rPr>
          <w:lang w:val="fr-FR" w:bidi="fr-FR"/>
        </w:rPr>
        <w:t>appétit pour le risque est de proposer une approche systématique de la gestion des risques par tous les membres d</w:t>
      </w:r>
      <w:r w:rsidR="001C09DF">
        <w:rPr>
          <w:lang w:val="fr-FR" w:bidi="fr-FR"/>
        </w:rPr>
        <w:t>’</w:t>
      </w:r>
      <w:r w:rsidRPr="00073D44">
        <w:rPr>
          <w:lang w:val="fr-FR" w:bidi="fr-FR"/>
        </w:rPr>
        <w:t>une organisation et en toutes circonstances. Dans certains cas cependant, le PNUD pourra être amené à accepter des risques plus élevés que ceux que définit sa déclaration d</w:t>
      </w:r>
      <w:r w:rsidR="001C09DF">
        <w:rPr>
          <w:lang w:val="fr-FR" w:bidi="fr-FR"/>
        </w:rPr>
        <w:t>’</w:t>
      </w:r>
      <w:r w:rsidRPr="00073D44">
        <w:rPr>
          <w:lang w:val="fr-FR" w:bidi="fr-FR"/>
        </w:rPr>
        <w:t>appétit pour le risque, en particulier dans un environnement à haut risque, lorsqu</w:t>
      </w:r>
      <w:r w:rsidR="001C09DF">
        <w:rPr>
          <w:lang w:val="fr-FR" w:bidi="fr-FR"/>
        </w:rPr>
        <w:t>’</w:t>
      </w:r>
      <w:r w:rsidRPr="00073D44">
        <w:rPr>
          <w:lang w:val="fr-FR" w:bidi="fr-FR"/>
        </w:rPr>
        <w:t>il est nécessaire que le personnel « reste sur place et agisse ». Dans ces situations, lorsque les limites de la déclaration d</w:t>
      </w:r>
      <w:r w:rsidR="001C09DF">
        <w:rPr>
          <w:lang w:val="fr-FR" w:bidi="fr-FR"/>
        </w:rPr>
        <w:t>’</w:t>
      </w:r>
      <w:r w:rsidRPr="00073D44">
        <w:rPr>
          <w:lang w:val="fr-FR" w:bidi="fr-FR"/>
        </w:rPr>
        <w:t>appétit pour le risque doivent être dépassées, il convient de le faire de manière délibérée, en connaissance de cause et en abordant la question dans le cadre de discussions transparentes et bien documentées avec l</w:t>
      </w:r>
      <w:r w:rsidR="001C09DF">
        <w:rPr>
          <w:lang w:val="fr-FR" w:bidi="fr-FR"/>
        </w:rPr>
        <w:t>’</w:t>
      </w:r>
      <w:r w:rsidRPr="00073D44">
        <w:rPr>
          <w:lang w:val="fr-FR" w:bidi="fr-FR"/>
        </w:rPr>
        <w:t>équipe de gestion des risques et le Comité des risques. Les risques concernés doivent faire l</w:t>
      </w:r>
      <w:r w:rsidR="001C09DF">
        <w:rPr>
          <w:lang w:val="fr-FR" w:bidi="fr-FR"/>
        </w:rPr>
        <w:t>’</w:t>
      </w:r>
      <w:r w:rsidRPr="00073D44">
        <w:rPr>
          <w:lang w:val="fr-FR" w:bidi="fr-FR"/>
        </w:rPr>
        <w:t>objet d</w:t>
      </w:r>
      <w:r w:rsidR="001C09DF">
        <w:rPr>
          <w:lang w:val="fr-FR" w:bidi="fr-FR"/>
        </w:rPr>
        <w:t>’</w:t>
      </w:r>
      <w:r w:rsidRPr="00073D44">
        <w:rPr>
          <w:lang w:val="fr-FR" w:bidi="fr-FR"/>
        </w:rPr>
        <w:t>un examen constant, et toute mesure offrant la possibilité de les atténuer pour les rapprocher des limites de l</w:t>
      </w:r>
      <w:r w:rsidR="001C09DF">
        <w:rPr>
          <w:lang w:val="fr-FR" w:bidi="fr-FR"/>
        </w:rPr>
        <w:t>’</w:t>
      </w:r>
      <w:r w:rsidRPr="00073D44">
        <w:rPr>
          <w:lang w:val="fr-FR" w:bidi="fr-FR"/>
        </w:rPr>
        <w:t>appétit pour le risque doit être prise.</w:t>
      </w:r>
    </w:p>
    <w:p w14:paraId="5077ABC3" w14:textId="12EEC477" w:rsidR="001E7406" w:rsidRPr="001C09DF" w:rsidRDefault="001E7406">
      <w:pPr>
        <w:rPr>
          <w:lang w:val="fr-FR"/>
        </w:rPr>
      </w:pPr>
    </w:p>
    <w:p w14:paraId="5A9F99C3" w14:textId="77777777" w:rsidR="00D603FF" w:rsidRPr="001C09DF" w:rsidRDefault="00D603FF">
      <w:pPr>
        <w:rPr>
          <w:lang w:val="fr-FR"/>
        </w:rPr>
        <w:sectPr w:rsidR="00D603FF" w:rsidRPr="001C09DF" w:rsidSect="002E055D">
          <w:footerReference w:type="default" r:id="rId15"/>
          <w:pgSz w:w="12240" w:h="15840"/>
          <w:pgMar w:top="1440" w:right="1440" w:bottom="1350" w:left="1440" w:header="720" w:footer="720" w:gutter="0"/>
          <w:cols w:space="720"/>
          <w:docGrid w:linePitch="360"/>
        </w:sectPr>
      </w:pPr>
    </w:p>
    <w:p w14:paraId="0551CE2B" w14:textId="28B1552B" w:rsidR="002533C4" w:rsidRPr="001C09DF" w:rsidRDefault="002533C4" w:rsidP="002533C4">
      <w:pPr>
        <w:pStyle w:val="Heading1"/>
        <w:rPr>
          <w:lang w:val="fr-FR"/>
        </w:rPr>
      </w:pPr>
      <w:bookmarkStart w:id="9" w:name="_Toc157419457"/>
      <w:r>
        <w:rPr>
          <w:lang w:val="fr-FR" w:bidi="fr-FR"/>
        </w:rPr>
        <w:lastRenderedPageBreak/>
        <w:t>Annexe 1 : Les catégories de risques de la GRI</w:t>
      </w:r>
      <w:bookmarkEnd w:id="9"/>
    </w:p>
    <w:tbl>
      <w:tblPr>
        <w:tblStyle w:val="TableGrid"/>
        <w:tblpPr w:leftFromText="180" w:rightFromText="180" w:vertAnchor="text" w:horzAnchor="margin" w:tblpXSpec="center" w:tblpY="181"/>
        <w:tblW w:w="15295" w:type="dxa"/>
        <w:tblLayout w:type="fixed"/>
        <w:tblLook w:val="04A0" w:firstRow="1" w:lastRow="0" w:firstColumn="1" w:lastColumn="0" w:noHBand="0" w:noVBand="1"/>
      </w:tblPr>
      <w:tblGrid>
        <w:gridCol w:w="1911"/>
        <w:gridCol w:w="1912"/>
        <w:gridCol w:w="1912"/>
        <w:gridCol w:w="1912"/>
        <w:gridCol w:w="1912"/>
        <w:gridCol w:w="1912"/>
        <w:gridCol w:w="1912"/>
        <w:gridCol w:w="1912"/>
      </w:tblGrid>
      <w:tr w:rsidR="00745451" w:rsidRPr="00D55872" w14:paraId="306E794B" w14:textId="77777777" w:rsidTr="0089132A">
        <w:tc>
          <w:tcPr>
            <w:tcW w:w="191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AD93A76" w14:textId="77777777" w:rsidR="0089132A" w:rsidRPr="00D55872" w:rsidRDefault="0089132A" w:rsidP="00E474A7">
            <w:pPr>
              <w:spacing w:before="60" w:after="60"/>
              <w:ind w:left="-113" w:right="-69"/>
              <w:jc w:val="center"/>
              <w:rPr>
                <w:b/>
                <w:bCs/>
                <w:color w:val="FFFFFF" w:themeColor="background1"/>
                <w:sz w:val="16"/>
                <w:szCs w:val="16"/>
              </w:rPr>
            </w:pPr>
            <w:r w:rsidRPr="00D55872">
              <w:rPr>
                <w:b/>
                <w:color w:val="FFFFFF" w:themeColor="background1"/>
                <w:sz w:val="16"/>
                <w:lang w:val="fr-FR" w:bidi="fr-FR"/>
              </w:rPr>
              <w:t>1.Risque social et environnemental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AA4BDC6"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fr-FR" w:bidi="fr-FR"/>
              </w:rPr>
              <w:t>2. Risque financier</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D1126FB"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fr-FR" w:bidi="fr-FR"/>
              </w:rPr>
              <w:t>3. Risque opérationnel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6111AB0"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fr-FR" w:bidi="fr-FR"/>
              </w:rPr>
              <w:t>4. Risque organisationnel</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939B1EC"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fr-FR" w:bidi="fr-FR"/>
              </w:rPr>
              <w:t>5. Risque de réputation</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756B785B" w14:textId="77777777" w:rsidR="0089132A" w:rsidRPr="00D55872" w:rsidRDefault="0089132A" w:rsidP="00E474A7">
            <w:pPr>
              <w:spacing w:before="60" w:after="60"/>
              <w:jc w:val="center"/>
              <w:rPr>
                <w:b/>
                <w:bCs/>
                <w:color w:val="FFFFFF" w:themeColor="background1"/>
                <w:sz w:val="16"/>
                <w:szCs w:val="16"/>
              </w:rPr>
            </w:pPr>
            <w:r>
              <w:rPr>
                <w:b/>
                <w:color w:val="FFFFFF" w:themeColor="background1"/>
                <w:sz w:val="16"/>
                <w:lang w:val="fr-FR" w:bidi="fr-FR"/>
              </w:rPr>
              <w:t>6. Risque réglementaire</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36F54228"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fr-FR" w:bidi="fr-FR"/>
              </w:rPr>
              <w:t>7. Risque stratégique</w:t>
            </w:r>
          </w:p>
        </w:tc>
        <w:tc>
          <w:tcPr>
            <w:tcW w:w="1912"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9F7BF2F" w14:textId="77777777" w:rsidR="0089132A" w:rsidRPr="00D55872" w:rsidRDefault="0089132A" w:rsidP="00E474A7">
            <w:pPr>
              <w:spacing w:before="60" w:after="60"/>
              <w:jc w:val="center"/>
              <w:rPr>
                <w:b/>
                <w:bCs/>
                <w:color w:val="FFFFFF" w:themeColor="background1"/>
                <w:sz w:val="16"/>
                <w:szCs w:val="16"/>
              </w:rPr>
            </w:pPr>
            <w:r w:rsidRPr="00D55872">
              <w:rPr>
                <w:b/>
                <w:color w:val="FFFFFF" w:themeColor="background1"/>
                <w:sz w:val="16"/>
                <w:lang w:val="fr-FR" w:bidi="fr-FR"/>
              </w:rPr>
              <w:t>8. Risque de sécurité</w:t>
            </w:r>
          </w:p>
        </w:tc>
      </w:tr>
      <w:tr w:rsidR="00745451" w:rsidRPr="001C09DF" w14:paraId="0A62F45A" w14:textId="77777777" w:rsidTr="008A13BD">
        <w:trPr>
          <w:trHeight w:val="5601"/>
        </w:trPr>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F89B"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fr-FR" w:bidi="fr-FR"/>
              </w:rPr>
              <w:t xml:space="preserve">Droits humains </w:t>
            </w:r>
          </w:p>
          <w:p w14:paraId="60611B49" w14:textId="77777777" w:rsidR="0089132A" w:rsidRPr="001C09DF"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fr-FR"/>
              </w:rPr>
            </w:pPr>
            <w:r w:rsidRPr="00525AD0">
              <w:rPr>
                <w:sz w:val="16"/>
                <w:lang w:val="fr-FR" w:bidi="fr-FR"/>
              </w:rPr>
              <w:t>Égalité des sexes et autonomisation des femmes</w:t>
            </w:r>
          </w:p>
          <w:p w14:paraId="0860BC94" w14:textId="77777777" w:rsidR="0089132A" w:rsidRPr="001C09DF"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fr-FR"/>
              </w:rPr>
            </w:pPr>
            <w:r>
              <w:rPr>
                <w:sz w:val="16"/>
                <w:lang w:val="fr-FR" w:bidi="fr-FR"/>
              </w:rPr>
              <w:t>Griefs (responsabilité envers les parties prenantes)</w:t>
            </w:r>
          </w:p>
          <w:p w14:paraId="022F3351" w14:textId="0C6BE1B8" w:rsidR="0089132A" w:rsidRPr="001C09DF"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fr-FR"/>
              </w:rPr>
            </w:pPr>
            <w:r w:rsidRPr="00525AD0">
              <w:rPr>
                <w:sz w:val="16"/>
                <w:lang w:val="fr-FR" w:bidi="fr-FR"/>
              </w:rPr>
              <w:t xml:space="preserve">Conservation de la biodiversité et gestion durable des ressources naturelles </w:t>
            </w:r>
          </w:p>
          <w:p w14:paraId="67D04AB8" w14:textId="77777777" w:rsidR="0089132A" w:rsidRPr="001C09DF"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fr-FR"/>
              </w:rPr>
            </w:pPr>
            <w:r w:rsidRPr="00525AD0">
              <w:rPr>
                <w:sz w:val="16"/>
                <w:lang w:val="fr-FR" w:bidi="fr-FR"/>
              </w:rPr>
              <w:t>Changements climatiques et risques de catastrophes</w:t>
            </w:r>
          </w:p>
          <w:p w14:paraId="3CCF59B3" w14:textId="21BEFF6D"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fr-FR" w:bidi="fr-FR"/>
              </w:rPr>
              <w:t xml:space="preserve">Santé, sûreté et sécurité communautaires </w:t>
            </w:r>
          </w:p>
          <w:p w14:paraId="79B1053C"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fr-FR" w:bidi="fr-FR"/>
              </w:rPr>
              <w:t xml:space="preserve">Patrimoine culturel </w:t>
            </w:r>
          </w:p>
          <w:p w14:paraId="1722CD81"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fr-FR" w:bidi="fr-FR"/>
              </w:rPr>
              <w:t>Déplacement et réinstallation</w:t>
            </w:r>
          </w:p>
          <w:p w14:paraId="2D328756"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fr-FR" w:bidi="fr-FR"/>
              </w:rPr>
              <w:t>Peuples autochtones</w:t>
            </w:r>
          </w:p>
          <w:p w14:paraId="067EADEF"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fr-FR" w:bidi="fr-FR"/>
              </w:rPr>
              <w:t>Travail et conditions de travail</w:t>
            </w:r>
          </w:p>
          <w:p w14:paraId="44E36C6F" w14:textId="3454BB66" w:rsidR="0089132A" w:rsidRPr="001C09DF" w:rsidRDefault="0089132A" w:rsidP="0089132A">
            <w:pPr>
              <w:pStyle w:val="ListParagraph"/>
              <w:numPr>
                <w:ilvl w:val="1"/>
                <w:numId w:val="24"/>
              </w:numPr>
              <w:tabs>
                <w:tab w:val="left" w:pos="338"/>
              </w:tabs>
              <w:spacing w:before="60" w:after="60"/>
              <w:ind w:left="-14" w:firstLine="0"/>
              <w:contextualSpacing w:val="0"/>
              <w:rPr>
                <w:rFonts w:cstheme="minorHAnsi"/>
                <w:sz w:val="16"/>
                <w:szCs w:val="16"/>
                <w:lang w:val="fr-FR"/>
              </w:rPr>
            </w:pPr>
            <w:r w:rsidRPr="00525AD0">
              <w:rPr>
                <w:sz w:val="16"/>
                <w:lang w:val="fr-FR" w:bidi="fr-FR"/>
              </w:rPr>
              <w:t>Prévention de la pollution et optimisation des ressources</w:t>
            </w:r>
          </w:p>
          <w:p w14:paraId="63C3CA85" w14:textId="77777777" w:rsidR="0089132A" w:rsidRPr="00525AD0" w:rsidRDefault="0089132A" w:rsidP="0089132A">
            <w:pPr>
              <w:pStyle w:val="ListParagraph"/>
              <w:numPr>
                <w:ilvl w:val="1"/>
                <w:numId w:val="24"/>
              </w:numPr>
              <w:tabs>
                <w:tab w:val="left" w:pos="338"/>
              </w:tabs>
              <w:spacing w:before="60" w:after="60"/>
              <w:ind w:left="-14" w:firstLine="0"/>
              <w:contextualSpacing w:val="0"/>
              <w:rPr>
                <w:rFonts w:cstheme="minorHAnsi"/>
                <w:sz w:val="16"/>
                <w:szCs w:val="16"/>
              </w:rPr>
            </w:pPr>
            <w:r w:rsidRPr="00525AD0">
              <w:rPr>
                <w:sz w:val="16"/>
                <w:lang w:val="fr-FR" w:bidi="fr-FR"/>
              </w:rPr>
              <w:t>Implication des parties prenantes</w:t>
            </w:r>
          </w:p>
          <w:p w14:paraId="693D353E" w14:textId="407B5A0A" w:rsidR="0089132A" w:rsidRPr="00195CB3" w:rsidRDefault="0089132A" w:rsidP="00513FC1">
            <w:pPr>
              <w:pStyle w:val="ListParagraph"/>
              <w:numPr>
                <w:ilvl w:val="1"/>
                <w:numId w:val="24"/>
              </w:numPr>
              <w:tabs>
                <w:tab w:val="left" w:pos="338"/>
              </w:tabs>
              <w:spacing w:before="60" w:after="60"/>
              <w:ind w:left="-14" w:firstLine="0"/>
              <w:contextualSpacing w:val="0"/>
              <w:rPr>
                <w:rFonts w:cstheme="minorHAnsi"/>
                <w:strike/>
                <w:sz w:val="16"/>
                <w:szCs w:val="16"/>
              </w:rPr>
            </w:pPr>
            <w:r w:rsidRPr="00525AD0">
              <w:rPr>
                <w:sz w:val="16"/>
                <w:lang w:val="fr-FR" w:bidi="fr-FR"/>
              </w:rPr>
              <w:t>Exploitation et abus sexuels</w:t>
            </w: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07F0F"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sz w:val="16"/>
                <w:lang w:val="fr-FR" w:bidi="fr-FR"/>
              </w:rPr>
              <w:t>Recouvrement des coûts</w:t>
            </w:r>
          </w:p>
          <w:p w14:paraId="1B87661A"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sz w:val="16"/>
                <w:lang w:val="fr-FR" w:bidi="fr-FR"/>
              </w:rPr>
              <w:t>Rapport qualité-prix</w:t>
            </w:r>
          </w:p>
          <w:p w14:paraId="3464AC77"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sz w:val="16"/>
                <w:lang w:val="fr-FR" w:bidi="fr-FR"/>
              </w:rPr>
              <w:t>Corruption et fraude</w:t>
            </w:r>
          </w:p>
          <w:p w14:paraId="153933D7" w14:textId="77777777" w:rsidR="0089132A" w:rsidRPr="001C09DF" w:rsidRDefault="0089132A" w:rsidP="0089132A">
            <w:pPr>
              <w:pStyle w:val="ListParagraph"/>
              <w:numPr>
                <w:ilvl w:val="1"/>
                <w:numId w:val="25"/>
              </w:numPr>
              <w:tabs>
                <w:tab w:val="left" w:pos="351"/>
              </w:tabs>
              <w:spacing w:before="60" w:after="60"/>
              <w:ind w:left="-14" w:firstLine="0"/>
              <w:contextualSpacing w:val="0"/>
              <w:rPr>
                <w:rFonts w:cstheme="minorHAnsi"/>
                <w:sz w:val="16"/>
                <w:szCs w:val="16"/>
                <w:lang w:val="fr-FR"/>
              </w:rPr>
            </w:pPr>
            <w:r w:rsidRPr="00D53BC7">
              <w:rPr>
                <w:sz w:val="16"/>
                <w:lang w:val="fr-FR" w:bidi="fr-FR"/>
              </w:rPr>
              <w:t>Fluctuation du taux de crédit, du marché, de la monnaie</w:t>
            </w:r>
          </w:p>
          <w:p w14:paraId="4E867414" w14:textId="77777777" w:rsidR="0089132A" w:rsidRPr="00D53BC7" w:rsidRDefault="0089132A" w:rsidP="0089132A">
            <w:pPr>
              <w:pStyle w:val="ListParagraph"/>
              <w:numPr>
                <w:ilvl w:val="1"/>
                <w:numId w:val="25"/>
              </w:numPr>
              <w:tabs>
                <w:tab w:val="left" w:pos="351"/>
              </w:tabs>
              <w:spacing w:before="60" w:after="60"/>
              <w:ind w:left="-14" w:firstLine="0"/>
              <w:contextualSpacing w:val="0"/>
              <w:rPr>
                <w:rFonts w:cstheme="minorHAnsi"/>
                <w:sz w:val="16"/>
                <w:szCs w:val="16"/>
              </w:rPr>
            </w:pPr>
            <w:r w:rsidRPr="00D53BC7">
              <w:rPr>
                <w:sz w:val="16"/>
                <w:lang w:val="fr-FR" w:bidi="fr-FR"/>
              </w:rPr>
              <w:t xml:space="preserve">Exécution </w:t>
            </w:r>
          </w:p>
          <w:p w14:paraId="17200D38" w14:textId="77777777" w:rsidR="0089132A" w:rsidRPr="001C09DF" w:rsidRDefault="0089132A" w:rsidP="0089132A">
            <w:pPr>
              <w:pStyle w:val="ListParagraph"/>
              <w:numPr>
                <w:ilvl w:val="1"/>
                <w:numId w:val="25"/>
              </w:numPr>
              <w:tabs>
                <w:tab w:val="left" w:pos="351"/>
              </w:tabs>
              <w:spacing w:before="60" w:after="60"/>
              <w:ind w:left="-14" w:firstLine="0"/>
              <w:contextualSpacing w:val="0"/>
              <w:rPr>
                <w:rFonts w:cstheme="minorHAnsi"/>
                <w:sz w:val="16"/>
                <w:szCs w:val="16"/>
                <w:lang w:val="fr-FR"/>
              </w:rPr>
            </w:pPr>
            <w:r w:rsidRPr="00D53BC7">
              <w:rPr>
                <w:sz w:val="16"/>
                <w:lang w:val="fr-FR" w:bidi="fr-FR"/>
              </w:rPr>
              <w:t>Disponibilité du budget et flux de trésorerie</w:t>
            </w:r>
          </w:p>
          <w:p w14:paraId="43A7CAAD" w14:textId="77777777" w:rsidR="0089132A" w:rsidRPr="001C09DF" w:rsidRDefault="0089132A" w:rsidP="00E474A7">
            <w:pPr>
              <w:tabs>
                <w:tab w:val="left" w:pos="351"/>
              </w:tabs>
              <w:spacing w:before="60" w:after="60"/>
              <w:ind w:left="-14"/>
              <w:rPr>
                <w:rFonts w:cstheme="minorHAnsi"/>
                <w:sz w:val="16"/>
                <w:szCs w:val="16"/>
                <w:lang w:val="fr-FR"/>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2492" w14:textId="7635375B" w:rsidR="0089132A" w:rsidRPr="001C09DF" w:rsidRDefault="0089132A" w:rsidP="0089132A">
            <w:pPr>
              <w:pStyle w:val="ListParagraph"/>
              <w:numPr>
                <w:ilvl w:val="1"/>
                <w:numId w:val="26"/>
              </w:numPr>
              <w:tabs>
                <w:tab w:val="left" w:pos="335"/>
              </w:tabs>
              <w:spacing w:before="60" w:after="60"/>
              <w:ind w:left="-29" w:firstLine="0"/>
              <w:contextualSpacing w:val="0"/>
              <w:rPr>
                <w:rFonts w:cstheme="minorHAnsi"/>
                <w:sz w:val="16"/>
                <w:szCs w:val="16"/>
                <w:lang w:val="fr-FR"/>
              </w:rPr>
            </w:pPr>
            <w:r>
              <w:rPr>
                <w:sz w:val="16"/>
                <w:lang w:val="fr-FR" w:bidi="fr-FR"/>
              </w:rPr>
              <w:t>Réactivité aux audits et aux évaluations (retards dans l</w:t>
            </w:r>
            <w:r w:rsidR="001C09DF">
              <w:rPr>
                <w:sz w:val="16"/>
                <w:lang w:val="fr-FR" w:bidi="fr-FR"/>
              </w:rPr>
              <w:t>’</w:t>
            </w:r>
            <w:r>
              <w:rPr>
                <w:sz w:val="16"/>
                <w:lang w:val="fr-FR" w:bidi="fr-FR"/>
              </w:rPr>
              <w:t>application et la mise en œuvre des recommandations)</w:t>
            </w:r>
          </w:p>
          <w:p w14:paraId="6DE2A0B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sz w:val="16"/>
                <w:lang w:val="fr-FR" w:bidi="fr-FR"/>
              </w:rPr>
              <w:t xml:space="preserve">Leadership et gestion </w:t>
            </w:r>
          </w:p>
          <w:p w14:paraId="2A3CAF14"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sz w:val="16"/>
                <w:lang w:val="fr-FR" w:bidi="fr-FR"/>
              </w:rPr>
              <w:t>Flexibilité et gestion des opportunités</w:t>
            </w:r>
          </w:p>
          <w:p w14:paraId="75154C0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sz w:val="16"/>
                <w:lang w:val="fr-FR" w:bidi="fr-FR"/>
              </w:rPr>
              <w:t>Rapports et communication</w:t>
            </w:r>
          </w:p>
          <w:p w14:paraId="4D12D0D5" w14:textId="77777777" w:rsidR="0089132A" w:rsidRPr="00370CB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370CB7">
              <w:rPr>
                <w:sz w:val="16"/>
                <w:lang w:val="fr-FR" w:bidi="fr-FR"/>
              </w:rPr>
              <w:t xml:space="preserve">Engagement des partenaires </w:t>
            </w:r>
          </w:p>
          <w:p w14:paraId="65E25404" w14:textId="77777777" w:rsidR="0089132A" w:rsidRPr="001C09DF" w:rsidRDefault="0089132A" w:rsidP="0089132A">
            <w:pPr>
              <w:pStyle w:val="ListParagraph"/>
              <w:numPr>
                <w:ilvl w:val="1"/>
                <w:numId w:val="26"/>
              </w:numPr>
              <w:tabs>
                <w:tab w:val="left" w:pos="335"/>
              </w:tabs>
              <w:spacing w:before="60" w:after="60"/>
              <w:ind w:left="-29" w:firstLine="0"/>
              <w:contextualSpacing w:val="0"/>
              <w:rPr>
                <w:rFonts w:cstheme="minorHAnsi"/>
                <w:sz w:val="16"/>
                <w:szCs w:val="16"/>
                <w:lang w:val="fr-FR"/>
              </w:rPr>
            </w:pPr>
            <w:r w:rsidRPr="00D53BC7">
              <w:rPr>
                <w:sz w:val="16"/>
                <w:lang w:val="fr-FR" w:bidi="fr-FR"/>
              </w:rPr>
              <w:t>Stratégie de transition et de sortie</w:t>
            </w:r>
          </w:p>
          <w:p w14:paraId="36BE1916" w14:textId="77777777" w:rsidR="0089132A" w:rsidRPr="001C09DF" w:rsidRDefault="0089132A" w:rsidP="0089132A">
            <w:pPr>
              <w:pStyle w:val="ListParagraph"/>
              <w:numPr>
                <w:ilvl w:val="1"/>
                <w:numId w:val="26"/>
              </w:numPr>
              <w:tabs>
                <w:tab w:val="left" w:pos="335"/>
              </w:tabs>
              <w:spacing w:before="60" w:after="60"/>
              <w:ind w:left="-29" w:firstLine="0"/>
              <w:contextualSpacing w:val="0"/>
              <w:rPr>
                <w:rFonts w:cstheme="minorHAnsi"/>
                <w:sz w:val="16"/>
                <w:szCs w:val="16"/>
                <w:lang w:val="fr-FR"/>
              </w:rPr>
            </w:pPr>
            <w:r w:rsidRPr="00D53BC7">
              <w:rPr>
                <w:sz w:val="16"/>
                <w:lang w:val="fr-FR" w:bidi="fr-FR"/>
              </w:rPr>
              <w:t xml:space="preserve">Sécurité, santé et bien-être au travail </w:t>
            </w:r>
          </w:p>
          <w:p w14:paraId="35D52F98" w14:textId="77777777" w:rsidR="0089132A" w:rsidRPr="00D53BC7" w:rsidRDefault="0089132A" w:rsidP="0089132A">
            <w:pPr>
              <w:pStyle w:val="ListParagraph"/>
              <w:numPr>
                <w:ilvl w:val="1"/>
                <w:numId w:val="26"/>
              </w:numPr>
              <w:tabs>
                <w:tab w:val="left" w:pos="335"/>
              </w:tabs>
              <w:spacing w:before="60" w:after="60"/>
              <w:ind w:left="-29" w:firstLine="0"/>
              <w:contextualSpacing w:val="0"/>
              <w:rPr>
                <w:rFonts w:cstheme="minorHAnsi"/>
                <w:sz w:val="16"/>
                <w:szCs w:val="16"/>
              </w:rPr>
            </w:pPr>
            <w:r w:rsidRPr="00D53BC7">
              <w:rPr>
                <w:sz w:val="16"/>
                <w:lang w:val="fr-FR" w:bidi="fr-FR"/>
              </w:rPr>
              <w:t>Capacités des partenaires</w:t>
            </w:r>
          </w:p>
          <w:p w14:paraId="4E8FA273" w14:textId="77777777" w:rsidR="0089132A" w:rsidRPr="004A14CB" w:rsidRDefault="0089132A" w:rsidP="00E474A7">
            <w:pPr>
              <w:tabs>
                <w:tab w:val="left" w:pos="335"/>
              </w:tabs>
              <w:spacing w:before="60" w:after="60"/>
              <w:ind w:left="-29"/>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7F382"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Gouvernance</w:t>
            </w:r>
          </w:p>
          <w:p w14:paraId="0425CB59" w14:textId="062072B8"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Capacité d</w:t>
            </w:r>
            <w:r w:rsidR="001C09DF">
              <w:rPr>
                <w:sz w:val="16"/>
                <w:lang w:val="fr-FR" w:bidi="fr-FR"/>
              </w:rPr>
              <w:t>’</w:t>
            </w:r>
            <w:r w:rsidRPr="00D53BC7">
              <w:rPr>
                <w:sz w:val="16"/>
                <w:lang w:val="fr-FR" w:bidi="fr-FR"/>
              </w:rPr>
              <w:t>exécution</w:t>
            </w:r>
          </w:p>
          <w:p w14:paraId="38F6D865"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Modalités de mise en œuvre</w:t>
            </w:r>
          </w:p>
          <w:p w14:paraId="70D863F8"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Redevabilité</w:t>
            </w:r>
          </w:p>
          <w:p w14:paraId="388013A9" w14:textId="77777777" w:rsidR="0089132A"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Suivi et contrôle</w:t>
            </w:r>
          </w:p>
          <w:p w14:paraId="247F09E5"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 xml:space="preserve">Gestion des connaissances </w:t>
            </w:r>
          </w:p>
          <w:p w14:paraId="38AB6551"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Ressources humaines</w:t>
            </w:r>
          </w:p>
          <w:p w14:paraId="225AA713"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Contrôle interne</w:t>
            </w:r>
          </w:p>
          <w:p w14:paraId="0AC844CB" w14:textId="77777777" w:rsidR="0089132A" w:rsidRPr="00D53BC7" w:rsidRDefault="0089132A" w:rsidP="0089132A">
            <w:pPr>
              <w:pStyle w:val="ListParagraph"/>
              <w:numPr>
                <w:ilvl w:val="1"/>
                <w:numId w:val="27"/>
              </w:numPr>
              <w:tabs>
                <w:tab w:val="left" w:pos="285"/>
              </w:tabs>
              <w:spacing w:before="60" w:after="60"/>
              <w:ind w:left="-29" w:firstLine="0"/>
              <w:contextualSpacing w:val="0"/>
              <w:rPr>
                <w:rFonts w:cstheme="minorHAnsi"/>
                <w:sz w:val="16"/>
                <w:szCs w:val="16"/>
              </w:rPr>
            </w:pPr>
            <w:r w:rsidRPr="00D53BC7">
              <w:rPr>
                <w:sz w:val="16"/>
                <w:lang w:val="fr-FR" w:bidi="fr-FR"/>
              </w:rPr>
              <w:t>Achats</w:t>
            </w:r>
          </w:p>
          <w:p w14:paraId="76A92CC9" w14:textId="77777777" w:rsidR="0089132A" w:rsidRPr="00D53BC7" w:rsidRDefault="0089132A" w:rsidP="00E474A7">
            <w:pPr>
              <w:rPr>
                <w:rFonts w:cstheme="minorHAnsi"/>
                <w:sz w:val="16"/>
                <w:szCs w:val="16"/>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82303" w14:textId="77777777" w:rsidR="0089132A" w:rsidRPr="00D53BC7" w:rsidRDefault="0089132A" w:rsidP="00E474A7">
            <w:pPr>
              <w:tabs>
                <w:tab w:val="left" w:pos="348"/>
              </w:tabs>
              <w:spacing w:before="60" w:after="60"/>
              <w:ind w:left="-14"/>
              <w:rPr>
                <w:rFonts w:eastAsiaTheme="minorEastAsia" w:cstheme="minorHAnsi"/>
                <w:sz w:val="16"/>
                <w:szCs w:val="16"/>
              </w:rPr>
            </w:pPr>
            <w:r w:rsidRPr="00D53BC7">
              <w:rPr>
                <w:sz w:val="16"/>
                <w:lang w:val="fr-FR" w:bidi="fr-FR"/>
              </w:rPr>
              <w:t>5.1.</w:t>
            </w:r>
            <w:r w:rsidRPr="00D53BC7">
              <w:rPr>
                <w:sz w:val="16"/>
                <w:lang w:val="fr-FR" w:bidi="fr-FR"/>
              </w:rPr>
              <w:tab/>
              <w:t xml:space="preserve">Opinion publique et médias </w:t>
            </w:r>
          </w:p>
          <w:p w14:paraId="45D41E01" w14:textId="77777777" w:rsidR="0089132A" w:rsidRPr="001C09DF" w:rsidRDefault="0089132A" w:rsidP="00E474A7">
            <w:pPr>
              <w:tabs>
                <w:tab w:val="left" w:pos="348"/>
              </w:tabs>
              <w:spacing w:before="60" w:after="60"/>
              <w:ind w:left="-14"/>
              <w:rPr>
                <w:rFonts w:eastAsiaTheme="minorEastAsia" w:cstheme="minorHAnsi"/>
                <w:sz w:val="16"/>
                <w:szCs w:val="16"/>
                <w:lang w:val="fr-FR"/>
              </w:rPr>
            </w:pPr>
            <w:r w:rsidRPr="00D53BC7">
              <w:rPr>
                <w:sz w:val="16"/>
                <w:lang w:val="fr-FR" w:bidi="fr-FR"/>
              </w:rPr>
              <w:t>5.2.</w:t>
            </w:r>
            <w:r w:rsidRPr="00D53BC7">
              <w:rPr>
                <w:sz w:val="16"/>
                <w:lang w:val="fr-FR" w:bidi="fr-FR"/>
              </w:rPr>
              <w:tab/>
              <w:t>Engagement avec les partenaires du secteur privé</w:t>
            </w:r>
          </w:p>
          <w:p w14:paraId="758FE620" w14:textId="77777777" w:rsidR="0089132A" w:rsidRPr="001C09DF" w:rsidRDefault="0089132A" w:rsidP="00E474A7">
            <w:pPr>
              <w:tabs>
                <w:tab w:val="left" w:pos="348"/>
              </w:tabs>
              <w:spacing w:before="60" w:after="60"/>
              <w:ind w:left="-14"/>
              <w:rPr>
                <w:rFonts w:eastAsiaTheme="minorEastAsia" w:cstheme="minorHAnsi"/>
                <w:sz w:val="16"/>
                <w:szCs w:val="16"/>
                <w:lang w:val="fr-FR"/>
              </w:rPr>
            </w:pPr>
            <w:r w:rsidRPr="00D53BC7">
              <w:rPr>
                <w:sz w:val="16"/>
                <w:lang w:val="fr-FR" w:bidi="fr-FR"/>
              </w:rPr>
              <w:t>5.3.</w:t>
            </w:r>
            <w:r w:rsidRPr="00D53BC7">
              <w:rPr>
                <w:sz w:val="16"/>
                <w:lang w:val="fr-FR" w:bidi="fr-FR"/>
              </w:rPr>
              <w:tab/>
              <w:t>Code de conduite et éthique</w:t>
            </w:r>
          </w:p>
          <w:p w14:paraId="2C7C4AB1" w14:textId="77777777" w:rsidR="0089132A" w:rsidRPr="001C09DF" w:rsidRDefault="0089132A" w:rsidP="00E474A7">
            <w:pPr>
              <w:tabs>
                <w:tab w:val="left" w:pos="348"/>
              </w:tabs>
              <w:spacing w:before="60" w:after="60"/>
              <w:ind w:left="-14"/>
              <w:rPr>
                <w:rFonts w:eastAsiaTheme="minorEastAsia" w:cstheme="minorHAnsi"/>
                <w:sz w:val="16"/>
                <w:szCs w:val="16"/>
                <w:lang w:val="fr-FR"/>
              </w:rPr>
            </w:pPr>
            <w:r w:rsidRPr="00D53BC7">
              <w:rPr>
                <w:sz w:val="16"/>
                <w:lang w:val="fr-FR" w:bidi="fr-FR"/>
              </w:rPr>
              <w:t xml:space="preserve">5.4. </w:t>
            </w:r>
            <w:r w:rsidRPr="00D53BC7">
              <w:rPr>
                <w:sz w:val="16"/>
                <w:lang w:val="fr-FR" w:bidi="fr-FR"/>
              </w:rPr>
              <w:tab/>
              <w:t>Communication</w:t>
            </w:r>
          </w:p>
          <w:p w14:paraId="374A45E3" w14:textId="77777777" w:rsidR="0089132A" w:rsidRPr="001C09DF" w:rsidRDefault="0089132A" w:rsidP="00E474A7">
            <w:pPr>
              <w:tabs>
                <w:tab w:val="left" w:pos="348"/>
              </w:tabs>
              <w:spacing w:before="60" w:after="60"/>
              <w:ind w:left="-14"/>
              <w:rPr>
                <w:rFonts w:eastAsiaTheme="minorEastAsia" w:cstheme="minorHAnsi"/>
                <w:sz w:val="16"/>
                <w:szCs w:val="16"/>
                <w:lang w:val="fr-FR"/>
              </w:rPr>
            </w:pPr>
            <w:r w:rsidRPr="00D53BC7">
              <w:rPr>
                <w:sz w:val="16"/>
                <w:lang w:val="fr-FR" w:bidi="fr-FR"/>
              </w:rPr>
              <w:t>5.5.</w:t>
            </w:r>
            <w:r w:rsidRPr="00D53BC7">
              <w:rPr>
                <w:sz w:val="16"/>
                <w:lang w:val="fr-FR" w:bidi="fr-FR"/>
              </w:rPr>
              <w:tab/>
              <w:t>Gestion des parties prenantes</w:t>
            </w:r>
          </w:p>
          <w:p w14:paraId="46E05071" w14:textId="423E286E" w:rsidR="0089132A" w:rsidRPr="001C09DF" w:rsidRDefault="0031527C" w:rsidP="001C09DF">
            <w:pPr>
              <w:tabs>
                <w:tab w:val="left" w:pos="348"/>
              </w:tabs>
              <w:spacing w:before="60" w:after="60"/>
              <w:ind w:left="-14"/>
              <w:rPr>
                <w:rFonts w:eastAsiaTheme="minorEastAsia" w:cstheme="minorHAnsi"/>
                <w:sz w:val="16"/>
                <w:szCs w:val="16"/>
                <w:lang w:val="fr-FR"/>
              </w:rPr>
            </w:pPr>
            <w:r w:rsidRPr="0031527C">
              <w:rPr>
                <w:sz w:val="16"/>
                <w:lang w:val="fr-FR" w:bidi="fr-FR"/>
              </w:rPr>
              <w:t>5.6.</w:t>
            </w:r>
            <w:r w:rsidRPr="0031527C">
              <w:rPr>
                <w:sz w:val="16"/>
                <w:lang w:val="fr-FR" w:bidi="fr-FR"/>
              </w:rPr>
              <w:tab/>
              <w:t>Exposition aux entités impliquées dans le blanchiment d</w:t>
            </w:r>
            <w:r w:rsidR="001C09DF">
              <w:rPr>
                <w:sz w:val="16"/>
                <w:lang w:val="fr-FR" w:bidi="fr-FR"/>
              </w:rPr>
              <w:t>’</w:t>
            </w:r>
            <w:r w:rsidRPr="0031527C">
              <w:rPr>
                <w:sz w:val="16"/>
                <w:lang w:val="fr-FR" w:bidi="fr-FR"/>
              </w:rPr>
              <w:t>argent et le financement du terrorisme</w:t>
            </w:r>
          </w:p>
          <w:p w14:paraId="267ADA8A" w14:textId="77777777" w:rsidR="0089132A" w:rsidRPr="001C09DF" w:rsidRDefault="0089132A" w:rsidP="00E474A7">
            <w:pPr>
              <w:rPr>
                <w:rFonts w:cstheme="minorHAnsi"/>
                <w:sz w:val="16"/>
                <w:szCs w:val="16"/>
                <w:lang w:val="fr-FR"/>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EB1A7" w14:textId="77777777" w:rsidR="0089132A" w:rsidRPr="001C09DF" w:rsidRDefault="0089132A" w:rsidP="0089132A">
            <w:pPr>
              <w:pStyle w:val="ListParagraph"/>
              <w:numPr>
                <w:ilvl w:val="1"/>
                <w:numId w:val="30"/>
              </w:numPr>
              <w:tabs>
                <w:tab w:val="left" w:pos="344"/>
              </w:tabs>
              <w:spacing w:before="60" w:after="60"/>
              <w:ind w:left="-14" w:firstLine="0"/>
              <w:contextualSpacing w:val="0"/>
              <w:rPr>
                <w:rFonts w:cstheme="minorHAnsi"/>
                <w:sz w:val="16"/>
                <w:szCs w:val="16"/>
                <w:lang w:val="fr-FR"/>
              </w:rPr>
            </w:pPr>
            <w:r w:rsidRPr="00D53BC7">
              <w:rPr>
                <w:sz w:val="16"/>
                <w:lang w:val="fr-FR" w:bidi="fr-FR"/>
              </w:rPr>
              <w:t>Modifications du cadre réglementaire dans le pays des opérations</w:t>
            </w:r>
          </w:p>
          <w:p w14:paraId="7E92457B" w14:textId="0955DDE1" w:rsidR="0089132A" w:rsidRPr="001C09DF" w:rsidRDefault="0089132A" w:rsidP="0089132A">
            <w:pPr>
              <w:pStyle w:val="ListParagraph"/>
              <w:numPr>
                <w:ilvl w:val="1"/>
                <w:numId w:val="30"/>
              </w:numPr>
              <w:tabs>
                <w:tab w:val="left" w:pos="344"/>
              </w:tabs>
              <w:spacing w:before="60" w:after="60"/>
              <w:ind w:left="-14" w:firstLine="0"/>
              <w:contextualSpacing w:val="0"/>
              <w:rPr>
                <w:rFonts w:cstheme="minorHAnsi"/>
                <w:sz w:val="16"/>
                <w:szCs w:val="16"/>
                <w:lang w:val="fr-FR"/>
              </w:rPr>
            </w:pPr>
            <w:r w:rsidRPr="00D53BC7">
              <w:rPr>
                <w:sz w:val="16"/>
                <w:lang w:val="fr-FR" w:bidi="fr-FR"/>
              </w:rPr>
              <w:t>Modifications du cadre réglementaire international touchant l</w:t>
            </w:r>
            <w:r w:rsidR="001C09DF">
              <w:rPr>
                <w:sz w:val="16"/>
                <w:lang w:val="fr-FR" w:bidi="fr-FR"/>
              </w:rPr>
              <w:t>’</w:t>
            </w:r>
            <w:r w:rsidRPr="00D53BC7">
              <w:rPr>
                <w:sz w:val="16"/>
                <w:lang w:val="fr-FR" w:bidi="fr-FR"/>
              </w:rPr>
              <w:t>ensemble de l</w:t>
            </w:r>
            <w:r w:rsidR="001C09DF">
              <w:rPr>
                <w:sz w:val="16"/>
                <w:lang w:val="fr-FR" w:bidi="fr-FR"/>
              </w:rPr>
              <w:t>’</w:t>
            </w:r>
            <w:r w:rsidRPr="00D53BC7">
              <w:rPr>
                <w:sz w:val="16"/>
                <w:lang w:val="fr-FR" w:bidi="fr-FR"/>
              </w:rPr>
              <w:t>organisation</w:t>
            </w:r>
          </w:p>
          <w:p w14:paraId="3C25AFC4" w14:textId="35461E8F" w:rsidR="0089132A" w:rsidRPr="001C09DF" w:rsidRDefault="0089132A" w:rsidP="001C09DF">
            <w:pPr>
              <w:pStyle w:val="ListParagraph"/>
              <w:numPr>
                <w:ilvl w:val="1"/>
                <w:numId w:val="30"/>
              </w:numPr>
              <w:tabs>
                <w:tab w:val="left" w:pos="344"/>
              </w:tabs>
              <w:spacing w:before="60" w:after="60"/>
              <w:ind w:left="-14" w:firstLine="0"/>
              <w:contextualSpacing w:val="0"/>
              <w:rPr>
                <w:rFonts w:cstheme="minorHAnsi"/>
                <w:sz w:val="16"/>
                <w:szCs w:val="16"/>
                <w:lang w:val="fr-FR"/>
              </w:rPr>
            </w:pPr>
            <w:r w:rsidRPr="00D53BC7">
              <w:rPr>
                <w:sz w:val="16"/>
                <w:lang w:val="fr-FR" w:bidi="fr-FR"/>
              </w:rPr>
              <w:t>Dérogation aux règles et règlements internes du PNUD</w:t>
            </w:r>
          </w:p>
          <w:p w14:paraId="0CD4CDD8" w14:textId="77777777" w:rsidR="0089132A" w:rsidRPr="001C09DF" w:rsidRDefault="0089132A" w:rsidP="00E474A7">
            <w:pPr>
              <w:ind w:left="331"/>
              <w:rPr>
                <w:rFonts w:cstheme="minorHAnsi"/>
                <w:sz w:val="16"/>
                <w:szCs w:val="16"/>
                <w:lang w:val="fr-FR"/>
              </w:rPr>
            </w:pP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99090" w14:textId="757C75A8" w:rsidR="0089132A" w:rsidRPr="001C09DF" w:rsidRDefault="0089132A" w:rsidP="0089132A">
            <w:pPr>
              <w:pStyle w:val="ListParagraph"/>
              <w:numPr>
                <w:ilvl w:val="1"/>
                <w:numId w:val="29"/>
              </w:numPr>
              <w:tabs>
                <w:tab w:val="left" w:pos="335"/>
              </w:tabs>
              <w:spacing w:before="60" w:after="60"/>
              <w:ind w:left="0" w:firstLine="0"/>
              <w:contextualSpacing w:val="0"/>
              <w:rPr>
                <w:rFonts w:cstheme="minorHAnsi"/>
                <w:sz w:val="16"/>
                <w:szCs w:val="16"/>
                <w:lang w:val="fr-FR"/>
              </w:rPr>
            </w:pPr>
            <w:r w:rsidRPr="00D53BC7">
              <w:rPr>
                <w:sz w:val="16"/>
                <w:lang w:val="fr-FR" w:bidi="fr-FR"/>
              </w:rPr>
              <w:t>Alignement sur les priorités stratégiques du PNUD</w:t>
            </w:r>
          </w:p>
          <w:p w14:paraId="4D5BCDE3" w14:textId="77777777" w:rsidR="0089132A" w:rsidRPr="001C09DF" w:rsidRDefault="0089132A" w:rsidP="0089132A">
            <w:pPr>
              <w:pStyle w:val="ListParagraph"/>
              <w:numPr>
                <w:ilvl w:val="1"/>
                <w:numId w:val="29"/>
              </w:numPr>
              <w:tabs>
                <w:tab w:val="left" w:pos="335"/>
              </w:tabs>
              <w:spacing w:before="60" w:after="60"/>
              <w:ind w:left="0" w:firstLine="0"/>
              <w:contextualSpacing w:val="0"/>
              <w:rPr>
                <w:rFonts w:cstheme="minorHAnsi"/>
                <w:sz w:val="16"/>
                <w:szCs w:val="16"/>
                <w:lang w:val="fr-FR"/>
              </w:rPr>
            </w:pPr>
            <w:r w:rsidRPr="00D53BC7">
              <w:rPr>
                <w:sz w:val="16"/>
                <w:lang w:val="fr-FR" w:bidi="fr-FR"/>
              </w:rPr>
              <w:t>Coordination et réforme du système des Nations Unies</w:t>
            </w:r>
          </w:p>
          <w:p w14:paraId="55F654AE" w14:textId="77777777" w:rsidR="0089132A" w:rsidRPr="001C09DF" w:rsidRDefault="0089132A" w:rsidP="0089132A">
            <w:pPr>
              <w:pStyle w:val="ListParagraph"/>
              <w:numPr>
                <w:ilvl w:val="1"/>
                <w:numId w:val="29"/>
              </w:numPr>
              <w:tabs>
                <w:tab w:val="left" w:pos="335"/>
              </w:tabs>
              <w:spacing w:before="60" w:after="60"/>
              <w:ind w:left="0" w:firstLine="0"/>
              <w:contextualSpacing w:val="0"/>
              <w:rPr>
                <w:rFonts w:eastAsiaTheme="minorEastAsia" w:cstheme="minorHAnsi"/>
                <w:sz w:val="16"/>
                <w:szCs w:val="16"/>
                <w:lang w:val="fr-FR"/>
              </w:rPr>
            </w:pPr>
            <w:r w:rsidRPr="00D53BC7">
              <w:rPr>
                <w:sz w:val="16"/>
                <w:lang w:val="fr-FR" w:bidi="fr-FR"/>
              </w:rPr>
              <w:t>Relations avec les parties prenantes et partenariats</w:t>
            </w:r>
          </w:p>
          <w:p w14:paraId="661B8188"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eastAsiaTheme="minorEastAsia" w:cstheme="minorHAnsi"/>
                <w:sz w:val="16"/>
                <w:szCs w:val="16"/>
              </w:rPr>
            </w:pPr>
            <w:r w:rsidRPr="00D53BC7">
              <w:rPr>
                <w:sz w:val="16"/>
                <w:lang w:val="fr-FR" w:bidi="fr-FR"/>
              </w:rPr>
              <w:t xml:space="preserve">Concurrence </w:t>
            </w:r>
          </w:p>
          <w:p w14:paraId="484534F1"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sz w:val="16"/>
                <w:lang w:val="fr-FR" w:bidi="fr-FR"/>
              </w:rPr>
              <w:t>Engagements des gouvernements</w:t>
            </w:r>
          </w:p>
          <w:p w14:paraId="220CE907" w14:textId="77777777" w:rsidR="0089132A" w:rsidRPr="001C09DF" w:rsidRDefault="0089132A" w:rsidP="0089132A">
            <w:pPr>
              <w:pStyle w:val="ListParagraph"/>
              <w:numPr>
                <w:ilvl w:val="1"/>
                <w:numId w:val="29"/>
              </w:numPr>
              <w:tabs>
                <w:tab w:val="left" w:pos="335"/>
              </w:tabs>
              <w:spacing w:before="60" w:after="60"/>
              <w:ind w:left="0" w:right="315" w:firstLine="0"/>
              <w:contextualSpacing w:val="0"/>
              <w:rPr>
                <w:rFonts w:cstheme="minorHAnsi"/>
                <w:sz w:val="16"/>
                <w:szCs w:val="16"/>
                <w:lang w:val="fr-FR"/>
              </w:rPr>
            </w:pPr>
            <w:r w:rsidRPr="00D53BC7">
              <w:rPr>
                <w:sz w:val="16"/>
                <w:lang w:val="fr-FR" w:bidi="fr-FR"/>
              </w:rPr>
              <w:t>Changement de gouvernement/remaniement du gouvernement</w:t>
            </w:r>
          </w:p>
          <w:p w14:paraId="64548576" w14:textId="77777777" w:rsidR="0089132A" w:rsidRPr="00D53BC7" w:rsidRDefault="0089132A" w:rsidP="0089132A">
            <w:pPr>
              <w:pStyle w:val="ListParagraph"/>
              <w:numPr>
                <w:ilvl w:val="1"/>
                <w:numId w:val="29"/>
              </w:numPr>
              <w:tabs>
                <w:tab w:val="left" w:pos="335"/>
              </w:tabs>
              <w:spacing w:before="60" w:after="60"/>
              <w:ind w:left="0" w:firstLine="0"/>
              <w:contextualSpacing w:val="0"/>
              <w:rPr>
                <w:rFonts w:cstheme="minorHAnsi"/>
                <w:sz w:val="16"/>
                <w:szCs w:val="16"/>
              </w:rPr>
            </w:pPr>
            <w:r w:rsidRPr="00D53BC7">
              <w:rPr>
                <w:sz w:val="16"/>
                <w:lang w:val="fr-FR" w:bidi="fr-FR"/>
              </w:rPr>
              <w:t>Alignement sur les priorités nationales</w:t>
            </w:r>
          </w:p>
          <w:p w14:paraId="4DF1C47F" w14:textId="33E8533B" w:rsidR="0089132A" w:rsidRPr="001C09DF" w:rsidRDefault="0089132A" w:rsidP="001C09DF">
            <w:pPr>
              <w:pStyle w:val="ListParagraph"/>
              <w:numPr>
                <w:ilvl w:val="1"/>
                <w:numId w:val="29"/>
              </w:numPr>
              <w:tabs>
                <w:tab w:val="left" w:pos="335"/>
              </w:tabs>
              <w:spacing w:before="60" w:after="60"/>
              <w:ind w:left="0" w:firstLine="0"/>
              <w:contextualSpacing w:val="0"/>
              <w:rPr>
                <w:rFonts w:cstheme="minorHAnsi"/>
                <w:sz w:val="16"/>
                <w:szCs w:val="16"/>
              </w:rPr>
            </w:pPr>
            <w:r w:rsidRPr="00D53BC7">
              <w:rPr>
                <w:sz w:val="16"/>
                <w:lang w:val="fr-FR" w:bidi="fr-FR"/>
              </w:rPr>
              <w:t>Innovation, projet pilote, expérimentation</w:t>
            </w:r>
          </w:p>
        </w:tc>
        <w:tc>
          <w:tcPr>
            <w:tcW w:w="1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C118E" w14:textId="77777777" w:rsidR="0089132A" w:rsidRPr="00D53BC7" w:rsidRDefault="0089132A" w:rsidP="00E474A7">
            <w:pPr>
              <w:tabs>
                <w:tab w:val="left" w:pos="335"/>
              </w:tabs>
              <w:spacing w:before="60" w:after="60"/>
              <w:rPr>
                <w:rFonts w:eastAsiaTheme="minorEastAsia" w:cstheme="minorHAnsi"/>
                <w:color w:val="000000" w:themeColor="text1"/>
                <w:sz w:val="16"/>
                <w:szCs w:val="16"/>
              </w:rPr>
            </w:pPr>
            <w:r w:rsidRPr="00D53BC7">
              <w:rPr>
                <w:sz w:val="16"/>
                <w:lang w:val="fr-FR" w:bidi="fr-FR"/>
              </w:rPr>
              <w:t>8.1.</w:t>
            </w:r>
            <w:r w:rsidRPr="00D53BC7">
              <w:rPr>
                <w:sz w:val="16"/>
                <w:lang w:val="fr-FR" w:bidi="fr-FR"/>
              </w:rPr>
              <w:tab/>
              <w:t>Conflit armé</w:t>
            </w:r>
          </w:p>
          <w:p w14:paraId="1D0A5120" w14:textId="4019F092" w:rsidR="0089132A" w:rsidRPr="00D53BC7" w:rsidRDefault="0089132A" w:rsidP="00E474A7">
            <w:pPr>
              <w:tabs>
                <w:tab w:val="left" w:pos="335"/>
                <w:tab w:val="center" w:pos="927"/>
              </w:tabs>
              <w:spacing w:before="60" w:after="60"/>
              <w:rPr>
                <w:rFonts w:eastAsiaTheme="minorEastAsia" w:cstheme="minorHAnsi"/>
                <w:color w:val="000000" w:themeColor="text1"/>
                <w:sz w:val="16"/>
                <w:szCs w:val="16"/>
              </w:rPr>
            </w:pPr>
            <w:r w:rsidRPr="00D53BC7">
              <w:rPr>
                <w:sz w:val="16"/>
                <w:lang w:val="fr-FR" w:bidi="fr-FR"/>
              </w:rPr>
              <w:t>8.2.</w:t>
            </w:r>
            <w:r w:rsidRPr="00D53BC7">
              <w:rPr>
                <w:sz w:val="16"/>
                <w:lang w:val="fr-FR" w:bidi="fr-FR"/>
              </w:rPr>
              <w:tab/>
              <w:t>Instabilité politique</w:t>
            </w:r>
          </w:p>
          <w:p w14:paraId="2FD6F89D" w14:textId="77777777" w:rsidR="0089132A" w:rsidRPr="001C09DF" w:rsidRDefault="0089132A" w:rsidP="00E474A7">
            <w:pPr>
              <w:tabs>
                <w:tab w:val="left" w:pos="335"/>
              </w:tabs>
              <w:spacing w:before="60" w:after="60"/>
              <w:rPr>
                <w:rFonts w:eastAsiaTheme="minorEastAsia" w:cstheme="minorHAnsi"/>
                <w:color w:val="000000" w:themeColor="text1"/>
                <w:sz w:val="16"/>
                <w:szCs w:val="16"/>
                <w:lang w:val="fr-FR"/>
              </w:rPr>
            </w:pPr>
            <w:r w:rsidRPr="00D53BC7">
              <w:rPr>
                <w:sz w:val="16"/>
                <w:lang w:val="fr-FR" w:bidi="fr-FR"/>
              </w:rPr>
              <w:t>8.3.</w:t>
            </w:r>
            <w:r w:rsidRPr="00D53BC7">
              <w:rPr>
                <w:sz w:val="16"/>
                <w:lang w:val="fr-FR" w:bidi="fr-FR"/>
              </w:rPr>
              <w:tab/>
              <w:t>Terrorisme</w:t>
            </w:r>
          </w:p>
          <w:p w14:paraId="650C7D85" w14:textId="77777777" w:rsidR="0089132A" w:rsidRPr="001C09DF" w:rsidRDefault="0089132A" w:rsidP="00E474A7">
            <w:pPr>
              <w:tabs>
                <w:tab w:val="left" w:pos="335"/>
              </w:tabs>
              <w:spacing w:before="60" w:after="60"/>
              <w:rPr>
                <w:rFonts w:eastAsiaTheme="minorEastAsia" w:cstheme="minorHAnsi"/>
                <w:color w:val="000000" w:themeColor="text1"/>
                <w:sz w:val="16"/>
                <w:szCs w:val="16"/>
                <w:lang w:val="fr-FR"/>
              </w:rPr>
            </w:pPr>
            <w:r w:rsidRPr="00D53BC7">
              <w:rPr>
                <w:sz w:val="16"/>
                <w:lang w:val="fr-FR" w:bidi="fr-FR"/>
              </w:rPr>
              <w:t>8.4.</w:t>
            </w:r>
            <w:r w:rsidRPr="00D53BC7">
              <w:rPr>
                <w:sz w:val="16"/>
                <w:lang w:val="fr-FR" w:bidi="fr-FR"/>
              </w:rPr>
              <w:tab/>
              <w:t>Criminalité</w:t>
            </w:r>
          </w:p>
          <w:p w14:paraId="2B383308" w14:textId="77777777" w:rsidR="0089132A" w:rsidRPr="001C09DF" w:rsidRDefault="0089132A" w:rsidP="00E474A7">
            <w:pPr>
              <w:tabs>
                <w:tab w:val="left" w:pos="335"/>
              </w:tabs>
              <w:spacing w:before="60" w:after="60"/>
              <w:rPr>
                <w:rFonts w:eastAsiaTheme="minorEastAsia" w:cstheme="minorHAnsi"/>
                <w:color w:val="000000" w:themeColor="text1"/>
                <w:sz w:val="16"/>
                <w:szCs w:val="16"/>
                <w:lang w:val="fr-FR"/>
              </w:rPr>
            </w:pPr>
            <w:r w:rsidRPr="00D53BC7">
              <w:rPr>
                <w:sz w:val="16"/>
                <w:lang w:val="fr-FR" w:bidi="fr-FR"/>
              </w:rPr>
              <w:t>8.5.</w:t>
            </w:r>
            <w:r w:rsidRPr="00D53BC7">
              <w:rPr>
                <w:sz w:val="16"/>
                <w:lang w:val="fr-FR" w:bidi="fr-FR"/>
              </w:rPr>
              <w:tab/>
              <w:t>Troubles civils</w:t>
            </w:r>
          </w:p>
          <w:p w14:paraId="260A79F9" w14:textId="77777777" w:rsidR="0089132A" w:rsidRPr="001C09DF" w:rsidRDefault="0089132A" w:rsidP="00E474A7">
            <w:pPr>
              <w:tabs>
                <w:tab w:val="left" w:pos="335"/>
              </w:tabs>
              <w:spacing w:before="60" w:after="60"/>
              <w:rPr>
                <w:rFonts w:eastAsiaTheme="minorEastAsia" w:cstheme="minorHAnsi"/>
                <w:color w:val="000000" w:themeColor="text1"/>
                <w:sz w:val="16"/>
                <w:szCs w:val="16"/>
                <w:lang w:val="fr-FR"/>
              </w:rPr>
            </w:pPr>
            <w:r w:rsidRPr="00D53BC7">
              <w:rPr>
                <w:sz w:val="16"/>
                <w:lang w:val="fr-FR" w:bidi="fr-FR"/>
              </w:rPr>
              <w:t>8.6.</w:t>
            </w:r>
            <w:r w:rsidRPr="00D53BC7">
              <w:rPr>
                <w:sz w:val="16"/>
                <w:lang w:val="fr-FR" w:bidi="fr-FR"/>
              </w:rPr>
              <w:tab/>
              <w:t>Aléas naturels</w:t>
            </w:r>
          </w:p>
          <w:p w14:paraId="61F2128C" w14:textId="7BD1A35B" w:rsidR="001C09DF" w:rsidRDefault="0089132A" w:rsidP="00E474A7">
            <w:pPr>
              <w:tabs>
                <w:tab w:val="left" w:pos="335"/>
              </w:tabs>
              <w:spacing w:before="60" w:after="60"/>
              <w:rPr>
                <w:sz w:val="16"/>
                <w:lang w:val="fr-FR" w:bidi="fr-FR"/>
              </w:rPr>
            </w:pPr>
            <w:r w:rsidRPr="00D53BC7">
              <w:rPr>
                <w:sz w:val="16"/>
                <w:lang w:val="fr-FR" w:bidi="fr-FR"/>
              </w:rPr>
              <w:t>8.7.</w:t>
            </w:r>
            <w:r w:rsidRPr="00D53BC7">
              <w:rPr>
                <w:sz w:val="16"/>
                <w:lang w:val="fr-FR" w:bidi="fr-FR"/>
              </w:rPr>
              <w:tab/>
              <w:t>Aléas d</w:t>
            </w:r>
            <w:r w:rsidR="001C09DF">
              <w:rPr>
                <w:sz w:val="16"/>
                <w:lang w:val="fr-FR" w:bidi="fr-FR"/>
              </w:rPr>
              <w:t>’</w:t>
            </w:r>
            <w:r w:rsidRPr="00D53BC7">
              <w:rPr>
                <w:sz w:val="16"/>
                <w:lang w:val="fr-FR" w:bidi="fr-FR"/>
              </w:rPr>
              <w:t>origine humaine</w:t>
            </w:r>
          </w:p>
          <w:p w14:paraId="7AF6048B" w14:textId="50E40C46" w:rsidR="0089132A" w:rsidRPr="001C09DF" w:rsidRDefault="0089132A" w:rsidP="00E474A7">
            <w:pPr>
              <w:tabs>
                <w:tab w:val="left" w:pos="335"/>
              </w:tabs>
              <w:spacing w:before="60" w:after="60"/>
              <w:rPr>
                <w:rFonts w:eastAsiaTheme="minorEastAsia" w:cstheme="minorHAnsi"/>
                <w:color w:val="000000" w:themeColor="text1"/>
                <w:sz w:val="16"/>
                <w:szCs w:val="16"/>
                <w:lang w:val="fr-FR"/>
              </w:rPr>
            </w:pPr>
            <w:r w:rsidRPr="00D53BC7">
              <w:rPr>
                <w:sz w:val="16"/>
                <w:lang w:val="fr-FR" w:bidi="fr-FR"/>
              </w:rPr>
              <w:t>8.8.</w:t>
            </w:r>
            <w:r w:rsidRPr="00D53BC7">
              <w:rPr>
                <w:sz w:val="16"/>
                <w:lang w:val="fr-FR" w:bidi="fr-FR"/>
              </w:rPr>
              <w:tab/>
              <w:t>Cybersécurité et menaces</w:t>
            </w:r>
          </w:p>
          <w:p w14:paraId="4B194673" w14:textId="77777777" w:rsidR="0089132A" w:rsidRPr="001C09DF" w:rsidRDefault="0089132A" w:rsidP="00E474A7">
            <w:pPr>
              <w:ind w:hanging="360"/>
              <w:rPr>
                <w:rFonts w:eastAsiaTheme="minorEastAsia" w:cstheme="minorHAnsi"/>
                <w:color w:val="000000" w:themeColor="text1"/>
                <w:sz w:val="16"/>
                <w:szCs w:val="16"/>
                <w:lang w:val="fr-FR"/>
              </w:rPr>
            </w:pPr>
            <w:r w:rsidRPr="00D53BC7">
              <w:rPr>
                <w:sz w:val="16"/>
                <w:lang w:val="fr-FR" w:bidi="fr-FR"/>
              </w:rPr>
              <w:t xml:space="preserve"> </w:t>
            </w:r>
          </w:p>
          <w:p w14:paraId="23B090A8" w14:textId="77777777" w:rsidR="0089132A" w:rsidRPr="001C09DF" w:rsidRDefault="0089132A" w:rsidP="00E474A7">
            <w:pPr>
              <w:ind w:hanging="360"/>
              <w:rPr>
                <w:rFonts w:eastAsiaTheme="minorEastAsia" w:cstheme="minorHAnsi"/>
                <w:color w:val="000000" w:themeColor="text1"/>
                <w:sz w:val="16"/>
                <w:szCs w:val="16"/>
                <w:lang w:val="fr-FR"/>
              </w:rPr>
            </w:pPr>
          </w:p>
          <w:p w14:paraId="47AA3F91" w14:textId="77777777" w:rsidR="0089132A" w:rsidRPr="001C09DF" w:rsidRDefault="0089132A" w:rsidP="00E474A7">
            <w:pPr>
              <w:ind w:hanging="360"/>
              <w:rPr>
                <w:rFonts w:eastAsiaTheme="minorEastAsia" w:cstheme="minorHAnsi"/>
                <w:color w:val="000000" w:themeColor="text1"/>
                <w:sz w:val="16"/>
                <w:szCs w:val="16"/>
                <w:lang w:val="fr-FR"/>
              </w:rPr>
            </w:pPr>
          </w:p>
          <w:p w14:paraId="695582E7" w14:textId="77777777" w:rsidR="0089132A" w:rsidRPr="001C09DF" w:rsidRDefault="0089132A" w:rsidP="00E474A7">
            <w:pPr>
              <w:ind w:hanging="360"/>
              <w:rPr>
                <w:rFonts w:eastAsiaTheme="minorEastAsia" w:cstheme="minorHAnsi"/>
                <w:color w:val="000000" w:themeColor="text1"/>
                <w:sz w:val="16"/>
                <w:szCs w:val="16"/>
                <w:lang w:val="fr-FR"/>
              </w:rPr>
            </w:pPr>
          </w:p>
          <w:p w14:paraId="108BC0F8" w14:textId="77777777" w:rsidR="0089132A" w:rsidRPr="001C09DF" w:rsidRDefault="0089132A" w:rsidP="00E474A7">
            <w:pPr>
              <w:ind w:hanging="360"/>
              <w:rPr>
                <w:rFonts w:eastAsiaTheme="minorEastAsia" w:cstheme="minorHAnsi"/>
                <w:color w:val="000000" w:themeColor="text1"/>
                <w:sz w:val="16"/>
                <w:szCs w:val="16"/>
                <w:lang w:val="fr-FR"/>
              </w:rPr>
            </w:pPr>
          </w:p>
          <w:p w14:paraId="5C76B6E5" w14:textId="77777777" w:rsidR="0089132A" w:rsidRPr="001C09DF" w:rsidRDefault="0089132A" w:rsidP="00E474A7">
            <w:pPr>
              <w:ind w:hanging="360"/>
              <w:rPr>
                <w:rFonts w:eastAsiaTheme="minorEastAsia" w:cstheme="minorHAnsi"/>
                <w:color w:val="000000" w:themeColor="text1"/>
                <w:sz w:val="16"/>
                <w:szCs w:val="16"/>
                <w:lang w:val="fr-FR"/>
              </w:rPr>
            </w:pPr>
          </w:p>
          <w:p w14:paraId="51534FFF" w14:textId="77777777" w:rsidR="0089132A" w:rsidRPr="001C09DF" w:rsidRDefault="0089132A" w:rsidP="00E474A7">
            <w:pPr>
              <w:ind w:hanging="360"/>
              <w:rPr>
                <w:rFonts w:eastAsiaTheme="minorEastAsia" w:cstheme="minorHAnsi"/>
                <w:color w:val="000000" w:themeColor="text1"/>
                <w:sz w:val="16"/>
                <w:szCs w:val="16"/>
                <w:lang w:val="fr-FR"/>
              </w:rPr>
            </w:pPr>
          </w:p>
          <w:p w14:paraId="0430DD8E" w14:textId="77777777" w:rsidR="0089132A" w:rsidRPr="001C09DF" w:rsidRDefault="0089132A" w:rsidP="00E474A7">
            <w:pPr>
              <w:ind w:hanging="360"/>
              <w:rPr>
                <w:rFonts w:eastAsiaTheme="minorEastAsia" w:cstheme="minorHAnsi"/>
                <w:color w:val="000000" w:themeColor="text1"/>
                <w:sz w:val="16"/>
                <w:szCs w:val="16"/>
                <w:lang w:val="fr-FR"/>
              </w:rPr>
            </w:pPr>
          </w:p>
          <w:p w14:paraId="61B043FC" w14:textId="77777777" w:rsidR="0089132A" w:rsidRPr="001C09DF" w:rsidRDefault="0089132A" w:rsidP="00E474A7">
            <w:pPr>
              <w:ind w:hanging="360"/>
              <w:rPr>
                <w:rFonts w:eastAsiaTheme="minorEastAsia" w:cstheme="minorHAnsi"/>
                <w:color w:val="000000" w:themeColor="text1"/>
                <w:sz w:val="16"/>
                <w:szCs w:val="16"/>
                <w:lang w:val="fr-FR"/>
              </w:rPr>
            </w:pPr>
          </w:p>
          <w:p w14:paraId="422D0B9D" w14:textId="77777777" w:rsidR="0089132A" w:rsidRPr="001C09DF" w:rsidRDefault="0089132A" w:rsidP="00E474A7">
            <w:pPr>
              <w:ind w:hanging="360"/>
              <w:rPr>
                <w:rFonts w:eastAsiaTheme="minorEastAsia" w:cstheme="minorHAnsi"/>
                <w:color w:val="000000" w:themeColor="text1"/>
                <w:sz w:val="16"/>
                <w:szCs w:val="16"/>
                <w:lang w:val="fr-FR"/>
              </w:rPr>
            </w:pPr>
          </w:p>
          <w:p w14:paraId="5523638B" w14:textId="77777777" w:rsidR="0089132A" w:rsidRPr="001C09DF" w:rsidRDefault="0089132A" w:rsidP="00E474A7">
            <w:pPr>
              <w:ind w:hanging="360"/>
              <w:rPr>
                <w:rFonts w:eastAsiaTheme="minorEastAsia" w:cstheme="minorHAnsi"/>
                <w:color w:val="000000" w:themeColor="text1"/>
                <w:sz w:val="16"/>
                <w:szCs w:val="16"/>
                <w:lang w:val="fr-FR"/>
              </w:rPr>
            </w:pPr>
          </w:p>
          <w:p w14:paraId="49AEBFB6" w14:textId="77777777" w:rsidR="0089132A" w:rsidRPr="001C09DF" w:rsidRDefault="0089132A" w:rsidP="00E474A7">
            <w:pPr>
              <w:ind w:hanging="360"/>
              <w:rPr>
                <w:rFonts w:eastAsiaTheme="minorEastAsia" w:cstheme="minorHAnsi"/>
                <w:color w:val="000000" w:themeColor="text1"/>
                <w:sz w:val="16"/>
                <w:szCs w:val="16"/>
                <w:lang w:val="fr-FR"/>
              </w:rPr>
            </w:pPr>
          </w:p>
          <w:p w14:paraId="4FFD7864" w14:textId="77777777" w:rsidR="0089132A" w:rsidRPr="001C09DF" w:rsidRDefault="0089132A" w:rsidP="00E474A7">
            <w:pPr>
              <w:ind w:hanging="360"/>
              <w:rPr>
                <w:rFonts w:eastAsiaTheme="minorEastAsia" w:cstheme="minorHAnsi"/>
                <w:color w:val="000000" w:themeColor="text1"/>
                <w:sz w:val="16"/>
                <w:szCs w:val="16"/>
                <w:lang w:val="fr-FR"/>
              </w:rPr>
            </w:pPr>
          </w:p>
          <w:p w14:paraId="4A0074E9" w14:textId="77777777" w:rsidR="0089132A" w:rsidRPr="001C09DF" w:rsidRDefault="0089132A" w:rsidP="00E474A7">
            <w:pPr>
              <w:ind w:hanging="360"/>
              <w:rPr>
                <w:rFonts w:eastAsiaTheme="minorEastAsia" w:cstheme="minorHAnsi"/>
                <w:color w:val="000000" w:themeColor="text1"/>
                <w:sz w:val="16"/>
                <w:szCs w:val="16"/>
                <w:lang w:val="fr-FR"/>
              </w:rPr>
            </w:pPr>
          </w:p>
          <w:p w14:paraId="0E91EDA8" w14:textId="77777777" w:rsidR="0089132A" w:rsidRPr="001C09DF" w:rsidRDefault="0089132A" w:rsidP="00E474A7">
            <w:pPr>
              <w:ind w:hanging="360"/>
              <w:rPr>
                <w:rFonts w:eastAsiaTheme="minorEastAsia" w:cstheme="minorHAnsi"/>
                <w:color w:val="000000" w:themeColor="text1"/>
                <w:sz w:val="16"/>
                <w:szCs w:val="16"/>
                <w:lang w:val="fr-FR"/>
              </w:rPr>
            </w:pPr>
          </w:p>
          <w:p w14:paraId="0F5705CC" w14:textId="77777777" w:rsidR="0089132A" w:rsidRPr="001C09DF" w:rsidRDefault="0089132A" w:rsidP="00E474A7">
            <w:pPr>
              <w:ind w:hanging="360"/>
              <w:rPr>
                <w:rFonts w:eastAsiaTheme="minorEastAsia" w:cstheme="minorHAnsi"/>
                <w:color w:val="000000" w:themeColor="text1"/>
                <w:sz w:val="16"/>
                <w:szCs w:val="16"/>
                <w:lang w:val="fr-FR"/>
              </w:rPr>
            </w:pPr>
          </w:p>
          <w:p w14:paraId="18862CB1" w14:textId="77777777" w:rsidR="0089132A" w:rsidRPr="001C09DF" w:rsidRDefault="0089132A" w:rsidP="00E474A7">
            <w:pPr>
              <w:ind w:hanging="360"/>
              <w:rPr>
                <w:rFonts w:eastAsiaTheme="minorEastAsia" w:cstheme="minorHAnsi"/>
                <w:color w:val="000000" w:themeColor="text1"/>
                <w:sz w:val="16"/>
                <w:szCs w:val="16"/>
                <w:lang w:val="fr-FR"/>
              </w:rPr>
            </w:pPr>
          </w:p>
          <w:p w14:paraId="6E6D4403" w14:textId="77777777" w:rsidR="0089132A" w:rsidRPr="001C09DF" w:rsidRDefault="0089132A" w:rsidP="00E474A7">
            <w:pPr>
              <w:ind w:hanging="360"/>
              <w:rPr>
                <w:rFonts w:eastAsiaTheme="minorEastAsia" w:cstheme="minorHAnsi"/>
                <w:color w:val="000000" w:themeColor="text1"/>
                <w:sz w:val="16"/>
                <w:szCs w:val="16"/>
                <w:lang w:val="fr-FR"/>
              </w:rPr>
            </w:pPr>
          </w:p>
          <w:p w14:paraId="70D70C64" w14:textId="77777777" w:rsidR="0089132A" w:rsidRPr="001C09DF" w:rsidRDefault="0089132A" w:rsidP="00E474A7">
            <w:pPr>
              <w:ind w:hanging="360"/>
              <w:rPr>
                <w:rFonts w:eastAsiaTheme="minorEastAsia" w:cstheme="minorHAnsi"/>
                <w:color w:val="000000" w:themeColor="text1"/>
                <w:sz w:val="16"/>
                <w:szCs w:val="16"/>
                <w:lang w:val="fr-FR"/>
              </w:rPr>
            </w:pPr>
          </w:p>
          <w:p w14:paraId="0503485A" w14:textId="77777777" w:rsidR="0089132A" w:rsidRPr="001C09DF" w:rsidRDefault="0089132A" w:rsidP="00E474A7">
            <w:pPr>
              <w:ind w:hanging="360"/>
              <w:rPr>
                <w:rFonts w:eastAsiaTheme="minorEastAsia" w:cstheme="minorHAnsi"/>
                <w:color w:val="000000" w:themeColor="text1"/>
                <w:sz w:val="16"/>
                <w:szCs w:val="16"/>
                <w:lang w:val="fr-FR"/>
              </w:rPr>
            </w:pPr>
          </w:p>
          <w:p w14:paraId="69FB4716" w14:textId="072C3330" w:rsidR="0089132A" w:rsidRPr="001C09DF" w:rsidRDefault="0089132A" w:rsidP="00E474A7">
            <w:pPr>
              <w:ind w:hanging="360"/>
              <w:rPr>
                <w:rFonts w:eastAsiaTheme="minorEastAsia" w:cstheme="minorHAnsi"/>
                <w:i/>
                <w:color w:val="000000" w:themeColor="text1"/>
                <w:sz w:val="16"/>
                <w:szCs w:val="16"/>
                <w:lang w:val="fr-FR"/>
              </w:rPr>
            </w:pPr>
            <w:r w:rsidRPr="00D53BC7">
              <w:rPr>
                <w:sz w:val="16"/>
                <w:lang w:val="fr-FR" w:bidi="fr-FR"/>
              </w:rPr>
              <w:t xml:space="preserve"> </w:t>
            </w:r>
          </w:p>
          <w:p w14:paraId="67E2FF24" w14:textId="77777777" w:rsidR="0089132A" w:rsidRPr="001C09DF" w:rsidRDefault="0089132A" w:rsidP="00E474A7">
            <w:pPr>
              <w:ind w:hanging="360"/>
              <w:rPr>
                <w:rFonts w:eastAsiaTheme="minorEastAsia" w:cstheme="minorHAnsi"/>
                <w:color w:val="000000" w:themeColor="text1"/>
                <w:sz w:val="16"/>
                <w:szCs w:val="16"/>
                <w:lang w:val="fr-FR"/>
              </w:rPr>
            </w:pPr>
          </w:p>
        </w:tc>
      </w:tr>
    </w:tbl>
    <w:p w14:paraId="4F32CFFB" w14:textId="54BD96A3" w:rsidR="0089132A" w:rsidRPr="001C09DF" w:rsidRDefault="0089132A" w:rsidP="00447F1B">
      <w:pPr>
        <w:rPr>
          <w:lang w:val="fr-FR"/>
        </w:rPr>
        <w:sectPr w:rsidR="0089132A" w:rsidRPr="001C09DF" w:rsidSect="001A0160">
          <w:pgSz w:w="15840" w:h="12240" w:orient="landscape"/>
          <w:pgMar w:top="1440" w:right="1440" w:bottom="1440" w:left="1440" w:header="720" w:footer="720" w:gutter="0"/>
          <w:cols w:space="720"/>
          <w:docGrid w:linePitch="360"/>
        </w:sectPr>
      </w:pPr>
    </w:p>
    <w:p w14:paraId="2B9EB9C3" w14:textId="3D0427B6" w:rsidR="00C84DEE" w:rsidRPr="001C09DF" w:rsidRDefault="00C1312D" w:rsidP="00D603FF">
      <w:pPr>
        <w:pStyle w:val="Heading1"/>
        <w:rPr>
          <w:lang w:val="fr-FR"/>
        </w:rPr>
      </w:pPr>
      <w:bookmarkStart w:id="10" w:name="_Toc157419458"/>
      <w:r>
        <w:rPr>
          <w:lang w:val="fr-FR" w:bidi="fr-FR"/>
        </w:rPr>
        <w:lastRenderedPageBreak/>
        <w:t>Annexe 2 : Catégories et niveaux de la déclaration de l</w:t>
      </w:r>
      <w:r w:rsidR="001C09DF">
        <w:rPr>
          <w:lang w:val="fr-FR" w:bidi="fr-FR"/>
        </w:rPr>
        <w:t>’</w:t>
      </w:r>
      <w:r>
        <w:rPr>
          <w:lang w:val="fr-FR" w:bidi="fr-FR"/>
        </w:rPr>
        <w:t>appétit pour le risque</w:t>
      </w:r>
      <w:bookmarkEnd w:id="10"/>
    </w:p>
    <w:p w14:paraId="67BDF1B3" w14:textId="7D0B0617" w:rsidR="00C84DEE" w:rsidRPr="001C09DF" w:rsidRDefault="00C84DEE" w:rsidP="00C84DEE">
      <w:pPr>
        <w:rPr>
          <w:lang w:val="fr-FR"/>
        </w:rPr>
      </w:pPr>
      <w:r>
        <w:rPr>
          <w:lang w:val="fr-FR" w:bidi="fr-FR"/>
        </w:rPr>
        <w:t>La déclaration classe chaque catégorie de risque sur une échelle d</w:t>
      </w:r>
      <w:r w:rsidR="001C09DF">
        <w:rPr>
          <w:lang w:val="fr-FR" w:bidi="fr-FR"/>
        </w:rPr>
        <w:t>’</w:t>
      </w:r>
      <w:r>
        <w:rPr>
          <w:lang w:val="fr-FR" w:bidi="fr-FR"/>
        </w:rPr>
        <w:t>appétit pour le risque allant de « minimum » à « actif ».</w:t>
      </w:r>
    </w:p>
    <w:p w14:paraId="56DE48AF" w14:textId="69149244" w:rsidR="0041558F" w:rsidRPr="001C09DF" w:rsidRDefault="0041558F" w:rsidP="00C84DEE">
      <w:pPr>
        <w:rPr>
          <w:lang w:val="fr-FR"/>
        </w:rPr>
      </w:pPr>
      <w:r>
        <w:rPr>
          <w:noProof/>
          <w:lang w:val="fr-FR" w:bidi="fr-FR"/>
        </w:rPr>
        <mc:AlternateContent>
          <mc:Choice Requires="wpg">
            <w:drawing>
              <wp:anchor distT="0" distB="0" distL="114300" distR="114300" simplePos="0" relativeHeight="251658242" behindDoc="0" locked="0" layoutInCell="1" allowOverlap="1" wp14:anchorId="67C7E80B" wp14:editId="1B9D28E2">
                <wp:simplePos x="0" y="0"/>
                <wp:positionH relativeFrom="margin">
                  <wp:align>left</wp:align>
                </wp:positionH>
                <wp:positionV relativeFrom="paragraph">
                  <wp:posOffset>11430</wp:posOffset>
                </wp:positionV>
                <wp:extent cx="6042660" cy="587375"/>
                <wp:effectExtent l="0" t="19050" r="0" b="0"/>
                <wp:wrapNone/>
                <wp:docPr id="10" name="Group 10"/>
                <wp:cNvGraphicFramePr/>
                <a:graphic xmlns:a="http://schemas.openxmlformats.org/drawingml/2006/main">
                  <a:graphicData uri="http://schemas.microsoft.com/office/word/2010/wordprocessingGroup">
                    <wpg:wgp>
                      <wpg:cNvGrpSpPr/>
                      <wpg:grpSpPr>
                        <a:xfrm>
                          <a:off x="0" y="0"/>
                          <a:ext cx="6042660" cy="587375"/>
                          <a:chOff x="0" y="0"/>
                          <a:chExt cx="6043122" cy="587606"/>
                        </a:xfrm>
                      </wpg:grpSpPr>
                      <wpg:grpSp>
                        <wpg:cNvPr id="12" name="Group 19"/>
                        <wpg:cNvGrpSpPr/>
                        <wpg:grpSpPr>
                          <a:xfrm>
                            <a:off x="91621" y="0"/>
                            <a:ext cx="5805752" cy="585810"/>
                            <a:chOff x="90822" y="0"/>
                            <a:chExt cx="5805752" cy="585810"/>
                          </a:xfrm>
                        </wpg:grpSpPr>
                        <wps:wsp>
                          <wps:cNvPr id="13" name="Arrow: Left-Right 13"/>
                          <wps:cNvSpPr/>
                          <wps:spPr>
                            <a:xfrm>
                              <a:off x="90822" y="0"/>
                              <a:ext cx="5805752" cy="152399"/>
                            </a:xfrm>
                            <a:prstGeom prst="leftRightArrow">
                              <a:avLst/>
                            </a:prstGeom>
                            <a:gradFill flip="none" rotWithShape="1">
                              <a:gsLst>
                                <a:gs pos="67000">
                                  <a:schemeClr val="accent1">
                                    <a:lumMod val="60000"/>
                                    <a:lumOff val="40000"/>
                                  </a:schemeClr>
                                </a:gs>
                                <a:gs pos="33000">
                                  <a:schemeClr val="accent1">
                                    <a:lumMod val="75000"/>
                                  </a:schemeClr>
                                </a:gs>
                                <a:gs pos="0">
                                  <a:schemeClr val="accent1">
                                    <a:lumMod val="50000"/>
                                  </a:schemeClr>
                                </a:gs>
                                <a:gs pos="100000">
                                  <a:schemeClr val="accent1">
                                    <a:lumMod val="40000"/>
                                    <a:lumOff val="60000"/>
                                    <a:shade val="100000"/>
                                    <a:satMod val="115000"/>
                                  </a:schemeClr>
                                </a:gs>
                              </a:gsLst>
                              <a:lin ang="10800000" scaled="1"/>
                              <a:tileRect/>
                            </a:gra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TextBox 21"/>
                          <wps:cNvSpPr txBox="1"/>
                          <wps:spPr>
                            <a:xfrm>
                              <a:off x="4010958" y="225765"/>
                              <a:ext cx="739140" cy="360045"/>
                            </a:xfrm>
                            <a:prstGeom prst="rect">
                              <a:avLst/>
                            </a:prstGeom>
                            <a:noFill/>
                          </wps:spPr>
                          <wps:txbx>
                            <w:txbxContent>
                              <w:p w14:paraId="16D4BD73" w14:textId="77777777" w:rsidR="001703F8" w:rsidRDefault="001703F8" w:rsidP="0041558F">
                                <w:pPr>
                                  <w:jc w:val="center"/>
                                  <w:rPr>
                                    <w:sz w:val="24"/>
                                    <w:szCs w:val="24"/>
                                  </w:rPr>
                                </w:pPr>
                                <w:r>
                                  <w:rPr>
                                    <w:b/>
                                    <w:color w:val="2F5496" w:themeColor="accent1" w:themeShade="BF"/>
                                    <w:kern w:val="24"/>
                                    <w:sz w:val="20"/>
                                    <w:lang w:val="fr-FR" w:bidi="fr-FR"/>
                                  </w:rPr>
                                  <w:t xml:space="preserve">Ouvert </w:t>
                                </w:r>
                              </w:p>
                            </w:txbxContent>
                          </wps:txbx>
                          <wps:bodyPr wrap="square" rtlCol="0">
                            <a:spAutoFit/>
                          </wps:bodyPr>
                        </wps:wsp>
                      </wpg:grpSp>
                      <wps:wsp>
                        <wps:cNvPr id="23" name="TextBox 22">
                          <a:extLst>
                            <a:ext uri="{FF2B5EF4-FFF2-40B4-BE49-F238E27FC236}">
                              <a16:creationId xmlns:a16="http://schemas.microsoft.com/office/drawing/2014/main" id="{75839BE1-89F3-4005-8672-6BEB2EC92904}"/>
                            </a:ext>
                          </a:extLst>
                        </wps:cNvPr>
                        <wps:cNvSpPr txBox="1"/>
                        <wps:spPr>
                          <a:xfrm>
                            <a:off x="0" y="220307"/>
                            <a:ext cx="738505" cy="360045"/>
                          </a:xfrm>
                          <a:prstGeom prst="rect">
                            <a:avLst/>
                          </a:prstGeom>
                          <a:noFill/>
                        </wps:spPr>
                        <wps:txbx>
                          <w:txbxContent>
                            <w:p w14:paraId="6A433645" w14:textId="77777777" w:rsidR="001703F8" w:rsidRDefault="001703F8" w:rsidP="0041558F">
                              <w:pPr>
                                <w:jc w:val="center"/>
                                <w:rPr>
                                  <w:sz w:val="24"/>
                                  <w:szCs w:val="24"/>
                                </w:rPr>
                              </w:pPr>
                              <w:r>
                                <w:rPr>
                                  <w:b/>
                                  <w:color w:val="9FB7E3"/>
                                  <w:kern w:val="24"/>
                                  <w:sz w:val="20"/>
                                  <w:lang w:val="fr-FR" w:bidi="fr-FR"/>
                                </w:rPr>
                                <w:t>Minimum</w:t>
                              </w:r>
                            </w:p>
                          </w:txbxContent>
                        </wps:txbx>
                        <wps:bodyPr wrap="square" rtlCol="0">
                          <a:spAutoFit/>
                        </wps:bodyPr>
                      </wps:wsp>
                      <wps:wsp>
                        <wps:cNvPr id="24" name="TextBox 23">
                          <a:extLst>
                            <a:ext uri="{FF2B5EF4-FFF2-40B4-BE49-F238E27FC236}">
                              <a16:creationId xmlns:a16="http://schemas.microsoft.com/office/drawing/2014/main" id="{E9C02621-456A-45E1-B01A-1BC42098D681}"/>
                            </a:ext>
                          </a:extLst>
                        </wps:cNvPr>
                        <wps:cNvSpPr txBox="1"/>
                        <wps:spPr>
                          <a:xfrm>
                            <a:off x="1175579" y="227561"/>
                            <a:ext cx="739140" cy="360045"/>
                          </a:xfrm>
                          <a:prstGeom prst="rect">
                            <a:avLst/>
                          </a:prstGeom>
                          <a:noFill/>
                        </wps:spPr>
                        <wps:txbx>
                          <w:txbxContent>
                            <w:p w14:paraId="3CF79997" w14:textId="77777777" w:rsidR="001703F8" w:rsidRDefault="001703F8" w:rsidP="0041558F">
                              <w:pPr>
                                <w:jc w:val="center"/>
                                <w:rPr>
                                  <w:sz w:val="24"/>
                                  <w:szCs w:val="24"/>
                                </w:rPr>
                              </w:pPr>
                              <w:r>
                                <w:rPr>
                                  <w:b/>
                                  <w:color w:val="8EAADB" w:themeColor="accent1" w:themeTint="99"/>
                                  <w:kern w:val="24"/>
                                  <w:sz w:val="20"/>
                                  <w:lang w:val="fr-FR" w:bidi="fr-FR"/>
                                </w:rPr>
                                <w:t>Prudent</w:t>
                              </w:r>
                            </w:p>
                          </w:txbxContent>
                        </wps:txbx>
                        <wps:bodyPr wrap="square" rtlCol="0">
                          <a:spAutoFit/>
                        </wps:bodyPr>
                      </wps:wsp>
                      <wps:wsp>
                        <wps:cNvPr id="25" name="TextBox 24">
                          <a:extLst>
                            <a:ext uri="{FF2B5EF4-FFF2-40B4-BE49-F238E27FC236}">
                              <a16:creationId xmlns:a16="http://schemas.microsoft.com/office/drawing/2014/main" id="{7AFF9DC1-10F3-41FC-834E-DCF95F7EB62F}"/>
                            </a:ext>
                          </a:extLst>
                        </wps:cNvPr>
                        <wps:cNvSpPr txBox="1"/>
                        <wps:spPr>
                          <a:xfrm>
                            <a:off x="2380184" y="220348"/>
                            <a:ext cx="1215390" cy="360045"/>
                          </a:xfrm>
                          <a:prstGeom prst="rect">
                            <a:avLst/>
                          </a:prstGeom>
                          <a:noFill/>
                        </wps:spPr>
                        <wps:txbx>
                          <w:txbxContent>
                            <w:p w14:paraId="0AFC02EE" w14:textId="77777777" w:rsidR="001703F8" w:rsidRDefault="001703F8" w:rsidP="0041558F">
                              <w:pPr>
                                <w:jc w:val="center"/>
                                <w:rPr>
                                  <w:sz w:val="24"/>
                                  <w:szCs w:val="24"/>
                                </w:rPr>
                              </w:pPr>
                              <w:r>
                                <w:rPr>
                                  <w:b/>
                                  <w:color w:val="4472C4" w:themeColor="accent1"/>
                                  <w:kern w:val="24"/>
                                  <w:sz w:val="20"/>
                                  <w:lang w:val="fr-FR" w:bidi="fr-FR"/>
                                </w:rPr>
                                <w:t>Exploratoire</w:t>
                              </w:r>
                            </w:p>
                          </w:txbxContent>
                        </wps:txbx>
                        <wps:bodyPr wrap="square" rtlCol="0">
                          <a:spAutoFit/>
                        </wps:bodyPr>
                      </wps:wsp>
                      <wps:wsp>
                        <wps:cNvPr id="26" name="TextBox 25">
                          <a:extLst>
                            <a:ext uri="{FF2B5EF4-FFF2-40B4-BE49-F238E27FC236}">
                              <a16:creationId xmlns:a16="http://schemas.microsoft.com/office/drawing/2014/main" id="{08AB0481-ED8F-4F28-AD27-BFC59A440F5C}"/>
                            </a:ext>
                          </a:extLst>
                        </wps:cNvPr>
                        <wps:cNvSpPr txBox="1"/>
                        <wps:spPr>
                          <a:xfrm>
                            <a:off x="5304617" y="213094"/>
                            <a:ext cx="738505" cy="360045"/>
                          </a:xfrm>
                          <a:prstGeom prst="rect">
                            <a:avLst/>
                          </a:prstGeom>
                          <a:noFill/>
                        </wps:spPr>
                        <wps:txbx>
                          <w:txbxContent>
                            <w:p w14:paraId="5298157E" w14:textId="77777777" w:rsidR="001703F8" w:rsidRDefault="001703F8" w:rsidP="0041558F">
                              <w:pPr>
                                <w:jc w:val="center"/>
                                <w:rPr>
                                  <w:sz w:val="24"/>
                                  <w:szCs w:val="24"/>
                                </w:rPr>
                              </w:pPr>
                              <w:r>
                                <w:rPr>
                                  <w:b/>
                                  <w:color w:val="1F3864" w:themeColor="accent1" w:themeShade="80"/>
                                  <w:kern w:val="24"/>
                                  <w:sz w:val="20"/>
                                  <w:lang w:val="fr-FR" w:bidi="fr-FR"/>
                                </w:rPr>
                                <w:t>Actif</w:t>
                              </w:r>
                            </w:p>
                          </w:txbxContent>
                        </wps:txbx>
                        <wps:bodyPr wrap="square" rtlCol="0">
                          <a:spAutoFit/>
                        </wps:bodyPr>
                      </wps:wsp>
                    </wpg:wgp>
                  </a:graphicData>
                </a:graphic>
              </wp:anchor>
            </w:drawing>
          </mc:Choice>
          <mc:Fallback>
            <w:pict>
              <v:group w14:anchorId="67C7E80B" id="Group 10" o:spid="_x0000_s1026" style="position:absolute;margin-left:0;margin-top:.9pt;width:475.8pt;height:46.25pt;z-index:251658242;mso-position-horizontal:left;mso-position-horizontal-relative:margin" coordsize="60431,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">
                <v:group id="Group 19" o:spid="_x0000_s1027" style="position:absolute;left:916;width:58057;height:5858" coordorigin="908" coordsize="58057,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3" o:spid="_x0000_s1028" type="#_x0000_t69" style="position:absolute;left:908;width:58057;height: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" adj="283" fillcolor="#1f3763 [1604]" strokecolor="#1f3763 [1604]" strokeweight="1pt">
                    <v:fill color2="#b4c6e7 [1300]" rotate="t" angle="270" colors="0 #203864;21627f #2f5597;43909f #8faadc;1 #b0c6eb" focus="100%" type="gradient"/>
                  </v:shape>
                  <v:shapetype id="_x0000_t202" coordsize="21600,21600" o:spt="202" path="m,l,21600r21600,l21600,xe">
                    <v:stroke joinstyle="miter"/>
                    <v:path gradientshapeok="t" o:connecttype="rect"/>
                  </v:shapetype>
                  <v:shape id="TextBox 21" o:spid="_x0000_s1029" type="#_x0000_t202" style="position:absolute;left:40109;top:2257;width:73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6D4BD73" w14:textId="77777777" w:rsidR="001703F8" w:rsidRDefault="001703F8" w:rsidP="0041558F">
                          <w:pPr>
                            <w:jc w:val="center"/>
                            <w:rPr>
                              <w:sz w:val="24"/>
                              <w:szCs w:val="24"/>
                            </w:rPr>
                          </w:pPr>
                          <w:r>
                            <w:rPr>
                              <w:b/>
                              <w:color w:val="2F5496" w:themeColor="accent1" w:themeShade="BF"/>
                              <w:kern w:val="24"/>
                              <w:sz w:val="20"/>
                              <w:lang w:val="fr-FR" w:bidi="fr-FR"/>
                            </w:rPr>
                            <w:t xml:space="preserve">Ouvert </w:t>
                          </w:r>
                        </w:p>
                      </w:txbxContent>
                    </v:textbox>
                  </v:shape>
                </v:group>
                <v:shape id="TextBox 22" o:spid="_x0000_s1030" type="#_x0000_t202" style="position:absolute;top:2203;width:738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14:paraId="6A433645" w14:textId="77777777" w:rsidR="001703F8" w:rsidRDefault="001703F8" w:rsidP="0041558F">
                        <w:pPr>
                          <w:jc w:val="center"/>
                          <w:rPr>
                            <w:sz w:val="24"/>
                            <w:szCs w:val="24"/>
                          </w:rPr>
                        </w:pPr>
                        <w:r>
                          <w:rPr>
                            <w:b/>
                            <w:color w:val="9FB7E3"/>
                            <w:kern w:val="24"/>
                            <w:sz w:val="20"/>
                            <w:lang w:val="fr-FR" w:bidi="fr-FR"/>
                          </w:rPr>
                          <w:t>Minimum</w:t>
                        </w:r>
                      </w:p>
                    </w:txbxContent>
                  </v:textbox>
                </v:shape>
                <v:shape id="TextBox 23" o:spid="_x0000_s1031" type="#_x0000_t202" style="position:absolute;left:11755;top:2275;width:7392;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3CF79997" w14:textId="77777777" w:rsidR="001703F8" w:rsidRDefault="001703F8" w:rsidP="0041558F">
                        <w:pPr>
                          <w:jc w:val="center"/>
                          <w:rPr>
                            <w:sz w:val="24"/>
                            <w:szCs w:val="24"/>
                          </w:rPr>
                        </w:pPr>
                        <w:r>
                          <w:rPr>
                            <w:b/>
                            <w:color w:val="8EAADB" w:themeColor="accent1" w:themeTint="99"/>
                            <w:kern w:val="24"/>
                            <w:sz w:val="20"/>
                            <w:lang w:val="fr-FR" w:bidi="fr-FR"/>
                          </w:rPr>
                          <w:t>Prudent</w:t>
                        </w:r>
                      </w:p>
                    </w:txbxContent>
                  </v:textbox>
                </v:shape>
                <v:shape id="TextBox 24" o:spid="_x0000_s1032" type="#_x0000_t202" style="position:absolute;left:23801;top:2203;width:1215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0AFC02EE" w14:textId="77777777" w:rsidR="001703F8" w:rsidRDefault="001703F8" w:rsidP="0041558F">
                        <w:pPr>
                          <w:jc w:val="center"/>
                          <w:rPr>
                            <w:sz w:val="24"/>
                            <w:szCs w:val="24"/>
                          </w:rPr>
                        </w:pPr>
                        <w:r>
                          <w:rPr>
                            <w:b/>
                            <w:color w:val="4472C4" w:themeColor="accent1"/>
                            <w:kern w:val="24"/>
                            <w:sz w:val="20"/>
                            <w:lang w:val="fr-FR" w:bidi="fr-FR"/>
                          </w:rPr>
                          <w:t>Exploratoire</w:t>
                        </w:r>
                      </w:p>
                    </w:txbxContent>
                  </v:textbox>
                </v:shape>
                <v:shape id="TextBox 25" o:spid="_x0000_s1033" type="#_x0000_t202" style="position:absolute;left:53046;top:2130;width:7385;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5298157E" w14:textId="77777777" w:rsidR="001703F8" w:rsidRDefault="001703F8" w:rsidP="0041558F">
                        <w:pPr>
                          <w:jc w:val="center"/>
                          <w:rPr>
                            <w:sz w:val="24"/>
                            <w:szCs w:val="24"/>
                          </w:rPr>
                        </w:pPr>
                        <w:r>
                          <w:rPr>
                            <w:b/>
                            <w:color w:val="1F3864" w:themeColor="accent1" w:themeShade="80"/>
                            <w:kern w:val="24"/>
                            <w:sz w:val="20"/>
                            <w:lang w:val="fr-FR" w:bidi="fr-FR"/>
                          </w:rPr>
                          <w:t>Actif</w:t>
                        </w:r>
                      </w:p>
                    </w:txbxContent>
                  </v:textbox>
                </v:shape>
                <w10:wrap anchorx="margin"/>
              </v:group>
            </w:pict>
          </mc:Fallback>
        </mc:AlternateContent>
      </w:r>
    </w:p>
    <w:p w14:paraId="20294E65" w14:textId="77777777" w:rsidR="0041558F" w:rsidRPr="001C09DF" w:rsidRDefault="0041558F" w:rsidP="00C84DEE">
      <w:pPr>
        <w:rPr>
          <w:lang w:val="fr-FR"/>
        </w:rPr>
      </w:pPr>
    </w:p>
    <w:p w14:paraId="7CEE3E5C" w14:textId="782E478B" w:rsidR="00C84DEE" w:rsidRPr="001C09DF" w:rsidRDefault="00C84DEE" w:rsidP="00C84DEE">
      <w:pPr>
        <w:pStyle w:val="ListParagraph"/>
        <w:numPr>
          <w:ilvl w:val="0"/>
          <w:numId w:val="12"/>
        </w:numPr>
        <w:rPr>
          <w:lang w:val="fr-FR"/>
        </w:rPr>
      </w:pPr>
      <w:r>
        <w:rPr>
          <w:b/>
          <w:lang w:val="fr-FR" w:bidi="fr-FR"/>
        </w:rPr>
        <w:t xml:space="preserve">Appétit pour le risque minimum </w:t>
      </w:r>
      <w:r>
        <w:rPr>
          <w:lang w:val="fr-FR" w:bidi="fr-FR"/>
        </w:rPr>
        <w:t>– domaines dans lesquels le PNUD applique des contrôles stricts afin de réduire ou de minimiser la probabilité qu</w:t>
      </w:r>
      <w:r w:rsidR="001C09DF">
        <w:rPr>
          <w:lang w:val="fr-FR" w:bidi="fr-FR"/>
        </w:rPr>
        <w:t>’</w:t>
      </w:r>
      <w:r>
        <w:rPr>
          <w:lang w:val="fr-FR" w:bidi="fr-FR"/>
        </w:rPr>
        <w:t>un risque se concrétise et/ou de réduire l</w:t>
      </w:r>
      <w:r w:rsidR="001C09DF">
        <w:rPr>
          <w:lang w:val="fr-FR" w:bidi="fr-FR"/>
        </w:rPr>
        <w:t>’</w:t>
      </w:r>
      <w:r>
        <w:rPr>
          <w:lang w:val="fr-FR" w:bidi="fr-FR"/>
        </w:rPr>
        <w:t>impact de tout risque.</w:t>
      </w:r>
    </w:p>
    <w:p w14:paraId="5ADB438F" w14:textId="02518BEB" w:rsidR="00C84DEE" w:rsidRPr="001C09DF" w:rsidRDefault="00C84DEE" w:rsidP="00C84DEE">
      <w:pPr>
        <w:pStyle w:val="ListParagraph"/>
        <w:numPr>
          <w:ilvl w:val="0"/>
          <w:numId w:val="12"/>
        </w:numPr>
        <w:rPr>
          <w:lang w:val="fr-FR"/>
        </w:rPr>
      </w:pPr>
      <w:r>
        <w:rPr>
          <w:b/>
          <w:lang w:val="fr-FR" w:bidi="fr-FR"/>
        </w:rPr>
        <w:t>Appétit pour le risque prudent</w:t>
      </w:r>
      <w:r>
        <w:rPr>
          <w:lang w:val="fr-FR" w:bidi="fr-FR"/>
        </w:rPr>
        <w:t xml:space="preserve"> – domaines dans lesquels le PNUD recherche des possibilités d</w:t>
      </w:r>
      <w:r w:rsidR="001C09DF">
        <w:rPr>
          <w:lang w:val="fr-FR" w:bidi="fr-FR"/>
        </w:rPr>
        <w:t>’</w:t>
      </w:r>
      <w:r>
        <w:rPr>
          <w:lang w:val="fr-FR" w:bidi="fr-FR"/>
        </w:rPr>
        <w:t>exécution faiblement risquées et ne teste d</w:t>
      </w:r>
      <w:r w:rsidR="001C09DF">
        <w:rPr>
          <w:lang w:val="fr-FR" w:bidi="fr-FR"/>
        </w:rPr>
        <w:t>’</w:t>
      </w:r>
      <w:r>
        <w:rPr>
          <w:lang w:val="fr-FR" w:bidi="fr-FR"/>
        </w:rPr>
        <w:t>innovations que dans un environnement contrôlé.</w:t>
      </w:r>
    </w:p>
    <w:p w14:paraId="28BBB3C5" w14:textId="54F9045B" w:rsidR="00C84DEE" w:rsidRPr="001C09DF" w:rsidRDefault="00C84DEE" w:rsidP="00C84DEE">
      <w:pPr>
        <w:pStyle w:val="ListParagraph"/>
        <w:numPr>
          <w:ilvl w:val="0"/>
          <w:numId w:val="12"/>
        </w:numPr>
        <w:rPr>
          <w:lang w:val="fr-FR"/>
        </w:rPr>
      </w:pPr>
      <w:r>
        <w:rPr>
          <w:b/>
          <w:lang w:val="fr-FR" w:bidi="fr-FR"/>
        </w:rPr>
        <w:t>Appétit pour le risque exploratoire</w:t>
      </w:r>
      <w:r>
        <w:rPr>
          <w:lang w:val="fr-FR" w:bidi="fr-FR"/>
        </w:rPr>
        <w:t xml:space="preserve"> – domaines dans lesquels le PNUD recherche un équilibre entre les avantages potentiels et les coûts inhérents à une décision, et envisage de nouvelles solutions et options d</w:t>
      </w:r>
      <w:r w:rsidR="001C09DF">
        <w:rPr>
          <w:lang w:val="fr-FR" w:bidi="fr-FR"/>
        </w:rPr>
        <w:t>’</w:t>
      </w:r>
      <w:r>
        <w:rPr>
          <w:lang w:val="fr-FR" w:bidi="fr-FR"/>
        </w:rPr>
        <w:t>exécution.</w:t>
      </w:r>
    </w:p>
    <w:p w14:paraId="43EC58D8" w14:textId="6FBF616E" w:rsidR="00C84DEE" w:rsidRDefault="00C84DEE" w:rsidP="00C84DEE">
      <w:pPr>
        <w:pStyle w:val="ListParagraph"/>
        <w:numPr>
          <w:ilvl w:val="0"/>
          <w:numId w:val="12"/>
        </w:numPr>
      </w:pPr>
      <w:r>
        <w:rPr>
          <w:b/>
          <w:lang w:val="fr-FR" w:bidi="fr-FR"/>
        </w:rPr>
        <w:t>Appétit pour le risque ouvert</w:t>
      </w:r>
      <w:r>
        <w:rPr>
          <w:lang w:val="fr-FR" w:bidi="fr-FR"/>
        </w:rPr>
        <w:t xml:space="preserve"> – domaines dans lesquels le PNUD a déterminé que les avantages potentiels prévalent sur les risques et qu</w:t>
      </w:r>
      <w:r w:rsidR="001C09DF">
        <w:rPr>
          <w:lang w:val="fr-FR" w:bidi="fr-FR"/>
        </w:rPr>
        <w:t>’</w:t>
      </w:r>
      <w:r>
        <w:rPr>
          <w:lang w:val="fr-FR" w:bidi="fr-FR"/>
        </w:rPr>
        <w:t>il est possible de prendre un risque éclairé. Toutes les possibilités envisageables sont prises en compte.</w:t>
      </w:r>
    </w:p>
    <w:p w14:paraId="73ED1D26" w14:textId="0354914F" w:rsidR="00C1312D" w:rsidRPr="001C09DF" w:rsidRDefault="00C84DEE" w:rsidP="00D603FF">
      <w:pPr>
        <w:pStyle w:val="ListParagraph"/>
        <w:numPr>
          <w:ilvl w:val="0"/>
          <w:numId w:val="12"/>
        </w:numPr>
        <w:rPr>
          <w:lang w:val="fr-FR"/>
        </w:rPr>
      </w:pPr>
      <w:r>
        <w:rPr>
          <w:b/>
          <w:lang w:val="fr-FR" w:bidi="fr-FR"/>
        </w:rPr>
        <w:t>Appétit pour le risque actif</w:t>
      </w:r>
      <w:r>
        <w:rPr>
          <w:lang w:val="fr-FR" w:bidi="fr-FR"/>
        </w:rPr>
        <w:t xml:space="preserve"> – domaines dans lesquels le PNUD prend des risques pour explorer de nouvelles idées et approches, en recherchant l</w:t>
      </w:r>
      <w:r w:rsidR="001C09DF">
        <w:rPr>
          <w:lang w:val="fr-FR" w:bidi="fr-FR"/>
        </w:rPr>
        <w:t>’</w:t>
      </w:r>
      <w:r>
        <w:rPr>
          <w:lang w:val="fr-FR" w:bidi="fr-FR"/>
        </w:rPr>
        <w:t>innovation et en reconnaissant que les échecs constituent une opportunité d</w:t>
      </w:r>
      <w:r w:rsidR="001C09DF">
        <w:rPr>
          <w:lang w:val="fr-FR" w:bidi="fr-FR"/>
        </w:rPr>
        <w:t>’</w:t>
      </w:r>
      <w:r>
        <w:rPr>
          <w:lang w:val="fr-FR" w:bidi="fr-FR"/>
        </w:rPr>
        <w:t>apprentissage et d</w:t>
      </w:r>
      <w:r w:rsidR="001C09DF">
        <w:rPr>
          <w:lang w:val="fr-FR" w:bidi="fr-FR"/>
        </w:rPr>
        <w:t>’</w:t>
      </w:r>
      <w:r>
        <w:rPr>
          <w:lang w:val="fr-FR" w:bidi="fr-FR"/>
        </w:rPr>
        <w:t>amélioration.</w:t>
      </w:r>
    </w:p>
    <w:tbl>
      <w:tblPr>
        <w:tblStyle w:val="ListTable3"/>
        <w:tblW w:w="0" w:type="auto"/>
        <w:tblLook w:val="04A0" w:firstRow="1" w:lastRow="0" w:firstColumn="1" w:lastColumn="0" w:noHBand="0" w:noVBand="1"/>
      </w:tblPr>
      <w:tblGrid>
        <w:gridCol w:w="7717"/>
        <w:gridCol w:w="1633"/>
      </w:tblGrid>
      <w:tr w:rsidR="0041558F" w:rsidRPr="00B53004" w14:paraId="14AA4598" w14:textId="77777777" w:rsidTr="001703F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00A9D8FE" w14:textId="77777777" w:rsidR="0041558F" w:rsidRDefault="0041558F" w:rsidP="001703F8">
            <w:r>
              <w:rPr>
                <w:lang w:val="fr-FR" w:bidi="fr-FR"/>
              </w:rPr>
              <w:t>Catégorie de risque</w:t>
            </w:r>
          </w:p>
        </w:tc>
        <w:tc>
          <w:tcPr>
            <w:tcW w:w="0" w:type="auto"/>
          </w:tcPr>
          <w:p w14:paraId="0EF629B2" w14:textId="77777777" w:rsidR="0041558F" w:rsidRPr="001C09DF" w:rsidRDefault="0041558F" w:rsidP="001703F8">
            <w:pPr>
              <w:cnfStyle w:val="100000000000" w:firstRow="1" w:lastRow="0" w:firstColumn="0" w:lastColumn="0" w:oddVBand="0" w:evenVBand="0" w:oddHBand="0" w:evenHBand="0" w:firstRowFirstColumn="0" w:firstRowLastColumn="0" w:lastRowFirstColumn="0" w:lastRowLastColumn="0"/>
              <w:rPr>
                <w:lang w:val="fr-FR"/>
              </w:rPr>
            </w:pPr>
            <w:r>
              <w:rPr>
                <w:lang w:val="fr-FR" w:bidi="fr-FR"/>
              </w:rPr>
              <w:t>Appétit global pour le risque</w:t>
            </w:r>
          </w:p>
        </w:tc>
      </w:tr>
      <w:tr w:rsidR="00E25098" w:rsidRPr="00CA19B6" w14:paraId="1E7F87C1" w14:textId="77777777" w:rsidTr="00E47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D2E52C" w14:textId="77777777" w:rsidR="00E25098" w:rsidRPr="001C09DF" w:rsidRDefault="00E25098" w:rsidP="00E474A7">
            <w:pPr>
              <w:rPr>
                <w:b w:val="0"/>
                <w:bCs w:val="0"/>
                <w:lang w:val="fr-FR"/>
              </w:rPr>
            </w:pPr>
            <w:r>
              <w:rPr>
                <w:lang w:val="fr-FR" w:bidi="fr-FR"/>
              </w:rPr>
              <w:t>Risque social et environnemental</w:t>
            </w:r>
          </w:p>
          <w:p w14:paraId="02AE85FB" w14:textId="2C43A40A" w:rsidR="00E25098" w:rsidRPr="001C09DF" w:rsidRDefault="00E25098" w:rsidP="00E474A7">
            <w:pPr>
              <w:rPr>
                <w:b w:val="0"/>
                <w:bCs w:val="0"/>
                <w:lang w:val="fr-FR"/>
              </w:rPr>
            </w:pPr>
            <w:r>
              <w:rPr>
                <w:b w:val="0"/>
                <w:lang w:val="fr-FR" w:bidi="fr-FR"/>
              </w:rPr>
              <w:t>Le PNUD conçoit l</w:t>
            </w:r>
            <w:r w:rsidR="001C09DF">
              <w:rPr>
                <w:b w:val="0"/>
                <w:lang w:val="fr-FR" w:bidi="fr-FR"/>
              </w:rPr>
              <w:t>’</w:t>
            </w:r>
            <w:r>
              <w:rPr>
                <w:b w:val="0"/>
                <w:lang w:val="fr-FR" w:bidi="fr-FR"/>
              </w:rPr>
              <w:t>ensemble de ses activités liées aux projets et aux programmes en veillant à ce qu</w:t>
            </w:r>
            <w:r w:rsidR="001C09DF">
              <w:rPr>
                <w:b w:val="0"/>
                <w:lang w:val="fr-FR" w:bidi="fr-FR"/>
              </w:rPr>
              <w:t>’</w:t>
            </w:r>
            <w:r>
              <w:rPr>
                <w:b w:val="0"/>
                <w:lang w:val="fr-FR" w:bidi="fr-FR"/>
              </w:rPr>
              <w:t>elles protègent les personnes qu</w:t>
            </w:r>
            <w:r w:rsidR="001C09DF">
              <w:rPr>
                <w:b w:val="0"/>
                <w:lang w:val="fr-FR" w:bidi="fr-FR"/>
              </w:rPr>
              <w:t>’</w:t>
            </w:r>
            <w:r>
              <w:rPr>
                <w:b w:val="0"/>
                <w:lang w:val="fr-FR" w:bidi="fr-FR"/>
              </w:rPr>
              <w:t>elles concernent et qu</w:t>
            </w:r>
            <w:r w:rsidR="001C09DF">
              <w:rPr>
                <w:b w:val="0"/>
                <w:lang w:val="fr-FR" w:bidi="fr-FR"/>
              </w:rPr>
              <w:t>’</w:t>
            </w:r>
            <w:r>
              <w:rPr>
                <w:b w:val="0"/>
                <w:lang w:val="fr-FR" w:bidi="fr-FR"/>
              </w:rPr>
              <w:t>elles respectent le principe de ne pas nuire, du point de vue social comme environnemental, en adoptant en toutes circonstances un comportement éthique.</w:t>
            </w:r>
          </w:p>
          <w:p w14:paraId="7C569C1C" w14:textId="59ADC45B" w:rsidR="00E25098" w:rsidRPr="001C09DF" w:rsidRDefault="00E25098" w:rsidP="00E474A7">
            <w:pPr>
              <w:rPr>
                <w:lang w:val="fr-FR"/>
              </w:rPr>
            </w:pPr>
            <w:r>
              <w:rPr>
                <w:b w:val="0"/>
                <w:lang w:val="fr-FR" w:bidi="fr-FR"/>
              </w:rPr>
              <w:t xml:space="preserve"> Il met en place des mesures qui favorisent le dialogue avec les groupes défavorisés et ne tolère aucune forme de discrimination ou de harcèlement. Le PNUD atténuera ces risques en s</w:t>
            </w:r>
            <w:r w:rsidR="001C09DF">
              <w:rPr>
                <w:b w:val="0"/>
                <w:lang w:val="fr-FR" w:bidi="fr-FR"/>
              </w:rPr>
              <w:t>’</w:t>
            </w:r>
            <w:r>
              <w:rPr>
                <w:b w:val="0"/>
                <w:lang w:val="fr-FR" w:bidi="fr-FR"/>
              </w:rPr>
              <w:t>assurant que son personnel et ses partenaires ont conscience des contrôles qui doivent être mis en œuvre pour protéger les personnes et l</w:t>
            </w:r>
            <w:r w:rsidR="001C09DF">
              <w:rPr>
                <w:b w:val="0"/>
                <w:lang w:val="fr-FR" w:bidi="fr-FR"/>
              </w:rPr>
              <w:t>’</w:t>
            </w:r>
            <w:r>
              <w:rPr>
                <w:b w:val="0"/>
                <w:lang w:val="fr-FR" w:bidi="fr-FR"/>
              </w:rPr>
              <w:t>environnement, et pour garantir l</w:t>
            </w:r>
            <w:r w:rsidR="001C09DF">
              <w:rPr>
                <w:b w:val="0"/>
                <w:lang w:val="fr-FR" w:bidi="fr-FR"/>
              </w:rPr>
              <w:t>’</w:t>
            </w:r>
            <w:r>
              <w:rPr>
                <w:b w:val="0"/>
                <w:lang w:val="fr-FR" w:bidi="fr-FR"/>
              </w:rPr>
              <w:t xml:space="preserve">application du principe de ne pas nuire. </w:t>
            </w:r>
          </w:p>
          <w:p w14:paraId="21AFEBA4" w14:textId="77777777" w:rsidR="00E25098" w:rsidRPr="001C09DF" w:rsidRDefault="00E25098" w:rsidP="00E474A7">
            <w:pPr>
              <w:rPr>
                <w:lang w:val="fr-FR"/>
              </w:rPr>
            </w:pPr>
            <w:r w:rsidRPr="002D751E">
              <w:rPr>
                <w:noProof/>
                <w:lang w:val="fr-FR" w:bidi="fr-FR"/>
              </w:rPr>
              <w:drawing>
                <wp:anchor distT="0" distB="0" distL="114300" distR="114300" simplePos="0" relativeHeight="251658243" behindDoc="0" locked="0" layoutInCell="1" allowOverlap="1" wp14:anchorId="1D87BAA0" wp14:editId="7B0F58D9">
                  <wp:simplePos x="0" y="0"/>
                  <wp:positionH relativeFrom="column">
                    <wp:posOffset>-6350</wp:posOffset>
                  </wp:positionH>
                  <wp:positionV relativeFrom="paragraph">
                    <wp:posOffset>5080</wp:posOffset>
                  </wp:positionV>
                  <wp:extent cx="5774271" cy="603504"/>
                  <wp:effectExtent l="0" t="0" r="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74EFBABB" w14:textId="77777777" w:rsidR="00E25098" w:rsidRPr="001C09DF" w:rsidRDefault="00E25098" w:rsidP="00E474A7">
            <w:pPr>
              <w:rPr>
                <w:lang w:val="fr-FR"/>
              </w:rPr>
            </w:pPr>
          </w:p>
          <w:p w14:paraId="2BDB9511" w14:textId="77777777" w:rsidR="00E25098" w:rsidRPr="001C09DF" w:rsidRDefault="00E25098" w:rsidP="00E474A7">
            <w:pPr>
              <w:rPr>
                <w:lang w:val="fr-FR"/>
              </w:rPr>
            </w:pPr>
          </w:p>
          <w:p w14:paraId="21F26DD7" w14:textId="77777777" w:rsidR="00E25098" w:rsidRPr="001C09DF" w:rsidRDefault="00E25098" w:rsidP="00E474A7">
            <w:pPr>
              <w:rPr>
                <w:b w:val="0"/>
                <w:bCs w:val="0"/>
                <w:lang w:val="fr-FR"/>
              </w:rPr>
            </w:pPr>
          </w:p>
        </w:tc>
        <w:tc>
          <w:tcPr>
            <w:tcW w:w="0" w:type="auto"/>
          </w:tcPr>
          <w:p w14:paraId="6C6CA193" w14:textId="77777777" w:rsidR="00E25098" w:rsidRPr="00CA19B6" w:rsidRDefault="00E25098" w:rsidP="00E474A7">
            <w:pPr>
              <w:cnfStyle w:val="000000100000" w:firstRow="0" w:lastRow="0" w:firstColumn="0" w:lastColumn="0" w:oddVBand="0" w:evenVBand="0" w:oddHBand="1" w:evenHBand="0" w:firstRowFirstColumn="0" w:firstRowLastColumn="0" w:lastRowFirstColumn="0" w:lastRowLastColumn="0"/>
              <w:rPr>
                <w:b/>
                <w:bCs/>
              </w:rPr>
            </w:pPr>
            <w:r w:rsidRPr="00CA19B6">
              <w:rPr>
                <w:b/>
                <w:lang w:val="fr-FR" w:bidi="fr-FR"/>
              </w:rPr>
              <w:t xml:space="preserve">Prudent </w:t>
            </w:r>
          </w:p>
        </w:tc>
      </w:tr>
      <w:tr w:rsidR="002730F0" w:rsidRPr="00CA19B6" w14:paraId="76DC7ADE" w14:textId="77777777" w:rsidTr="00E474A7">
        <w:tc>
          <w:tcPr>
            <w:cnfStyle w:val="001000000000" w:firstRow="0" w:lastRow="0" w:firstColumn="1" w:lastColumn="0" w:oddVBand="0" w:evenVBand="0" w:oddHBand="0" w:evenHBand="0" w:firstRowFirstColumn="0" w:firstRowLastColumn="0" w:lastRowFirstColumn="0" w:lastRowLastColumn="0"/>
            <w:tcW w:w="0" w:type="auto"/>
          </w:tcPr>
          <w:p w14:paraId="58C6303C" w14:textId="77777777" w:rsidR="002730F0" w:rsidRPr="001C09DF" w:rsidRDefault="002730F0" w:rsidP="00E474A7">
            <w:pPr>
              <w:rPr>
                <w:b w:val="0"/>
                <w:bCs w:val="0"/>
                <w:lang w:val="fr-FR"/>
              </w:rPr>
            </w:pPr>
            <w:r>
              <w:rPr>
                <w:lang w:val="fr-FR" w:bidi="fr-FR"/>
              </w:rPr>
              <w:t xml:space="preserve">Risque financier </w:t>
            </w:r>
          </w:p>
          <w:p w14:paraId="4635496F" w14:textId="6E421940" w:rsidR="002730F0" w:rsidRPr="001C09DF" w:rsidRDefault="002730F0" w:rsidP="00E474A7">
            <w:pPr>
              <w:rPr>
                <w:lang w:val="fr-FR"/>
              </w:rPr>
            </w:pPr>
            <w:r w:rsidRPr="0022322F">
              <w:rPr>
                <w:b w:val="0"/>
                <w:lang w:val="fr-FR" w:bidi="fr-FR"/>
              </w:rPr>
              <w:t>Le PNUD cherche à gérer ses ressources financières de manière efficace afin d</w:t>
            </w:r>
            <w:r w:rsidR="001C09DF">
              <w:rPr>
                <w:b w:val="0"/>
                <w:lang w:val="fr-FR" w:bidi="fr-FR"/>
              </w:rPr>
              <w:t>’</w:t>
            </w:r>
            <w:r w:rsidRPr="0022322F">
              <w:rPr>
                <w:b w:val="0"/>
                <w:lang w:val="fr-FR" w:bidi="fr-FR"/>
              </w:rPr>
              <w:t>atteindre ses objectifs dans le respect des délais convenus, tout en assurant la durabilité et la stabilité de l</w:t>
            </w:r>
            <w:r w:rsidR="001C09DF">
              <w:rPr>
                <w:b w:val="0"/>
                <w:lang w:val="fr-FR" w:bidi="fr-FR"/>
              </w:rPr>
              <w:t>’</w:t>
            </w:r>
            <w:r w:rsidRPr="0022322F">
              <w:rPr>
                <w:b w:val="0"/>
                <w:lang w:val="fr-FR" w:bidi="fr-FR"/>
              </w:rPr>
              <w:t xml:space="preserve">organisation, en minimisant la fraude et en préservant les actifs. Il accepte un certain degré de flexibilité financière dans la réalisation de </w:t>
            </w:r>
            <w:r w:rsidRPr="0022322F">
              <w:rPr>
                <w:b w:val="0"/>
                <w:lang w:val="fr-FR" w:bidi="fr-FR"/>
              </w:rPr>
              <w:lastRenderedPageBreak/>
              <w:t>ses objectifs et lors de la mise en œuvre d</w:t>
            </w:r>
            <w:r w:rsidR="001C09DF">
              <w:rPr>
                <w:b w:val="0"/>
                <w:lang w:val="fr-FR" w:bidi="fr-FR"/>
              </w:rPr>
              <w:t>’</w:t>
            </w:r>
            <w:r w:rsidRPr="0022322F">
              <w:rPr>
                <w:b w:val="0"/>
                <w:lang w:val="fr-FR" w:bidi="fr-FR"/>
              </w:rPr>
              <w:t>activités soutenues par des fonds de développement, mais jamais d</w:t>
            </w:r>
            <w:r w:rsidR="001C09DF">
              <w:rPr>
                <w:b w:val="0"/>
                <w:lang w:val="fr-FR" w:bidi="fr-FR"/>
              </w:rPr>
              <w:t>’</w:t>
            </w:r>
            <w:r w:rsidRPr="0022322F">
              <w:rPr>
                <w:b w:val="0"/>
                <w:lang w:val="fr-FR" w:bidi="fr-FR"/>
              </w:rPr>
              <w:t>une manière qui menace ses activités principales, et sans s</w:t>
            </w:r>
            <w:r w:rsidR="001C09DF">
              <w:rPr>
                <w:b w:val="0"/>
                <w:lang w:val="fr-FR" w:bidi="fr-FR"/>
              </w:rPr>
              <w:t>’</w:t>
            </w:r>
            <w:r w:rsidRPr="0022322F">
              <w:rPr>
                <w:b w:val="0"/>
                <w:lang w:val="fr-FR" w:bidi="fr-FR"/>
              </w:rPr>
              <w:t>écarter des cibles du Plan stratégique. Le PNUD fait preuve de transparence dans toutes ses actions et préserve ses fonds du risque de fraude.</w:t>
            </w:r>
          </w:p>
          <w:p w14:paraId="054F06C9" w14:textId="77777777" w:rsidR="002730F0" w:rsidRPr="001C09DF" w:rsidRDefault="002730F0" w:rsidP="00E474A7">
            <w:pPr>
              <w:rPr>
                <w:lang w:val="fr-FR"/>
              </w:rPr>
            </w:pPr>
            <w:r w:rsidRPr="00407622">
              <w:rPr>
                <w:noProof/>
                <w:lang w:val="fr-FR" w:bidi="fr-FR"/>
              </w:rPr>
              <w:drawing>
                <wp:anchor distT="0" distB="0" distL="114300" distR="114300" simplePos="0" relativeHeight="251658244" behindDoc="0" locked="0" layoutInCell="1" allowOverlap="1" wp14:anchorId="036290EF" wp14:editId="775EE515">
                  <wp:simplePos x="0" y="0"/>
                  <wp:positionH relativeFrom="column">
                    <wp:posOffset>635</wp:posOffset>
                  </wp:positionH>
                  <wp:positionV relativeFrom="paragraph">
                    <wp:posOffset>-3175</wp:posOffset>
                  </wp:positionV>
                  <wp:extent cx="5774809" cy="621792"/>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74809" cy="621792"/>
                          </a:xfrm>
                          <a:prstGeom prst="rect">
                            <a:avLst/>
                          </a:prstGeom>
                        </pic:spPr>
                      </pic:pic>
                    </a:graphicData>
                  </a:graphic>
                  <wp14:sizeRelH relativeFrom="margin">
                    <wp14:pctWidth>0</wp14:pctWidth>
                  </wp14:sizeRelH>
                  <wp14:sizeRelV relativeFrom="margin">
                    <wp14:pctHeight>0</wp14:pctHeight>
                  </wp14:sizeRelV>
                </wp:anchor>
              </w:drawing>
            </w:r>
          </w:p>
          <w:p w14:paraId="43C4103B" w14:textId="77777777" w:rsidR="002730F0" w:rsidRPr="001C09DF" w:rsidRDefault="002730F0" w:rsidP="00E474A7">
            <w:pPr>
              <w:rPr>
                <w:lang w:val="fr-FR"/>
              </w:rPr>
            </w:pPr>
          </w:p>
          <w:p w14:paraId="53AF7EA6" w14:textId="77777777" w:rsidR="002730F0" w:rsidRPr="001C09DF" w:rsidRDefault="002730F0" w:rsidP="00E474A7">
            <w:pPr>
              <w:rPr>
                <w:lang w:val="fr-FR"/>
              </w:rPr>
            </w:pPr>
          </w:p>
          <w:p w14:paraId="0E9A90A2" w14:textId="77777777" w:rsidR="002730F0" w:rsidRPr="001C09DF" w:rsidRDefault="002730F0" w:rsidP="00E474A7">
            <w:pPr>
              <w:rPr>
                <w:b w:val="0"/>
                <w:bCs w:val="0"/>
                <w:lang w:val="fr-FR"/>
              </w:rPr>
            </w:pPr>
          </w:p>
        </w:tc>
        <w:tc>
          <w:tcPr>
            <w:tcW w:w="0" w:type="auto"/>
          </w:tcPr>
          <w:p w14:paraId="5AAB40A9" w14:textId="77777777" w:rsidR="002730F0" w:rsidRPr="00CA19B6" w:rsidRDefault="002730F0" w:rsidP="00E474A7">
            <w:pPr>
              <w:cnfStyle w:val="000000000000" w:firstRow="0" w:lastRow="0" w:firstColumn="0" w:lastColumn="0" w:oddVBand="0" w:evenVBand="0" w:oddHBand="0" w:evenHBand="0" w:firstRowFirstColumn="0" w:firstRowLastColumn="0" w:lastRowFirstColumn="0" w:lastRowLastColumn="0"/>
              <w:rPr>
                <w:b/>
                <w:bCs/>
              </w:rPr>
            </w:pPr>
            <w:r w:rsidRPr="00CA19B6">
              <w:rPr>
                <w:b/>
                <w:lang w:val="fr-FR" w:bidi="fr-FR"/>
              </w:rPr>
              <w:lastRenderedPageBreak/>
              <w:t xml:space="preserve">Minimum à prudent </w:t>
            </w:r>
          </w:p>
        </w:tc>
      </w:tr>
      <w:tr w:rsidR="002730F0" w:rsidRPr="00871D0E" w14:paraId="5A9AB7D6" w14:textId="77777777" w:rsidTr="00E474A7">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0" w:type="auto"/>
          </w:tcPr>
          <w:p w14:paraId="3E5A5500" w14:textId="77777777" w:rsidR="002730F0" w:rsidRPr="001C09DF" w:rsidRDefault="002730F0" w:rsidP="00E474A7">
            <w:pPr>
              <w:rPr>
                <w:b w:val="0"/>
                <w:bCs w:val="0"/>
                <w:lang w:val="fr-FR"/>
              </w:rPr>
            </w:pPr>
            <w:r>
              <w:rPr>
                <w:lang w:val="fr-FR" w:bidi="fr-FR"/>
              </w:rPr>
              <w:t>Risque opérationnel</w:t>
            </w:r>
          </w:p>
          <w:p w14:paraId="2A7BC5DB" w14:textId="5F1BCAA8" w:rsidR="002730F0" w:rsidRDefault="002730F0" w:rsidP="00E474A7">
            <w:r>
              <w:rPr>
                <w:b w:val="0"/>
                <w:lang w:val="fr-FR" w:bidi="fr-FR"/>
              </w:rPr>
              <w:t>Le PNUD encourage une exécution et une qualité opérationnelles variables afin de se donner la possibilité d</w:t>
            </w:r>
            <w:r w:rsidR="001C09DF">
              <w:rPr>
                <w:b w:val="0"/>
                <w:lang w:val="fr-FR" w:bidi="fr-FR"/>
              </w:rPr>
              <w:t>’</w:t>
            </w:r>
            <w:r>
              <w:rPr>
                <w:b w:val="0"/>
                <w:lang w:val="fr-FR" w:bidi="fr-FR"/>
              </w:rPr>
              <w:t>évaluer des approches innovantes et de collaborer avec de nouveaux partenaires, à condition que cela ne mette pas en péril la confiance des parties prenantes. Le PNUD continue de recourir à des outils opérationnels, des méthodes d</w:t>
            </w:r>
            <w:r w:rsidR="001C09DF">
              <w:rPr>
                <w:b w:val="0"/>
                <w:lang w:val="fr-FR" w:bidi="fr-FR"/>
              </w:rPr>
              <w:t>’</w:t>
            </w:r>
            <w:r>
              <w:rPr>
                <w:b w:val="0"/>
                <w:lang w:val="fr-FR" w:bidi="fr-FR"/>
              </w:rPr>
              <w:t>achats, des procédures et des mécanismes nouveaux et innovants afin de renforcer les processus d</w:t>
            </w:r>
            <w:r w:rsidR="001C09DF">
              <w:rPr>
                <w:b w:val="0"/>
                <w:lang w:val="fr-FR" w:bidi="fr-FR"/>
              </w:rPr>
              <w:t>’</w:t>
            </w:r>
            <w:r>
              <w:rPr>
                <w:b w:val="0"/>
                <w:lang w:val="fr-FR" w:bidi="fr-FR"/>
              </w:rPr>
              <w:t>exécution, la continuité des opérations et les conditions de mise en œuvre des programmes. Il considère l</w:t>
            </w:r>
            <w:r w:rsidR="001C09DF">
              <w:rPr>
                <w:b w:val="0"/>
                <w:lang w:val="fr-FR" w:bidi="fr-FR"/>
              </w:rPr>
              <w:t>’</w:t>
            </w:r>
            <w:r>
              <w:rPr>
                <w:b w:val="0"/>
                <w:lang w:val="fr-FR" w:bidi="fr-FR"/>
              </w:rPr>
              <w:t>échec comme une opportunité d</w:t>
            </w:r>
            <w:r w:rsidR="001C09DF">
              <w:rPr>
                <w:b w:val="0"/>
                <w:lang w:val="fr-FR" w:bidi="fr-FR"/>
              </w:rPr>
              <w:t>’</w:t>
            </w:r>
            <w:r>
              <w:rPr>
                <w:b w:val="0"/>
                <w:lang w:val="fr-FR" w:bidi="fr-FR"/>
              </w:rPr>
              <w:t>apprendre et d</w:t>
            </w:r>
            <w:r w:rsidR="001C09DF">
              <w:rPr>
                <w:b w:val="0"/>
                <w:lang w:val="fr-FR" w:bidi="fr-FR"/>
              </w:rPr>
              <w:t>’</w:t>
            </w:r>
            <w:r>
              <w:rPr>
                <w:b w:val="0"/>
                <w:lang w:val="fr-FR" w:bidi="fr-FR"/>
              </w:rPr>
              <w:t>évoluer.</w:t>
            </w:r>
          </w:p>
          <w:p w14:paraId="696228C4" w14:textId="77777777" w:rsidR="002730F0" w:rsidRDefault="002730F0" w:rsidP="00E474A7">
            <w:r w:rsidRPr="00E72ABB">
              <w:rPr>
                <w:noProof/>
                <w:lang w:val="fr-FR" w:bidi="fr-FR"/>
              </w:rPr>
              <w:drawing>
                <wp:anchor distT="0" distB="0" distL="114300" distR="114300" simplePos="0" relativeHeight="251658245" behindDoc="0" locked="0" layoutInCell="1" allowOverlap="1" wp14:anchorId="7C8B75F0" wp14:editId="0D38794B">
                  <wp:simplePos x="0" y="0"/>
                  <wp:positionH relativeFrom="column">
                    <wp:posOffset>0</wp:posOffset>
                  </wp:positionH>
                  <wp:positionV relativeFrom="paragraph">
                    <wp:posOffset>635</wp:posOffset>
                  </wp:positionV>
                  <wp:extent cx="5748085" cy="59436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748085" cy="594360"/>
                          </a:xfrm>
                          <a:prstGeom prst="rect">
                            <a:avLst/>
                          </a:prstGeom>
                        </pic:spPr>
                      </pic:pic>
                    </a:graphicData>
                  </a:graphic>
                  <wp14:sizeRelH relativeFrom="margin">
                    <wp14:pctWidth>0</wp14:pctWidth>
                  </wp14:sizeRelH>
                  <wp14:sizeRelV relativeFrom="margin">
                    <wp14:pctHeight>0</wp14:pctHeight>
                  </wp14:sizeRelV>
                </wp:anchor>
              </w:drawing>
            </w:r>
          </w:p>
          <w:p w14:paraId="75C2C89B" w14:textId="77777777" w:rsidR="002730F0" w:rsidRDefault="002730F0" w:rsidP="00E474A7"/>
          <w:p w14:paraId="4C96E79B" w14:textId="77777777" w:rsidR="002730F0" w:rsidRDefault="002730F0" w:rsidP="00E474A7"/>
          <w:p w14:paraId="5440048B" w14:textId="77777777" w:rsidR="002730F0" w:rsidRPr="00AA5424" w:rsidRDefault="002730F0" w:rsidP="00E474A7">
            <w:pPr>
              <w:rPr>
                <w:b w:val="0"/>
                <w:bCs w:val="0"/>
              </w:rPr>
            </w:pPr>
          </w:p>
        </w:tc>
        <w:tc>
          <w:tcPr>
            <w:tcW w:w="0" w:type="auto"/>
          </w:tcPr>
          <w:p w14:paraId="36FB1D2A" w14:textId="77777777" w:rsidR="002730F0" w:rsidRPr="00871D0E" w:rsidRDefault="002730F0" w:rsidP="00E474A7">
            <w:pPr>
              <w:cnfStyle w:val="000000100000" w:firstRow="0" w:lastRow="0" w:firstColumn="0" w:lastColumn="0" w:oddVBand="0" w:evenVBand="0" w:oddHBand="1" w:evenHBand="0" w:firstRowFirstColumn="0" w:firstRowLastColumn="0" w:lastRowFirstColumn="0" w:lastRowLastColumn="0"/>
              <w:rPr>
                <w:b/>
                <w:bCs/>
              </w:rPr>
            </w:pPr>
            <w:r w:rsidRPr="00871D0E">
              <w:rPr>
                <w:b/>
                <w:lang w:val="fr-FR" w:bidi="fr-FR"/>
              </w:rPr>
              <w:t>Exploratoire à ouvert</w:t>
            </w:r>
          </w:p>
        </w:tc>
      </w:tr>
      <w:tr w:rsidR="002730F0" w:rsidRPr="00871D0E" w14:paraId="19BE3648" w14:textId="77777777" w:rsidTr="00E474A7">
        <w:tc>
          <w:tcPr>
            <w:cnfStyle w:val="001000000000" w:firstRow="0" w:lastRow="0" w:firstColumn="1" w:lastColumn="0" w:oddVBand="0" w:evenVBand="0" w:oddHBand="0" w:evenHBand="0" w:firstRowFirstColumn="0" w:firstRowLastColumn="0" w:lastRowFirstColumn="0" w:lastRowLastColumn="0"/>
            <w:tcW w:w="0" w:type="auto"/>
          </w:tcPr>
          <w:p w14:paraId="70FBCDEB" w14:textId="77777777" w:rsidR="002730F0" w:rsidRPr="001C09DF" w:rsidRDefault="002730F0" w:rsidP="00E474A7">
            <w:pPr>
              <w:rPr>
                <w:b w:val="0"/>
                <w:bCs w:val="0"/>
                <w:lang w:val="fr-FR"/>
              </w:rPr>
            </w:pPr>
            <w:r>
              <w:rPr>
                <w:lang w:val="fr-FR" w:bidi="fr-FR"/>
              </w:rPr>
              <w:t>Risque institutionnel</w:t>
            </w:r>
          </w:p>
          <w:p w14:paraId="0717AFB7" w14:textId="1E546254" w:rsidR="002730F0" w:rsidRPr="001C09DF" w:rsidRDefault="002730F0" w:rsidP="00E474A7">
            <w:pPr>
              <w:rPr>
                <w:lang w:val="fr-FR"/>
              </w:rPr>
            </w:pPr>
            <w:r>
              <w:rPr>
                <w:b w:val="0"/>
                <w:lang w:val="fr-FR" w:bidi="fr-FR"/>
              </w:rPr>
              <w:t>Le PNUD adopte une approche agile afin de rester pertinent dans tous ses domaines d</w:t>
            </w:r>
            <w:r w:rsidR="001C09DF">
              <w:rPr>
                <w:b w:val="0"/>
                <w:lang w:val="fr-FR" w:bidi="fr-FR"/>
              </w:rPr>
              <w:t>’</w:t>
            </w:r>
            <w:r>
              <w:rPr>
                <w:b w:val="0"/>
                <w:lang w:val="fr-FR" w:bidi="fr-FR"/>
              </w:rPr>
              <w:t>intervention, et prend des risques éclairés afin d</w:t>
            </w:r>
            <w:r w:rsidR="001C09DF">
              <w:rPr>
                <w:b w:val="0"/>
                <w:lang w:val="fr-FR" w:bidi="fr-FR"/>
              </w:rPr>
              <w:t>’</w:t>
            </w:r>
            <w:r>
              <w:rPr>
                <w:b w:val="0"/>
                <w:lang w:val="fr-FR" w:bidi="fr-FR"/>
              </w:rPr>
              <w:t>assurer l</w:t>
            </w:r>
            <w:r w:rsidR="001C09DF">
              <w:rPr>
                <w:b w:val="0"/>
                <w:lang w:val="fr-FR" w:bidi="fr-FR"/>
              </w:rPr>
              <w:t>’</w:t>
            </w:r>
            <w:r>
              <w:rPr>
                <w:b w:val="0"/>
                <w:lang w:val="fr-FR" w:bidi="fr-FR"/>
              </w:rPr>
              <w:t>efficacité, l</w:t>
            </w:r>
            <w:r w:rsidR="001C09DF">
              <w:rPr>
                <w:b w:val="0"/>
                <w:lang w:val="fr-FR" w:bidi="fr-FR"/>
              </w:rPr>
              <w:t>’</w:t>
            </w:r>
            <w:r>
              <w:rPr>
                <w:b w:val="0"/>
                <w:lang w:val="fr-FR" w:bidi="fr-FR"/>
              </w:rPr>
              <w:t>agilité, l</w:t>
            </w:r>
            <w:r w:rsidR="001C09DF">
              <w:rPr>
                <w:b w:val="0"/>
                <w:lang w:val="fr-FR" w:bidi="fr-FR"/>
              </w:rPr>
              <w:t>’</w:t>
            </w:r>
            <w:r>
              <w:rPr>
                <w:b w:val="0"/>
                <w:lang w:val="fr-FR" w:bidi="fr-FR"/>
              </w:rPr>
              <w:t>apprentissage et la résilience de l</w:t>
            </w:r>
            <w:r w:rsidR="001C09DF">
              <w:rPr>
                <w:b w:val="0"/>
                <w:lang w:val="fr-FR" w:bidi="fr-FR"/>
              </w:rPr>
              <w:t>’</w:t>
            </w:r>
            <w:r>
              <w:rPr>
                <w:b w:val="0"/>
                <w:lang w:val="fr-FR" w:bidi="fr-FR"/>
              </w:rPr>
              <w:t xml:space="preserve">organisation. Il veille au respect des règles et des politiques institutionnelles en matière de gouvernance et de ses normes éthiques, tout en explorant continuellement de nouvelles manières innovantes de mener ses activités afin de répondre à ses objectifs. </w:t>
            </w:r>
          </w:p>
          <w:p w14:paraId="32BCBA9A" w14:textId="77777777" w:rsidR="002730F0" w:rsidRPr="001C09DF" w:rsidRDefault="002730F0" w:rsidP="00E474A7">
            <w:pPr>
              <w:rPr>
                <w:b w:val="0"/>
                <w:bCs w:val="0"/>
                <w:lang w:val="fr-FR"/>
              </w:rPr>
            </w:pPr>
            <w:r w:rsidRPr="00E72ABB">
              <w:rPr>
                <w:noProof/>
                <w:lang w:val="fr-FR" w:bidi="fr-FR"/>
              </w:rPr>
              <w:drawing>
                <wp:anchor distT="0" distB="0" distL="114300" distR="114300" simplePos="0" relativeHeight="251658246" behindDoc="0" locked="0" layoutInCell="1" allowOverlap="1" wp14:anchorId="313521ED" wp14:editId="5E635CA9">
                  <wp:simplePos x="0" y="0"/>
                  <wp:positionH relativeFrom="column">
                    <wp:posOffset>-6350</wp:posOffset>
                  </wp:positionH>
                  <wp:positionV relativeFrom="paragraph">
                    <wp:posOffset>4445</wp:posOffset>
                  </wp:positionV>
                  <wp:extent cx="5748085" cy="594360"/>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748085" cy="594360"/>
                          </a:xfrm>
                          <a:prstGeom prst="rect">
                            <a:avLst/>
                          </a:prstGeom>
                        </pic:spPr>
                      </pic:pic>
                    </a:graphicData>
                  </a:graphic>
                  <wp14:sizeRelH relativeFrom="margin">
                    <wp14:pctWidth>0</wp14:pctWidth>
                  </wp14:sizeRelH>
                  <wp14:sizeRelV relativeFrom="margin">
                    <wp14:pctHeight>0</wp14:pctHeight>
                  </wp14:sizeRelV>
                </wp:anchor>
              </w:drawing>
            </w:r>
          </w:p>
          <w:p w14:paraId="0D4F657D" w14:textId="77777777" w:rsidR="002730F0" w:rsidRPr="001C09DF" w:rsidRDefault="002730F0" w:rsidP="00E474A7">
            <w:pPr>
              <w:rPr>
                <w:b w:val="0"/>
                <w:bCs w:val="0"/>
                <w:lang w:val="fr-FR"/>
              </w:rPr>
            </w:pPr>
          </w:p>
          <w:p w14:paraId="39F52116" w14:textId="77777777" w:rsidR="002730F0" w:rsidRPr="001C09DF" w:rsidRDefault="002730F0" w:rsidP="00E474A7">
            <w:pPr>
              <w:rPr>
                <w:lang w:val="fr-FR"/>
              </w:rPr>
            </w:pPr>
          </w:p>
          <w:p w14:paraId="0C031712" w14:textId="77777777" w:rsidR="002730F0" w:rsidRPr="001C09DF" w:rsidRDefault="002730F0" w:rsidP="00E474A7">
            <w:pPr>
              <w:rPr>
                <w:b w:val="0"/>
                <w:bCs w:val="0"/>
                <w:lang w:val="fr-FR"/>
              </w:rPr>
            </w:pPr>
          </w:p>
        </w:tc>
        <w:tc>
          <w:tcPr>
            <w:tcW w:w="0" w:type="auto"/>
          </w:tcPr>
          <w:p w14:paraId="6D98CB5A" w14:textId="77777777" w:rsidR="002730F0" w:rsidRPr="00871D0E" w:rsidRDefault="002730F0" w:rsidP="00E474A7">
            <w:pPr>
              <w:cnfStyle w:val="000000000000" w:firstRow="0" w:lastRow="0" w:firstColumn="0" w:lastColumn="0" w:oddVBand="0" w:evenVBand="0" w:oddHBand="0" w:evenHBand="0" w:firstRowFirstColumn="0" w:firstRowLastColumn="0" w:lastRowFirstColumn="0" w:lastRowLastColumn="0"/>
              <w:rPr>
                <w:b/>
                <w:bCs/>
              </w:rPr>
            </w:pPr>
            <w:r w:rsidRPr="00871D0E">
              <w:rPr>
                <w:b/>
                <w:lang w:val="fr-FR" w:bidi="fr-FR"/>
              </w:rPr>
              <w:t>Exploratoire à ouvert</w:t>
            </w:r>
          </w:p>
        </w:tc>
      </w:tr>
      <w:tr w:rsidR="002730F0" w:rsidRPr="00871D0E" w14:paraId="42E72C36" w14:textId="77777777" w:rsidTr="00E474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BA12D5" w14:textId="6DA0B849" w:rsidR="002730F0" w:rsidRPr="001C09DF" w:rsidRDefault="002730F0" w:rsidP="00E474A7">
            <w:pPr>
              <w:rPr>
                <w:b w:val="0"/>
                <w:bCs w:val="0"/>
                <w:lang w:val="fr-FR"/>
              </w:rPr>
            </w:pPr>
            <w:r>
              <w:rPr>
                <w:lang w:val="fr-FR" w:bidi="fr-FR"/>
              </w:rPr>
              <w:t>Risque de réputation</w:t>
            </w:r>
          </w:p>
          <w:p w14:paraId="59712448" w14:textId="50DD0A5D" w:rsidR="002730F0" w:rsidRPr="001C09DF" w:rsidRDefault="002730F0" w:rsidP="00E474A7">
            <w:pPr>
              <w:rPr>
                <w:lang w:val="fr-FR"/>
              </w:rPr>
            </w:pPr>
            <w:r w:rsidRPr="001F63F9">
              <w:rPr>
                <w:b w:val="0"/>
                <w:lang w:val="fr-FR" w:bidi="fr-FR"/>
              </w:rPr>
              <w:t>Le PNUD est une organisation hautement fiable et estimée, qui ne peut se permettre que les différentes parties prenantes (gouvernements, donateurs, partenaires d</w:t>
            </w:r>
            <w:r w:rsidR="001C09DF">
              <w:rPr>
                <w:b w:val="0"/>
                <w:lang w:val="fr-FR" w:bidi="fr-FR"/>
              </w:rPr>
              <w:t>’</w:t>
            </w:r>
            <w:r w:rsidRPr="001F63F9">
              <w:rPr>
                <w:b w:val="0"/>
                <w:lang w:val="fr-FR" w:bidi="fr-FR"/>
              </w:rPr>
              <w:t>exécution, secteur privé, société civile, bénéficiaires, etc.) puissent remettre en question son éthique, sa crédibilité ou sa réputation. Le PNUD entend protéger son image institutionnelle et sa réputation en conduisant ses programmes de manière efficace et innovante, en tenant ses engagements, en procédant aux analyses préalables appropriées, en établissant des partenariats et en gérant les attentes, tout en explorant de nouvelles possibilités d</w:t>
            </w:r>
            <w:r w:rsidR="001C09DF">
              <w:rPr>
                <w:b w:val="0"/>
                <w:lang w:val="fr-FR" w:bidi="fr-FR"/>
              </w:rPr>
              <w:t>’</w:t>
            </w:r>
            <w:r w:rsidRPr="001F63F9">
              <w:rPr>
                <w:b w:val="0"/>
                <w:lang w:val="fr-FR" w:bidi="fr-FR"/>
              </w:rPr>
              <w:t>exécution et de collaboration, ainsi qu</w:t>
            </w:r>
            <w:r w:rsidR="001C09DF">
              <w:rPr>
                <w:b w:val="0"/>
                <w:lang w:val="fr-FR" w:bidi="fr-FR"/>
              </w:rPr>
              <w:t>’</w:t>
            </w:r>
            <w:r w:rsidRPr="001F63F9">
              <w:rPr>
                <w:b w:val="0"/>
                <w:lang w:val="fr-FR" w:bidi="fr-FR"/>
              </w:rPr>
              <w:t>en tirant parti des enseignements de ses projets pilotes.</w:t>
            </w:r>
          </w:p>
          <w:p w14:paraId="6489D31E" w14:textId="77777777" w:rsidR="002730F0" w:rsidRPr="001C09DF" w:rsidRDefault="002730F0" w:rsidP="00E474A7">
            <w:pPr>
              <w:rPr>
                <w:b w:val="0"/>
                <w:bCs w:val="0"/>
                <w:lang w:val="fr-FR"/>
              </w:rPr>
            </w:pPr>
            <w:r w:rsidRPr="002D751E">
              <w:rPr>
                <w:noProof/>
                <w:lang w:val="fr-FR" w:bidi="fr-FR"/>
              </w:rPr>
              <w:drawing>
                <wp:anchor distT="0" distB="0" distL="114300" distR="114300" simplePos="0" relativeHeight="251658247" behindDoc="0" locked="0" layoutInCell="1" allowOverlap="1" wp14:anchorId="3997E810" wp14:editId="13AE7C7E">
                  <wp:simplePos x="0" y="0"/>
                  <wp:positionH relativeFrom="column">
                    <wp:posOffset>-3810</wp:posOffset>
                  </wp:positionH>
                  <wp:positionV relativeFrom="paragraph">
                    <wp:posOffset>-1270</wp:posOffset>
                  </wp:positionV>
                  <wp:extent cx="5774271" cy="603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1675147F" w14:textId="77777777" w:rsidR="002730F0" w:rsidRPr="001C09DF" w:rsidRDefault="002730F0" w:rsidP="00E474A7">
            <w:pPr>
              <w:rPr>
                <w:b w:val="0"/>
                <w:bCs w:val="0"/>
                <w:lang w:val="fr-FR"/>
              </w:rPr>
            </w:pPr>
          </w:p>
          <w:p w14:paraId="24A00383" w14:textId="77777777" w:rsidR="002730F0" w:rsidRPr="001C09DF" w:rsidRDefault="002730F0" w:rsidP="00E474A7">
            <w:pPr>
              <w:rPr>
                <w:b w:val="0"/>
                <w:bCs w:val="0"/>
                <w:lang w:val="fr-FR"/>
              </w:rPr>
            </w:pPr>
          </w:p>
          <w:p w14:paraId="29B374FC" w14:textId="77777777" w:rsidR="002730F0" w:rsidRPr="001C09DF" w:rsidRDefault="002730F0" w:rsidP="00E474A7">
            <w:pPr>
              <w:rPr>
                <w:b w:val="0"/>
                <w:bCs w:val="0"/>
                <w:lang w:val="fr-FR"/>
              </w:rPr>
            </w:pPr>
          </w:p>
        </w:tc>
        <w:tc>
          <w:tcPr>
            <w:tcW w:w="0" w:type="auto"/>
          </w:tcPr>
          <w:p w14:paraId="649BAA75" w14:textId="77777777" w:rsidR="002730F0" w:rsidRPr="00871D0E" w:rsidRDefault="002730F0" w:rsidP="00E474A7">
            <w:pPr>
              <w:cnfStyle w:val="000000100000" w:firstRow="0" w:lastRow="0" w:firstColumn="0" w:lastColumn="0" w:oddVBand="0" w:evenVBand="0" w:oddHBand="1" w:evenHBand="0" w:firstRowFirstColumn="0" w:firstRowLastColumn="0" w:lastRowFirstColumn="0" w:lastRowLastColumn="0"/>
              <w:rPr>
                <w:b/>
                <w:bCs/>
              </w:rPr>
            </w:pPr>
            <w:r w:rsidRPr="00871D0E">
              <w:rPr>
                <w:b/>
                <w:lang w:val="fr-FR" w:bidi="fr-FR"/>
              </w:rPr>
              <w:t xml:space="preserve">Prudent </w:t>
            </w:r>
          </w:p>
        </w:tc>
      </w:tr>
      <w:tr w:rsidR="00CC4AE5" w:rsidRPr="00CA19B6" w14:paraId="6FFAECCD" w14:textId="77777777" w:rsidTr="00E474A7">
        <w:trPr>
          <w:trHeight w:val="2231"/>
        </w:trPr>
        <w:tc>
          <w:tcPr>
            <w:cnfStyle w:val="001000000000" w:firstRow="0" w:lastRow="0" w:firstColumn="1" w:lastColumn="0" w:oddVBand="0" w:evenVBand="0" w:oddHBand="0" w:evenHBand="0" w:firstRowFirstColumn="0" w:firstRowLastColumn="0" w:lastRowFirstColumn="0" w:lastRowLastColumn="0"/>
            <w:tcW w:w="0" w:type="auto"/>
          </w:tcPr>
          <w:p w14:paraId="5F82762D" w14:textId="77777777" w:rsidR="00CC4AE5" w:rsidRPr="001C09DF" w:rsidRDefault="00CC4AE5" w:rsidP="00E474A7">
            <w:pPr>
              <w:rPr>
                <w:b w:val="0"/>
                <w:bCs w:val="0"/>
                <w:lang w:val="fr-FR"/>
              </w:rPr>
            </w:pPr>
            <w:r>
              <w:rPr>
                <w:lang w:val="fr-FR" w:bidi="fr-FR"/>
              </w:rPr>
              <w:lastRenderedPageBreak/>
              <w:t>Risque réglementaire</w:t>
            </w:r>
          </w:p>
          <w:p w14:paraId="2AFC82B4" w14:textId="154DC0A4" w:rsidR="00CC4AE5" w:rsidRPr="001C09DF" w:rsidRDefault="00CC4AE5" w:rsidP="00E474A7">
            <w:pPr>
              <w:rPr>
                <w:lang w:val="fr-FR"/>
              </w:rPr>
            </w:pPr>
            <w:r>
              <w:rPr>
                <w:b w:val="0"/>
                <w:lang w:val="fr-FR" w:bidi="fr-FR"/>
              </w:rPr>
              <w:t>Le PNUD concrétisera ses objectifs stratégiques en usant de moyens respectueux des exigences juridiques et réglementaires, y compris en adhérant aux interprétations des règlements d</w:t>
            </w:r>
            <w:r w:rsidR="001C09DF">
              <w:rPr>
                <w:b w:val="0"/>
                <w:lang w:val="fr-FR" w:bidi="fr-FR"/>
              </w:rPr>
              <w:t>’</w:t>
            </w:r>
            <w:r>
              <w:rPr>
                <w:b w:val="0"/>
                <w:lang w:val="fr-FR" w:bidi="fr-FR"/>
              </w:rPr>
              <w:t>autres organismes des Nations Unies dotés de cadres réglementaires similaires.</w:t>
            </w:r>
          </w:p>
          <w:p w14:paraId="342EEB83" w14:textId="77777777" w:rsidR="00CC4AE5" w:rsidRPr="001C09DF" w:rsidRDefault="00CC4AE5" w:rsidP="00E474A7">
            <w:pPr>
              <w:rPr>
                <w:lang w:val="fr-FR"/>
              </w:rPr>
            </w:pPr>
            <w:r w:rsidRPr="002D751E">
              <w:rPr>
                <w:noProof/>
                <w:lang w:val="fr-FR" w:bidi="fr-FR"/>
              </w:rPr>
              <w:drawing>
                <wp:anchor distT="0" distB="0" distL="114300" distR="114300" simplePos="0" relativeHeight="251658248" behindDoc="0" locked="0" layoutInCell="1" allowOverlap="1" wp14:anchorId="085B5D60" wp14:editId="3419EABE">
                  <wp:simplePos x="0" y="0"/>
                  <wp:positionH relativeFrom="column">
                    <wp:posOffset>-6350</wp:posOffset>
                  </wp:positionH>
                  <wp:positionV relativeFrom="paragraph">
                    <wp:posOffset>3810</wp:posOffset>
                  </wp:positionV>
                  <wp:extent cx="5774271" cy="603504"/>
                  <wp:effectExtent l="0" t="0" r="0"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070DDC4E" w14:textId="77777777" w:rsidR="00CC4AE5" w:rsidRPr="001C09DF" w:rsidRDefault="00CC4AE5" w:rsidP="00E474A7">
            <w:pPr>
              <w:rPr>
                <w:lang w:val="fr-FR"/>
              </w:rPr>
            </w:pPr>
          </w:p>
          <w:p w14:paraId="39C95C66" w14:textId="77777777" w:rsidR="00CC4AE5" w:rsidRPr="001C09DF" w:rsidRDefault="00CC4AE5" w:rsidP="00E474A7">
            <w:pPr>
              <w:rPr>
                <w:lang w:val="fr-FR"/>
              </w:rPr>
            </w:pPr>
          </w:p>
          <w:p w14:paraId="7CEA9A81" w14:textId="77777777" w:rsidR="00CC4AE5" w:rsidRPr="001C09DF" w:rsidRDefault="00CC4AE5" w:rsidP="00E474A7">
            <w:pPr>
              <w:rPr>
                <w:b w:val="0"/>
                <w:bCs w:val="0"/>
                <w:lang w:val="fr-FR"/>
              </w:rPr>
            </w:pPr>
          </w:p>
        </w:tc>
        <w:tc>
          <w:tcPr>
            <w:tcW w:w="0" w:type="auto"/>
          </w:tcPr>
          <w:p w14:paraId="4F3644D1" w14:textId="77777777" w:rsidR="00CC4AE5" w:rsidRPr="00CA19B6" w:rsidRDefault="00CC4AE5" w:rsidP="00E474A7">
            <w:pPr>
              <w:cnfStyle w:val="000000000000" w:firstRow="0" w:lastRow="0" w:firstColumn="0" w:lastColumn="0" w:oddVBand="0" w:evenVBand="0" w:oddHBand="0" w:evenHBand="0" w:firstRowFirstColumn="0" w:firstRowLastColumn="0" w:lastRowFirstColumn="0" w:lastRowLastColumn="0"/>
              <w:rPr>
                <w:b/>
                <w:bCs/>
              </w:rPr>
            </w:pPr>
            <w:r w:rsidRPr="00CA19B6">
              <w:rPr>
                <w:b/>
                <w:lang w:val="fr-FR" w:bidi="fr-FR"/>
              </w:rPr>
              <w:t>Prudent</w:t>
            </w:r>
          </w:p>
        </w:tc>
      </w:tr>
      <w:tr w:rsidR="0041558F" w14:paraId="51CE27C8" w14:textId="77777777" w:rsidTr="00170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3C9279" w14:textId="77777777" w:rsidR="0041558F" w:rsidRPr="001C09DF" w:rsidRDefault="0041558F" w:rsidP="001703F8">
            <w:pPr>
              <w:rPr>
                <w:b w:val="0"/>
                <w:bCs w:val="0"/>
                <w:lang w:val="fr-FR"/>
              </w:rPr>
            </w:pPr>
            <w:r>
              <w:rPr>
                <w:lang w:val="fr-FR" w:bidi="fr-FR"/>
              </w:rPr>
              <w:t>Risque stratégique</w:t>
            </w:r>
          </w:p>
          <w:p w14:paraId="25CC21A2" w14:textId="2DE94BA1" w:rsidR="0041558F" w:rsidRPr="001C09DF" w:rsidRDefault="0041558F" w:rsidP="001703F8">
            <w:pPr>
              <w:rPr>
                <w:b w:val="0"/>
                <w:bCs w:val="0"/>
                <w:lang w:val="fr-FR"/>
              </w:rPr>
            </w:pPr>
            <w:r>
              <w:rPr>
                <w:b w:val="0"/>
                <w:lang w:val="fr-FR" w:bidi="fr-FR"/>
              </w:rPr>
              <w:t>Le PNUD donne la priorité à l</w:t>
            </w:r>
            <w:r w:rsidR="001C09DF">
              <w:rPr>
                <w:b w:val="0"/>
                <w:lang w:val="fr-FR" w:bidi="fr-FR"/>
              </w:rPr>
              <w:t>’</w:t>
            </w:r>
            <w:r>
              <w:rPr>
                <w:b w:val="0"/>
                <w:lang w:val="fr-FR" w:bidi="fr-FR"/>
              </w:rPr>
              <w:t>élaboration et à la mise en œuvre de sa stratégie, en recherchant des manières nouvelles et innovantes de fournir ses services à forte valeur ajoutée et de réaliser ses programmes et ses objectifs, ainsi qu</w:t>
            </w:r>
            <w:r w:rsidR="001C09DF">
              <w:rPr>
                <w:b w:val="0"/>
                <w:lang w:val="fr-FR" w:bidi="fr-FR"/>
              </w:rPr>
              <w:t>’</w:t>
            </w:r>
            <w:r>
              <w:rPr>
                <w:b w:val="0"/>
                <w:lang w:val="fr-FR" w:bidi="fr-FR"/>
              </w:rPr>
              <w:t>en élargissant et en diversifiant la liste de ses donateurs et partenaires, tout en tirant des enseignements de chaque échec et sans jamais se départir de ses principes éthiques.</w:t>
            </w:r>
          </w:p>
          <w:p w14:paraId="233314C7" w14:textId="77777777" w:rsidR="0041558F" w:rsidRPr="001C09DF" w:rsidRDefault="0041558F" w:rsidP="001703F8">
            <w:pPr>
              <w:rPr>
                <w:b w:val="0"/>
                <w:bCs w:val="0"/>
                <w:lang w:val="fr-FR"/>
              </w:rPr>
            </w:pPr>
            <w:r w:rsidRPr="002D751E">
              <w:rPr>
                <w:noProof/>
                <w:lang w:val="fr-FR" w:bidi="fr-FR"/>
              </w:rPr>
              <w:drawing>
                <wp:anchor distT="0" distB="0" distL="114300" distR="114300" simplePos="0" relativeHeight="251658240" behindDoc="0" locked="0" layoutInCell="1" allowOverlap="1" wp14:anchorId="013D46DF" wp14:editId="26D49D0C">
                  <wp:simplePos x="0" y="0"/>
                  <wp:positionH relativeFrom="column">
                    <wp:posOffset>-3810</wp:posOffset>
                  </wp:positionH>
                  <wp:positionV relativeFrom="paragraph">
                    <wp:posOffset>2540</wp:posOffset>
                  </wp:positionV>
                  <wp:extent cx="5828095" cy="649224"/>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828095" cy="649224"/>
                          </a:xfrm>
                          <a:prstGeom prst="rect">
                            <a:avLst/>
                          </a:prstGeom>
                        </pic:spPr>
                      </pic:pic>
                    </a:graphicData>
                  </a:graphic>
                  <wp14:sizeRelH relativeFrom="margin">
                    <wp14:pctWidth>0</wp14:pctWidth>
                  </wp14:sizeRelH>
                  <wp14:sizeRelV relativeFrom="margin">
                    <wp14:pctHeight>0</wp14:pctHeight>
                  </wp14:sizeRelV>
                </wp:anchor>
              </w:drawing>
            </w:r>
          </w:p>
          <w:p w14:paraId="79B0D05C" w14:textId="77777777" w:rsidR="0041558F" w:rsidRPr="001C09DF" w:rsidRDefault="0041558F" w:rsidP="001703F8">
            <w:pPr>
              <w:rPr>
                <w:b w:val="0"/>
                <w:bCs w:val="0"/>
                <w:lang w:val="fr-FR"/>
              </w:rPr>
            </w:pPr>
          </w:p>
          <w:p w14:paraId="0F3650DC" w14:textId="77777777" w:rsidR="0041558F" w:rsidRPr="001C09DF" w:rsidRDefault="0041558F" w:rsidP="001703F8">
            <w:pPr>
              <w:rPr>
                <w:b w:val="0"/>
                <w:bCs w:val="0"/>
                <w:lang w:val="fr-FR"/>
              </w:rPr>
            </w:pPr>
          </w:p>
          <w:p w14:paraId="31C8D014" w14:textId="77777777" w:rsidR="0041558F" w:rsidRPr="001C09DF" w:rsidRDefault="0041558F" w:rsidP="001703F8">
            <w:pPr>
              <w:rPr>
                <w:b w:val="0"/>
                <w:bCs w:val="0"/>
                <w:lang w:val="fr-FR"/>
              </w:rPr>
            </w:pPr>
          </w:p>
        </w:tc>
        <w:tc>
          <w:tcPr>
            <w:tcW w:w="0" w:type="auto"/>
          </w:tcPr>
          <w:p w14:paraId="7FE36607" w14:textId="77777777" w:rsidR="0041558F" w:rsidRPr="00871D0E" w:rsidRDefault="0041558F" w:rsidP="001703F8">
            <w:pPr>
              <w:cnfStyle w:val="000000100000" w:firstRow="0" w:lastRow="0" w:firstColumn="0" w:lastColumn="0" w:oddVBand="0" w:evenVBand="0" w:oddHBand="1" w:evenHBand="0" w:firstRowFirstColumn="0" w:firstRowLastColumn="0" w:lastRowFirstColumn="0" w:lastRowLastColumn="0"/>
              <w:rPr>
                <w:b/>
                <w:bCs/>
              </w:rPr>
            </w:pPr>
            <w:r w:rsidRPr="00871D0E">
              <w:rPr>
                <w:b/>
                <w:lang w:val="fr-FR" w:bidi="fr-FR"/>
              </w:rPr>
              <w:t>Ouvert à actif</w:t>
            </w:r>
          </w:p>
        </w:tc>
      </w:tr>
      <w:tr w:rsidR="0041558F" w14:paraId="06AEF6C3" w14:textId="77777777" w:rsidTr="001703F8">
        <w:tc>
          <w:tcPr>
            <w:cnfStyle w:val="001000000000" w:firstRow="0" w:lastRow="0" w:firstColumn="1" w:lastColumn="0" w:oddVBand="0" w:evenVBand="0" w:oddHBand="0" w:evenHBand="0" w:firstRowFirstColumn="0" w:firstRowLastColumn="0" w:lastRowFirstColumn="0" w:lastRowLastColumn="0"/>
            <w:tcW w:w="0" w:type="auto"/>
          </w:tcPr>
          <w:p w14:paraId="18699191" w14:textId="77777777" w:rsidR="0041558F" w:rsidRPr="001C09DF" w:rsidRDefault="0041558F" w:rsidP="001703F8">
            <w:pPr>
              <w:rPr>
                <w:b w:val="0"/>
                <w:bCs w:val="0"/>
                <w:lang w:val="fr-FR"/>
              </w:rPr>
            </w:pPr>
            <w:r>
              <w:rPr>
                <w:lang w:val="fr-FR" w:bidi="fr-FR"/>
              </w:rPr>
              <w:t>Risque de sécurité</w:t>
            </w:r>
          </w:p>
          <w:p w14:paraId="2502171B" w14:textId="68D744C8" w:rsidR="0041558F" w:rsidRPr="001C09DF" w:rsidRDefault="0041558F" w:rsidP="001703F8">
            <w:pPr>
              <w:rPr>
                <w:b w:val="0"/>
                <w:bCs w:val="0"/>
                <w:lang w:val="fr-FR"/>
              </w:rPr>
            </w:pPr>
            <w:r w:rsidRPr="00CD1C74">
              <w:rPr>
                <w:b w:val="0"/>
                <w:lang w:val="fr-FR" w:bidi="fr-FR"/>
              </w:rPr>
              <w:t>Afin de permettre l</w:t>
            </w:r>
            <w:r w:rsidR="001C09DF">
              <w:rPr>
                <w:b w:val="0"/>
                <w:lang w:val="fr-FR" w:bidi="fr-FR"/>
              </w:rPr>
              <w:t>’</w:t>
            </w:r>
            <w:r w:rsidRPr="00CD1C74">
              <w:rPr>
                <w:b w:val="0"/>
                <w:lang w:val="fr-FR" w:bidi="fr-FR"/>
              </w:rPr>
              <w:t>exécution de ses activités, le PNUD met en place des mesures efficaces pour réduire les risques sécuritaires auxquels son personnel, ses locaux, ses actifs et ses opérations pourraient être exposés. Dans les situations de risque élevé, le PNUD poursuivra ses activités programmatiques en appliquant les mesures d</w:t>
            </w:r>
            <w:r w:rsidR="001C09DF">
              <w:rPr>
                <w:b w:val="0"/>
                <w:lang w:val="fr-FR" w:bidi="fr-FR"/>
              </w:rPr>
              <w:t>’</w:t>
            </w:r>
            <w:r w:rsidRPr="00CD1C74">
              <w:rPr>
                <w:b w:val="0"/>
                <w:lang w:val="fr-FR" w:bidi="fr-FR"/>
              </w:rPr>
              <w:t>atténuation et de contrôle adaptées qui auront été validées. Le PNUD prendra les risques nécessaires, y compris des décisions par des personnes dûment habilitées, après que toutes les mesures ont été prises pour ramener les risques à des niveaux acceptables selon la politique de gestion des risques sécuritaires du système de gestion de la sécurité des Nations Unies</w:t>
            </w:r>
            <w:r w:rsidRPr="007E75BF">
              <w:rPr>
                <w:rStyle w:val="FootnoteReference"/>
                <w:b w:val="0"/>
                <w:lang w:val="fr-FR" w:bidi="fr-FR"/>
              </w:rPr>
              <w:footnoteReference w:id="2"/>
            </w:r>
            <w:r w:rsidRPr="00CD1C74">
              <w:rPr>
                <w:b w:val="0"/>
                <w:lang w:val="fr-FR" w:bidi="fr-FR"/>
              </w:rPr>
              <w:t>.</w:t>
            </w:r>
          </w:p>
          <w:p w14:paraId="5C3D3FD2" w14:textId="54034EE7" w:rsidR="0041558F" w:rsidRPr="001C09DF" w:rsidRDefault="0041558F" w:rsidP="001703F8">
            <w:pPr>
              <w:rPr>
                <w:lang w:val="fr-FR"/>
              </w:rPr>
            </w:pPr>
            <w:r>
              <w:rPr>
                <w:b w:val="0"/>
                <w:lang w:val="fr-FR" w:bidi="fr-FR"/>
              </w:rPr>
              <w:t>Le PNUD gère la cybersécurité afin de protéger la confidentialité et l</w:t>
            </w:r>
            <w:r w:rsidR="001C09DF">
              <w:rPr>
                <w:b w:val="0"/>
                <w:lang w:val="fr-FR" w:bidi="fr-FR"/>
              </w:rPr>
              <w:t>’</w:t>
            </w:r>
            <w:r>
              <w:rPr>
                <w:b w:val="0"/>
                <w:lang w:val="fr-FR" w:bidi="fr-FR"/>
              </w:rPr>
              <w:t>intégrité de ses informations</w:t>
            </w:r>
            <w:r>
              <w:rPr>
                <w:rStyle w:val="FootnoteReference"/>
                <w:b w:val="0"/>
                <w:lang w:val="fr-FR" w:bidi="fr-FR"/>
              </w:rPr>
              <w:footnoteReference w:id="3"/>
            </w:r>
            <w:r>
              <w:rPr>
                <w:b w:val="0"/>
                <w:lang w:val="fr-FR" w:bidi="fr-FR"/>
              </w:rPr>
              <w:t>.</w:t>
            </w:r>
          </w:p>
          <w:p w14:paraId="34C65366" w14:textId="77777777" w:rsidR="0041558F" w:rsidRPr="001C09DF" w:rsidRDefault="0041558F" w:rsidP="001703F8">
            <w:pPr>
              <w:rPr>
                <w:lang w:val="fr-FR"/>
              </w:rPr>
            </w:pPr>
            <w:r w:rsidRPr="002D751E">
              <w:rPr>
                <w:noProof/>
                <w:lang w:val="fr-FR" w:bidi="fr-FR"/>
              </w:rPr>
              <w:drawing>
                <wp:anchor distT="0" distB="0" distL="114300" distR="114300" simplePos="0" relativeHeight="251658241" behindDoc="0" locked="0" layoutInCell="1" allowOverlap="1" wp14:anchorId="7E8C05FD" wp14:editId="5CCEAADA">
                  <wp:simplePos x="0" y="0"/>
                  <wp:positionH relativeFrom="column">
                    <wp:posOffset>-6350</wp:posOffset>
                  </wp:positionH>
                  <wp:positionV relativeFrom="paragraph">
                    <wp:posOffset>3810</wp:posOffset>
                  </wp:positionV>
                  <wp:extent cx="5774271" cy="603504"/>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774271" cy="603504"/>
                          </a:xfrm>
                          <a:prstGeom prst="rect">
                            <a:avLst/>
                          </a:prstGeom>
                        </pic:spPr>
                      </pic:pic>
                    </a:graphicData>
                  </a:graphic>
                  <wp14:sizeRelH relativeFrom="margin">
                    <wp14:pctWidth>0</wp14:pctWidth>
                  </wp14:sizeRelH>
                  <wp14:sizeRelV relativeFrom="margin">
                    <wp14:pctHeight>0</wp14:pctHeight>
                  </wp14:sizeRelV>
                </wp:anchor>
              </w:drawing>
            </w:r>
          </w:p>
          <w:p w14:paraId="377A506A" w14:textId="77777777" w:rsidR="0041558F" w:rsidRPr="001C09DF" w:rsidRDefault="0041558F" w:rsidP="001703F8">
            <w:pPr>
              <w:rPr>
                <w:lang w:val="fr-FR"/>
              </w:rPr>
            </w:pPr>
          </w:p>
          <w:p w14:paraId="6A6BBC9C" w14:textId="77777777" w:rsidR="0041558F" w:rsidRPr="001C09DF" w:rsidRDefault="0041558F" w:rsidP="001703F8">
            <w:pPr>
              <w:rPr>
                <w:lang w:val="fr-FR"/>
              </w:rPr>
            </w:pPr>
          </w:p>
          <w:p w14:paraId="422F9F2A" w14:textId="77777777" w:rsidR="0041558F" w:rsidRPr="001C09DF" w:rsidRDefault="0041558F" w:rsidP="001703F8">
            <w:pPr>
              <w:rPr>
                <w:b w:val="0"/>
                <w:bCs w:val="0"/>
                <w:lang w:val="fr-FR"/>
              </w:rPr>
            </w:pPr>
          </w:p>
        </w:tc>
        <w:tc>
          <w:tcPr>
            <w:tcW w:w="0" w:type="auto"/>
          </w:tcPr>
          <w:p w14:paraId="37F9D6B7" w14:textId="77777777" w:rsidR="0041558F" w:rsidRPr="00CA19B6" w:rsidRDefault="0041558F" w:rsidP="001703F8">
            <w:pPr>
              <w:cnfStyle w:val="000000000000" w:firstRow="0" w:lastRow="0" w:firstColumn="0" w:lastColumn="0" w:oddVBand="0" w:evenVBand="0" w:oddHBand="0" w:evenHBand="0" w:firstRowFirstColumn="0" w:firstRowLastColumn="0" w:lastRowFirstColumn="0" w:lastRowLastColumn="0"/>
              <w:rPr>
                <w:b/>
                <w:bCs/>
              </w:rPr>
            </w:pPr>
            <w:r w:rsidRPr="00CA19B6">
              <w:rPr>
                <w:b/>
                <w:lang w:val="fr-FR" w:bidi="fr-FR"/>
              </w:rPr>
              <w:t xml:space="preserve">Prudent </w:t>
            </w:r>
          </w:p>
        </w:tc>
      </w:tr>
    </w:tbl>
    <w:p w14:paraId="6D471206" w14:textId="77777777" w:rsidR="0041558F" w:rsidRPr="002533C4" w:rsidRDefault="0041558F" w:rsidP="00962DB1"/>
    <w:p w14:paraId="50FC60F5" w14:textId="77777777" w:rsidR="00D603FF" w:rsidRDefault="00D603FF" w:rsidP="001E7406">
      <w:pPr>
        <w:pStyle w:val="Heading1"/>
        <w:sectPr w:rsidR="00D603FF" w:rsidSect="001A0160">
          <w:pgSz w:w="12240" w:h="15840"/>
          <w:pgMar w:top="1440" w:right="1440" w:bottom="1440" w:left="1440" w:header="720" w:footer="720" w:gutter="0"/>
          <w:cols w:space="720"/>
          <w:docGrid w:linePitch="360"/>
        </w:sectPr>
      </w:pPr>
    </w:p>
    <w:p w14:paraId="2F83522F" w14:textId="2FF0BB6A" w:rsidR="00672D45" w:rsidRPr="001C09DF" w:rsidRDefault="001E7406" w:rsidP="001E7406">
      <w:pPr>
        <w:pStyle w:val="Heading1"/>
        <w:rPr>
          <w:lang w:val="fr-FR"/>
        </w:rPr>
      </w:pPr>
      <w:bookmarkStart w:id="11" w:name="_Toc157419459"/>
      <w:r>
        <w:rPr>
          <w:lang w:val="fr-FR" w:bidi="fr-FR"/>
        </w:rPr>
        <w:lastRenderedPageBreak/>
        <w:t>Annexe 3 : Aligner l</w:t>
      </w:r>
      <w:r w:rsidR="001C09DF">
        <w:rPr>
          <w:lang w:val="fr-FR" w:bidi="fr-FR"/>
        </w:rPr>
        <w:t>’</w:t>
      </w:r>
      <w:r>
        <w:rPr>
          <w:lang w:val="fr-FR" w:bidi="fr-FR"/>
        </w:rPr>
        <w:t>appétit pour le risque sur l</w:t>
      </w:r>
      <w:r w:rsidR="001C09DF">
        <w:rPr>
          <w:lang w:val="fr-FR" w:bidi="fr-FR"/>
        </w:rPr>
        <w:t>’</w:t>
      </w:r>
      <w:r>
        <w:rPr>
          <w:lang w:val="fr-FR" w:bidi="fr-FR"/>
        </w:rPr>
        <w:t>importance du risque dans la matrice des risques</w:t>
      </w:r>
      <w:bookmarkEnd w:id="11"/>
    </w:p>
    <w:p w14:paraId="793EBA63" w14:textId="77777777" w:rsidR="00DD5E07" w:rsidRPr="001C09DF" w:rsidRDefault="00DD5E07" w:rsidP="00513FC1">
      <w:pPr>
        <w:spacing w:after="0"/>
        <w:rPr>
          <w:lang w:val="fr-FR"/>
        </w:rPr>
      </w:pPr>
    </w:p>
    <w:tbl>
      <w:tblPr>
        <w:tblStyle w:val="TableGrid"/>
        <w:tblW w:w="0" w:type="auto"/>
        <w:jc w:val="center"/>
        <w:tblLook w:val="04A0" w:firstRow="1" w:lastRow="0" w:firstColumn="1" w:lastColumn="0" w:noHBand="0" w:noVBand="1"/>
      </w:tblPr>
      <w:tblGrid>
        <w:gridCol w:w="907"/>
        <w:gridCol w:w="907"/>
        <w:gridCol w:w="1227"/>
        <w:gridCol w:w="307"/>
        <w:gridCol w:w="921"/>
        <w:gridCol w:w="614"/>
        <w:gridCol w:w="613"/>
        <w:gridCol w:w="921"/>
        <w:gridCol w:w="307"/>
        <w:gridCol w:w="1228"/>
      </w:tblGrid>
      <w:tr w:rsidR="003C4D56" w:rsidRPr="00055B11" w14:paraId="71E4C1B4" w14:textId="77777777" w:rsidTr="003C4D56">
        <w:trPr>
          <w:cantSplit/>
          <w:trHeight w:val="992"/>
          <w:jc w:val="center"/>
        </w:trPr>
        <w:tc>
          <w:tcPr>
            <w:tcW w:w="907" w:type="dxa"/>
            <w:vMerge w:val="restart"/>
            <w:textDirection w:val="btLr"/>
            <w:vAlign w:val="center"/>
          </w:tcPr>
          <w:p w14:paraId="32B4229B" w14:textId="43DEFFE4" w:rsidR="00DD5E07" w:rsidRPr="00055B11" w:rsidRDefault="00DD5E07" w:rsidP="00DD5E07">
            <w:pPr>
              <w:ind w:left="113" w:right="113"/>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Impact</w:t>
            </w:r>
          </w:p>
        </w:tc>
        <w:tc>
          <w:tcPr>
            <w:tcW w:w="907" w:type="dxa"/>
            <w:vAlign w:val="center"/>
          </w:tcPr>
          <w:p w14:paraId="46976DB5" w14:textId="61EBEB70"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5</w:t>
            </w:r>
          </w:p>
        </w:tc>
        <w:tc>
          <w:tcPr>
            <w:tcW w:w="1227" w:type="dxa"/>
            <w:shd w:val="clear" w:color="auto" w:fill="8EAADB" w:themeFill="accent1" w:themeFillTint="99"/>
            <w:vAlign w:val="center"/>
          </w:tcPr>
          <w:p w14:paraId="3A5885B5" w14:textId="3E6566A1" w:rsidR="00DD5E07" w:rsidRPr="00055B11" w:rsidRDefault="00C74078"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Exploratoire</w:t>
            </w:r>
          </w:p>
        </w:tc>
        <w:tc>
          <w:tcPr>
            <w:tcW w:w="1228" w:type="dxa"/>
            <w:gridSpan w:val="2"/>
            <w:shd w:val="clear" w:color="auto" w:fill="2F5496" w:themeFill="accent1" w:themeFillShade="BF"/>
            <w:vAlign w:val="center"/>
          </w:tcPr>
          <w:p w14:paraId="710E3922" w14:textId="185236F9"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color w:val="FFFFFF" w:themeColor="background1"/>
                <w:sz w:val="20"/>
                <w:szCs w:val="20"/>
                <w:lang w:val="fr-FR" w:bidi="fr-FR"/>
              </w:rPr>
              <w:t>Ouvert</w:t>
            </w:r>
          </w:p>
        </w:tc>
        <w:tc>
          <w:tcPr>
            <w:tcW w:w="1227" w:type="dxa"/>
            <w:gridSpan w:val="2"/>
            <w:shd w:val="clear" w:color="auto" w:fill="2F5496" w:themeFill="accent1" w:themeFillShade="BF"/>
            <w:vAlign w:val="center"/>
          </w:tcPr>
          <w:p w14:paraId="49B2B906" w14:textId="14C83DB9" w:rsidR="00DD5E07" w:rsidRPr="00055B11" w:rsidRDefault="00C74078" w:rsidP="00DD5E07">
            <w:pPr>
              <w:jc w:val="center"/>
              <w:rPr>
                <w:rFonts w:asciiTheme="majorHAnsi" w:hAnsiTheme="majorHAnsi" w:cstheme="majorHAnsi"/>
                <w:b/>
                <w:bCs/>
                <w:sz w:val="20"/>
                <w:szCs w:val="20"/>
              </w:rPr>
            </w:pPr>
            <w:r w:rsidRPr="00055B11">
              <w:rPr>
                <w:rFonts w:asciiTheme="majorHAnsi" w:hAnsiTheme="majorHAnsi" w:cstheme="majorHAnsi"/>
                <w:b/>
                <w:color w:val="FFFFFF" w:themeColor="background1"/>
                <w:sz w:val="20"/>
                <w:szCs w:val="20"/>
                <w:lang w:val="fr-FR" w:bidi="fr-FR"/>
              </w:rPr>
              <w:t>Ouvert</w:t>
            </w:r>
          </w:p>
        </w:tc>
        <w:tc>
          <w:tcPr>
            <w:tcW w:w="1228" w:type="dxa"/>
            <w:gridSpan w:val="2"/>
            <w:shd w:val="clear" w:color="auto" w:fill="1F3864" w:themeFill="accent1" w:themeFillShade="80"/>
            <w:vAlign w:val="center"/>
          </w:tcPr>
          <w:p w14:paraId="6870F5C4" w14:textId="21F8C49F" w:rsidR="00DD5E07" w:rsidRPr="00055B11" w:rsidRDefault="00C74078" w:rsidP="00DD5E07">
            <w:pPr>
              <w:jc w:val="center"/>
              <w:rPr>
                <w:rFonts w:asciiTheme="majorHAnsi" w:hAnsiTheme="majorHAnsi" w:cstheme="majorHAnsi"/>
                <w:b/>
                <w:bCs/>
                <w:color w:val="FFFFFF" w:themeColor="background1"/>
                <w:sz w:val="20"/>
                <w:szCs w:val="20"/>
              </w:rPr>
            </w:pPr>
            <w:r w:rsidRPr="00055B11">
              <w:rPr>
                <w:rFonts w:asciiTheme="majorHAnsi" w:hAnsiTheme="majorHAnsi" w:cstheme="majorHAnsi"/>
                <w:b/>
                <w:color w:val="FFFFFF" w:themeColor="background1"/>
                <w:sz w:val="20"/>
                <w:szCs w:val="20"/>
                <w:lang w:val="fr-FR" w:bidi="fr-FR"/>
              </w:rPr>
              <w:t>Actif</w:t>
            </w:r>
          </w:p>
        </w:tc>
        <w:tc>
          <w:tcPr>
            <w:tcW w:w="1228" w:type="dxa"/>
            <w:shd w:val="clear" w:color="auto" w:fill="1F3864" w:themeFill="accent1" w:themeFillShade="80"/>
            <w:vAlign w:val="center"/>
          </w:tcPr>
          <w:p w14:paraId="50915132" w14:textId="6FC148A3" w:rsidR="00DD5E07" w:rsidRPr="00055B11" w:rsidRDefault="00C74078"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Actif</w:t>
            </w:r>
          </w:p>
        </w:tc>
      </w:tr>
      <w:tr w:rsidR="003C4D56" w:rsidRPr="00055B11" w14:paraId="24BB4A0E" w14:textId="77777777" w:rsidTr="003C4D56">
        <w:trPr>
          <w:cantSplit/>
          <w:trHeight w:val="992"/>
          <w:jc w:val="center"/>
        </w:trPr>
        <w:tc>
          <w:tcPr>
            <w:tcW w:w="907" w:type="dxa"/>
            <w:vMerge/>
          </w:tcPr>
          <w:p w14:paraId="7C6F3C51" w14:textId="77777777" w:rsidR="00DD5E07" w:rsidRPr="00055B11" w:rsidRDefault="00DD5E07" w:rsidP="00DD5E07">
            <w:pPr>
              <w:jc w:val="center"/>
              <w:rPr>
                <w:rFonts w:asciiTheme="majorHAnsi" w:hAnsiTheme="majorHAnsi" w:cstheme="majorHAnsi"/>
                <w:b/>
                <w:bCs/>
                <w:sz w:val="20"/>
                <w:szCs w:val="20"/>
              </w:rPr>
            </w:pPr>
          </w:p>
        </w:tc>
        <w:tc>
          <w:tcPr>
            <w:tcW w:w="907" w:type="dxa"/>
            <w:vAlign w:val="center"/>
          </w:tcPr>
          <w:p w14:paraId="6FE80EB9" w14:textId="43A06C80"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4</w:t>
            </w:r>
          </w:p>
        </w:tc>
        <w:tc>
          <w:tcPr>
            <w:tcW w:w="1227" w:type="dxa"/>
            <w:shd w:val="clear" w:color="auto" w:fill="B4C6E7" w:themeFill="accent1" w:themeFillTint="66"/>
            <w:vAlign w:val="center"/>
          </w:tcPr>
          <w:p w14:paraId="3489C49F" w14:textId="553CAAE8" w:rsidR="00DD5E07" w:rsidRPr="00055B11" w:rsidRDefault="00C74078"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Prudent</w:t>
            </w:r>
          </w:p>
        </w:tc>
        <w:tc>
          <w:tcPr>
            <w:tcW w:w="1228" w:type="dxa"/>
            <w:gridSpan w:val="2"/>
            <w:shd w:val="clear" w:color="auto" w:fill="8EAADB" w:themeFill="accent1" w:themeFillTint="99"/>
            <w:vAlign w:val="center"/>
          </w:tcPr>
          <w:p w14:paraId="2448D384" w14:textId="0EC06C5A"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Exploratoire</w:t>
            </w:r>
          </w:p>
        </w:tc>
        <w:tc>
          <w:tcPr>
            <w:tcW w:w="1227" w:type="dxa"/>
            <w:gridSpan w:val="2"/>
            <w:shd w:val="clear" w:color="auto" w:fill="2F5496" w:themeFill="accent1" w:themeFillShade="BF"/>
            <w:vAlign w:val="center"/>
          </w:tcPr>
          <w:p w14:paraId="18E73AEF" w14:textId="32BE6421" w:rsidR="00DD5E07" w:rsidRPr="00055B11" w:rsidRDefault="00C74078" w:rsidP="00DD5E07">
            <w:pPr>
              <w:jc w:val="center"/>
              <w:rPr>
                <w:rFonts w:asciiTheme="majorHAnsi" w:hAnsiTheme="majorHAnsi" w:cstheme="majorHAnsi"/>
                <w:b/>
                <w:bCs/>
                <w:color w:val="FFFFFF" w:themeColor="background1"/>
                <w:sz w:val="20"/>
                <w:szCs w:val="20"/>
              </w:rPr>
            </w:pPr>
            <w:r w:rsidRPr="00055B11">
              <w:rPr>
                <w:rFonts w:asciiTheme="majorHAnsi" w:hAnsiTheme="majorHAnsi" w:cstheme="majorHAnsi"/>
                <w:b/>
                <w:color w:val="FFFFFF" w:themeColor="background1"/>
                <w:sz w:val="20"/>
                <w:szCs w:val="20"/>
                <w:lang w:val="fr-FR" w:bidi="fr-FR"/>
              </w:rPr>
              <w:t>Ouvert</w:t>
            </w:r>
          </w:p>
        </w:tc>
        <w:tc>
          <w:tcPr>
            <w:tcW w:w="1228" w:type="dxa"/>
            <w:gridSpan w:val="2"/>
            <w:shd w:val="clear" w:color="auto" w:fill="2F5496" w:themeFill="accent1" w:themeFillShade="BF"/>
            <w:vAlign w:val="center"/>
          </w:tcPr>
          <w:p w14:paraId="79CC9D57" w14:textId="2513BE08" w:rsidR="00DD5E07" w:rsidRPr="00055B11" w:rsidRDefault="00C74078" w:rsidP="00DD5E07">
            <w:pPr>
              <w:jc w:val="center"/>
              <w:rPr>
                <w:rFonts w:asciiTheme="majorHAnsi" w:hAnsiTheme="majorHAnsi" w:cstheme="majorHAnsi"/>
                <w:color w:val="FFFFFF" w:themeColor="background1"/>
                <w:sz w:val="20"/>
                <w:szCs w:val="20"/>
              </w:rPr>
            </w:pPr>
            <w:r w:rsidRPr="00055B11">
              <w:rPr>
                <w:rFonts w:asciiTheme="majorHAnsi" w:hAnsiTheme="majorHAnsi" w:cstheme="majorHAnsi"/>
                <w:b/>
                <w:color w:val="FFFFFF" w:themeColor="background1"/>
                <w:sz w:val="20"/>
                <w:szCs w:val="20"/>
                <w:lang w:val="fr-FR" w:bidi="fr-FR"/>
              </w:rPr>
              <w:t>Ouvert</w:t>
            </w:r>
          </w:p>
        </w:tc>
        <w:tc>
          <w:tcPr>
            <w:tcW w:w="1228" w:type="dxa"/>
            <w:shd w:val="clear" w:color="auto" w:fill="1F3864" w:themeFill="accent1" w:themeFillShade="80"/>
            <w:vAlign w:val="center"/>
          </w:tcPr>
          <w:p w14:paraId="39BD0D7D" w14:textId="20C0320D"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Actif</w:t>
            </w:r>
          </w:p>
        </w:tc>
      </w:tr>
      <w:tr w:rsidR="003C4D56" w:rsidRPr="00055B11" w14:paraId="1F0B44B5" w14:textId="77777777" w:rsidTr="003C4D56">
        <w:trPr>
          <w:cantSplit/>
          <w:trHeight w:val="992"/>
          <w:jc w:val="center"/>
        </w:trPr>
        <w:tc>
          <w:tcPr>
            <w:tcW w:w="907" w:type="dxa"/>
            <w:vMerge/>
          </w:tcPr>
          <w:p w14:paraId="47202DF5" w14:textId="77777777" w:rsidR="00DD5E07" w:rsidRPr="00055B11" w:rsidRDefault="00DD5E07" w:rsidP="00DD5E07">
            <w:pPr>
              <w:jc w:val="center"/>
              <w:rPr>
                <w:rFonts w:asciiTheme="majorHAnsi" w:hAnsiTheme="majorHAnsi" w:cstheme="majorHAnsi"/>
                <w:b/>
                <w:bCs/>
                <w:sz w:val="20"/>
                <w:szCs w:val="20"/>
              </w:rPr>
            </w:pPr>
          </w:p>
        </w:tc>
        <w:tc>
          <w:tcPr>
            <w:tcW w:w="907" w:type="dxa"/>
            <w:vAlign w:val="center"/>
          </w:tcPr>
          <w:p w14:paraId="4014C62A" w14:textId="5269FD1D"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3</w:t>
            </w:r>
          </w:p>
        </w:tc>
        <w:tc>
          <w:tcPr>
            <w:tcW w:w="1227" w:type="dxa"/>
            <w:shd w:val="clear" w:color="auto" w:fill="B4C6E7" w:themeFill="accent1" w:themeFillTint="66"/>
            <w:vAlign w:val="center"/>
          </w:tcPr>
          <w:p w14:paraId="7803133E" w14:textId="7A2570AC" w:rsidR="00DD5E07" w:rsidRPr="00055B11" w:rsidRDefault="00C74078" w:rsidP="00C74078">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Prudent</w:t>
            </w:r>
          </w:p>
        </w:tc>
        <w:tc>
          <w:tcPr>
            <w:tcW w:w="1228" w:type="dxa"/>
            <w:gridSpan w:val="2"/>
            <w:shd w:val="clear" w:color="auto" w:fill="8EAADB" w:themeFill="accent1" w:themeFillTint="99"/>
            <w:vAlign w:val="center"/>
          </w:tcPr>
          <w:p w14:paraId="2906377F" w14:textId="07096E7F"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Exploratoire</w:t>
            </w:r>
          </w:p>
        </w:tc>
        <w:tc>
          <w:tcPr>
            <w:tcW w:w="1227" w:type="dxa"/>
            <w:gridSpan w:val="2"/>
            <w:shd w:val="clear" w:color="auto" w:fill="8EAADB" w:themeFill="accent1" w:themeFillTint="99"/>
            <w:vAlign w:val="center"/>
          </w:tcPr>
          <w:p w14:paraId="6E8BD448" w14:textId="0FE0C1A6"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Exploratoire</w:t>
            </w:r>
          </w:p>
        </w:tc>
        <w:tc>
          <w:tcPr>
            <w:tcW w:w="1228" w:type="dxa"/>
            <w:gridSpan w:val="2"/>
            <w:shd w:val="clear" w:color="auto" w:fill="8EAADB" w:themeFill="accent1" w:themeFillTint="99"/>
            <w:vAlign w:val="center"/>
          </w:tcPr>
          <w:p w14:paraId="055BC37F" w14:textId="3C71CA08"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Exploratoire</w:t>
            </w:r>
          </w:p>
        </w:tc>
        <w:tc>
          <w:tcPr>
            <w:tcW w:w="1228" w:type="dxa"/>
            <w:shd w:val="clear" w:color="auto" w:fill="2F5496" w:themeFill="accent1" w:themeFillShade="BF"/>
            <w:vAlign w:val="center"/>
          </w:tcPr>
          <w:p w14:paraId="2C67A3FF" w14:textId="016E0F01" w:rsidR="00DD5E07" w:rsidRPr="00055B11" w:rsidRDefault="00C74078" w:rsidP="00DD5E07">
            <w:pPr>
              <w:jc w:val="center"/>
              <w:rPr>
                <w:rFonts w:asciiTheme="majorHAnsi" w:hAnsiTheme="majorHAnsi" w:cstheme="majorHAnsi"/>
                <w:color w:val="FFFFFF" w:themeColor="background1"/>
                <w:sz w:val="20"/>
                <w:szCs w:val="20"/>
              </w:rPr>
            </w:pPr>
            <w:r w:rsidRPr="00055B11">
              <w:rPr>
                <w:rFonts w:asciiTheme="majorHAnsi" w:hAnsiTheme="majorHAnsi" w:cstheme="majorHAnsi"/>
                <w:b/>
                <w:color w:val="FFFFFF" w:themeColor="background1"/>
                <w:sz w:val="20"/>
                <w:szCs w:val="20"/>
                <w:lang w:val="fr-FR" w:bidi="fr-FR"/>
              </w:rPr>
              <w:t>Ouvert</w:t>
            </w:r>
          </w:p>
        </w:tc>
      </w:tr>
      <w:tr w:rsidR="003C4D56" w:rsidRPr="00055B11" w14:paraId="4EA7B242" w14:textId="77777777" w:rsidTr="003C4D56">
        <w:trPr>
          <w:cantSplit/>
          <w:trHeight w:val="992"/>
          <w:jc w:val="center"/>
        </w:trPr>
        <w:tc>
          <w:tcPr>
            <w:tcW w:w="907" w:type="dxa"/>
            <w:vMerge/>
          </w:tcPr>
          <w:p w14:paraId="03168023" w14:textId="77777777" w:rsidR="00DD5E07" w:rsidRPr="00055B11" w:rsidRDefault="00DD5E07" w:rsidP="00DD5E07">
            <w:pPr>
              <w:jc w:val="center"/>
              <w:rPr>
                <w:rFonts w:asciiTheme="majorHAnsi" w:hAnsiTheme="majorHAnsi" w:cstheme="majorHAnsi"/>
                <w:b/>
                <w:bCs/>
                <w:sz w:val="20"/>
                <w:szCs w:val="20"/>
              </w:rPr>
            </w:pPr>
          </w:p>
        </w:tc>
        <w:tc>
          <w:tcPr>
            <w:tcW w:w="907" w:type="dxa"/>
            <w:vAlign w:val="center"/>
          </w:tcPr>
          <w:p w14:paraId="0E5789C8" w14:textId="388FE37A"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2</w:t>
            </w:r>
          </w:p>
        </w:tc>
        <w:tc>
          <w:tcPr>
            <w:tcW w:w="1227" w:type="dxa"/>
            <w:shd w:val="clear" w:color="auto" w:fill="B4C6E7" w:themeFill="accent1" w:themeFillTint="66"/>
            <w:vAlign w:val="center"/>
          </w:tcPr>
          <w:p w14:paraId="4F4D6FB5" w14:textId="43B49A42" w:rsidR="00DD5E07" w:rsidRPr="00055B11" w:rsidRDefault="00C74078"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Minimum</w:t>
            </w:r>
          </w:p>
        </w:tc>
        <w:tc>
          <w:tcPr>
            <w:tcW w:w="1228" w:type="dxa"/>
            <w:gridSpan w:val="2"/>
            <w:shd w:val="clear" w:color="auto" w:fill="B4C6E7" w:themeFill="accent1" w:themeFillTint="66"/>
            <w:vAlign w:val="center"/>
          </w:tcPr>
          <w:p w14:paraId="68C3597A" w14:textId="4DE77E8A"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Minimum</w:t>
            </w:r>
          </w:p>
        </w:tc>
        <w:tc>
          <w:tcPr>
            <w:tcW w:w="1227" w:type="dxa"/>
            <w:gridSpan w:val="2"/>
            <w:shd w:val="clear" w:color="auto" w:fill="B4C6E7" w:themeFill="accent1" w:themeFillTint="66"/>
            <w:vAlign w:val="center"/>
          </w:tcPr>
          <w:p w14:paraId="294C9EA6" w14:textId="0960678E"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Prudent</w:t>
            </w:r>
          </w:p>
        </w:tc>
        <w:tc>
          <w:tcPr>
            <w:tcW w:w="1228" w:type="dxa"/>
            <w:gridSpan w:val="2"/>
            <w:shd w:val="clear" w:color="auto" w:fill="8EAADB" w:themeFill="accent1" w:themeFillTint="99"/>
            <w:vAlign w:val="center"/>
          </w:tcPr>
          <w:p w14:paraId="7B6F0D69" w14:textId="74606EBE"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Exploratoire</w:t>
            </w:r>
          </w:p>
        </w:tc>
        <w:tc>
          <w:tcPr>
            <w:tcW w:w="1228" w:type="dxa"/>
            <w:shd w:val="clear" w:color="auto" w:fill="8EAADB" w:themeFill="accent1" w:themeFillTint="99"/>
            <w:vAlign w:val="center"/>
          </w:tcPr>
          <w:p w14:paraId="6E625D71" w14:textId="3285670F"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Exploratoire</w:t>
            </w:r>
          </w:p>
        </w:tc>
      </w:tr>
      <w:tr w:rsidR="003C4D56" w:rsidRPr="00055B11" w14:paraId="1F3D1032" w14:textId="77777777" w:rsidTr="003C4D56">
        <w:trPr>
          <w:cantSplit/>
          <w:trHeight w:val="992"/>
          <w:jc w:val="center"/>
        </w:trPr>
        <w:tc>
          <w:tcPr>
            <w:tcW w:w="907" w:type="dxa"/>
            <w:vMerge/>
            <w:tcBorders>
              <w:bottom w:val="single" w:sz="4" w:space="0" w:color="auto"/>
            </w:tcBorders>
          </w:tcPr>
          <w:p w14:paraId="245EEB97" w14:textId="77777777" w:rsidR="00DD5E07" w:rsidRPr="00055B11" w:rsidRDefault="00DD5E07" w:rsidP="00DD5E07">
            <w:pPr>
              <w:jc w:val="center"/>
              <w:rPr>
                <w:rFonts w:asciiTheme="majorHAnsi" w:hAnsiTheme="majorHAnsi" w:cstheme="majorHAnsi"/>
                <w:b/>
                <w:bCs/>
                <w:sz w:val="20"/>
                <w:szCs w:val="20"/>
              </w:rPr>
            </w:pPr>
          </w:p>
        </w:tc>
        <w:tc>
          <w:tcPr>
            <w:tcW w:w="907" w:type="dxa"/>
            <w:tcBorders>
              <w:bottom w:val="single" w:sz="4" w:space="0" w:color="auto"/>
            </w:tcBorders>
            <w:vAlign w:val="center"/>
          </w:tcPr>
          <w:p w14:paraId="126E71B6" w14:textId="113E76C4"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1</w:t>
            </w:r>
          </w:p>
        </w:tc>
        <w:tc>
          <w:tcPr>
            <w:tcW w:w="1227" w:type="dxa"/>
            <w:shd w:val="clear" w:color="auto" w:fill="B4C6E7" w:themeFill="accent1" w:themeFillTint="66"/>
            <w:vAlign w:val="center"/>
          </w:tcPr>
          <w:p w14:paraId="320CFD87" w14:textId="08907456"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Minimum</w:t>
            </w:r>
          </w:p>
        </w:tc>
        <w:tc>
          <w:tcPr>
            <w:tcW w:w="1228" w:type="dxa"/>
            <w:gridSpan w:val="2"/>
            <w:shd w:val="clear" w:color="auto" w:fill="B4C6E7" w:themeFill="accent1" w:themeFillTint="66"/>
            <w:vAlign w:val="center"/>
          </w:tcPr>
          <w:p w14:paraId="3766F68A" w14:textId="44EE6473"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Minimum</w:t>
            </w:r>
          </w:p>
        </w:tc>
        <w:tc>
          <w:tcPr>
            <w:tcW w:w="1227" w:type="dxa"/>
            <w:gridSpan w:val="2"/>
            <w:shd w:val="clear" w:color="auto" w:fill="B4C6E7" w:themeFill="accent1" w:themeFillTint="66"/>
            <w:vAlign w:val="center"/>
          </w:tcPr>
          <w:p w14:paraId="040CE574" w14:textId="527169CF"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Prudent</w:t>
            </w:r>
          </w:p>
        </w:tc>
        <w:tc>
          <w:tcPr>
            <w:tcW w:w="1228" w:type="dxa"/>
            <w:gridSpan w:val="2"/>
            <w:shd w:val="clear" w:color="auto" w:fill="B4C6E7" w:themeFill="accent1" w:themeFillTint="66"/>
            <w:vAlign w:val="center"/>
          </w:tcPr>
          <w:p w14:paraId="7DCB3408" w14:textId="63F4FF04"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Prudent</w:t>
            </w:r>
          </w:p>
        </w:tc>
        <w:tc>
          <w:tcPr>
            <w:tcW w:w="1228" w:type="dxa"/>
            <w:shd w:val="clear" w:color="auto" w:fill="B4C6E7" w:themeFill="accent1" w:themeFillTint="66"/>
            <w:vAlign w:val="center"/>
          </w:tcPr>
          <w:p w14:paraId="77980D24" w14:textId="48E82DF8" w:rsidR="00DD5E07" w:rsidRPr="00055B11" w:rsidRDefault="00C74078" w:rsidP="00DD5E07">
            <w:pPr>
              <w:jc w:val="center"/>
              <w:rPr>
                <w:rFonts w:asciiTheme="majorHAnsi" w:hAnsiTheme="majorHAnsi" w:cstheme="majorHAnsi"/>
                <w:sz w:val="20"/>
                <w:szCs w:val="20"/>
              </w:rPr>
            </w:pPr>
            <w:r w:rsidRPr="00055B11">
              <w:rPr>
                <w:rFonts w:asciiTheme="majorHAnsi" w:hAnsiTheme="majorHAnsi" w:cstheme="majorHAnsi"/>
                <w:b/>
                <w:sz w:val="20"/>
                <w:szCs w:val="20"/>
                <w:lang w:val="fr-FR" w:bidi="fr-FR"/>
              </w:rPr>
              <w:t>Prudent</w:t>
            </w:r>
          </w:p>
        </w:tc>
      </w:tr>
      <w:tr w:rsidR="003C4D56" w:rsidRPr="00055B11" w14:paraId="74E441B3" w14:textId="77777777" w:rsidTr="003C4D56">
        <w:trPr>
          <w:trHeight w:val="737"/>
          <w:jc w:val="center"/>
        </w:trPr>
        <w:tc>
          <w:tcPr>
            <w:tcW w:w="907" w:type="dxa"/>
            <w:tcBorders>
              <w:top w:val="single" w:sz="4" w:space="0" w:color="auto"/>
              <w:left w:val="nil"/>
              <w:bottom w:val="nil"/>
              <w:right w:val="nil"/>
            </w:tcBorders>
          </w:tcPr>
          <w:p w14:paraId="2CA05339" w14:textId="77777777" w:rsidR="00DD5E07" w:rsidRPr="00055B11" w:rsidRDefault="00DD5E07" w:rsidP="00DD5E07">
            <w:pPr>
              <w:jc w:val="center"/>
              <w:rPr>
                <w:rFonts w:asciiTheme="majorHAnsi" w:hAnsiTheme="majorHAnsi" w:cstheme="majorHAnsi"/>
                <w:b/>
                <w:bCs/>
                <w:sz w:val="20"/>
                <w:szCs w:val="20"/>
              </w:rPr>
            </w:pPr>
          </w:p>
        </w:tc>
        <w:tc>
          <w:tcPr>
            <w:tcW w:w="907" w:type="dxa"/>
            <w:tcBorders>
              <w:left w:val="nil"/>
              <w:bottom w:val="nil"/>
            </w:tcBorders>
            <w:vAlign w:val="center"/>
          </w:tcPr>
          <w:p w14:paraId="04A31A38" w14:textId="6880B4AE" w:rsidR="00DD5E07" w:rsidRPr="00055B11" w:rsidRDefault="00DD5E07" w:rsidP="00DD5E07">
            <w:pPr>
              <w:jc w:val="center"/>
              <w:rPr>
                <w:rFonts w:asciiTheme="majorHAnsi" w:hAnsiTheme="majorHAnsi" w:cstheme="majorHAnsi"/>
                <w:b/>
                <w:bCs/>
                <w:sz w:val="20"/>
                <w:szCs w:val="20"/>
              </w:rPr>
            </w:pPr>
          </w:p>
        </w:tc>
        <w:tc>
          <w:tcPr>
            <w:tcW w:w="1227" w:type="dxa"/>
            <w:vAlign w:val="center"/>
          </w:tcPr>
          <w:p w14:paraId="003197D6" w14:textId="6DA94C37"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1</w:t>
            </w:r>
          </w:p>
        </w:tc>
        <w:tc>
          <w:tcPr>
            <w:tcW w:w="1228" w:type="dxa"/>
            <w:gridSpan w:val="2"/>
            <w:vAlign w:val="center"/>
          </w:tcPr>
          <w:p w14:paraId="099A96C8" w14:textId="12DDD2EB"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2</w:t>
            </w:r>
          </w:p>
        </w:tc>
        <w:tc>
          <w:tcPr>
            <w:tcW w:w="1227" w:type="dxa"/>
            <w:gridSpan w:val="2"/>
            <w:vAlign w:val="center"/>
          </w:tcPr>
          <w:p w14:paraId="0A972651" w14:textId="62F13B70"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3</w:t>
            </w:r>
          </w:p>
        </w:tc>
        <w:tc>
          <w:tcPr>
            <w:tcW w:w="1228" w:type="dxa"/>
            <w:gridSpan w:val="2"/>
            <w:vAlign w:val="center"/>
          </w:tcPr>
          <w:p w14:paraId="63A5A0FE" w14:textId="5B822F1F"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4</w:t>
            </w:r>
          </w:p>
        </w:tc>
        <w:tc>
          <w:tcPr>
            <w:tcW w:w="1228" w:type="dxa"/>
            <w:vAlign w:val="center"/>
          </w:tcPr>
          <w:p w14:paraId="641E2E54" w14:textId="2C56A6A2"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5</w:t>
            </w:r>
          </w:p>
        </w:tc>
      </w:tr>
      <w:tr w:rsidR="00C74078" w:rsidRPr="00055B11" w14:paraId="02F56937" w14:textId="77777777" w:rsidTr="003C4D56">
        <w:trPr>
          <w:trHeight w:val="737"/>
          <w:jc w:val="center"/>
        </w:trPr>
        <w:tc>
          <w:tcPr>
            <w:tcW w:w="907" w:type="dxa"/>
            <w:tcBorders>
              <w:top w:val="nil"/>
              <w:left w:val="nil"/>
              <w:bottom w:val="nil"/>
              <w:right w:val="nil"/>
            </w:tcBorders>
          </w:tcPr>
          <w:p w14:paraId="4CECA09B" w14:textId="77777777" w:rsidR="00DD5E07" w:rsidRPr="00055B11" w:rsidRDefault="00DD5E07" w:rsidP="00DD5E07">
            <w:pPr>
              <w:jc w:val="center"/>
              <w:rPr>
                <w:rFonts w:asciiTheme="majorHAnsi" w:hAnsiTheme="majorHAnsi" w:cstheme="majorHAnsi"/>
                <w:b/>
                <w:bCs/>
                <w:sz w:val="20"/>
                <w:szCs w:val="20"/>
              </w:rPr>
            </w:pPr>
          </w:p>
        </w:tc>
        <w:tc>
          <w:tcPr>
            <w:tcW w:w="907" w:type="dxa"/>
            <w:tcBorders>
              <w:top w:val="nil"/>
              <w:left w:val="nil"/>
              <w:bottom w:val="nil"/>
            </w:tcBorders>
            <w:vAlign w:val="center"/>
          </w:tcPr>
          <w:p w14:paraId="2CDA48DE" w14:textId="77777777" w:rsidR="00DD5E07" w:rsidRPr="00055B11" w:rsidRDefault="00DD5E07" w:rsidP="00DD5E07">
            <w:pPr>
              <w:jc w:val="center"/>
              <w:rPr>
                <w:rFonts w:asciiTheme="majorHAnsi" w:hAnsiTheme="majorHAnsi" w:cstheme="majorHAnsi"/>
                <w:b/>
                <w:bCs/>
                <w:sz w:val="20"/>
                <w:szCs w:val="20"/>
              </w:rPr>
            </w:pPr>
          </w:p>
        </w:tc>
        <w:tc>
          <w:tcPr>
            <w:tcW w:w="6138" w:type="dxa"/>
            <w:gridSpan w:val="8"/>
            <w:tcBorders>
              <w:bottom w:val="single" w:sz="4" w:space="0" w:color="auto"/>
            </w:tcBorders>
            <w:vAlign w:val="center"/>
          </w:tcPr>
          <w:p w14:paraId="68A0FC21" w14:textId="020258A1" w:rsidR="00DD5E07" w:rsidRPr="00055B11" w:rsidRDefault="00DD5E07"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Probabilité</w:t>
            </w:r>
          </w:p>
        </w:tc>
      </w:tr>
      <w:tr w:rsidR="00C74078" w:rsidRPr="00055B11" w14:paraId="7001D847" w14:textId="77777777" w:rsidTr="003C4D56">
        <w:trPr>
          <w:trHeight w:val="242"/>
          <w:jc w:val="center"/>
        </w:trPr>
        <w:tc>
          <w:tcPr>
            <w:tcW w:w="907" w:type="dxa"/>
            <w:tcBorders>
              <w:top w:val="nil"/>
              <w:left w:val="nil"/>
              <w:bottom w:val="nil"/>
              <w:right w:val="nil"/>
            </w:tcBorders>
          </w:tcPr>
          <w:p w14:paraId="7E1ECCE7" w14:textId="77777777" w:rsidR="00C74078" w:rsidRPr="00055B11" w:rsidRDefault="00C74078" w:rsidP="00DD5E07">
            <w:pPr>
              <w:jc w:val="center"/>
              <w:rPr>
                <w:rFonts w:asciiTheme="majorHAnsi" w:hAnsiTheme="majorHAnsi" w:cstheme="majorHAnsi"/>
                <w:b/>
                <w:bCs/>
                <w:sz w:val="20"/>
                <w:szCs w:val="20"/>
              </w:rPr>
            </w:pPr>
          </w:p>
        </w:tc>
        <w:tc>
          <w:tcPr>
            <w:tcW w:w="907" w:type="dxa"/>
            <w:tcBorders>
              <w:top w:val="nil"/>
              <w:left w:val="nil"/>
              <w:bottom w:val="nil"/>
              <w:right w:val="nil"/>
            </w:tcBorders>
            <w:vAlign w:val="center"/>
          </w:tcPr>
          <w:p w14:paraId="7EA7C89E" w14:textId="77777777" w:rsidR="00C74078" w:rsidRPr="00055B11" w:rsidRDefault="00C74078" w:rsidP="00DD5E07">
            <w:pPr>
              <w:jc w:val="center"/>
              <w:rPr>
                <w:rFonts w:asciiTheme="majorHAnsi" w:hAnsiTheme="majorHAnsi" w:cstheme="majorHAnsi"/>
                <w:b/>
                <w:bCs/>
                <w:sz w:val="20"/>
                <w:szCs w:val="20"/>
              </w:rPr>
            </w:pPr>
          </w:p>
        </w:tc>
        <w:tc>
          <w:tcPr>
            <w:tcW w:w="6138" w:type="dxa"/>
            <w:gridSpan w:val="8"/>
            <w:tcBorders>
              <w:left w:val="nil"/>
              <w:right w:val="nil"/>
            </w:tcBorders>
            <w:vAlign w:val="center"/>
          </w:tcPr>
          <w:p w14:paraId="05C84B6A" w14:textId="0365458C" w:rsidR="00C74078" w:rsidRPr="00055B11" w:rsidRDefault="00C74078" w:rsidP="00CE4B30">
            <w:pPr>
              <w:rPr>
                <w:rFonts w:asciiTheme="majorHAnsi" w:hAnsiTheme="majorHAnsi" w:cstheme="majorHAnsi"/>
                <w:b/>
                <w:bCs/>
                <w:sz w:val="20"/>
                <w:szCs w:val="20"/>
              </w:rPr>
            </w:pPr>
          </w:p>
        </w:tc>
      </w:tr>
      <w:tr w:rsidR="00CE4B30" w:rsidRPr="00055B11" w14:paraId="6C4EA881" w14:textId="77777777" w:rsidTr="003C4D56">
        <w:trPr>
          <w:trHeight w:val="737"/>
          <w:jc w:val="center"/>
        </w:trPr>
        <w:tc>
          <w:tcPr>
            <w:tcW w:w="1814" w:type="dxa"/>
            <w:gridSpan w:val="2"/>
            <w:tcBorders>
              <w:top w:val="nil"/>
              <w:left w:val="nil"/>
              <w:bottom w:val="nil"/>
            </w:tcBorders>
            <w:vAlign w:val="center"/>
          </w:tcPr>
          <w:p w14:paraId="1EEB5298" w14:textId="276D022A" w:rsidR="00CE4B30" w:rsidRPr="00055B11" w:rsidRDefault="00CE4B30" w:rsidP="00CE4B30">
            <w:pPr>
              <w:rPr>
                <w:rFonts w:asciiTheme="majorHAnsi" w:hAnsiTheme="majorHAnsi" w:cstheme="majorHAnsi"/>
                <w:b/>
                <w:bCs/>
                <w:sz w:val="20"/>
                <w:szCs w:val="20"/>
              </w:rPr>
            </w:pPr>
            <w:r w:rsidRPr="00055B11">
              <w:rPr>
                <w:rFonts w:asciiTheme="majorHAnsi" w:hAnsiTheme="majorHAnsi" w:cstheme="majorHAnsi"/>
                <w:b/>
                <w:sz w:val="20"/>
                <w:szCs w:val="20"/>
                <w:lang w:val="fr-FR" w:bidi="fr-FR"/>
              </w:rPr>
              <w:t>Importance du risque</w:t>
            </w:r>
          </w:p>
        </w:tc>
        <w:tc>
          <w:tcPr>
            <w:tcW w:w="1534" w:type="dxa"/>
            <w:gridSpan w:val="2"/>
            <w:shd w:val="clear" w:color="auto" w:fill="B4C6E7" w:themeFill="accent1" w:themeFillTint="66"/>
            <w:vAlign w:val="center"/>
          </w:tcPr>
          <w:p w14:paraId="5181FFF5" w14:textId="4856495A" w:rsidR="00CE4B30" w:rsidRPr="00055B11" w:rsidRDefault="00CE4B30"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Faible</w:t>
            </w:r>
          </w:p>
        </w:tc>
        <w:tc>
          <w:tcPr>
            <w:tcW w:w="1535" w:type="dxa"/>
            <w:gridSpan w:val="2"/>
            <w:shd w:val="clear" w:color="auto" w:fill="8EAADB" w:themeFill="accent1" w:themeFillTint="99"/>
            <w:vAlign w:val="center"/>
          </w:tcPr>
          <w:p w14:paraId="034547DA" w14:textId="7B62942D" w:rsidR="00CE4B30" w:rsidRPr="00055B11" w:rsidRDefault="00CE4B30" w:rsidP="00DD5E07">
            <w:pPr>
              <w:jc w:val="center"/>
              <w:rPr>
                <w:rFonts w:asciiTheme="majorHAnsi" w:hAnsiTheme="majorHAnsi" w:cstheme="majorHAnsi"/>
                <w:b/>
                <w:bCs/>
                <w:sz w:val="20"/>
                <w:szCs w:val="20"/>
              </w:rPr>
            </w:pPr>
            <w:r w:rsidRPr="00055B11">
              <w:rPr>
                <w:rFonts w:asciiTheme="majorHAnsi" w:hAnsiTheme="majorHAnsi" w:cstheme="majorHAnsi"/>
                <w:b/>
                <w:sz w:val="20"/>
                <w:szCs w:val="20"/>
                <w:lang w:val="fr-FR" w:bidi="fr-FR"/>
              </w:rPr>
              <w:t>Modéré</w:t>
            </w:r>
          </w:p>
        </w:tc>
        <w:tc>
          <w:tcPr>
            <w:tcW w:w="1534" w:type="dxa"/>
            <w:gridSpan w:val="2"/>
            <w:shd w:val="clear" w:color="auto" w:fill="2F5496" w:themeFill="accent1" w:themeFillShade="BF"/>
            <w:vAlign w:val="center"/>
          </w:tcPr>
          <w:p w14:paraId="13E2349D" w14:textId="45401385" w:rsidR="00CE4B30" w:rsidRPr="00055B11" w:rsidRDefault="00CE4B30" w:rsidP="00DD5E07">
            <w:pPr>
              <w:jc w:val="center"/>
              <w:rPr>
                <w:rFonts w:asciiTheme="majorHAnsi" w:hAnsiTheme="majorHAnsi" w:cstheme="majorHAnsi"/>
                <w:b/>
                <w:bCs/>
                <w:color w:val="FFFFFF" w:themeColor="background1"/>
                <w:sz w:val="20"/>
                <w:szCs w:val="20"/>
              </w:rPr>
            </w:pPr>
            <w:r w:rsidRPr="00055B11">
              <w:rPr>
                <w:rFonts w:asciiTheme="majorHAnsi" w:hAnsiTheme="majorHAnsi" w:cstheme="majorHAnsi"/>
                <w:b/>
                <w:color w:val="FFFFFF" w:themeColor="background1"/>
                <w:sz w:val="20"/>
                <w:szCs w:val="20"/>
                <w:lang w:val="fr-FR" w:bidi="fr-FR"/>
              </w:rPr>
              <w:t>Significatif</w:t>
            </w:r>
          </w:p>
        </w:tc>
        <w:tc>
          <w:tcPr>
            <w:tcW w:w="1535" w:type="dxa"/>
            <w:gridSpan w:val="2"/>
            <w:shd w:val="clear" w:color="auto" w:fill="1F3864" w:themeFill="accent1" w:themeFillShade="80"/>
            <w:vAlign w:val="center"/>
          </w:tcPr>
          <w:p w14:paraId="44CC4A64" w14:textId="7F3823D5" w:rsidR="00CE4B30" w:rsidRPr="00055B11" w:rsidRDefault="00CE4B30" w:rsidP="00DD5E07">
            <w:pPr>
              <w:jc w:val="center"/>
              <w:rPr>
                <w:rFonts w:asciiTheme="majorHAnsi" w:hAnsiTheme="majorHAnsi" w:cstheme="majorHAnsi"/>
                <w:b/>
                <w:bCs/>
                <w:color w:val="FFFFFF" w:themeColor="background1"/>
                <w:sz w:val="20"/>
                <w:szCs w:val="20"/>
              </w:rPr>
            </w:pPr>
            <w:r w:rsidRPr="00055B11">
              <w:rPr>
                <w:rFonts w:asciiTheme="majorHAnsi" w:hAnsiTheme="majorHAnsi" w:cstheme="majorHAnsi"/>
                <w:b/>
                <w:color w:val="FFFFFF" w:themeColor="background1"/>
                <w:sz w:val="20"/>
                <w:szCs w:val="20"/>
                <w:lang w:val="fr-FR" w:bidi="fr-FR"/>
              </w:rPr>
              <w:t>Élevé</w:t>
            </w:r>
          </w:p>
        </w:tc>
      </w:tr>
    </w:tbl>
    <w:p w14:paraId="38F49D48" w14:textId="26505CB1" w:rsidR="001E7406" w:rsidRDefault="001E7406" w:rsidP="001E7406"/>
    <w:p w14:paraId="630A17F8" w14:textId="77777777" w:rsidR="0027133B" w:rsidRDefault="0027133B" w:rsidP="0027133B">
      <w:pPr>
        <w:pStyle w:val="Heading1"/>
        <w:sectPr w:rsidR="0027133B" w:rsidSect="001A0160">
          <w:pgSz w:w="12240" w:h="15840"/>
          <w:pgMar w:top="1440" w:right="1440" w:bottom="1440" w:left="1440" w:header="720" w:footer="720" w:gutter="0"/>
          <w:cols w:space="720"/>
          <w:docGrid w:linePitch="360"/>
        </w:sectPr>
      </w:pPr>
    </w:p>
    <w:p w14:paraId="6994D620" w14:textId="199B9CFE" w:rsidR="00441407" w:rsidRPr="001C09DF" w:rsidRDefault="00441407" w:rsidP="00441407">
      <w:pPr>
        <w:pStyle w:val="Heading1"/>
        <w:rPr>
          <w:lang w:val="fr-FR"/>
        </w:rPr>
      </w:pPr>
      <w:bookmarkStart w:id="12" w:name="_Toc157419460"/>
      <w:r>
        <w:rPr>
          <w:lang w:val="fr-FR" w:bidi="fr-FR"/>
        </w:rPr>
        <w:lastRenderedPageBreak/>
        <w:t>Annexe 4 : Synthèse de l</w:t>
      </w:r>
      <w:r w:rsidR="001C09DF">
        <w:rPr>
          <w:lang w:val="fr-FR" w:bidi="fr-FR"/>
        </w:rPr>
        <w:t>’</w:t>
      </w:r>
      <w:r>
        <w:rPr>
          <w:lang w:val="fr-FR" w:bidi="fr-FR"/>
        </w:rPr>
        <w:t>appétit pour le risque</w:t>
      </w:r>
      <w:bookmarkEnd w:id="12"/>
    </w:p>
    <w:p w14:paraId="22042388" w14:textId="13D3E762" w:rsidR="00441407" w:rsidRPr="001C09DF" w:rsidRDefault="00441407" w:rsidP="001E7406">
      <w:pPr>
        <w:rPr>
          <w:lang w:val="fr-FR"/>
        </w:rPr>
      </w:pPr>
    </w:p>
    <w:tbl>
      <w:tblPr>
        <w:tblStyle w:val="TableGrid"/>
        <w:tblW w:w="0" w:type="auto"/>
        <w:tblLook w:val="04A0" w:firstRow="1" w:lastRow="0" w:firstColumn="1" w:lastColumn="0" w:noHBand="0" w:noVBand="1"/>
      </w:tblPr>
      <w:tblGrid>
        <w:gridCol w:w="2158"/>
        <w:gridCol w:w="2158"/>
        <w:gridCol w:w="2158"/>
        <w:gridCol w:w="2158"/>
        <w:gridCol w:w="2159"/>
        <w:gridCol w:w="2159"/>
      </w:tblGrid>
      <w:tr w:rsidR="00441407" w:rsidRPr="00594646" w14:paraId="4704345D" w14:textId="77777777" w:rsidTr="00E70A59">
        <w:trPr>
          <w:tblHeader/>
        </w:trPr>
        <w:tc>
          <w:tcPr>
            <w:tcW w:w="2158" w:type="dxa"/>
            <w:vAlign w:val="center"/>
          </w:tcPr>
          <w:p w14:paraId="63354931" w14:textId="77777777" w:rsidR="00441407" w:rsidRPr="001C09DF" w:rsidRDefault="00441407" w:rsidP="00E70A59">
            <w:pPr>
              <w:jc w:val="center"/>
              <w:rPr>
                <w:b/>
                <w:bCs/>
                <w:lang w:val="fr-FR"/>
              </w:rPr>
            </w:pPr>
          </w:p>
        </w:tc>
        <w:tc>
          <w:tcPr>
            <w:tcW w:w="2158" w:type="dxa"/>
            <w:vAlign w:val="center"/>
          </w:tcPr>
          <w:p w14:paraId="0E45C16F" w14:textId="77777777" w:rsidR="00441407" w:rsidRPr="00594646" w:rsidRDefault="00441407" w:rsidP="00E70A59">
            <w:pPr>
              <w:jc w:val="center"/>
              <w:rPr>
                <w:b/>
                <w:bCs/>
              </w:rPr>
            </w:pPr>
            <w:r>
              <w:rPr>
                <w:b/>
                <w:lang w:val="fr-FR" w:bidi="fr-FR"/>
              </w:rPr>
              <w:t>Minimum</w:t>
            </w:r>
          </w:p>
        </w:tc>
        <w:tc>
          <w:tcPr>
            <w:tcW w:w="2158" w:type="dxa"/>
            <w:vAlign w:val="center"/>
          </w:tcPr>
          <w:p w14:paraId="251A70A1" w14:textId="77777777" w:rsidR="00441407" w:rsidRPr="00594646" w:rsidRDefault="00441407" w:rsidP="00E70A59">
            <w:pPr>
              <w:jc w:val="center"/>
              <w:rPr>
                <w:b/>
                <w:bCs/>
              </w:rPr>
            </w:pPr>
            <w:r>
              <w:rPr>
                <w:b/>
                <w:lang w:val="fr-FR" w:bidi="fr-FR"/>
              </w:rPr>
              <w:t>Prudent</w:t>
            </w:r>
          </w:p>
        </w:tc>
        <w:tc>
          <w:tcPr>
            <w:tcW w:w="2158" w:type="dxa"/>
            <w:vAlign w:val="center"/>
          </w:tcPr>
          <w:p w14:paraId="025F97E6" w14:textId="77777777" w:rsidR="00441407" w:rsidRPr="00594646" w:rsidRDefault="00441407" w:rsidP="00E70A59">
            <w:pPr>
              <w:jc w:val="center"/>
              <w:rPr>
                <w:b/>
                <w:bCs/>
              </w:rPr>
            </w:pPr>
            <w:r>
              <w:rPr>
                <w:b/>
                <w:lang w:val="fr-FR" w:bidi="fr-FR"/>
              </w:rPr>
              <w:t>Exploratoire</w:t>
            </w:r>
          </w:p>
        </w:tc>
        <w:tc>
          <w:tcPr>
            <w:tcW w:w="2159" w:type="dxa"/>
            <w:vAlign w:val="center"/>
          </w:tcPr>
          <w:p w14:paraId="28530A01" w14:textId="77777777" w:rsidR="00441407" w:rsidRPr="00594646" w:rsidRDefault="00441407" w:rsidP="00E70A59">
            <w:pPr>
              <w:jc w:val="center"/>
              <w:rPr>
                <w:b/>
                <w:bCs/>
              </w:rPr>
            </w:pPr>
            <w:r>
              <w:rPr>
                <w:b/>
                <w:lang w:val="fr-FR" w:bidi="fr-FR"/>
              </w:rPr>
              <w:t>Ouvert</w:t>
            </w:r>
          </w:p>
        </w:tc>
        <w:tc>
          <w:tcPr>
            <w:tcW w:w="2159" w:type="dxa"/>
            <w:vAlign w:val="center"/>
          </w:tcPr>
          <w:p w14:paraId="14B38BBB" w14:textId="77777777" w:rsidR="00441407" w:rsidRPr="00594646" w:rsidRDefault="00441407" w:rsidP="00E70A59">
            <w:pPr>
              <w:jc w:val="center"/>
              <w:rPr>
                <w:b/>
                <w:bCs/>
              </w:rPr>
            </w:pPr>
            <w:r>
              <w:rPr>
                <w:b/>
                <w:lang w:val="fr-FR" w:bidi="fr-FR"/>
              </w:rPr>
              <w:t>Actif</w:t>
            </w:r>
          </w:p>
        </w:tc>
      </w:tr>
      <w:tr w:rsidR="00E7009B" w:rsidRPr="00B53004" w14:paraId="455F7F34" w14:textId="77777777" w:rsidTr="00E70A59">
        <w:tc>
          <w:tcPr>
            <w:tcW w:w="2158" w:type="dxa"/>
          </w:tcPr>
          <w:p w14:paraId="21893934" w14:textId="2C6F8BB5" w:rsidR="00E7009B" w:rsidRDefault="002077BB" w:rsidP="00E7009B">
            <w:r>
              <w:rPr>
                <w:lang w:val="fr-FR" w:bidi="fr-FR"/>
              </w:rPr>
              <w:t>1. Risque social et environnemental</w:t>
            </w:r>
          </w:p>
        </w:tc>
        <w:tc>
          <w:tcPr>
            <w:tcW w:w="2158" w:type="dxa"/>
          </w:tcPr>
          <w:p w14:paraId="2864316C" w14:textId="3948B47B" w:rsidR="00E7009B" w:rsidRPr="001C09DF" w:rsidRDefault="00E7009B" w:rsidP="00E7009B">
            <w:pPr>
              <w:rPr>
                <w:lang w:val="fr-FR"/>
              </w:rPr>
            </w:pPr>
            <w:r>
              <w:rPr>
                <w:lang w:val="fr-FR" w:bidi="fr-FR"/>
              </w:rPr>
              <w:t>Ne pas nuire, même petit préjudice pour le bien commun</w:t>
            </w:r>
          </w:p>
        </w:tc>
        <w:tc>
          <w:tcPr>
            <w:tcW w:w="2158" w:type="dxa"/>
            <w:shd w:val="clear" w:color="auto" w:fill="F2F2F2" w:themeFill="background1" w:themeFillShade="F2"/>
          </w:tcPr>
          <w:p w14:paraId="26C8B22F" w14:textId="1233918D" w:rsidR="00E7009B" w:rsidRPr="001C09DF" w:rsidRDefault="00E7009B" w:rsidP="00E7009B">
            <w:pPr>
              <w:rPr>
                <w:lang w:val="fr-FR"/>
              </w:rPr>
            </w:pPr>
            <w:r>
              <w:rPr>
                <w:lang w:val="fr-FR" w:bidi="fr-FR"/>
              </w:rPr>
              <w:t>Viser à ne pas nuire, mais préjudice mineur pour le bien commun toléré</w:t>
            </w:r>
          </w:p>
        </w:tc>
        <w:tc>
          <w:tcPr>
            <w:tcW w:w="2158" w:type="dxa"/>
          </w:tcPr>
          <w:p w14:paraId="7C688685" w14:textId="2BFD8B1E" w:rsidR="00E7009B" w:rsidRPr="001C09DF" w:rsidRDefault="00E7009B" w:rsidP="00E7009B">
            <w:pPr>
              <w:rPr>
                <w:lang w:val="fr-FR"/>
              </w:rPr>
            </w:pPr>
            <w:r>
              <w:rPr>
                <w:lang w:val="fr-FR" w:bidi="fr-FR"/>
              </w:rPr>
              <w:t>Viser à ne pas nuire, mais être préparé à prendre certains risques faibles pour explorer des idées innovantes</w:t>
            </w:r>
          </w:p>
        </w:tc>
        <w:tc>
          <w:tcPr>
            <w:tcW w:w="2159" w:type="dxa"/>
          </w:tcPr>
          <w:p w14:paraId="50FD872A" w14:textId="2F57BE5D" w:rsidR="00E7009B" w:rsidRPr="001C09DF" w:rsidRDefault="00E7009B" w:rsidP="00E7009B">
            <w:pPr>
              <w:rPr>
                <w:lang w:val="fr-FR"/>
              </w:rPr>
            </w:pPr>
            <w:r>
              <w:rPr>
                <w:lang w:val="fr-FR" w:bidi="fr-FR"/>
              </w:rPr>
              <w:t>Viser à ne pas nuire, mais être préparé à prendre des risques modérés pour explorer des idées innovantes</w:t>
            </w:r>
          </w:p>
        </w:tc>
        <w:tc>
          <w:tcPr>
            <w:tcW w:w="2159" w:type="dxa"/>
          </w:tcPr>
          <w:p w14:paraId="293730FF" w14:textId="53994720" w:rsidR="00E7009B" w:rsidRPr="001C09DF" w:rsidRDefault="00E7009B" w:rsidP="00E7009B">
            <w:pPr>
              <w:rPr>
                <w:lang w:val="fr-FR"/>
              </w:rPr>
            </w:pPr>
            <w:r>
              <w:rPr>
                <w:lang w:val="fr-FR" w:bidi="fr-FR"/>
              </w:rPr>
              <w:t>Viser à ne pas nuire, mais être préparé à prendre des risques importants si les bénéfices potentiels sont suffisamment intéressants</w:t>
            </w:r>
          </w:p>
        </w:tc>
      </w:tr>
      <w:tr w:rsidR="00E7009B" w14:paraId="4E63C197" w14:textId="77777777" w:rsidTr="00E70A59">
        <w:tc>
          <w:tcPr>
            <w:tcW w:w="2158" w:type="dxa"/>
          </w:tcPr>
          <w:p w14:paraId="7B9FBC30" w14:textId="2309665B" w:rsidR="00E7009B" w:rsidRDefault="002077BB" w:rsidP="00E7009B">
            <w:r>
              <w:rPr>
                <w:lang w:val="fr-FR" w:bidi="fr-FR"/>
              </w:rPr>
              <w:t xml:space="preserve">2. Risque financier </w:t>
            </w:r>
          </w:p>
        </w:tc>
        <w:tc>
          <w:tcPr>
            <w:tcW w:w="2158" w:type="dxa"/>
            <w:shd w:val="clear" w:color="auto" w:fill="F2F2F2" w:themeFill="background1" w:themeFillShade="F2"/>
          </w:tcPr>
          <w:p w14:paraId="52301613" w14:textId="6855D9DE" w:rsidR="00E7009B" w:rsidRPr="001C09DF" w:rsidRDefault="00E7009B" w:rsidP="00E7009B">
            <w:pPr>
              <w:rPr>
                <w:lang w:val="fr-FR"/>
              </w:rPr>
            </w:pPr>
            <w:r>
              <w:rPr>
                <w:lang w:val="fr-FR" w:bidi="fr-FR"/>
              </w:rPr>
              <w:t>Jusqu</w:t>
            </w:r>
            <w:r w:rsidR="001C09DF">
              <w:rPr>
                <w:lang w:val="fr-FR" w:bidi="fr-FR"/>
              </w:rPr>
              <w:t>’</w:t>
            </w:r>
            <w:r>
              <w:rPr>
                <w:lang w:val="fr-FR" w:bidi="fr-FR"/>
              </w:rPr>
              <w:t>à 5 % de déviation budgétaire</w:t>
            </w:r>
          </w:p>
          <w:p w14:paraId="11AC26F7" w14:textId="77777777" w:rsidR="00E7009B" w:rsidRPr="001C09DF" w:rsidRDefault="00E7009B" w:rsidP="00E7009B">
            <w:pPr>
              <w:rPr>
                <w:lang w:val="fr-FR"/>
              </w:rPr>
            </w:pPr>
            <w:r>
              <w:rPr>
                <w:lang w:val="fr-FR" w:bidi="fr-FR"/>
              </w:rPr>
              <w:t>Accent mis sur la sécurité financière</w:t>
            </w:r>
          </w:p>
          <w:p w14:paraId="3A037686" w14:textId="3C9E2EA4" w:rsidR="00E7009B" w:rsidRPr="001C09DF" w:rsidRDefault="00E7009B" w:rsidP="00E7009B">
            <w:pPr>
              <w:rPr>
                <w:lang w:val="fr-FR"/>
              </w:rPr>
            </w:pPr>
            <w:r>
              <w:rPr>
                <w:lang w:val="fr-FR" w:bidi="fr-FR"/>
              </w:rPr>
              <w:t>Fraude et corruption non tolérées</w:t>
            </w:r>
          </w:p>
        </w:tc>
        <w:tc>
          <w:tcPr>
            <w:tcW w:w="2158" w:type="dxa"/>
            <w:shd w:val="clear" w:color="auto" w:fill="F2F2F2" w:themeFill="background1" w:themeFillShade="F2"/>
          </w:tcPr>
          <w:p w14:paraId="0440EA79" w14:textId="084F9B50" w:rsidR="00E7009B" w:rsidRPr="001C09DF" w:rsidRDefault="00E7009B" w:rsidP="00E7009B">
            <w:pPr>
              <w:rPr>
                <w:lang w:val="fr-FR"/>
              </w:rPr>
            </w:pPr>
            <w:r>
              <w:rPr>
                <w:lang w:val="fr-FR" w:bidi="fr-FR"/>
              </w:rPr>
              <w:t>Jusqu</w:t>
            </w:r>
            <w:r w:rsidR="001C09DF">
              <w:rPr>
                <w:lang w:val="fr-FR" w:bidi="fr-FR"/>
              </w:rPr>
              <w:t>’</w:t>
            </w:r>
            <w:r>
              <w:rPr>
                <w:lang w:val="fr-FR" w:bidi="fr-FR"/>
              </w:rPr>
              <w:t>à 20 % de déviation budgétaire</w:t>
            </w:r>
          </w:p>
          <w:p w14:paraId="3CA80BC3" w14:textId="77777777" w:rsidR="00E7009B" w:rsidRPr="001C09DF" w:rsidRDefault="00E7009B" w:rsidP="00E7009B">
            <w:pPr>
              <w:rPr>
                <w:lang w:val="fr-FR"/>
              </w:rPr>
            </w:pPr>
            <w:r>
              <w:rPr>
                <w:lang w:val="fr-FR" w:bidi="fr-FR"/>
              </w:rPr>
              <w:t>Équilibre entre sécurité financière et rapport qualité-prix</w:t>
            </w:r>
          </w:p>
          <w:p w14:paraId="31E6BA89" w14:textId="15D80312" w:rsidR="00E7009B" w:rsidRPr="001C09DF" w:rsidRDefault="00E7009B" w:rsidP="00E7009B">
            <w:pPr>
              <w:rPr>
                <w:lang w:val="fr-FR"/>
              </w:rPr>
            </w:pPr>
            <w:r>
              <w:rPr>
                <w:lang w:val="fr-FR" w:bidi="fr-FR"/>
              </w:rPr>
              <w:t>Fraude et corruption non tolérées</w:t>
            </w:r>
          </w:p>
        </w:tc>
        <w:tc>
          <w:tcPr>
            <w:tcW w:w="2158" w:type="dxa"/>
          </w:tcPr>
          <w:p w14:paraId="31F75FD6" w14:textId="0C20DA37" w:rsidR="00E7009B" w:rsidRPr="001C09DF" w:rsidRDefault="00E7009B" w:rsidP="00E7009B">
            <w:pPr>
              <w:rPr>
                <w:lang w:val="fr-FR"/>
              </w:rPr>
            </w:pPr>
            <w:r>
              <w:rPr>
                <w:lang w:val="fr-FR" w:bidi="fr-FR"/>
              </w:rPr>
              <w:t>Jusqu</w:t>
            </w:r>
            <w:r w:rsidR="001C09DF">
              <w:rPr>
                <w:lang w:val="fr-FR" w:bidi="fr-FR"/>
              </w:rPr>
              <w:t>’</w:t>
            </w:r>
            <w:r>
              <w:rPr>
                <w:lang w:val="fr-FR" w:bidi="fr-FR"/>
              </w:rPr>
              <w:t>à 30 % de déviation budgétaire</w:t>
            </w:r>
          </w:p>
          <w:p w14:paraId="18B73BD0" w14:textId="77777777" w:rsidR="00E7009B" w:rsidRPr="001C09DF" w:rsidRDefault="00E7009B" w:rsidP="00E7009B">
            <w:pPr>
              <w:rPr>
                <w:lang w:val="fr-FR"/>
              </w:rPr>
            </w:pPr>
            <w:r>
              <w:rPr>
                <w:lang w:val="fr-FR" w:bidi="fr-FR"/>
              </w:rPr>
              <w:t>Accent mis sur le rapport qualité-prix</w:t>
            </w:r>
          </w:p>
          <w:p w14:paraId="7B8EFB06" w14:textId="54496C47" w:rsidR="00E7009B" w:rsidRPr="001C09DF" w:rsidRDefault="00E7009B" w:rsidP="00E7009B">
            <w:pPr>
              <w:rPr>
                <w:lang w:val="fr-FR"/>
              </w:rPr>
            </w:pPr>
            <w:r>
              <w:rPr>
                <w:lang w:val="fr-FR" w:bidi="fr-FR"/>
              </w:rPr>
              <w:t>Fraude et corruption généralement non tolérées</w:t>
            </w:r>
          </w:p>
        </w:tc>
        <w:tc>
          <w:tcPr>
            <w:tcW w:w="2159" w:type="dxa"/>
          </w:tcPr>
          <w:p w14:paraId="6146B4F6" w14:textId="7CBB3476" w:rsidR="00E7009B" w:rsidRPr="001C09DF" w:rsidRDefault="00E7009B" w:rsidP="00E7009B">
            <w:pPr>
              <w:rPr>
                <w:lang w:val="fr-FR"/>
              </w:rPr>
            </w:pPr>
            <w:r>
              <w:rPr>
                <w:lang w:val="fr-FR" w:bidi="fr-FR"/>
              </w:rPr>
              <w:t>Jusqu</w:t>
            </w:r>
            <w:r w:rsidR="001C09DF">
              <w:rPr>
                <w:lang w:val="fr-FR" w:bidi="fr-FR"/>
              </w:rPr>
              <w:t>’</w:t>
            </w:r>
            <w:r>
              <w:rPr>
                <w:lang w:val="fr-FR" w:bidi="fr-FR"/>
              </w:rPr>
              <w:t>à 50 % de déviation budgétaire</w:t>
            </w:r>
          </w:p>
          <w:p w14:paraId="25B7EAAA" w14:textId="77777777" w:rsidR="00E7009B" w:rsidRPr="001C09DF" w:rsidRDefault="00E7009B" w:rsidP="00E7009B">
            <w:pPr>
              <w:rPr>
                <w:lang w:val="fr-FR"/>
              </w:rPr>
            </w:pPr>
            <w:r>
              <w:rPr>
                <w:lang w:val="fr-FR" w:bidi="fr-FR"/>
              </w:rPr>
              <w:t>Accent mis sur le rapport qualité-prix en adoptant de nouvelles approches financières</w:t>
            </w:r>
          </w:p>
          <w:p w14:paraId="37410C8B" w14:textId="58BD2D33" w:rsidR="00E7009B" w:rsidRPr="001C09DF" w:rsidRDefault="00E7009B" w:rsidP="00E7009B">
            <w:pPr>
              <w:rPr>
                <w:lang w:val="fr-FR"/>
              </w:rPr>
            </w:pPr>
            <w:r>
              <w:rPr>
                <w:lang w:val="fr-FR" w:bidi="fr-FR"/>
              </w:rPr>
              <w:t>Fraude et corruption généralement non tolérées</w:t>
            </w:r>
          </w:p>
        </w:tc>
        <w:tc>
          <w:tcPr>
            <w:tcW w:w="2159" w:type="dxa"/>
          </w:tcPr>
          <w:p w14:paraId="4AD193EC" w14:textId="77777777" w:rsidR="00E7009B" w:rsidRPr="001C09DF" w:rsidRDefault="00E7009B" w:rsidP="00E7009B">
            <w:pPr>
              <w:rPr>
                <w:lang w:val="fr-FR"/>
              </w:rPr>
            </w:pPr>
            <w:r>
              <w:rPr>
                <w:lang w:val="fr-FR" w:bidi="fr-FR"/>
              </w:rPr>
              <w:t>Plus de 50 % de déviation budgétaire</w:t>
            </w:r>
          </w:p>
          <w:p w14:paraId="4585AEDD" w14:textId="77777777" w:rsidR="00E7009B" w:rsidRPr="001C09DF" w:rsidRDefault="00E7009B" w:rsidP="00E7009B">
            <w:pPr>
              <w:rPr>
                <w:lang w:val="fr-FR"/>
              </w:rPr>
            </w:pPr>
            <w:r>
              <w:rPr>
                <w:lang w:val="fr-FR" w:bidi="fr-FR"/>
              </w:rPr>
              <w:t>Recherche active de nouvelles approches financières</w:t>
            </w:r>
          </w:p>
          <w:p w14:paraId="558AF19C" w14:textId="2EB2AFD8" w:rsidR="00E7009B" w:rsidRDefault="00E7009B" w:rsidP="00E7009B">
            <w:r>
              <w:rPr>
                <w:lang w:val="fr-FR" w:bidi="fr-FR"/>
              </w:rPr>
              <w:t>Fraude et corruption évitées</w:t>
            </w:r>
          </w:p>
        </w:tc>
      </w:tr>
      <w:tr w:rsidR="002B15D1" w:rsidRPr="00B53004" w14:paraId="3FBA9245" w14:textId="77777777" w:rsidTr="00B74D2C">
        <w:tc>
          <w:tcPr>
            <w:tcW w:w="2158" w:type="dxa"/>
          </w:tcPr>
          <w:p w14:paraId="20157FF7" w14:textId="77777777" w:rsidR="002B15D1" w:rsidRDefault="002B15D1" w:rsidP="00B74D2C">
            <w:r>
              <w:rPr>
                <w:lang w:val="fr-FR" w:bidi="fr-FR"/>
              </w:rPr>
              <w:t>3. Risque opérationnel</w:t>
            </w:r>
          </w:p>
        </w:tc>
        <w:tc>
          <w:tcPr>
            <w:tcW w:w="2158" w:type="dxa"/>
          </w:tcPr>
          <w:p w14:paraId="73DAF8A0" w14:textId="77777777" w:rsidR="002B15D1" w:rsidRPr="001C09DF" w:rsidRDefault="002B15D1" w:rsidP="00B74D2C">
            <w:pPr>
              <w:rPr>
                <w:lang w:val="fr-FR"/>
              </w:rPr>
            </w:pPr>
            <w:r>
              <w:rPr>
                <w:lang w:val="fr-FR" w:bidi="fr-FR"/>
              </w:rPr>
              <w:t>Exécution uniquement basée sur des approches testées et approuvées</w:t>
            </w:r>
          </w:p>
          <w:p w14:paraId="3281006C" w14:textId="77777777" w:rsidR="002B15D1" w:rsidRPr="001C09DF" w:rsidRDefault="002B15D1" w:rsidP="00B74D2C">
            <w:pPr>
              <w:rPr>
                <w:lang w:val="fr-FR"/>
              </w:rPr>
            </w:pPr>
            <w:r>
              <w:rPr>
                <w:lang w:val="fr-FR" w:bidi="fr-FR"/>
              </w:rPr>
              <w:t>Aucune innovation</w:t>
            </w:r>
          </w:p>
          <w:p w14:paraId="19F9F119" w14:textId="77777777" w:rsidR="002B15D1" w:rsidRPr="001C09DF" w:rsidRDefault="002B15D1" w:rsidP="00B74D2C">
            <w:pPr>
              <w:rPr>
                <w:lang w:val="fr-FR"/>
              </w:rPr>
            </w:pPr>
            <w:r>
              <w:rPr>
                <w:lang w:val="fr-FR" w:bidi="fr-FR"/>
              </w:rPr>
              <w:t>Partenaires testés et approuvés uniquement</w:t>
            </w:r>
          </w:p>
        </w:tc>
        <w:tc>
          <w:tcPr>
            <w:tcW w:w="2158" w:type="dxa"/>
          </w:tcPr>
          <w:p w14:paraId="24A318F6" w14:textId="77777777" w:rsidR="002B15D1" w:rsidRPr="001C09DF" w:rsidRDefault="002B15D1" w:rsidP="00B74D2C">
            <w:pPr>
              <w:rPr>
                <w:lang w:val="fr-FR"/>
              </w:rPr>
            </w:pPr>
            <w:r>
              <w:rPr>
                <w:lang w:val="fr-FR" w:bidi="fr-FR"/>
              </w:rPr>
              <w:t>Viser à répondre aux attentes, mais petites déviations tolérées</w:t>
            </w:r>
          </w:p>
          <w:p w14:paraId="200156C8" w14:textId="77777777" w:rsidR="002B15D1" w:rsidRDefault="002B15D1" w:rsidP="00B74D2C">
            <w:r>
              <w:rPr>
                <w:lang w:val="fr-FR" w:bidi="fr-FR"/>
              </w:rPr>
              <w:t>Risque faible/innovation contrôlée</w:t>
            </w:r>
          </w:p>
        </w:tc>
        <w:tc>
          <w:tcPr>
            <w:tcW w:w="2158" w:type="dxa"/>
            <w:shd w:val="clear" w:color="auto" w:fill="F2F2F2" w:themeFill="background1" w:themeFillShade="F2"/>
          </w:tcPr>
          <w:p w14:paraId="6E6B0015" w14:textId="745DE1F9" w:rsidR="002B15D1" w:rsidRPr="001C09DF" w:rsidRDefault="002B15D1" w:rsidP="00B74D2C">
            <w:pPr>
              <w:rPr>
                <w:lang w:val="fr-FR"/>
              </w:rPr>
            </w:pPr>
            <w:r>
              <w:rPr>
                <w:lang w:val="fr-FR" w:bidi="fr-FR"/>
              </w:rPr>
              <w:t>Déviations tolérées dans l</w:t>
            </w:r>
            <w:r w:rsidR="001C09DF">
              <w:rPr>
                <w:lang w:val="fr-FR" w:bidi="fr-FR"/>
              </w:rPr>
              <w:t>’</w:t>
            </w:r>
            <w:r>
              <w:rPr>
                <w:lang w:val="fr-FR" w:bidi="fr-FR"/>
              </w:rPr>
              <w:t>exécution et la qualité opérationnelles pour pouvoir innover</w:t>
            </w:r>
          </w:p>
          <w:p w14:paraId="19EF2622" w14:textId="77777777" w:rsidR="002B15D1" w:rsidRDefault="002B15D1" w:rsidP="00B74D2C">
            <w:r>
              <w:rPr>
                <w:lang w:val="fr-FR" w:bidi="fr-FR"/>
              </w:rPr>
              <w:t>Échec mineur toléré</w:t>
            </w:r>
          </w:p>
        </w:tc>
        <w:tc>
          <w:tcPr>
            <w:tcW w:w="2159" w:type="dxa"/>
            <w:shd w:val="clear" w:color="auto" w:fill="F2F2F2" w:themeFill="background1" w:themeFillShade="F2"/>
          </w:tcPr>
          <w:p w14:paraId="0696AD9D" w14:textId="7CE12397" w:rsidR="002B15D1" w:rsidRPr="001C09DF" w:rsidRDefault="002B15D1" w:rsidP="00B74D2C">
            <w:pPr>
              <w:rPr>
                <w:lang w:val="fr-FR"/>
              </w:rPr>
            </w:pPr>
            <w:r>
              <w:rPr>
                <w:lang w:val="fr-FR" w:bidi="fr-FR"/>
              </w:rPr>
              <w:t>Encourage les déviations dans l</w:t>
            </w:r>
            <w:r w:rsidR="001C09DF">
              <w:rPr>
                <w:lang w:val="fr-FR" w:bidi="fr-FR"/>
              </w:rPr>
              <w:t>’</w:t>
            </w:r>
            <w:r>
              <w:rPr>
                <w:lang w:val="fr-FR" w:bidi="fr-FR"/>
              </w:rPr>
              <w:t>exécution et la qualité opérationnelles pour pouvoir innover</w:t>
            </w:r>
          </w:p>
          <w:p w14:paraId="5D8F098B" w14:textId="1E09D13C" w:rsidR="002B15D1" w:rsidRPr="001C09DF" w:rsidRDefault="002B15D1" w:rsidP="00B74D2C">
            <w:pPr>
              <w:rPr>
                <w:lang w:val="fr-FR"/>
              </w:rPr>
            </w:pPr>
            <w:r>
              <w:rPr>
                <w:lang w:val="fr-FR" w:bidi="fr-FR"/>
              </w:rPr>
              <w:t>L</w:t>
            </w:r>
            <w:r w:rsidR="001C09DF">
              <w:rPr>
                <w:lang w:val="fr-FR" w:bidi="fr-FR"/>
              </w:rPr>
              <w:t>’</w:t>
            </w:r>
            <w:r>
              <w:rPr>
                <w:lang w:val="fr-FR" w:bidi="fr-FR"/>
              </w:rPr>
              <w:t>échec est une opportunité pour apprendre</w:t>
            </w:r>
          </w:p>
        </w:tc>
        <w:tc>
          <w:tcPr>
            <w:tcW w:w="2159" w:type="dxa"/>
          </w:tcPr>
          <w:p w14:paraId="536E0B76" w14:textId="7162B104" w:rsidR="002B15D1" w:rsidRPr="001C09DF" w:rsidRDefault="002B15D1" w:rsidP="00B74D2C">
            <w:pPr>
              <w:rPr>
                <w:lang w:val="fr-FR"/>
              </w:rPr>
            </w:pPr>
            <w:r>
              <w:rPr>
                <w:lang w:val="fr-FR" w:bidi="fr-FR"/>
              </w:rPr>
              <w:t>Accent mis sur la recherche de nouvelles approches innovantes, l</w:t>
            </w:r>
            <w:r w:rsidR="001C09DF">
              <w:rPr>
                <w:lang w:val="fr-FR" w:bidi="fr-FR"/>
              </w:rPr>
              <w:t>’</w:t>
            </w:r>
            <w:r>
              <w:rPr>
                <w:lang w:val="fr-FR" w:bidi="fr-FR"/>
              </w:rPr>
              <w:t>expérimentation de nouvelles idées et les enseignements tirés des échecs</w:t>
            </w:r>
          </w:p>
        </w:tc>
      </w:tr>
      <w:tr w:rsidR="002B15D1" w:rsidRPr="00B53004" w14:paraId="0FA0A499" w14:textId="77777777" w:rsidTr="00B74D2C">
        <w:tc>
          <w:tcPr>
            <w:tcW w:w="2158" w:type="dxa"/>
          </w:tcPr>
          <w:p w14:paraId="738A4A30" w14:textId="77777777" w:rsidR="002B15D1" w:rsidRDefault="002B15D1" w:rsidP="00B74D2C">
            <w:r>
              <w:rPr>
                <w:lang w:val="fr-FR" w:bidi="fr-FR"/>
              </w:rPr>
              <w:t>4. Risque institutionnel</w:t>
            </w:r>
          </w:p>
        </w:tc>
        <w:tc>
          <w:tcPr>
            <w:tcW w:w="2158" w:type="dxa"/>
          </w:tcPr>
          <w:p w14:paraId="1B4D0D93" w14:textId="77777777" w:rsidR="002B15D1" w:rsidRPr="001C09DF" w:rsidRDefault="002B15D1" w:rsidP="00B74D2C">
            <w:pPr>
              <w:rPr>
                <w:lang w:val="fr-FR"/>
              </w:rPr>
            </w:pPr>
            <w:r>
              <w:rPr>
                <w:lang w:val="fr-FR" w:bidi="fr-FR"/>
              </w:rPr>
              <w:t xml:space="preserve">Exécution uniquement basée sur des approches </w:t>
            </w:r>
            <w:r>
              <w:rPr>
                <w:lang w:val="fr-FR" w:bidi="fr-FR"/>
              </w:rPr>
              <w:lastRenderedPageBreak/>
              <w:t>testées et approuvées</w:t>
            </w:r>
          </w:p>
          <w:p w14:paraId="760E76DF" w14:textId="77777777" w:rsidR="002B15D1" w:rsidRPr="001C09DF" w:rsidRDefault="002B15D1" w:rsidP="00B74D2C">
            <w:pPr>
              <w:rPr>
                <w:lang w:val="fr-FR"/>
              </w:rPr>
            </w:pPr>
            <w:r>
              <w:rPr>
                <w:lang w:val="fr-FR" w:bidi="fr-FR"/>
              </w:rPr>
              <w:t>Environnement de contrôle interne inflexible</w:t>
            </w:r>
          </w:p>
        </w:tc>
        <w:tc>
          <w:tcPr>
            <w:tcW w:w="2158" w:type="dxa"/>
          </w:tcPr>
          <w:p w14:paraId="23F34B3D" w14:textId="77777777" w:rsidR="002B15D1" w:rsidRPr="001C09DF" w:rsidRDefault="002B15D1" w:rsidP="00B74D2C">
            <w:pPr>
              <w:rPr>
                <w:lang w:val="fr-FR"/>
              </w:rPr>
            </w:pPr>
            <w:r>
              <w:rPr>
                <w:lang w:val="fr-FR" w:bidi="fr-FR"/>
              </w:rPr>
              <w:lastRenderedPageBreak/>
              <w:t>Viser à répondre aux attentes, mais petites déviations tolérées</w:t>
            </w:r>
          </w:p>
          <w:p w14:paraId="479A314F" w14:textId="77777777" w:rsidR="002B15D1" w:rsidRPr="001C09DF" w:rsidRDefault="002B15D1" w:rsidP="00B74D2C">
            <w:pPr>
              <w:rPr>
                <w:lang w:val="fr-FR"/>
              </w:rPr>
            </w:pPr>
            <w:r>
              <w:rPr>
                <w:lang w:val="fr-FR" w:bidi="fr-FR"/>
              </w:rPr>
              <w:lastRenderedPageBreak/>
              <w:t>Environnement de contrôle interne strict</w:t>
            </w:r>
          </w:p>
        </w:tc>
        <w:tc>
          <w:tcPr>
            <w:tcW w:w="2158" w:type="dxa"/>
            <w:shd w:val="clear" w:color="auto" w:fill="F2F2F2" w:themeFill="background1" w:themeFillShade="F2"/>
          </w:tcPr>
          <w:p w14:paraId="01628EDA" w14:textId="66134B7C" w:rsidR="002B15D1" w:rsidRPr="001C09DF" w:rsidRDefault="002B15D1" w:rsidP="00B74D2C">
            <w:pPr>
              <w:rPr>
                <w:lang w:val="fr-FR"/>
              </w:rPr>
            </w:pPr>
            <w:r>
              <w:rPr>
                <w:lang w:val="fr-FR" w:bidi="fr-FR"/>
              </w:rPr>
              <w:lastRenderedPageBreak/>
              <w:t>Déviations tolérées dans l</w:t>
            </w:r>
            <w:r w:rsidR="001C09DF">
              <w:rPr>
                <w:lang w:val="fr-FR" w:bidi="fr-FR"/>
              </w:rPr>
              <w:t>’</w:t>
            </w:r>
            <w:r>
              <w:rPr>
                <w:lang w:val="fr-FR" w:bidi="fr-FR"/>
              </w:rPr>
              <w:t xml:space="preserve">exécution et la qualité </w:t>
            </w:r>
            <w:r>
              <w:rPr>
                <w:lang w:val="fr-FR" w:bidi="fr-FR"/>
              </w:rPr>
              <w:lastRenderedPageBreak/>
              <w:t>opérationnelles pour pouvoir innover</w:t>
            </w:r>
          </w:p>
          <w:p w14:paraId="3D0EEAEE" w14:textId="77777777" w:rsidR="002B15D1" w:rsidRDefault="002B15D1" w:rsidP="00B74D2C">
            <w:r>
              <w:rPr>
                <w:lang w:val="fr-FR" w:bidi="fr-FR"/>
              </w:rPr>
              <w:t>Flexibilité prudente des contrôles</w:t>
            </w:r>
          </w:p>
        </w:tc>
        <w:tc>
          <w:tcPr>
            <w:tcW w:w="2159" w:type="dxa"/>
            <w:shd w:val="clear" w:color="auto" w:fill="F2F2F2" w:themeFill="background1" w:themeFillShade="F2"/>
          </w:tcPr>
          <w:p w14:paraId="00578CF9" w14:textId="790268AB" w:rsidR="002B15D1" w:rsidRPr="001C09DF" w:rsidRDefault="002B15D1" w:rsidP="00B74D2C">
            <w:pPr>
              <w:rPr>
                <w:lang w:val="fr-FR"/>
              </w:rPr>
            </w:pPr>
            <w:r>
              <w:rPr>
                <w:lang w:val="fr-FR" w:bidi="fr-FR"/>
              </w:rPr>
              <w:lastRenderedPageBreak/>
              <w:t>Encourage les déviations dans l</w:t>
            </w:r>
            <w:r w:rsidR="001C09DF">
              <w:rPr>
                <w:lang w:val="fr-FR" w:bidi="fr-FR"/>
              </w:rPr>
              <w:t>’</w:t>
            </w:r>
            <w:r>
              <w:rPr>
                <w:lang w:val="fr-FR" w:bidi="fr-FR"/>
              </w:rPr>
              <w:t xml:space="preserve">exécution et la </w:t>
            </w:r>
            <w:r>
              <w:rPr>
                <w:lang w:val="fr-FR" w:bidi="fr-FR"/>
              </w:rPr>
              <w:lastRenderedPageBreak/>
              <w:t>qualité opérationnelles pour pouvoir innover</w:t>
            </w:r>
          </w:p>
          <w:p w14:paraId="39C7E999" w14:textId="77777777" w:rsidR="002B15D1" w:rsidRPr="001C09DF" w:rsidRDefault="002B15D1" w:rsidP="00B74D2C">
            <w:pPr>
              <w:rPr>
                <w:lang w:val="fr-FR"/>
              </w:rPr>
            </w:pPr>
            <w:r>
              <w:rPr>
                <w:lang w:val="fr-FR" w:bidi="fr-FR"/>
              </w:rPr>
              <w:t>Environnement de contrôle axé sur le risque</w:t>
            </w:r>
          </w:p>
        </w:tc>
        <w:tc>
          <w:tcPr>
            <w:tcW w:w="2159" w:type="dxa"/>
          </w:tcPr>
          <w:p w14:paraId="455974D1" w14:textId="1359A340" w:rsidR="002B15D1" w:rsidRPr="001C09DF" w:rsidRDefault="002B15D1" w:rsidP="00B74D2C">
            <w:pPr>
              <w:rPr>
                <w:lang w:val="fr-FR"/>
              </w:rPr>
            </w:pPr>
            <w:r>
              <w:rPr>
                <w:lang w:val="fr-FR" w:bidi="fr-FR"/>
              </w:rPr>
              <w:lastRenderedPageBreak/>
              <w:t xml:space="preserve">Accent mis sur la recherche de nouvelles approches </w:t>
            </w:r>
            <w:r>
              <w:rPr>
                <w:lang w:val="fr-FR" w:bidi="fr-FR"/>
              </w:rPr>
              <w:lastRenderedPageBreak/>
              <w:t>innovantes, l</w:t>
            </w:r>
            <w:r w:rsidR="001C09DF">
              <w:rPr>
                <w:lang w:val="fr-FR" w:bidi="fr-FR"/>
              </w:rPr>
              <w:t>’</w:t>
            </w:r>
            <w:r>
              <w:rPr>
                <w:lang w:val="fr-FR" w:bidi="fr-FR"/>
              </w:rPr>
              <w:t>expérimentation de nouvelles idées et les enseignements tirés des échecs</w:t>
            </w:r>
          </w:p>
          <w:p w14:paraId="13E33CD0" w14:textId="3E42FF3E" w:rsidR="002B15D1" w:rsidRPr="001C09DF" w:rsidRDefault="002B15D1" w:rsidP="00B74D2C">
            <w:pPr>
              <w:rPr>
                <w:lang w:val="fr-FR"/>
              </w:rPr>
            </w:pPr>
            <w:r>
              <w:rPr>
                <w:lang w:val="fr-FR" w:bidi="fr-FR"/>
              </w:rPr>
              <w:t>Environnement de contrôle axé sur la recherche de l</w:t>
            </w:r>
            <w:r w:rsidR="001C09DF">
              <w:rPr>
                <w:lang w:val="fr-FR" w:bidi="fr-FR"/>
              </w:rPr>
              <w:t>’</w:t>
            </w:r>
            <w:r>
              <w:rPr>
                <w:lang w:val="fr-FR" w:bidi="fr-FR"/>
              </w:rPr>
              <w:t>équilibre entre risque et coût</w:t>
            </w:r>
          </w:p>
        </w:tc>
      </w:tr>
      <w:tr w:rsidR="002B15D1" w:rsidRPr="00B53004" w14:paraId="6ABA0FD9" w14:textId="77777777" w:rsidTr="002B15D1">
        <w:tc>
          <w:tcPr>
            <w:tcW w:w="2158" w:type="dxa"/>
          </w:tcPr>
          <w:p w14:paraId="0C9CB706" w14:textId="77777777" w:rsidR="002B15D1" w:rsidRDefault="002B15D1" w:rsidP="00B74D2C">
            <w:r>
              <w:rPr>
                <w:lang w:val="fr-FR" w:bidi="fr-FR"/>
              </w:rPr>
              <w:lastRenderedPageBreak/>
              <w:t>5. Risque de réputation</w:t>
            </w:r>
          </w:p>
        </w:tc>
        <w:tc>
          <w:tcPr>
            <w:tcW w:w="2158" w:type="dxa"/>
          </w:tcPr>
          <w:p w14:paraId="73261208" w14:textId="77777777" w:rsidR="002B15D1" w:rsidRPr="001C09DF" w:rsidRDefault="002B15D1" w:rsidP="00B74D2C">
            <w:pPr>
              <w:rPr>
                <w:lang w:val="fr-FR"/>
              </w:rPr>
            </w:pPr>
            <w:r>
              <w:rPr>
                <w:lang w:val="fr-FR" w:bidi="fr-FR"/>
              </w:rPr>
              <w:t>Pas de préjudice à la réputation du PNUD</w:t>
            </w:r>
          </w:p>
        </w:tc>
        <w:tc>
          <w:tcPr>
            <w:tcW w:w="2158" w:type="dxa"/>
          </w:tcPr>
          <w:p w14:paraId="168EA73B" w14:textId="52A92B7F" w:rsidR="002B15D1" w:rsidRPr="001C09DF" w:rsidRDefault="002B15D1" w:rsidP="00B74D2C">
            <w:pPr>
              <w:rPr>
                <w:lang w:val="fr-FR"/>
              </w:rPr>
            </w:pPr>
            <w:r>
              <w:rPr>
                <w:lang w:val="fr-FR" w:bidi="fr-FR"/>
              </w:rPr>
              <w:t>Pas de compromis sur les valeurs du PNUD, mais préjudices mineurs à sa réputation tolérés pour permettre l</w:t>
            </w:r>
            <w:r w:rsidR="001C09DF">
              <w:rPr>
                <w:lang w:val="fr-FR" w:bidi="fr-FR"/>
              </w:rPr>
              <w:t>’</w:t>
            </w:r>
            <w:r>
              <w:rPr>
                <w:lang w:val="fr-FR" w:bidi="fr-FR"/>
              </w:rPr>
              <w:t>exécution de ses plans</w:t>
            </w:r>
          </w:p>
        </w:tc>
        <w:tc>
          <w:tcPr>
            <w:tcW w:w="2158" w:type="dxa"/>
          </w:tcPr>
          <w:p w14:paraId="79B252AE" w14:textId="77777777" w:rsidR="002B15D1" w:rsidRPr="001C09DF" w:rsidRDefault="002B15D1" w:rsidP="00B74D2C">
            <w:pPr>
              <w:rPr>
                <w:lang w:val="fr-FR"/>
              </w:rPr>
            </w:pPr>
            <w:r>
              <w:rPr>
                <w:lang w:val="fr-FR" w:bidi="fr-FR"/>
              </w:rPr>
              <w:t>Pas de compromis sur les valeurs du PNUD</w:t>
            </w:r>
          </w:p>
          <w:p w14:paraId="491ACBA8" w14:textId="77777777" w:rsidR="002B15D1" w:rsidRPr="001C09DF" w:rsidRDefault="002B15D1" w:rsidP="00B74D2C">
            <w:pPr>
              <w:rPr>
                <w:lang w:val="fr-FR"/>
              </w:rPr>
            </w:pPr>
            <w:r>
              <w:rPr>
                <w:lang w:val="fr-FR" w:bidi="fr-FR"/>
              </w:rPr>
              <w:t>Tenir les engagements en gérant les attentes</w:t>
            </w:r>
          </w:p>
          <w:p w14:paraId="2403BBFB" w14:textId="77777777" w:rsidR="002B15D1" w:rsidRPr="001C09DF" w:rsidRDefault="002B15D1" w:rsidP="00B74D2C">
            <w:pPr>
              <w:rPr>
                <w:lang w:val="fr-FR"/>
              </w:rPr>
            </w:pPr>
            <w:r>
              <w:rPr>
                <w:lang w:val="fr-FR" w:bidi="fr-FR"/>
              </w:rPr>
              <w:t>Tirer des apprentissages des nouvelles approches</w:t>
            </w:r>
          </w:p>
        </w:tc>
        <w:tc>
          <w:tcPr>
            <w:tcW w:w="2159" w:type="dxa"/>
          </w:tcPr>
          <w:p w14:paraId="3E4F5EC1" w14:textId="77777777" w:rsidR="002B15D1" w:rsidRPr="001C09DF" w:rsidRDefault="002B15D1" w:rsidP="00B74D2C">
            <w:pPr>
              <w:rPr>
                <w:lang w:val="fr-FR"/>
              </w:rPr>
            </w:pPr>
            <w:r>
              <w:rPr>
                <w:lang w:val="fr-FR" w:bidi="fr-FR"/>
              </w:rPr>
              <w:t>Pas de compromis sur les valeurs éthiques du PNUD</w:t>
            </w:r>
          </w:p>
          <w:p w14:paraId="05F2F266" w14:textId="77777777" w:rsidR="002B15D1" w:rsidRPr="001C09DF" w:rsidRDefault="002B15D1" w:rsidP="00B74D2C">
            <w:pPr>
              <w:rPr>
                <w:lang w:val="fr-FR"/>
              </w:rPr>
            </w:pPr>
            <w:r>
              <w:rPr>
                <w:lang w:val="fr-FR" w:bidi="fr-FR"/>
              </w:rPr>
              <w:t>Maintenir la crédibilité en gérant les principales parties prenantes</w:t>
            </w:r>
          </w:p>
          <w:p w14:paraId="5449F631" w14:textId="77777777" w:rsidR="002B15D1" w:rsidRPr="001C09DF" w:rsidRDefault="002B15D1" w:rsidP="00B74D2C">
            <w:pPr>
              <w:rPr>
                <w:lang w:val="fr-FR"/>
              </w:rPr>
            </w:pPr>
            <w:r>
              <w:rPr>
                <w:lang w:val="fr-FR" w:bidi="fr-FR"/>
              </w:rPr>
              <w:t>Être préparé à une atteinte à la réputation auprès de parties prenantes mineures</w:t>
            </w:r>
          </w:p>
        </w:tc>
        <w:tc>
          <w:tcPr>
            <w:tcW w:w="2159" w:type="dxa"/>
          </w:tcPr>
          <w:p w14:paraId="3476860D" w14:textId="77777777" w:rsidR="002B15D1" w:rsidRPr="001C09DF" w:rsidRDefault="002B15D1" w:rsidP="00B74D2C">
            <w:pPr>
              <w:rPr>
                <w:lang w:val="fr-FR"/>
              </w:rPr>
            </w:pPr>
            <w:r>
              <w:rPr>
                <w:lang w:val="fr-FR" w:bidi="fr-FR"/>
              </w:rPr>
              <w:t>Pas de compromis sur les valeurs éthiques du PNUD</w:t>
            </w:r>
          </w:p>
          <w:p w14:paraId="420168CE" w14:textId="106B97C1" w:rsidR="002B15D1" w:rsidRPr="001C09DF" w:rsidRDefault="002B15D1" w:rsidP="00B74D2C">
            <w:pPr>
              <w:rPr>
                <w:lang w:val="fr-FR"/>
              </w:rPr>
            </w:pPr>
            <w:r>
              <w:rPr>
                <w:lang w:val="fr-FR" w:bidi="fr-FR"/>
              </w:rPr>
              <w:t>Être préparé à une atteinte à la réputation auprès de l</w:t>
            </w:r>
            <w:r w:rsidR="001C09DF">
              <w:rPr>
                <w:lang w:val="fr-FR" w:bidi="fr-FR"/>
              </w:rPr>
              <w:t>’</w:t>
            </w:r>
            <w:r>
              <w:rPr>
                <w:lang w:val="fr-FR" w:bidi="fr-FR"/>
              </w:rPr>
              <w:t>ensemble des parties prenantes sauf les principales</w:t>
            </w:r>
          </w:p>
          <w:p w14:paraId="4B1E76A2" w14:textId="77777777" w:rsidR="002B15D1" w:rsidRPr="001C09DF" w:rsidRDefault="002B15D1" w:rsidP="00B74D2C">
            <w:pPr>
              <w:rPr>
                <w:lang w:val="fr-FR"/>
              </w:rPr>
            </w:pPr>
          </w:p>
        </w:tc>
      </w:tr>
      <w:tr w:rsidR="00E7009B" w:rsidRPr="00B53004" w14:paraId="28A6EB6E" w14:textId="77777777" w:rsidTr="001703F8">
        <w:tc>
          <w:tcPr>
            <w:tcW w:w="2158" w:type="dxa"/>
          </w:tcPr>
          <w:p w14:paraId="6406A87A" w14:textId="6F742619" w:rsidR="00E7009B" w:rsidRDefault="0088254C" w:rsidP="00E7009B">
            <w:r>
              <w:rPr>
                <w:lang w:val="fr-FR" w:bidi="fr-FR"/>
              </w:rPr>
              <w:t>6. Risque réglementaire</w:t>
            </w:r>
          </w:p>
        </w:tc>
        <w:tc>
          <w:tcPr>
            <w:tcW w:w="2158" w:type="dxa"/>
            <w:shd w:val="clear" w:color="auto" w:fill="auto"/>
          </w:tcPr>
          <w:p w14:paraId="6E7A3C5D" w14:textId="54E02632" w:rsidR="00E7009B" w:rsidRPr="001C09DF" w:rsidRDefault="00E7009B" w:rsidP="00E7009B">
            <w:pPr>
              <w:rPr>
                <w:lang w:val="fr-FR"/>
              </w:rPr>
            </w:pPr>
            <w:r>
              <w:rPr>
                <w:lang w:val="fr-FR" w:bidi="fr-FR"/>
              </w:rPr>
              <w:t>Tolérance zéro pour le franchissement des limites du cadre réglementaire établi</w:t>
            </w:r>
          </w:p>
        </w:tc>
        <w:tc>
          <w:tcPr>
            <w:tcW w:w="2158" w:type="dxa"/>
            <w:shd w:val="clear" w:color="auto" w:fill="F2F2F2" w:themeFill="background1" w:themeFillShade="F2"/>
          </w:tcPr>
          <w:p w14:paraId="626AB923" w14:textId="38F32F3E" w:rsidR="00E7009B" w:rsidRPr="001C09DF" w:rsidRDefault="00E7009B" w:rsidP="00E7009B">
            <w:pPr>
              <w:rPr>
                <w:lang w:val="fr-FR"/>
              </w:rPr>
            </w:pPr>
            <w:r>
              <w:rPr>
                <w:lang w:val="fr-FR" w:bidi="fr-FR"/>
              </w:rPr>
              <w:t>Rechercher des moyens légitimes de parvenir aux objectifs</w:t>
            </w:r>
          </w:p>
        </w:tc>
        <w:tc>
          <w:tcPr>
            <w:tcW w:w="2158" w:type="dxa"/>
          </w:tcPr>
          <w:p w14:paraId="334D6F93" w14:textId="26A2188F" w:rsidR="00E7009B" w:rsidRPr="001C09DF" w:rsidRDefault="00E7009B" w:rsidP="00E7009B">
            <w:pPr>
              <w:rPr>
                <w:lang w:val="fr-FR"/>
              </w:rPr>
            </w:pPr>
            <w:r>
              <w:rPr>
                <w:lang w:val="fr-FR" w:bidi="fr-FR"/>
              </w:rPr>
              <w:t>Envisager des modifications mineures à la réglementation pour permettre l</w:t>
            </w:r>
            <w:r w:rsidR="001C09DF">
              <w:rPr>
                <w:lang w:val="fr-FR" w:bidi="fr-FR"/>
              </w:rPr>
              <w:t>’</w:t>
            </w:r>
            <w:r>
              <w:rPr>
                <w:lang w:val="fr-FR" w:bidi="fr-FR"/>
              </w:rPr>
              <w:t>exécution</w:t>
            </w:r>
          </w:p>
        </w:tc>
        <w:tc>
          <w:tcPr>
            <w:tcW w:w="2159" w:type="dxa"/>
          </w:tcPr>
          <w:p w14:paraId="3CBE178B" w14:textId="73121D7D" w:rsidR="00E7009B" w:rsidRPr="001C09DF" w:rsidRDefault="00E7009B" w:rsidP="00E7009B">
            <w:pPr>
              <w:rPr>
                <w:lang w:val="fr-FR"/>
              </w:rPr>
            </w:pPr>
            <w:r>
              <w:rPr>
                <w:lang w:val="fr-FR" w:bidi="fr-FR"/>
              </w:rPr>
              <w:t>Remettre en question les réglementations pour faciliter l</w:t>
            </w:r>
            <w:r w:rsidR="001C09DF">
              <w:rPr>
                <w:lang w:val="fr-FR" w:bidi="fr-FR"/>
              </w:rPr>
              <w:t>’</w:t>
            </w:r>
            <w:r>
              <w:rPr>
                <w:lang w:val="fr-FR" w:bidi="fr-FR"/>
              </w:rPr>
              <w:t>exécution si la réussite est probable</w:t>
            </w:r>
          </w:p>
        </w:tc>
        <w:tc>
          <w:tcPr>
            <w:tcW w:w="2159" w:type="dxa"/>
          </w:tcPr>
          <w:p w14:paraId="639A11BA" w14:textId="03BC3311" w:rsidR="00E7009B" w:rsidRPr="001C09DF" w:rsidRDefault="00E7009B" w:rsidP="00E7009B">
            <w:pPr>
              <w:rPr>
                <w:lang w:val="fr-FR"/>
              </w:rPr>
            </w:pPr>
            <w:r>
              <w:rPr>
                <w:lang w:val="fr-FR" w:bidi="fr-FR"/>
              </w:rPr>
              <w:t>Remettre en question les réglementations pour faciliter l</w:t>
            </w:r>
            <w:r w:rsidR="001C09DF">
              <w:rPr>
                <w:lang w:val="fr-FR" w:bidi="fr-FR"/>
              </w:rPr>
              <w:t>’</w:t>
            </w:r>
            <w:r>
              <w:rPr>
                <w:lang w:val="fr-FR" w:bidi="fr-FR"/>
              </w:rPr>
              <w:t>exécution si la réussite semble possible</w:t>
            </w:r>
          </w:p>
        </w:tc>
      </w:tr>
      <w:tr w:rsidR="00E740C1" w:rsidRPr="00B53004" w14:paraId="5F996D97" w14:textId="77777777" w:rsidTr="00B74D2C">
        <w:tc>
          <w:tcPr>
            <w:tcW w:w="2158" w:type="dxa"/>
          </w:tcPr>
          <w:p w14:paraId="359BE537" w14:textId="77777777" w:rsidR="00E740C1" w:rsidRDefault="00E740C1" w:rsidP="00B74D2C">
            <w:r>
              <w:rPr>
                <w:lang w:val="fr-FR" w:bidi="fr-FR"/>
              </w:rPr>
              <w:t>7. Risque stratégique</w:t>
            </w:r>
          </w:p>
        </w:tc>
        <w:tc>
          <w:tcPr>
            <w:tcW w:w="2158" w:type="dxa"/>
          </w:tcPr>
          <w:p w14:paraId="38B538DC" w14:textId="77777777" w:rsidR="00E740C1" w:rsidRPr="001C09DF" w:rsidRDefault="00E740C1" w:rsidP="00B74D2C">
            <w:pPr>
              <w:rPr>
                <w:lang w:val="fr-FR"/>
              </w:rPr>
            </w:pPr>
            <w:r>
              <w:rPr>
                <w:lang w:val="fr-FR" w:bidi="fr-FR"/>
              </w:rPr>
              <w:t xml:space="preserve">Exécution uniquement basée sur des approches </w:t>
            </w:r>
            <w:r>
              <w:rPr>
                <w:lang w:val="fr-FR" w:bidi="fr-FR"/>
              </w:rPr>
              <w:lastRenderedPageBreak/>
              <w:t>testées et approuvées</w:t>
            </w:r>
          </w:p>
          <w:p w14:paraId="1B532D83" w14:textId="77777777" w:rsidR="00E740C1" w:rsidRPr="001C09DF" w:rsidRDefault="00E740C1" w:rsidP="00B74D2C">
            <w:pPr>
              <w:rPr>
                <w:lang w:val="fr-FR"/>
              </w:rPr>
            </w:pPr>
            <w:r>
              <w:rPr>
                <w:lang w:val="fr-FR" w:bidi="fr-FR"/>
              </w:rPr>
              <w:t>Aucune innovation</w:t>
            </w:r>
          </w:p>
          <w:p w14:paraId="6105A90B" w14:textId="77777777" w:rsidR="00E740C1" w:rsidRPr="001C09DF" w:rsidRDefault="00E740C1" w:rsidP="00B74D2C">
            <w:pPr>
              <w:rPr>
                <w:lang w:val="fr-FR"/>
              </w:rPr>
            </w:pPr>
            <w:r>
              <w:rPr>
                <w:lang w:val="fr-FR" w:bidi="fr-FR"/>
              </w:rPr>
              <w:t>Partenaires testés et approuvés uniquement</w:t>
            </w:r>
          </w:p>
        </w:tc>
        <w:tc>
          <w:tcPr>
            <w:tcW w:w="2158" w:type="dxa"/>
          </w:tcPr>
          <w:p w14:paraId="3132FC84" w14:textId="2043E88A" w:rsidR="00E740C1" w:rsidRPr="001C09DF" w:rsidRDefault="00E740C1" w:rsidP="00B74D2C">
            <w:pPr>
              <w:rPr>
                <w:lang w:val="fr-FR"/>
              </w:rPr>
            </w:pPr>
            <w:r>
              <w:rPr>
                <w:lang w:val="fr-FR" w:bidi="fr-FR"/>
              </w:rPr>
              <w:lastRenderedPageBreak/>
              <w:t>Approches testées et approuvées favorisées pour l</w:t>
            </w:r>
            <w:r w:rsidR="001C09DF">
              <w:rPr>
                <w:lang w:val="fr-FR" w:bidi="fr-FR"/>
              </w:rPr>
              <w:t>’</w:t>
            </w:r>
            <w:r>
              <w:rPr>
                <w:lang w:val="fr-FR" w:bidi="fr-FR"/>
              </w:rPr>
              <w:t>exécution</w:t>
            </w:r>
          </w:p>
          <w:p w14:paraId="0C0E0E8D" w14:textId="77777777" w:rsidR="00E740C1" w:rsidRPr="001C09DF" w:rsidRDefault="00E740C1" w:rsidP="00B74D2C">
            <w:pPr>
              <w:rPr>
                <w:lang w:val="fr-FR"/>
              </w:rPr>
            </w:pPr>
            <w:r>
              <w:rPr>
                <w:lang w:val="fr-FR" w:bidi="fr-FR"/>
              </w:rPr>
              <w:lastRenderedPageBreak/>
              <w:t>Risque faible/innovation contrôlée</w:t>
            </w:r>
          </w:p>
          <w:p w14:paraId="1250EC5A" w14:textId="77777777" w:rsidR="00E740C1" w:rsidRPr="001C09DF" w:rsidRDefault="00E740C1" w:rsidP="00B74D2C">
            <w:pPr>
              <w:rPr>
                <w:lang w:val="fr-FR"/>
              </w:rPr>
            </w:pPr>
            <w:r>
              <w:rPr>
                <w:lang w:val="fr-FR" w:bidi="fr-FR"/>
              </w:rPr>
              <w:t>Nouveaux partenaires à faible risque si nécessaire</w:t>
            </w:r>
          </w:p>
        </w:tc>
        <w:tc>
          <w:tcPr>
            <w:tcW w:w="2158" w:type="dxa"/>
          </w:tcPr>
          <w:p w14:paraId="4587E3DB" w14:textId="7EF24169" w:rsidR="00E740C1" w:rsidRPr="001C09DF" w:rsidRDefault="00E740C1" w:rsidP="00B74D2C">
            <w:pPr>
              <w:rPr>
                <w:lang w:val="fr-FR"/>
              </w:rPr>
            </w:pPr>
            <w:r>
              <w:rPr>
                <w:lang w:val="fr-FR" w:bidi="fr-FR"/>
              </w:rPr>
              <w:lastRenderedPageBreak/>
              <w:t>Adapter des approches testées et approuvées de l</w:t>
            </w:r>
            <w:r w:rsidR="001C09DF">
              <w:rPr>
                <w:lang w:val="fr-FR" w:bidi="fr-FR"/>
              </w:rPr>
              <w:t>’</w:t>
            </w:r>
            <w:r>
              <w:rPr>
                <w:lang w:val="fr-FR" w:bidi="fr-FR"/>
              </w:rPr>
              <w:t xml:space="preserve">exécution et </w:t>
            </w:r>
            <w:r>
              <w:rPr>
                <w:lang w:val="fr-FR" w:bidi="fr-FR"/>
              </w:rPr>
              <w:lastRenderedPageBreak/>
              <w:t>explorer de nouvelles idées</w:t>
            </w:r>
          </w:p>
          <w:p w14:paraId="093D1404" w14:textId="77777777" w:rsidR="00E740C1" w:rsidRPr="001C09DF" w:rsidRDefault="00E740C1" w:rsidP="00B74D2C">
            <w:pPr>
              <w:rPr>
                <w:lang w:val="fr-FR"/>
              </w:rPr>
            </w:pPr>
            <w:r>
              <w:rPr>
                <w:lang w:val="fr-FR" w:bidi="fr-FR"/>
              </w:rPr>
              <w:t>Innovation quand la réussite est probable</w:t>
            </w:r>
          </w:p>
          <w:p w14:paraId="07358D90" w14:textId="3EC1105A" w:rsidR="00E740C1" w:rsidRPr="001C09DF" w:rsidRDefault="00E740C1" w:rsidP="00B74D2C">
            <w:pPr>
              <w:rPr>
                <w:lang w:val="fr-FR"/>
              </w:rPr>
            </w:pPr>
            <w:r>
              <w:rPr>
                <w:lang w:val="fr-FR" w:bidi="fr-FR"/>
              </w:rPr>
              <w:t>Nouveaux partenaires lorsqu</w:t>
            </w:r>
            <w:r w:rsidR="001C09DF">
              <w:rPr>
                <w:lang w:val="fr-FR" w:bidi="fr-FR"/>
              </w:rPr>
              <w:t>’</w:t>
            </w:r>
            <w:r>
              <w:rPr>
                <w:lang w:val="fr-FR" w:bidi="fr-FR"/>
              </w:rPr>
              <w:t>ils peuvent être bénéfiques</w:t>
            </w:r>
          </w:p>
        </w:tc>
        <w:tc>
          <w:tcPr>
            <w:tcW w:w="2159" w:type="dxa"/>
            <w:shd w:val="clear" w:color="auto" w:fill="F2F2F2" w:themeFill="background1" w:themeFillShade="F2"/>
          </w:tcPr>
          <w:p w14:paraId="2C8471F4" w14:textId="77777777" w:rsidR="00E740C1" w:rsidRPr="001C09DF" w:rsidRDefault="00E740C1" w:rsidP="00B74D2C">
            <w:pPr>
              <w:rPr>
                <w:lang w:val="fr-FR"/>
              </w:rPr>
            </w:pPr>
            <w:r>
              <w:rPr>
                <w:lang w:val="fr-FR" w:bidi="fr-FR"/>
              </w:rPr>
              <w:lastRenderedPageBreak/>
              <w:t>Ouvert à de nouvelles approches et à tester de nouvelles idées</w:t>
            </w:r>
          </w:p>
          <w:p w14:paraId="701470A9" w14:textId="77777777" w:rsidR="00E740C1" w:rsidRPr="001C09DF" w:rsidRDefault="00E740C1" w:rsidP="00B74D2C">
            <w:pPr>
              <w:rPr>
                <w:lang w:val="fr-FR"/>
              </w:rPr>
            </w:pPr>
            <w:r>
              <w:rPr>
                <w:lang w:val="fr-FR" w:bidi="fr-FR"/>
              </w:rPr>
              <w:lastRenderedPageBreak/>
              <w:t>Innovation encouragée pour réussir et échecs tolérés</w:t>
            </w:r>
          </w:p>
          <w:p w14:paraId="5B32E71F" w14:textId="77777777" w:rsidR="00E740C1" w:rsidRDefault="00E740C1" w:rsidP="00B74D2C">
            <w:r>
              <w:rPr>
                <w:lang w:val="fr-FR" w:bidi="fr-FR"/>
              </w:rPr>
              <w:t>Nouveaux partenaires innovants acceptés</w:t>
            </w:r>
          </w:p>
        </w:tc>
        <w:tc>
          <w:tcPr>
            <w:tcW w:w="2159" w:type="dxa"/>
            <w:shd w:val="clear" w:color="auto" w:fill="F2F2F2" w:themeFill="background1" w:themeFillShade="F2"/>
          </w:tcPr>
          <w:p w14:paraId="4AD98779" w14:textId="77777777" w:rsidR="00E740C1" w:rsidRPr="001C09DF" w:rsidRDefault="00E740C1" w:rsidP="00B74D2C">
            <w:pPr>
              <w:rPr>
                <w:lang w:val="fr-FR"/>
              </w:rPr>
            </w:pPr>
            <w:r>
              <w:rPr>
                <w:lang w:val="fr-FR" w:bidi="fr-FR"/>
              </w:rPr>
              <w:lastRenderedPageBreak/>
              <w:t>Recherche constante de nouvelles approches</w:t>
            </w:r>
          </w:p>
          <w:p w14:paraId="162F066D" w14:textId="77777777" w:rsidR="00E740C1" w:rsidRPr="001C09DF" w:rsidRDefault="00E740C1" w:rsidP="00B74D2C">
            <w:pPr>
              <w:rPr>
                <w:lang w:val="fr-FR"/>
              </w:rPr>
            </w:pPr>
            <w:r>
              <w:rPr>
                <w:lang w:val="fr-FR" w:bidi="fr-FR"/>
              </w:rPr>
              <w:lastRenderedPageBreak/>
              <w:t>Innovation encouragée pour apprendre et échecs jugés utiles</w:t>
            </w:r>
          </w:p>
          <w:p w14:paraId="2516326E" w14:textId="77777777" w:rsidR="00E740C1" w:rsidRPr="001C09DF" w:rsidRDefault="00E740C1" w:rsidP="00B74D2C">
            <w:pPr>
              <w:rPr>
                <w:lang w:val="fr-FR"/>
              </w:rPr>
            </w:pPr>
            <w:r>
              <w:rPr>
                <w:lang w:val="fr-FR" w:bidi="fr-FR"/>
              </w:rPr>
              <w:t>Nouveaux partenaires innovants acceptés dans les nouveaux domaines</w:t>
            </w:r>
          </w:p>
        </w:tc>
      </w:tr>
      <w:tr w:rsidR="00E7009B" w:rsidRPr="00B53004" w14:paraId="5B55BCDE" w14:textId="77777777" w:rsidTr="001703F8">
        <w:tc>
          <w:tcPr>
            <w:tcW w:w="2158" w:type="dxa"/>
          </w:tcPr>
          <w:p w14:paraId="26A2B327" w14:textId="1C8C38C2" w:rsidR="00E7009B" w:rsidRDefault="0088254C" w:rsidP="00E7009B">
            <w:r>
              <w:rPr>
                <w:lang w:val="fr-FR" w:bidi="fr-FR"/>
              </w:rPr>
              <w:lastRenderedPageBreak/>
              <w:t>8. Risque de sécurité</w:t>
            </w:r>
          </w:p>
        </w:tc>
        <w:tc>
          <w:tcPr>
            <w:tcW w:w="2158" w:type="dxa"/>
          </w:tcPr>
          <w:p w14:paraId="4ABFB0FD" w14:textId="193B5A32" w:rsidR="00E7009B" w:rsidRPr="001C09DF" w:rsidRDefault="00E7009B" w:rsidP="00E7009B">
            <w:pPr>
              <w:spacing w:line="259" w:lineRule="auto"/>
              <w:rPr>
                <w:lang w:val="fr-FR"/>
              </w:rPr>
            </w:pPr>
            <w:r>
              <w:rPr>
                <w:lang w:val="fr-FR" w:bidi="fr-FR"/>
              </w:rPr>
              <w:t>Mettre en place des contrôles pour ne pas nuire aux ressources du PNUD, quelles qu</w:t>
            </w:r>
            <w:r w:rsidR="001C09DF">
              <w:rPr>
                <w:lang w:val="fr-FR" w:bidi="fr-FR"/>
              </w:rPr>
              <w:t>’</w:t>
            </w:r>
            <w:r>
              <w:rPr>
                <w:lang w:val="fr-FR" w:bidi="fr-FR"/>
              </w:rPr>
              <w:t>elles soient</w:t>
            </w:r>
          </w:p>
        </w:tc>
        <w:tc>
          <w:tcPr>
            <w:tcW w:w="2158" w:type="dxa"/>
            <w:shd w:val="clear" w:color="auto" w:fill="F2F2F2" w:themeFill="background1" w:themeFillShade="F2"/>
          </w:tcPr>
          <w:p w14:paraId="36F5C13D" w14:textId="3B0B96E0" w:rsidR="00E7009B" w:rsidRPr="001C09DF" w:rsidRDefault="00E7009B" w:rsidP="00E7009B">
            <w:pPr>
              <w:spacing w:line="259" w:lineRule="auto"/>
              <w:rPr>
                <w:lang w:val="fr-FR"/>
              </w:rPr>
            </w:pPr>
            <w:r>
              <w:rPr>
                <w:lang w:val="fr-FR" w:bidi="fr-FR"/>
              </w:rPr>
              <w:t>Mettre en place des contrôles pour minimiser les préjudices aux ressources du PNUD, quelles qu</w:t>
            </w:r>
            <w:r w:rsidR="001C09DF">
              <w:rPr>
                <w:lang w:val="fr-FR" w:bidi="fr-FR"/>
              </w:rPr>
              <w:t>’</w:t>
            </w:r>
            <w:r>
              <w:rPr>
                <w:lang w:val="fr-FR" w:bidi="fr-FR"/>
              </w:rPr>
              <w:t>elles soient, mais être prêt à accepter des risques faibles</w:t>
            </w:r>
          </w:p>
        </w:tc>
        <w:tc>
          <w:tcPr>
            <w:tcW w:w="2158" w:type="dxa"/>
          </w:tcPr>
          <w:p w14:paraId="0D030726" w14:textId="32575867" w:rsidR="00E7009B" w:rsidRPr="001C09DF" w:rsidRDefault="00E7009B" w:rsidP="00E7009B">
            <w:pPr>
              <w:spacing w:line="259" w:lineRule="auto"/>
              <w:rPr>
                <w:lang w:val="fr-FR"/>
              </w:rPr>
            </w:pPr>
            <w:r>
              <w:rPr>
                <w:lang w:val="fr-FR" w:bidi="fr-FR"/>
              </w:rPr>
              <w:t>Mettre en place des contrôles pour minimiser les préjudices aux ressources du PNUD, quelles qu</w:t>
            </w:r>
            <w:r w:rsidR="001C09DF">
              <w:rPr>
                <w:lang w:val="fr-FR" w:bidi="fr-FR"/>
              </w:rPr>
              <w:t>’</w:t>
            </w:r>
            <w:r>
              <w:rPr>
                <w:lang w:val="fr-FR" w:bidi="fr-FR"/>
              </w:rPr>
              <w:t xml:space="preserve">elles soient, mais être prêt à accepter des risques modérés </w:t>
            </w:r>
          </w:p>
        </w:tc>
        <w:tc>
          <w:tcPr>
            <w:tcW w:w="2159" w:type="dxa"/>
            <w:shd w:val="clear" w:color="auto" w:fill="auto"/>
          </w:tcPr>
          <w:p w14:paraId="4835E2F1" w14:textId="5CDFACA2" w:rsidR="00E7009B" w:rsidRPr="001C09DF" w:rsidRDefault="00E7009B" w:rsidP="00E7009B">
            <w:pPr>
              <w:spacing w:line="259" w:lineRule="auto"/>
              <w:rPr>
                <w:lang w:val="fr-FR"/>
              </w:rPr>
            </w:pPr>
            <w:r>
              <w:rPr>
                <w:lang w:val="fr-FR" w:bidi="fr-FR"/>
              </w:rPr>
              <w:t>Mettre en place des contrôles pour minimiser les préjudices aux ressources du PNUD, quelles qu</w:t>
            </w:r>
            <w:r w:rsidR="001C09DF">
              <w:rPr>
                <w:lang w:val="fr-FR" w:bidi="fr-FR"/>
              </w:rPr>
              <w:t>’</w:t>
            </w:r>
            <w:r>
              <w:rPr>
                <w:lang w:val="fr-FR" w:bidi="fr-FR"/>
              </w:rPr>
              <w:t>elles soient, tout en donnant priorité à l</w:t>
            </w:r>
            <w:r w:rsidR="001C09DF">
              <w:rPr>
                <w:lang w:val="fr-FR" w:bidi="fr-FR"/>
              </w:rPr>
              <w:t>’</w:t>
            </w:r>
            <w:r>
              <w:rPr>
                <w:lang w:val="fr-FR" w:bidi="fr-FR"/>
              </w:rPr>
              <w:t>exécution, mais être prêt à accepter des risques élevés</w:t>
            </w:r>
          </w:p>
        </w:tc>
        <w:tc>
          <w:tcPr>
            <w:tcW w:w="2159" w:type="dxa"/>
          </w:tcPr>
          <w:p w14:paraId="565022D9" w14:textId="7E4AB2BE" w:rsidR="00E7009B" w:rsidRPr="001C09DF" w:rsidRDefault="00E7009B" w:rsidP="00E7009B">
            <w:pPr>
              <w:spacing w:line="259" w:lineRule="auto"/>
              <w:rPr>
                <w:lang w:val="fr-FR"/>
              </w:rPr>
            </w:pPr>
            <w:r>
              <w:rPr>
                <w:lang w:val="fr-FR" w:bidi="fr-FR"/>
              </w:rPr>
              <w:t>Mettre en place des contrôles pour minimiser les préjudices aux ressources du PNUD, quelles qu</w:t>
            </w:r>
            <w:r w:rsidR="001C09DF">
              <w:rPr>
                <w:lang w:val="fr-FR" w:bidi="fr-FR"/>
              </w:rPr>
              <w:t>’</w:t>
            </w:r>
            <w:r>
              <w:rPr>
                <w:lang w:val="fr-FR" w:bidi="fr-FR"/>
              </w:rPr>
              <w:t>elles soient, tout en donnant priorité à l</w:t>
            </w:r>
            <w:r w:rsidR="001C09DF">
              <w:rPr>
                <w:lang w:val="fr-FR" w:bidi="fr-FR"/>
              </w:rPr>
              <w:t>’</w:t>
            </w:r>
            <w:r>
              <w:rPr>
                <w:lang w:val="fr-FR" w:bidi="fr-FR"/>
              </w:rPr>
              <w:t>exécution, mais être prêt à accepter des risques très élevés</w:t>
            </w:r>
          </w:p>
        </w:tc>
      </w:tr>
    </w:tbl>
    <w:p w14:paraId="43605F50" w14:textId="1595C252" w:rsidR="00441407" w:rsidRPr="001C09DF" w:rsidRDefault="00441407" w:rsidP="001E7406">
      <w:pPr>
        <w:rPr>
          <w:lang w:val="fr-FR"/>
        </w:rPr>
      </w:pPr>
    </w:p>
    <w:p w14:paraId="0629F44A" w14:textId="77777777" w:rsidR="004E3243" w:rsidRDefault="004E3243" w:rsidP="001E7406">
      <w:pPr>
        <w:rPr>
          <w:lang w:val="fr-FR"/>
        </w:rPr>
      </w:pPr>
    </w:p>
    <w:p w14:paraId="6E689005" w14:textId="77777777" w:rsidR="004E3243" w:rsidRPr="00F54126" w:rsidRDefault="004E3243" w:rsidP="004E3243">
      <w:pPr>
        <w:jc w:val="both"/>
        <w:rPr>
          <w:rFonts w:ascii="Calibri" w:hAnsi="Calibri" w:cs="Calibri"/>
          <w:lang w:val="fr-FR"/>
        </w:rPr>
      </w:pPr>
    </w:p>
    <w:p w14:paraId="4C00E10C" w14:textId="0620FAFE" w:rsidR="004E3243" w:rsidRPr="004E3243" w:rsidRDefault="004E3243" w:rsidP="004E3243">
      <w:pPr>
        <w:shd w:val="clear" w:color="auto" w:fill="FFFFFF"/>
        <w:spacing w:line="270" w:lineRule="atLeast"/>
        <w:jc w:val="both"/>
        <w:rPr>
          <w:rFonts w:ascii="Calibri" w:hAnsi="Calibri" w:cs="Calibri"/>
          <w:i/>
          <w:iCs/>
          <w:color w:val="000000"/>
          <w:lang w:val="en-GB"/>
        </w:rPr>
      </w:pPr>
      <w:r w:rsidRPr="0058185A">
        <w:rPr>
          <w:rFonts w:ascii="Calibri" w:hAnsi="Calibri" w:cs="Calibri"/>
          <w:b/>
          <w:bCs/>
          <w:i/>
          <w:iCs/>
          <w:color w:val="000000"/>
          <w:lang w:val="en-GB"/>
        </w:rPr>
        <w:t>Disclaimer: </w:t>
      </w:r>
      <w:r w:rsidRPr="0058185A">
        <w:rPr>
          <w:rFonts w:ascii="Calibri" w:hAnsi="Calibri" w:cs="Calibri"/>
          <w:i/>
          <w:iCs/>
          <w:color w:val="000000"/>
          <w:lang w:val="en-GB"/>
        </w:rPr>
        <w:t>This document was translated from English into French. In the event of any discrepancy between this translation and the original English document, the original English document shall prevail.</w:t>
      </w:r>
    </w:p>
    <w:p w14:paraId="58C6593B" w14:textId="77777777" w:rsidR="004E3243" w:rsidRPr="00F54126" w:rsidRDefault="004E3243" w:rsidP="004E3243">
      <w:pPr>
        <w:shd w:val="clear" w:color="auto" w:fill="FFFFFF"/>
        <w:spacing w:line="270" w:lineRule="atLeast"/>
        <w:jc w:val="both"/>
        <w:rPr>
          <w:rFonts w:ascii="Calibri" w:hAnsi="Calibri" w:cs="Calibri"/>
          <w:color w:val="000000"/>
          <w:lang w:val="fr-FR" w:eastAsia="ko-KR"/>
        </w:rPr>
      </w:pPr>
      <w:r w:rsidRPr="00F54126">
        <w:rPr>
          <w:rFonts w:ascii="Calibri" w:hAnsi="Calibri" w:cs="Calibri"/>
          <w:b/>
          <w:bCs/>
          <w:i/>
          <w:iCs/>
          <w:color w:val="000000"/>
          <w:lang w:val="fr-FR"/>
        </w:rPr>
        <w:t>Attention: </w:t>
      </w:r>
      <w:r w:rsidRPr="00F54126">
        <w:rPr>
          <w:rFonts w:ascii="Calibri" w:hAnsi="Calibri" w:cs="Calibri"/>
          <w:i/>
          <w:iCs/>
          <w:color w:val="000000"/>
          <w:lang w:val="fr-FR"/>
        </w:rPr>
        <w:t>En cas de divergence entre les textes français et anglais de cette politique, le texte anglais fait foi, sauf disposition expresse écrite contraire.</w:t>
      </w:r>
    </w:p>
    <w:p w14:paraId="54DE4777" w14:textId="77777777" w:rsidR="004E3243" w:rsidRPr="001C09DF" w:rsidRDefault="004E3243" w:rsidP="001E7406">
      <w:pPr>
        <w:rPr>
          <w:lang w:val="fr-FR"/>
        </w:rPr>
      </w:pPr>
    </w:p>
    <w:sectPr w:rsidR="004E3243" w:rsidRPr="001C09DF" w:rsidSect="001A01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BA10" w14:textId="77777777" w:rsidR="00372CEB" w:rsidRDefault="00372CEB" w:rsidP="00117AC3">
      <w:pPr>
        <w:spacing w:after="0" w:line="240" w:lineRule="auto"/>
      </w:pPr>
      <w:r>
        <w:separator/>
      </w:r>
    </w:p>
  </w:endnote>
  <w:endnote w:type="continuationSeparator" w:id="0">
    <w:p w14:paraId="1FCC0BB2" w14:textId="77777777" w:rsidR="00372CEB" w:rsidRDefault="00372CEB" w:rsidP="00117AC3">
      <w:pPr>
        <w:spacing w:after="0" w:line="240" w:lineRule="auto"/>
      </w:pPr>
      <w:r>
        <w:continuationSeparator/>
      </w:r>
    </w:p>
  </w:endnote>
  <w:endnote w:type="continuationNotice" w:id="1">
    <w:p w14:paraId="258DD1C0" w14:textId="77777777" w:rsidR="00372CEB" w:rsidRDefault="00372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251637"/>
      <w:docPartObj>
        <w:docPartGallery w:val="Page Numbers (Bottom of Page)"/>
        <w:docPartUnique/>
      </w:docPartObj>
    </w:sdtPr>
    <w:sdtEndPr>
      <w:rPr>
        <w:noProof/>
      </w:rPr>
    </w:sdtEndPr>
    <w:sdtContent>
      <w:p w14:paraId="52AEED37" w14:textId="78B2E163" w:rsidR="001703F8" w:rsidRDefault="001703F8">
        <w:pPr>
          <w:pStyle w:val="Footer"/>
          <w:jc w:val="right"/>
        </w:pPr>
        <w:r>
          <w:rPr>
            <w:lang w:val="fr-FR" w:bidi="fr-FR"/>
          </w:rPr>
          <w:fldChar w:fldCharType="begin"/>
        </w:r>
        <w:r>
          <w:rPr>
            <w:lang w:val="fr-FR" w:bidi="fr-FR"/>
          </w:rPr>
          <w:instrText xml:space="preserve"> PAGE   \* MERGEFORMAT </w:instrText>
        </w:r>
        <w:r>
          <w:rPr>
            <w:lang w:val="fr-FR" w:bidi="fr-FR"/>
          </w:rPr>
          <w:fldChar w:fldCharType="separate"/>
        </w:r>
        <w:r>
          <w:rPr>
            <w:noProof/>
            <w:lang w:val="fr-FR" w:bidi="fr-FR"/>
          </w:rPr>
          <w:t>2</w:t>
        </w:r>
        <w:r>
          <w:rPr>
            <w:noProof/>
            <w:lang w:val="fr-FR" w:bidi="fr-FR"/>
          </w:rPr>
          <w:fldChar w:fldCharType="end"/>
        </w:r>
      </w:p>
    </w:sdtContent>
  </w:sdt>
  <w:p w14:paraId="48F5F879" w14:textId="77777777" w:rsidR="001703F8" w:rsidRDefault="00170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F3A8" w14:textId="77777777" w:rsidR="00372CEB" w:rsidRDefault="00372CEB" w:rsidP="00117AC3">
      <w:pPr>
        <w:spacing w:after="0" w:line="240" w:lineRule="auto"/>
      </w:pPr>
      <w:r>
        <w:separator/>
      </w:r>
    </w:p>
  </w:footnote>
  <w:footnote w:type="continuationSeparator" w:id="0">
    <w:p w14:paraId="26E4265F" w14:textId="77777777" w:rsidR="00372CEB" w:rsidRDefault="00372CEB" w:rsidP="00117AC3">
      <w:pPr>
        <w:spacing w:after="0" w:line="240" w:lineRule="auto"/>
      </w:pPr>
      <w:r>
        <w:continuationSeparator/>
      </w:r>
    </w:p>
  </w:footnote>
  <w:footnote w:type="continuationNotice" w:id="1">
    <w:p w14:paraId="4BFDA706" w14:textId="77777777" w:rsidR="00372CEB" w:rsidRDefault="00372CEB">
      <w:pPr>
        <w:spacing w:after="0" w:line="240" w:lineRule="auto"/>
      </w:pPr>
    </w:p>
  </w:footnote>
  <w:footnote w:id="2">
    <w:p w14:paraId="7F7D556B" w14:textId="0301882E" w:rsidR="001703F8" w:rsidRPr="001C09DF" w:rsidRDefault="001703F8" w:rsidP="0041558F">
      <w:pPr>
        <w:pStyle w:val="FootnoteText"/>
        <w:rPr>
          <w:sz w:val="18"/>
          <w:szCs w:val="18"/>
          <w:lang w:val="fr-FR"/>
        </w:rPr>
      </w:pPr>
      <w:r w:rsidRPr="00AB231B">
        <w:rPr>
          <w:rStyle w:val="FootnoteReference"/>
          <w:sz w:val="18"/>
          <w:lang w:val="fr-FR" w:bidi="fr-FR"/>
        </w:rPr>
        <w:footnoteRef/>
      </w:r>
      <w:r w:rsidRPr="00AB231B">
        <w:rPr>
          <w:sz w:val="18"/>
          <w:lang w:val="fr-FR" w:bidi="fr-FR"/>
        </w:rPr>
        <w:t xml:space="preserve"> La politique de gestion des risques sécuritaires du système de gestion de la sécurité des Nations Unies, approuvée par le Conseil des chefs de secrétariat pour la coordination (CCS), définit le modèle des risques acceptables dans lequel les risques sécuritaires sont évalués à l</w:t>
      </w:r>
      <w:r w:rsidR="001C09DF">
        <w:rPr>
          <w:sz w:val="18"/>
          <w:lang w:val="fr-FR" w:bidi="fr-FR"/>
        </w:rPr>
        <w:t>’</w:t>
      </w:r>
      <w:r w:rsidRPr="00AB231B">
        <w:rPr>
          <w:sz w:val="18"/>
          <w:lang w:val="fr-FR" w:bidi="fr-FR"/>
        </w:rPr>
        <w:t>aune des bénéfices du programme. Dans ce modèle, les risques sont acceptés lorsque l</w:t>
      </w:r>
      <w:r w:rsidR="001C09DF">
        <w:rPr>
          <w:sz w:val="18"/>
          <w:lang w:val="fr-FR" w:bidi="fr-FR"/>
        </w:rPr>
        <w:t>’</w:t>
      </w:r>
      <w:r w:rsidRPr="00AB231B">
        <w:rPr>
          <w:sz w:val="18"/>
          <w:lang w:val="fr-FR" w:bidi="fr-FR"/>
        </w:rPr>
        <w:t xml:space="preserve">on estime que les avantages doivent prévaloir. </w:t>
      </w:r>
    </w:p>
  </w:footnote>
  <w:footnote w:id="3">
    <w:p w14:paraId="0642DD1D" w14:textId="77777777" w:rsidR="001703F8" w:rsidRPr="001C09DF" w:rsidRDefault="001703F8" w:rsidP="0041558F">
      <w:pPr>
        <w:pStyle w:val="FootnoteText"/>
        <w:rPr>
          <w:sz w:val="18"/>
          <w:szCs w:val="18"/>
          <w:lang w:val="fr-FR"/>
        </w:rPr>
      </w:pPr>
      <w:r w:rsidRPr="001811F8">
        <w:rPr>
          <w:rStyle w:val="FootnoteReference"/>
          <w:sz w:val="18"/>
          <w:lang w:val="fr-FR" w:bidi="fr-FR"/>
        </w:rPr>
        <w:footnoteRef/>
      </w:r>
      <w:r w:rsidRPr="001811F8">
        <w:rPr>
          <w:sz w:val="18"/>
          <w:lang w:val="fr-FR" w:bidi="fr-FR"/>
        </w:rPr>
        <w:t xml:space="preserve"> La cybersécurité ne relève pas de la gestion des risques sécuritaires du système de gestion de la sécurité des Nations Unies, et le PNUD gère donc lui-même les risques dans ce domaine.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6C"/>
    <w:multiLevelType w:val="multilevel"/>
    <w:tmpl w:val="53BE104C"/>
    <w:lvl w:ilvl="0">
      <w:start w:val="6"/>
      <w:numFmt w:val="decimal"/>
      <w:lvlText w:val="%1"/>
      <w:lvlJc w:val="left"/>
      <w:pPr>
        <w:ind w:left="135" w:hanging="317"/>
      </w:pPr>
    </w:lvl>
    <w:lvl w:ilvl="1">
      <w:start w:val="9"/>
      <w:numFmt w:val="decimal"/>
      <w:lvlText w:val="%1-%2"/>
      <w:lvlJc w:val="left"/>
      <w:pPr>
        <w:ind w:left="135" w:hanging="317"/>
      </w:pPr>
      <w:rPr>
        <w:rFonts w:ascii="Times New Roman" w:eastAsia="Times New Roman" w:hAnsi="Times New Roman" w:cs="Times New Roman" w:hint="default"/>
        <w:spacing w:val="1"/>
        <w:w w:val="99"/>
        <w:sz w:val="20"/>
        <w:szCs w:val="20"/>
      </w:rPr>
    </w:lvl>
    <w:lvl w:ilvl="2">
      <w:start w:val="1"/>
      <w:numFmt w:val="upperRoman"/>
      <w:lvlText w:val="%3."/>
      <w:lvlJc w:val="left"/>
      <w:pPr>
        <w:ind w:left="860" w:hanging="269"/>
      </w:pPr>
      <w:rPr>
        <w:rFonts w:ascii="Times New Roman" w:eastAsia="Times New Roman" w:hAnsi="Times New Roman" w:cs="Times New Roman" w:hint="default"/>
        <w:b/>
        <w:bCs/>
        <w:sz w:val="24"/>
        <w:szCs w:val="24"/>
      </w:rPr>
    </w:lvl>
    <w:lvl w:ilvl="3">
      <w:start w:val="1"/>
      <w:numFmt w:val="decimal"/>
      <w:lvlText w:val="%4."/>
      <w:lvlJc w:val="left"/>
      <w:pPr>
        <w:ind w:left="859" w:hanging="360"/>
      </w:pPr>
      <w:rPr>
        <w:rFonts w:ascii="Times New Roman" w:eastAsia="Times New Roman" w:hAnsi="Times New Roman" w:cs="Times New Roman" w:hint="default"/>
        <w:spacing w:val="1"/>
        <w:w w:val="99"/>
        <w:sz w:val="20"/>
        <w:szCs w:val="20"/>
      </w:rPr>
    </w:lvl>
    <w:lvl w:ilvl="4">
      <w:start w:val="1"/>
      <w:numFmt w:val="bullet"/>
      <w:lvlText w:val="•"/>
      <w:lvlJc w:val="left"/>
      <w:pPr>
        <w:ind w:left="2643" w:hanging="360"/>
      </w:pPr>
    </w:lvl>
    <w:lvl w:ilvl="5">
      <w:start w:val="1"/>
      <w:numFmt w:val="bullet"/>
      <w:lvlText w:val="•"/>
      <w:lvlJc w:val="left"/>
      <w:pPr>
        <w:ind w:left="3856" w:hanging="360"/>
      </w:pPr>
    </w:lvl>
    <w:lvl w:ilvl="6">
      <w:start w:val="1"/>
      <w:numFmt w:val="bullet"/>
      <w:lvlText w:val="•"/>
      <w:lvlJc w:val="left"/>
      <w:pPr>
        <w:ind w:left="5069" w:hanging="360"/>
      </w:pPr>
    </w:lvl>
    <w:lvl w:ilvl="7">
      <w:start w:val="1"/>
      <w:numFmt w:val="bullet"/>
      <w:lvlText w:val="•"/>
      <w:lvlJc w:val="left"/>
      <w:pPr>
        <w:ind w:left="6281" w:hanging="360"/>
      </w:pPr>
    </w:lvl>
    <w:lvl w:ilvl="8">
      <w:start w:val="1"/>
      <w:numFmt w:val="bullet"/>
      <w:lvlText w:val="•"/>
      <w:lvlJc w:val="left"/>
      <w:pPr>
        <w:ind w:left="7494" w:hanging="360"/>
      </w:pPr>
    </w:lvl>
  </w:abstractNum>
  <w:abstractNum w:abstractNumId="1" w15:restartNumberingAfterBreak="0">
    <w:nsid w:val="068F4D85"/>
    <w:multiLevelType w:val="hybridMultilevel"/>
    <w:tmpl w:val="9468FE48"/>
    <w:lvl w:ilvl="0" w:tplc="2B72FF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C6B43"/>
    <w:multiLevelType w:val="hybridMultilevel"/>
    <w:tmpl w:val="76FE90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AD2568"/>
    <w:multiLevelType w:val="hybridMultilevel"/>
    <w:tmpl w:val="84648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C0EAF"/>
    <w:multiLevelType w:val="hybridMultilevel"/>
    <w:tmpl w:val="45FA024C"/>
    <w:lvl w:ilvl="0" w:tplc="1FD45D0E">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16024"/>
    <w:multiLevelType w:val="hybridMultilevel"/>
    <w:tmpl w:val="FFC6EBC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19994A1E"/>
    <w:multiLevelType w:val="hybridMultilevel"/>
    <w:tmpl w:val="67D02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226FB"/>
    <w:multiLevelType w:val="hybridMultilevel"/>
    <w:tmpl w:val="35DA3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89378E"/>
    <w:multiLevelType w:val="hybridMultilevel"/>
    <w:tmpl w:val="DE1E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E2418D"/>
    <w:multiLevelType w:val="multilevel"/>
    <w:tmpl w:val="8738D778"/>
    <w:lvl w:ilvl="0">
      <w:start w:val="1"/>
      <w:numFmt w:val="decimal"/>
      <w:lvlText w:val="%1."/>
      <w:lvlJc w:val="left"/>
      <w:pPr>
        <w:ind w:left="720" w:hanging="360"/>
      </w:pPr>
      <w:rPr>
        <w:rFonts w:hint="default"/>
      </w:rPr>
    </w:lvl>
    <w:lvl w:ilvl="1">
      <w:start w:val="5"/>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5D93570"/>
    <w:multiLevelType w:val="hybridMultilevel"/>
    <w:tmpl w:val="6B26F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EA4BA9"/>
    <w:multiLevelType w:val="multilevel"/>
    <w:tmpl w:val="C9A6A420"/>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B464E4"/>
    <w:multiLevelType w:val="hybridMultilevel"/>
    <w:tmpl w:val="8168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A117AB"/>
    <w:multiLevelType w:val="hybridMultilevel"/>
    <w:tmpl w:val="498A92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A0541"/>
    <w:multiLevelType w:val="hybridMultilevel"/>
    <w:tmpl w:val="71B8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E3D19"/>
    <w:multiLevelType w:val="multilevel"/>
    <w:tmpl w:val="95069C44"/>
    <w:lvl w:ilvl="0">
      <w:start w:val="1"/>
      <w:numFmt w:val="decimal"/>
      <w:lvlText w:val="%1."/>
      <w:lvlJc w:val="left"/>
      <w:pPr>
        <w:ind w:left="360" w:hanging="360"/>
      </w:pPr>
      <w:rPr>
        <w:rFonts w:hint="default"/>
      </w:rPr>
    </w:lvl>
    <w:lvl w:ilvl="1">
      <w:start w:val="1"/>
      <w:numFmt w:val="none"/>
      <w:lvlText w:val="4.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C163AB6"/>
    <w:multiLevelType w:val="hybridMultilevel"/>
    <w:tmpl w:val="530C6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1" w15:restartNumberingAfterBreak="0">
    <w:nsid w:val="4E624CB6"/>
    <w:multiLevelType w:val="hybridMultilevel"/>
    <w:tmpl w:val="2DB28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875587"/>
    <w:multiLevelType w:val="hybridMultilevel"/>
    <w:tmpl w:val="A18E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3B1A5C"/>
    <w:multiLevelType w:val="hybridMultilevel"/>
    <w:tmpl w:val="FE8C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734CA"/>
    <w:multiLevelType w:val="multilevel"/>
    <w:tmpl w:val="BBAA1B9C"/>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F004D"/>
    <w:multiLevelType w:val="multilevel"/>
    <w:tmpl w:val="6A107C96"/>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5"/>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111117"/>
    <w:multiLevelType w:val="multilevel"/>
    <w:tmpl w:val="CA0CCF9C"/>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D76561"/>
    <w:multiLevelType w:val="hybridMultilevel"/>
    <w:tmpl w:val="1BC6D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5D6732"/>
    <w:multiLevelType w:val="hybridMultilevel"/>
    <w:tmpl w:val="666A574C"/>
    <w:lvl w:ilvl="0" w:tplc="4DA42164">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D6101EC"/>
    <w:multiLevelType w:val="hybridMultilevel"/>
    <w:tmpl w:val="55168A0C"/>
    <w:lvl w:ilvl="0" w:tplc="08090011">
      <w:start w:val="1"/>
      <w:numFmt w:val="decimal"/>
      <w:lvlText w:val="%1)"/>
      <w:lvlJc w:val="left"/>
      <w:pPr>
        <w:ind w:left="2345" w:hanging="360"/>
      </w:pPr>
      <w:rPr>
        <w:rFonts w:hint="default"/>
      </w:rPr>
    </w:lvl>
    <w:lvl w:ilvl="1" w:tplc="08090019" w:tentative="1">
      <w:start w:val="1"/>
      <w:numFmt w:val="lowerLetter"/>
      <w:lvlText w:val="%2."/>
      <w:lvlJc w:val="left"/>
      <w:pPr>
        <w:ind w:left="1440" w:hanging="360"/>
      </w:pPr>
    </w:lvl>
    <w:lvl w:ilvl="2" w:tplc="96E65976">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2D1C01"/>
    <w:multiLevelType w:val="hybridMultilevel"/>
    <w:tmpl w:val="2B76A038"/>
    <w:lvl w:ilvl="0" w:tplc="2BF4B154">
      <w:start w:val="1"/>
      <w:numFmt w:val="bullet"/>
      <w:lvlText w:val="•"/>
      <w:lvlJc w:val="left"/>
      <w:pPr>
        <w:tabs>
          <w:tab w:val="num" w:pos="720"/>
        </w:tabs>
        <w:ind w:left="720" w:hanging="360"/>
      </w:pPr>
      <w:rPr>
        <w:rFonts w:ascii="Arial" w:hAnsi="Arial" w:hint="default"/>
      </w:rPr>
    </w:lvl>
    <w:lvl w:ilvl="1" w:tplc="73E0B134" w:tentative="1">
      <w:start w:val="1"/>
      <w:numFmt w:val="bullet"/>
      <w:lvlText w:val="•"/>
      <w:lvlJc w:val="left"/>
      <w:pPr>
        <w:tabs>
          <w:tab w:val="num" w:pos="1440"/>
        </w:tabs>
        <w:ind w:left="1440" w:hanging="360"/>
      </w:pPr>
      <w:rPr>
        <w:rFonts w:ascii="Arial" w:hAnsi="Arial" w:hint="default"/>
      </w:rPr>
    </w:lvl>
    <w:lvl w:ilvl="2" w:tplc="B9FC68E6" w:tentative="1">
      <w:start w:val="1"/>
      <w:numFmt w:val="bullet"/>
      <w:lvlText w:val="•"/>
      <w:lvlJc w:val="left"/>
      <w:pPr>
        <w:tabs>
          <w:tab w:val="num" w:pos="2160"/>
        </w:tabs>
        <w:ind w:left="2160" w:hanging="360"/>
      </w:pPr>
      <w:rPr>
        <w:rFonts w:ascii="Arial" w:hAnsi="Arial" w:hint="default"/>
      </w:rPr>
    </w:lvl>
    <w:lvl w:ilvl="3" w:tplc="A5286A8A" w:tentative="1">
      <w:start w:val="1"/>
      <w:numFmt w:val="bullet"/>
      <w:lvlText w:val="•"/>
      <w:lvlJc w:val="left"/>
      <w:pPr>
        <w:tabs>
          <w:tab w:val="num" w:pos="2880"/>
        </w:tabs>
        <w:ind w:left="2880" w:hanging="360"/>
      </w:pPr>
      <w:rPr>
        <w:rFonts w:ascii="Arial" w:hAnsi="Arial" w:hint="default"/>
      </w:rPr>
    </w:lvl>
    <w:lvl w:ilvl="4" w:tplc="8D74FD7E" w:tentative="1">
      <w:start w:val="1"/>
      <w:numFmt w:val="bullet"/>
      <w:lvlText w:val="•"/>
      <w:lvlJc w:val="left"/>
      <w:pPr>
        <w:tabs>
          <w:tab w:val="num" w:pos="3600"/>
        </w:tabs>
        <w:ind w:left="3600" w:hanging="360"/>
      </w:pPr>
      <w:rPr>
        <w:rFonts w:ascii="Arial" w:hAnsi="Arial" w:hint="default"/>
      </w:rPr>
    </w:lvl>
    <w:lvl w:ilvl="5" w:tplc="6A0A8AF0" w:tentative="1">
      <w:start w:val="1"/>
      <w:numFmt w:val="bullet"/>
      <w:lvlText w:val="•"/>
      <w:lvlJc w:val="left"/>
      <w:pPr>
        <w:tabs>
          <w:tab w:val="num" w:pos="4320"/>
        </w:tabs>
        <w:ind w:left="4320" w:hanging="360"/>
      </w:pPr>
      <w:rPr>
        <w:rFonts w:ascii="Arial" w:hAnsi="Arial" w:hint="default"/>
      </w:rPr>
    </w:lvl>
    <w:lvl w:ilvl="6" w:tplc="A516D952" w:tentative="1">
      <w:start w:val="1"/>
      <w:numFmt w:val="bullet"/>
      <w:lvlText w:val="•"/>
      <w:lvlJc w:val="left"/>
      <w:pPr>
        <w:tabs>
          <w:tab w:val="num" w:pos="5040"/>
        </w:tabs>
        <w:ind w:left="5040" w:hanging="360"/>
      </w:pPr>
      <w:rPr>
        <w:rFonts w:ascii="Arial" w:hAnsi="Arial" w:hint="default"/>
      </w:rPr>
    </w:lvl>
    <w:lvl w:ilvl="7" w:tplc="CC602A10" w:tentative="1">
      <w:start w:val="1"/>
      <w:numFmt w:val="bullet"/>
      <w:lvlText w:val="•"/>
      <w:lvlJc w:val="left"/>
      <w:pPr>
        <w:tabs>
          <w:tab w:val="num" w:pos="5760"/>
        </w:tabs>
        <w:ind w:left="5760" w:hanging="360"/>
      </w:pPr>
      <w:rPr>
        <w:rFonts w:ascii="Arial" w:hAnsi="Arial" w:hint="default"/>
      </w:rPr>
    </w:lvl>
    <w:lvl w:ilvl="8" w:tplc="02DCFE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7173C0"/>
    <w:multiLevelType w:val="hybridMultilevel"/>
    <w:tmpl w:val="A750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343E9C"/>
    <w:multiLevelType w:val="multilevel"/>
    <w:tmpl w:val="EAD4612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7084425">
    <w:abstractNumId w:val="1"/>
  </w:num>
  <w:num w:numId="2" w16cid:durableId="149249710">
    <w:abstractNumId w:val="34"/>
  </w:num>
  <w:num w:numId="3" w16cid:durableId="1913389719">
    <w:abstractNumId w:val="21"/>
  </w:num>
  <w:num w:numId="4" w16cid:durableId="61950730">
    <w:abstractNumId w:val="2"/>
  </w:num>
  <w:num w:numId="5" w16cid:durableId="755785797">
    <w:abstractNumId w:val="17"/>
  </w:num>
  <w:num w:numId="6" w16cid:durableId="780148408">
    <w:abstractNumId w:val="32"/>
  </w:num>
  <w:num w:numId="7" w16cid:durableId="683824742">
    <w:abstractNumId w:val="31"/>
  </w:num>
  <w:num w:numId="8" w16cid:durableId="2114861748">
    <w:abstractNumId w:val="25"/>
  </w:num>
  <w:num w:numId="9" w16cid:durableId="2010329308">
    <w:abstractNumId w:val="19"/>
  </w:num>
  <w:num w:numId="10" w16cid:durableId="366107935">
    <w:abstractNumId w:val="33"/>
  </w:num>
  <w:num w:numId="11" w16cid:durableId="1445808290">
    <w:abstractNumId w:val="15"/>
  </w:num>
  <w:num w:numId="12" w16cid:durableId="2032222875">
    <w:abstractNumId w:val="22"/>
  </w:num>
  <w:num w:numId="13" w16cid:durableId="11617797">
    <w:abstractNumId w:val="23"/>
  </w:num>
  <w:num w:numId="14" w16cid:durableId="757794603">
    <w:abstractNumId w:val="11"/>
  </w:num>
  <w:num w:numId="15" w16cid:durableId="1599677439">
    <w:abstractNumId w:val="24"/>
  </w:num>
  <w:num w:numId="16" w16cid:durableId="820004950">
    <w:abstractNumId w:val="6"/>
  </w:num>
  <w:num w:numId="17" w16cid:durableId="424113218">
    <w:abstractNumId w:val="5"/>
  </w:num>
  <w:num w:numId="18" w16cid:durableId="1904293495">
    <w:abstractNumId w:val="26"/>
  </w:num>
  <w:num w:numId="19" w16cid:durableId="1586837338">
    <w:abstractNumId w:val="20"/>
  </w:num>
  <w:num w:numId="20" w16cid:durableId="810441566">
    <w:abstractNumId w:val="27"/>
  </w:num>
  <w:num w:numId="21" w16cid:durableId="1337342362">
    <w:abstractNumId w:val="18"/>
  </w:num>
  <w:num w:numId="22" w16cid:durableId="610287713">
    <w:abstractNumId w:val="9"/>
  </w:num>
  <w:num w:numId="23" w16cid:durableId="1166507520">
    <w:abstractNumId w:val="4"/>
  </w:num>
  <w:num w:numId="24" w16cid:durableId="1204949376">
    <w:abstractNumId w:val="14"/>
  </w:num>
  <w:num w:numId="25" w16cid:durableId="286550241">
    <w:abstractNumId w:val="13"/>
  </w:num>
  <w:num w:numId="26" w16cid:durableId="1394699872">
    <w:abstractNumId w:val="10"/>
  </w:num>
  <w:num w:numId="27" w16cid:durableId="786200617">
    <w:abstractNumId w:val="16"/>
  </w:num>
  <w:num w:numId="28" w16cid:durableId="232666099">
    <w:abstractNumId w:val="8"/>
  </w:num>
  <w:num w:numId="29" w16cid:durableId="1221674449">
    <w:abstractNumId w:val="29"/>
  </w:num>
  <w:num w:numId="30" w16cid:durableId="2139948668">
    <w:abstractNumId w:val="30"/>
  </w:num>
  <w:num w:numId="31" w16cid:durableId="68039751">
    <w:abstractNumId w:val="0"/>
    <w:lvlOverride w:ilvl="0">
      <w:startOverride w:val="6"/>
    </w:lvlOverride>
    <w:lvlOverride w:ilvl="1">
      <w:startOverride w:val="9"/>
    </w:lvlOverride>
    <w:lvlOverride w:ilvl="2">
      <w:startOverride w:val="1"/>
    </w:lvlOverride>
    <w:lvlOverride w:ilvl="3">
      <w:startOverride w:val="1"/>
    </w:lvlOverride>
    <w:lvlOverride w:ilvl="4"/>
    <w:lvlOverride w:ilvl="5"/>
    <w:lvlOverride w:ilvl="6"/>
    <w:lvlOverride w:ilvl="7"/>
    <w:lvlOverride w:ilvl="8"/>
  </w:num>
  <w:num w:numId="32" w16cid:durableId="667562686">
    <w:abstractNumId w:val="28"/>
  </w:num>
  <w:num w:numId="33" w16cid:durableId="1897353733">
    <w:abstractNumId w:val="3"/>
  </w:num>
  <w:num w:numId="34" w16cid:durableId="396437637">
    <w:abstractNumId w:val="7"/>
  </w:num>
  <w:num w:numId="35" w16cid:durableId="1691754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0NDM3sjQ0MjMzMjJU0lEKTi0uzszPAykwrAUA4u1PYSwAAAA="/>
  </w:docVars>
  <w:rsids>
    <w:rsidRoot w:val="004B6624"/>
    <w:rsid w:val="00003469"/>
    <w:rsid w:val="00006458"/>
    <w:rsid w:val="00007A81"/>
    <w:rsid w:val="00015491"/>
    <w:rsid w:val="00015B69"/>
    <w:rsid w:val="000167EA"/>
    <w:rsid w:val="00026558"/>
    <w:rsid w:val="000269B6"/>
    <w:rsid w:val="00030646"/>
    <w:rsid w:val="00032B57"/>
    <w:rsid w:val="0003535E"/>
    <w:rsid w:val="00051D44"/>
    <w:rsid w:val="00053A9C"/>
    <w:rsid w:val="00055B11"/>
    <w:rsid w:val="00066277"/>
    <w:rsid w:val="00066FDE"/>
    <w:rsid w:val="00070748"/>
    <w:rsid w:val="000764A4"/>
    <w:rsid w:val="0008044B"/>
    <w:rsid w:val="000877F0"/>
    <w:rsid w:val="00091390"/>
    <w:rsid w:val="00093595"/>
    <w:rsid w:val="000941F0"/>
    <w:rsid w:val="000B13BA"/>
    <w:rsid w:val="000B6AD3"/>
    <w:rsid w:val="000C1C75"/>
    <w:rsid w:val="000C2EC8"/>
    <w:rsid w:val="000C4828"/>
    <w:rsid w:val="000C6910"/>
    <w:rsid w:val="000C70A0"/>
    <w:rsid w:val="000D2EB0"/>
    <w:rsid w:val="000D3695"/>
    <w:rsid w:val="000D3A72"/>
    <w:rsid w:val="000D3EF9"/>
    <w:rsid w:val="000D50E7"/>
    <w:rsid w:val="000D58FA"/>
    <w:rsid w:val="000D7BEA"/>
    <w:rsid w:val="000F24CD"/>
    <w:rsid w:val="000F5E4A"/>
    <w:rsid w:val="000F7FA3"/>
    <w:rsid w:val="00101290"/>
    <w:rsid w:val="0010228E"/>
    <w:rsid w:val="0011077C"/>
    <w:rsid w:val="00113CEF"/>
    <w:rsid w:val="00114BF8"/>
    <w:rsid w:val="00115B3A"/>
    <w:rsid w:val="00116115"/>
    <w:rsid w:val="00117AC3"/>
    <w:rsid w:val="00120164"/>
    <w:rsid w:val="00126050"/>
    <w:rsid w:val="00141B12"/>
    <w:rsid w:val="00147A3F"/>
    <w:rsid w:val="001509E1"/>
    <w:rsid w:val="00154764"/>
    <w:rsid w:val="00155B92"/>
    <w:rsid w:val="001674CC"/>
    <w:rsid w:val="001703F8"/>
    <w:rsid w:val="00172B83"/>
    <w:rsid w:val="00180A08"/>
    <w:rsid w:val="00194D25"/>
    <w:rsid w:val="00197C90"/>
    <w:rsid w:val="001A0160"/>
    <w:rsid w:val="001A187F"/>
    <w:rsid w:val="001A4B8D"/>
    <w:rsid w:val="001C09DF"/>
    <w:rsid w:val="001D1406"/>
    <w:rsid w:val="001D16AB"/>
    <w:rsid w:val="001E53AB"/>
    <w:rsid w:val="001E7406"/>
    <w:rsid w:val="001E7ADE"/>
    <w:rsid w:val="001F3AF6"/>
    <w:rsid w:val="001F697B"/>
    <w:rsid w:val="002077BB"/>
    <w:rsid w:val="00212921"/>
    <w:rsid w:val="00225841"/>
    <w:rsid w:val="00232D8F"/>
    <w:rsid w:val="002348F9"/>
    <w:rsid w:val="002430C5"/>
    <w:rsid w:val="00243CF3"/>
    <w:rsid w:val="00250636"/>
    <w:rsid w:val="002533C4"/>
    <w:rsid w:val="00264694"/>
    <w:rsid w:val="0027133B"/>
    <w:rsid w:val="002730F0"/>
    <w:rsid w:val="002741FC"/>
    <w:rsid w:val="0027744E"/>
    <w:rsid w:val="00291A93"/>
    <w:rsid w:val="002933A2"/>
    <w:rsid w:val="00294D53"/>
    <w:rsid w:val="002A1E1D"/>
    <w:rsid w:val="002B15D1"/>
    <w:rsid w:val="002B16B3"/>
    <w:rsid w:val="002B16D0"/>
    <w:rsid w:val="002B2C3B"/>
    <w:rsid w:val="002B544B"/>
    <w:rsid w:val="002B7B64"/>
    <w:rsid w:val="002B7BDB"/>
    <w:rsid w:val="002B7C7E"/>
    <w:rsid w:val="002C4EFE"/>
    <w:rsid w:val="002C522A"/>
    <w:rsid w:val="002D3891"/>
    <w:rsid w:val="002D5746"/>
    <w:rsid w:val="002E055D"/>
    <w:rsid w:val="002E3526"/>
    <w:rsid w:val="002F1E25"/>
    <w:rsid w:val="00301691"/>
    <w:rsid w:val="00302B2D"/>
    <w:rsid w:val="0030514D"/>
    <w:rsid w:val="00306CC0"/>
    <w:rsid w:val="00314DF8"/>
    <w:rsid w:val="0031527C"/>
    <w:rsid w:val="003226B6"/>
    <w:rsid w:val="0032383F"/>
    <w:rsid w:val="003239F2"/>
    <w:rsid w:val="003245DD"/>
    <w:rsid w:val="00334CEB"/>
    <w:rsid w:val="00337442"/>
    <w:rsid w:val="00337C19"/>
    <w:rsid w:val="0034633F"/>
    <w:rsid w:val="003466CB"/>
    <w:rsid w:val="00355738"/>
    <w:rsid w:val="003612F7"/>
    <w:rsid w:val="00372CEB"/>
    <w:rsid w:val="00373223"/>
    <w:rsid w:val="0037418A"/>
    <w:rsid w:val="00383C62"/>
    <w:rsid w:val="00383F02"/>
    <w:rsid w:val="00392A6F"/>
    <w:rsid w:val="003976F7"/>
    <w:rsid w:val="003A3D48"/>
    <w:rsid w:val="003B39AC"/>
    <w:rsid w:val="003B3EA2"/>
    <w:rsid w:val="003B42A7"/>
    <w:rsid w:val="003B4AD9"/>
    <w:rsid w:val="003B60EF"/>
    <w:rsid w:val="003C4D56"/>
    <w:rsid w:val="003C7122"/>
    <w:rsid w:val="003D2CB4"/>
    <w:rsid w:val="003D4641"/>
    <w:rsid w:val="003D55CB"/>
    <w:rsid w:val="003D6B38"/>
    <w:rsid w:val="003E1C75"/>
    <w:rsid w:val="003E5915"/>
    <w:rsid w:val="003E7EF1"/>
    <w:rsid w:val="003F0B20"/>
    <w:rsid w:val="003F22EC"/>
    <w:rsid w:val="003F4BBE"/>
    <w:rsid w:val="003F5D53"/>
    <w:rsid w:val="0040672E"/>
    <w:rsid w:val="004068DE"/>
    <w:rsid w:val="004079DF"/>
    <w:rsid w:val="0041558F"/>
    <w:rsid w:val="0041642C"/>
    <w:rsid w:val="00424E84"/>
    <w:rsid w:val="00425352"/>
    <w:rsid w:val="00425502"/>
    <w:rsid w:val="00425F4C"/>
    <w:rsid w:val="00426989"/>
    <w:rsid w:val="00432D4C"/>
    <w:rsid w:val="00435190"/>
    <w:rsid w:val="00441407"/>
    <w:rsid w:val="0044183C"/>
    <w:rsid w:val="00446936"/>
    <w:rsid w:val="00447F1B"/>
    <w:rsid w:val="0045047C"/>
    <w:rsid w:val="0045164D"/>
    <w:rsid w:val="00465506"/>
    <w:rsid w:val="00467AA0"/>
    <w:rsid w:val="00467D55"/>
    <w:rsid w:val="004751D8"/>
    <w:rsid w:val="00495605"/>
    <w:rsid w:val="00495768"/>
    <w:rsid w:val="00497C70"/>
    <w:rsid w:val="004B2B7B"/>
    <w:rsid w:val="004B6624"/>
    <w:rsid w:val="004C0ADA"/>
    <w:rsid w:val="004C5060"/>
    <w:rsid w:val="004C50FC"/>
    <w:rsid w:val="004C636A"/>
    <w:rsid w:val="004D0966"/>
    <w:rsid w:val="004E3243"/>
    <w:rsid w:val="004E5A52"/>
    <w:rsid w:val="004F3A7B"/>
    <w:rsid w:val="004F5419"/>
    <w:rsid w:val="00503675"/>
    <w:rsid w:val="00513FC1"/>
    <w:rsid w:val="00526443"/>
    <w:rsid w:val="0052794F"/>
    <w:rsid w:val="005317F2"/>
    <w:rsid w:val="00537D6A"/>
    <w:rsid w:val="005518C2"/>
    <w:rsid w:val="00553340"/>
    <w:rsid w:val="0056254E"/>
    <w:rsid w:val="00567E72"/>
    <w:rsid w:val="005720CD"/>
    <w:rsid w:val="00573252"/>
    <w:rsid w:val="00580327"/>
    <w:rsid w:val="005824AC"/>
    <w:rsid w:val="005864E1"/>
    <w:rsid w:val="005910D5"/>
    <w:rsid w:val="005927C0"/>
    <w:rsid w:val="00596C2B"/>
    <w:rsid w:val="005B1C47"/>
    <w:rsid w:val="005B27CF"/>
    <w:rsid w:val="005B7093"/>
    <w:rsid w:val="005B768A"/>
    <w:rsid w:val="005B7B03"/>
    <w:rsid w:val="005C00C2"/>
    <w:rsid w:val="005C3078"/>
    <w:rsid w:val="005C7551"/>
    <w:rsid w:val="005D03BF"/>
    <w:rsid w:val="005D229D"/>
    <w:rsid w:val="005D2757"/>
    <w:rsid w:val="005D4722"/>
    <w:rsid w:val="005D65C3"/>
    <w:rsid w:val="005E2430"/>
    <w:rsid w:val="005E3758"/>
    <w:rsid w:val="005E47C8"/>
    <w:rsid w:val="005F3369"/>
    <w:rsid w:val="00604E08"/>
    <w:rsid w:val="0060719C"/>
    <w:rsid w:val="00612FDA"/>
    <w:rsid w:val="006234E8"/>
    <w:rsid w:val="006239D8"/>
    <w:rsid w:val="00626401"/>
    <w:rsid w:val="0063171C"/>
    <w:rsid w:val="006332BC"/>
    <w:rsid w:val="00636721"/>
    <w:rsid w:val="00650529"/>
    <w:rsid w:val="00672D45"/>
    <w:rsid w:val="00673F45"/>
    <w:rsid w:val="0067467C"/>
    <w:rsid w:val="00675E47"/>
    <w:rsid w:val="00683013"/>
    <w:rsid w:val="00685840"/>
    <w:rsid w:val="006918C9"/>
    <w:rsid w:val="006979EB"/>
    <w:rsid w:val="006A742B"/>
    <w:rsid w:val="006A790C"/>
    <w:rsid w:val="006B17F0"/>
    <w:rsid w:val="006B43EC"/>
    <w:rsid w:val="006C3AE0"/>
    <w:rsid w:val="006C7235"/>
    <w:rsid w:val="006D6330"/>
    <w:rsid w:val="006F06A7"/>
    <w:rsid w:val="006F3142"/>
    <w:rsid w:val="00701300"/>
    <w:rsid w:val="007031E1"/>
    <w:rsid w:val="00707727"/>
    <w:rsid w:val="00713796"/>
    <w:rsid w:val="00716ACC"/>
    <w:rsid w:val="0072578C"/>
    <w:rsid w:val="00737D57"/>
    <w:rsid w:val="00745451"/>
    <w:rsid w:val="00747976"/>
    <w:rsid w:val="007562AC"/>
    <w:rsid w:val="00757EB6"/>
    <w:rsid w:val="00761C08"/>
    <w:rsid w:val="00774358"/>
    <w:rsid w:val="00774F85"/>
    <w:rsid w:val="00782E03"/>
    <w:rsid w:val="00786B18"/>
    <w:rsid w:val="00790125"/>
    <w:rsid w:val="00790F10"/>
    <w:rsid w:val="0079491E"/>
    <w:rsid w:val="007A4F17"/>
    <w:rsid w:val="007A5F30"/>
    <w:rsid w:val="007B1E6F"/>
    <w:rsid w:val="007C5302"/>
    <w:rsid w:val="007D0C60"/>
    <w:rsid w:val="007E04DC"/>
    <w:rsid w:val="00800842"/>
    <w:rsid w:val="00802A2E"/>
    <w:rsid w:val="00811B27"/>
    <w:rsid w:val="008125FF"/>
    <w:rsid w:val="00831099"/>
    <w:rsid w:val="00832ECB"/>
    <w:rsid w:val="00840E84"/>
    <w:rsid w:val="00843C08"/>
    <w:rsid w:val="00844865"/>
    <w:rsid w:val="00846BA7"/>
    <w:rsid w:val="00860B97"/>
    <w:rsid w:val="00863F9F"/>
    <w:rsid w:val="008746CF"/>
    <w:rsid w:val="00880EF2"/>
    <w:rsid w:val="0088254C"/>
    <w:rsid w:val="0089132A"/>
    <w:rsid w:val="00891773"/>
    <w:rsid w:val="008948D9"/>
    <w:rsid w:val="008A13BD"/>
    <w:rsid w:val="008B12BA"/>
    <w:rsid w:val="008B1678"/>
    <w:rsid w:val="008B2554"/>
    <w:rsid w:val="008C112D"/>
    <w:rsid w:val="008C2E7F"/>
    <w:rsid w:val="008D45C9"/>
    <w:rsid w:val="008D6A76"/>
    <w:rsid w:val="008D6F00"/>
    <w:rsid w:val="008E0F97"/>
    <w:rsid w:val="008E3973"/>
    <w:rsid w:val="008E565F"/>
    <w:rsid w:val="008F1111"/>
    <w:rsid w:val="008F1BD8"/>
    <w:rsid w:val="008F2319"/>
    <w:rsid w:val="0091626C"/>
    <w:rsid w:val="009203B7"/>
    <w:rsid w:val="009244F7"/>
    <w:rsid w:val="00937E3A"/>
    <w:rsid w:val="00940657"/>
    <w:rsid w:val="009476AA"/>
    <w:rsid w:val="0095069C"/>
    <w:rsid w:val="009543F0"/>
    <w:rsid w:val="00960EA8"/>
    <w:rsid w:val="00961F05"/>
    <w:rsid w:val="00962DB1"/>
    <w:rsid w:val="00971669"/>
    <w:rsid w:val="00974948"/>
    <w:rsid w:val="00975680"/>
    <w:rsid w:val="00981293"/>
    <w:rsid w:val="00991D43"/>
    <w:rsid w:val="00993F66"/>
    <w:rsid w:val="00996C74"/>
    <w:rsid w:val="009973F4"/>
    <w:rsid w:val="009A40F0"/>
    <w:rsid w:val="009B193B"/>
    <w:rsid w:val="009E3C0E"/>
    <w:rsid w:val="009F305D"/>
    <w:rsid w:val="009F52CE"/>
    <w:rsid w:val="009F7B76"/>
    <w:rsid w:val="00A14202"/>
    <w:rsid w:val="00A235B6"/>
    <w:rsid w:val="00A25DB1"/>
    <w:rsid w:val="00A346A8"/>
    <w:rsid w:val="00A41D96"/>
    <w:rsid w:val="00A56B5F"/>
    <w:rsid w:val="00A61225"/>
    <w:rsid w:val="00A81D74"/>
    <w:rsid w:val="00A825F5"/>
    <w:rsid w:val="00A8410B"/>
    <w:rsid w:val="00A86120"/>
    <w:rsid w:val="00A87C28"/>
    <w:rsid w:val="00A928A0"/>
    <w:rsid w:val="00A9454D"/>
    <w:rsid w:val="00A947B4"/>
    <w:rsid w:val="00A94B32"/>
    <w:rsid w:val="00AA1676"/>
    <w:rsid w:val="00AA51BC"/>
    <w:rsid w:val="00AB300E"/>
    <w:rsid w:val="00AB36CC"/>
    <w:rsid w:val="00AB75AD"/>
    <w:rsid w:val="00AC3195"/>
    <w:rsid w:val="00AE2897"/>
    <w:rsid w:val="00AE4757"/>
    <w:rsid w:val="00AE7753"/>
    <w:rsid w:val="00AF3AA7"/>
    <w:rsid w:val="00B003D8"/>
    <w:rsid w:val="00B0318D"/>
    <w:rsid w:val="00B0384A"/>
    <w:rsid w:val="00B05D63"/>
    <w:rsid w:val="00B2023F"/>
    <w:rsid w:val="00B23094"/>
    <w:rsid w:val="00B35AC2"/>
    <w:rsid w:val="00B4076C"/>
    <w:rsid w:val="00B47A56"/>
    <w:rsid w:val="00B51064"/>
    <w:rsid w:val="00B51998"/>
    <w:rsid w:val="00B53004"/>
    <w:rsid w:val="00B55096"/>
    <w:rsid w:val="00B55137"/>
    <w:rsid w:val="00B57407"/>
    <w:rsid w:val="00B57F91"/>
    <w:rsid w:val="00B63A9D"/>
    <w:rsid w:val="00B64AAA"/>
    <w:rsid w:val="00B81820"/>
    <w:rsid w:val="00B843E9"/>
    <w:rsid w:val="00B86337"/>
    <w:rsid w:val="00B86A02"/>
    <w:rsid w:val="00B91451"/>
    <w:rsid w:val="00B93A32"/>
    <w:rsid w:val="00B972CC"/>
    <w:rsid w:val="00BA0B5A"/>
    <w:rsid w:val="00BA48E6"/>
    <w:rsid w:val="00BA6A85"/>
    <w:rsid w:val="00BB425C"/>
    <w:rsid w:val="00BB7E15"/>
    <w:rsid w:val="00BC043B"/>
    <w:rsid w:val="00BC3BAB"/>
    <w:rsid w:val="00BC57B0"/>
    <w:rsid w:val="00BC7364"/>
    <w:rsid w:val="00BD090F"/>
    <w:rsid w:val="00BD1888"/>
    <w:rsid w:val="00BD467C"/>
    <w:rsid w:val="00BE405F"/>
    <w:rsid w:val="00BE4BFA"/>
    <w:rsid w:val="00BF1BF3"/>
    <w:rsid w:val="00BF1FA2"/>
    <w:rsid w:val="00BF2E2C"/>
    <w:rsid w:val="00BF7D88"/>
    <w:rsid w:val="00C02631"/>
    <w:rsid w:val="00C04122"/>
    <w:rsid w:val="00C1312D"/>
    <w:rsid w:val="00C204F2"/>
    <w:rsid w:val="00C25D4A"/>
    <w:rsid w:val="00C27BD7"/>
    <w:rsid w:val="00C3117C"/>
    <w:rsid w:val="00C406BC"/>
    <w:rsid w:val="00C40DEE"/>
    <w:rsid w:val="00C455AC"/>
    <w:rsid w:val="00C4587F"/>
    <w:rsid w:val="00C51829"/>
    <w:rsid w:val="00C54C59"/>
    <w:rsid w:val="00C570EB"/>
    <w:rsid w:val="00C7395A"/>
    <w:rsid w:val="00C74078"/>
    <w:rsid w:val="00C75CBA"/>
    <w:rsid w:val="00C84DEE"/>
    <w:rsid w:val="00C945C9"/>
    <w:rsid w:val="00C959F3"/>
    <w:rsid w:val="00C95BF4"/>
    <w:rsid w:val="00CA132A"/>
    <w:rsid w:val="00CB3178"/>
    <w:rsid w:val="00CB7A29"/>
    <w:rsid w:val="00CB7F79"/>
    <w:rsid w:val="00CC2AD1"/>
    <w:rsid w:val="00CC4AE5"/>
    <w:rsid w:val="00CC5741"/>
    <w:rsid w:val="00CC5E97"/>
    <w:rsid w:val="00CC7766"/>
    <w:rsid w:val="00CD761C"/>
    <w:rsid w:val="00CD766A"/>
    <w:rsid w:val="00CE2E8D"/>
    <w:rsid w:val="00CE4B30"/>
    <w:rsid w:val="00CE4C79"/>
    <w:rsid w:val="00CF112A"/>
    <w:rsid w:val="00CF17BF"/>
    <w:rsid w:val="00CF2736"/>
    <w:rsid w:val="00CF3AFC"/>
    <w:rsid w:val="00D07AC9"/>
    <w:rsid w:val="00D124AC"/>
    <w:rsid w:val="00D1778C"/>
    <w:rsid w:val="00D27823"/>
    <w:rsid w:val="00D33444"/>
    <w:rsid w:val="00D33786"/>
    <w:rsid w:val="00D36041"/>
    <w:rsid w:val="00D37D10"/>
    <w:rsid w:val="00D37F88"/>
    <w:rsid w:val="00D4492B"/>
    <w:rsid w:val="00D46BDB"/>
    <w:rsid w:val="00D53E73"/>
    <w:rsid w:val="00D603FF"/>
    <w:rsid w:val="00D65D32"/>
    <w:rsid w:val="00D74DD9"/>
    <w:rsid w:val="00D83DBE"/>
    <w:rsid w:val="00D84073"/>
    <w:rsid w:val="00D87CAF"/>
    <w:rsid w:val="00D904F5"/>
    <w:rsid w:val="00D90F05"/>
    <w:rsid w:val="00D94F49"/>
    <w:rsid w:val="00D9516F"/>
    <w:rsid w:val="00DB0F35"/>
    <w:rsid w:val="00DB545C"/>
    <w:rsid w:val="00DB56DC"/>
    <w:rsid w:val="00DB7251"/>
    <w:rsid w:val="00DB7628"/>
    <w:rsid w:val="00DB7F6B"/>
    <w:rsid w:val="00DC19EA"/>
    <w:rsid w:val="00DC62B0"/>
    <w:rsid w:val="00DD5783"/>
    <w:rsid w:val="00DD57C6"/>
    <w:rsid w:val="00DD5E07"/>
    <w:rsid w:val="00DF6A2D"/>
    <w:rsid w:val="00E017C7"/>
    <w:rsid w:val="00E01962"/>
    <w:rsid w:val="00E03BCF"/>
    <w:rsid w:val="00E06E76"/>
    <w:rsid w:val="00E07E5E"/>
    <w:rsid w:val="00E25098"/>
    <w:rsid w:val="00E270C4"/>
    <w:rsid w:val="00E427EE"/>
    <w:rsid w:val="00E474A7"/>
    <w:rsid w:val="00E525A8"/>
    <w:rsid w:val="00E66BD2"/>
    <w:rsid w:val="00E7009B"/>
    <w:rsid w:val="00E7043D"/>
    <w:rsid w:val="00E70A59"/>
    <w:rsid w:val="00E72FA2"/>
    <w:rsid w:val="00E740C1"/>
    <w:rsid w:val="00E74914"/>
    <w:rsid w:val="00E817BA"/>
    <w:rsid w:val="00E90385"/>
    <w:rsid w:val="00E9060A"/>
    <w:rsid w:val="00EA2E65"/>
    <w:rsid w:val="00EA4DC9"/>
    <w:rsid w:val="00EA50CD"/>
    <w:rsid w:val="00EB3DED"/>
    <w:rsid w:val="00EC06B2"/>
    <w:rsid w:val="00ED19C0"/>
    <w:rsid w:val="00ED3BD9"/>
    <w:rsid w:val="00EE0F50"/>
    <w:rsid w:val="00EF44BF"/>
    <w:rsid w:val="00EF7677"/>
    <w:rsid w:val="00F02580"/>
    <w:rsid w:val="00F03769"/>
    <w:rsid w:val="00F03D1B"/>
    <w:rsid w:val="00F07B1F"/>
    <w:rsid w:val="00F14F81"/>
    <w:rsid w:val="00F16307"/>
    <w:rsid w:val="00F20C34"/>
    <w:rsid w:val="00F22BD6"/>
    <w:rsid w:val="00F339FD"/>
    <w:rsid w:val="00F42356"/>
    <w:rsid w:val="00F50BCF"/>
    <w:rsid w:val="00F51EB3"/>
    <w:rsid w:val="00F54126"/>
    <w:rsid w:val="00F56E3E"/>
    <w:rsid w:val="00F577B4"/>
    <w:rsid w:val="00F640BB"/>
    <w:rsid w:val="00F65C4A"/>
    <w:rsid w:val="00F74263"/>
    <w:rsid w:val="00F850CC"/>
    <w:rsid w:val="00F92B1C"/>
    <w:rsid w:val="00F95E57"/>
    <w:rsid w:val="00FA4FAA"/>
    <w:rsid w:val="00FA5C40"/>
    <w:rsid w:val="00FB2438"/>
    <w:rsid w:val="00FB44B5"/>
    <w:rsid w:val="00FB7C5E"/>
    <w:rsid w:val="00FC09D5"/>
    <w:rsid w:val="00FC18E5"/>
    <w:rsid w:val="00FC729A"/>
    <w:rsid w:val="00FC7BCA"/>
    <w:rsid w:val="00FD646F"/>
    <w:rsid w:val="00FE3B6B"/>
    <w:rsid w:val="00FF39BF"/>
    <w:rsid w:val="09A5B9FF"/>
    <w:rsid w:val="14296875"/>
    <w:rsid w:val="14DF867E"/>
    <w:rsid w:val="177F29C2"/>
    <w:rsid w:val="1E710316"/>
    <w:rsid w:val="2489EA54"/>
    <w:rsid w:val="2AB05178"/>
    <w:rsid w:val="2E5981E1"/>
    <w:rsid w:val="2FF7A041"/>
    <w:rsid w:val="30099D0E"/>
    <w:rsid w:val="31A56D6F"/>
    <w:rsid w:val="3653A67F"/>
    <w:rsid w:val="39F9EFE9"/>
    <w:rsid w:val="3DF04FA6"/>
    <w:rsid w:val="4166C039"/>
    <w:rsid w:val="42174C2C"/>
    <w:rsid w:val="43ADDD22"/>
    <w:rsid w:val="4715839F"/>
    <w:rsid w:val="573810DB"/>
    <w:rsid w:val="6042ECF1"/>
    <w:rsid w:val="651B1483"/>
    <w:rsid w:val="6589DD2D"/>
    <w:rsid w:val="68747EED"/>
    <w:rsid w:val="6A13439E"/>
    <w:rsid w:val="6C581AD2"/>
    <w:rsid w:val="737220A5"/>
    <w:rsid w:val="742C7C42"/>
    <w:rsid w:val="7CE7891B"/>
    <w:rsid w:val="7D3376F4"/>
    <w:rsid w:val="7DF9F8AA"/>
    <w:rsid w:val="7F1162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47CA9"/>
  <w15:chartTrackingRefBased/>
  <w15:docId w15:val="{F865280E-BCB5-4257-B28B-F1B7BA9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C3"/>
    <w:rPr>
      <w:lang w:val="en-US"/>
    </w:rPr>
  </w:style>
  <w:style w:type="paragraph" w:styleId="Heading1">
    <w:name w:val="heading 1"/>
    <w:basedOn w:val="Normal"/>
    <w:next w:val="Normal"/>
    <w:link w:val="Heading1Char"/>
    <w:uiPriority w:val="9"/>
    <w:qFormat/>
    <w:rsid w:val="00117A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24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7A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17A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624"/>
    <w:rPr>
      <w:rFonts w:ascii="Segoe UI" w:hAnsi="Segoe UI" w:cs="Segoe UI"/>
      <w:sz w:val="18"/>
      <w:szCs w:val="18"/>
    </w:rPr>
  </w:style>
  <w:style w:type="character" w:customStyle="1" w:styleId="Heading1Char">
    <w:name w:val="Heading 1 Char"/>
    <w:basedOn w:val="DefaultParagraphFont"/>
    <w:link w:val="Heading1"/>
    <w:uiPriority w:val="9"/>
    <w:rsid w:val="00117AC3"/>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117AC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117AC3"/>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unhideWhenUsed/>
    <w:rsid w:val="00117AC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7AC3"/>
    <w:rPr>
      <w:sz w:val="16"/>
      <w:szCs w:val="16"/>
    </w:rPr>
  </w:style>
  <w:style w:type="paragraph" w:styleId="CommentText">
    <w:name w:val="annotation text"/>
    <w:basedOn w:val="Normal"/>
    <w:link w:val="CommentTextChar"/>
    <w:uiPriority w:val="99"/>
    <w:unhideWhenUsed/>
    <w:rsid w:val="00117AC3"/>
    <w:pPr>
      <w:spacing w:line="240" w:lineRule="auto"/>
    </w:pPr>
    <w:rPr>
      <w:sz w:val="20"/>
      <w:szCs w:val="20"/>
    </w:rPr>
  </w:style>
  <w:style w:type="character" w:customStyle="1" w:styleId="CommentTextChar">
    <w:name w:val="Comment Text Char"/>
    <w:basedOn w:val="DefaultParagraphFont"/>
    <w:link w:val="CommentText"/>
    <w:uiPriority w:val="99"/>
    <w:rsid w:val="00117AC3"/>
    <w:rPr>
      <w:sz w:val="20"/>
      <w:szCs w:val="20"/>
      <w:lang w:val="en-US"/>
    </w:rPr>
  </w:style>
  <w:style w:type="paragraph" w:styleId="ListParagraph">
    <w:name w:val="List Paragraph"/>
    <w:basedOn w:val="Normal"/>
    <w:uiPriority w:val="34"/>
    <w:qFormat/>
    <w:rsid w:val="00117AC3"/>
    <w:pPr>
      <w:ind w:left="720"/>
      <w:contextualSpacing/>
    </w:pPr>
  </w:style>
  <w:style w:type="paragraph" w:styleId="FootnoteText">
    <w:name w:val="footnote text"/>
    <w:basedOn w:val="Normal"/>
    <w:link w:val="FootnoteTextChar"/>
    <w:uiPriority w:val="99"/>
    <w:semiHidden/>
    <w:unhideWhenUsed/>
    <w:rsid w:val="00117A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7AC3"/>
    <w:rPr>
      <w:sz w:val="20"/>
      <w:szCs w:val="20"/>
      <w:lang w:val="en-US"/>
    </w:rPr>
  </w:style>
  <w:style w:type="character" w:styleId="FootnoteReference">
    <w:name w:val="footnote reference"/>
    <w:basedOn w:val="DefaultParagraphFont"/>
    <w:uiPriority w:val="99"/>
    <w:semiHidden/>
    <w:unhideWhenUsed/>
    <w:rsid w:val="00117AC3"/>
    <w:rPr>
      <w:vertAlign w:val="superscript"/>
    </w:rPr>
  </w:style>
  <w:style w:type="paragraph" w:styleId="TOCHeading">
    <w:name w:val="TOC Heading"/>
    <w:basedOn w:val="Heading1"/>
    <w:next w:val="Normal"/>
    <w:uiPriority w:val="39"/>
    <w:unhideWhenUsed/>
    <w:qFormat/>
    <w:rsid w:val="00117AC3"/>
    <w:pPr>
      <w:outlineLvl w:val="9"/>
    </w:pPr>
  </w:style>
  <w:style w:type="paragraph" w:styleId="TOC1">
    <w:name w:val="toc 1"/>
    <w:basedOn w:val="Normal"/>
    <w:next w:val="Normal"/>
    <w:autoRedefine/>
    <w:uiPriority w:val="39"/>
    <w:unhideWhenUsed/>
    <w:rsid w:val="00117AC3"/>
    <w:pPr>
      <w:spacing w:after="100"/>
    </w:pPr>
  </w:style>
  <w:style w:type="paragraph" w:styleId="TOC3">
    <w:name w:val="toc 3"/>
    <w:basedOn w:val="Normal"/>
    <w:next w:val="Normal"/>
    <w:autoRedefine/>
    <w:uiPriority w:val="39"/>
    <w:unhideWhenUsed/>
    <w:rsid w:val="00117AC3"/>
    <w:pPr>
      <w:spacing w:after="100"/>
      <w:ind w:left="440"/>
    </w:pPr>
  </w:style>
  <w:style w:type="character" w:styleId="Hyperlink">
    <w:name w:val="Hyperlink"/>
    <w:basedOn w:val="DefaultParagraphFont"/>
    <w:uiPriority w:val="99"/>
    <w:unhideWhenUsed/>
    <w:rsid w:val="00117AC3"/>
    <w:rPr>
      <w:color w:val="0563C1" w:themeColor="hyperlink"/>
      <w:u w:val="single"/>
    </w:rPr>
  </w:style>
  <w:style w:type="character" w:customStyle="1" w:styleId="Heading2Char">
    <w:name w:val="Heading 2 Char"/>
    <w:basedOn w:val="DefaultParagraphFont"/>
    <w:link w:val="Heading2"/>
    <w:uiPriority w:val="9"/>
    <w:rsid w:val="000F24CD"/>
    <w:rPr>
      <w:rFonts w:asciiTheme="majorHAnsi" w:eastAsiaTheme="majorEastAsia" w:hAnsiTheme="majorHAnsi" w:cstheme="majorBidi"/>
      <w:color w:val="2F5496" w:themeColor="accent1" w:themeShade="BF"/>
      <w:sz w:val="26"/>
      <w:szCs w:val="26"/>
      <w:lang w:val="en-US"/>
    </w:rPr>
  </w:style>
  <w:style w:type="paragraph" w:customStyle="1" w:styleId="Default">
    <w:name w:val="Default"/>
    <w:rsid w:val="00BB7E15"/>
    <w:pPr>
      <w:autoSpaceDE w:val="0"/>
      <w:autoSpaceDN w:val="0"/>
      <w:adjustRightInd w:val="0"/>
      <w:spacing w:after="0" w:line="240" w:lineRule="auto"/>
    </w:pPr>
    <w:rPr>
      <w:rFonts w:ascii="Gill Sans MT" w:hAnsi="Gill Sans MT" w:cs="Gill Sans MT"/>
      <w:color w:val="000000"/>
      <w:sz w:val="24"/>
      <w:szCs w:val="24"/>
      <w:lang w:val="en-US"/>
    </w:rPr>
  </w:style>
  <w:style w:type="paragraph" w:styleId="TOC2">
    <w:name w:val="toc 2"/>
    <w:basedOn w:val="Normal"/>
    <w:next w:val="Normal"/>
    <w:autoRedefine/>
    <w:uiPriority w:val="39"/>
    <w:unhideWhenUsed/>
    <w:rsid w:val="00573252"/>
    <w:pPr>
      <w:spacing w:after="100"/>
      <w:ind w:left="220"/>
    </w:pPr>
  </w:style>
  <w:style w:type="paragraph" w:styleId="CommentSubject">
    <w:name w:val="annotation subject"/>
    <w:basedOn w:val="CommentText"/>
    <w:next w:val="CommentText"/>
    <w:link w:val="CommentSubjectChar"/>
    <w:uiPriority w:val="99"/>
    <w:semiHidden/>
    <w:unhideWhenUsed/>
    <w:rsid w:val="00AA51BC"/>
    <w:rPr>
      <w:b/>
      <w:bCs/>
    </w:rPr>
  </w:style>
  <w:style w:type="character" w:customStyle="1" w:styleId="CommentSubjectChar">
    <w:name w:val="Comment Subject Char"/>
    <w:basedOn w:val="CommentTextChar"/>
    <w:link w:val="CommentSubject"/>
    <w:uiPriority w:val="99"/>
    <w:semiHidden/>
    <w:rsid w:val="00AA51BC"/>
    <w:rPr>
      <w:b/>
      <w:bCs/>
      <w:sz w:val="20"/>
      <w:szCs w:val="20"/>
      <w:lang w:val="en-US"/>
    </w:rPr>
  </w:style>
  <w:style w:type="character" w:styleId="FollowedHyperlink">
    <w:name w:val="FollowedHyperlink"/>
    <w:basedOn w:val="DefaultParagraphFont"/>
    <w:uiPriority w:val="99"/>
    <w:semiHidden/>
    <w:unhideWhenUsed/>
    <w:rsid w:val="000F7FA3"/>
    <w:rPr>
      <w:color w:val="954F72" w:themeColor="followedHyperlink"/>
      <w:u w:val="single"/>
    </w:rPr>
  </w:style>
  <w:style w:type="table" w:styleId="ListTable3">
    <w:name w:val="List Table 3"/>
    <w:basedOn w:val="TableNormal"/>
    <w:uiPriority w:val="48"/>
    <w:rsid w:val="001E7406"/>
    <w:pPr>
      <w:spacing w:after="0" w:line="240" w:lineRule="auto"/>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800842"/>
    <w:pPr>
      <w:spacing w:after="0" w:line="240" w:lineRule="auto"/>
    </w:pPr>
    <w:rPr>
      <w:lang w:val="en-US"/>
    </w:rPr>
  </w:style>
  <w:style w:type="table" w:styleId="TableGrid">
    <w:name w:val="Table Grid"/>
    <w:basedOn w:val="TableNormal"/>
    <w:uiPriority w:val="39"/>
    <w:rsid w:val="0044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67C"/>
    <w:rPr>
      <w:lang w:val="en-US"/>
    </w:rPr>
  </w:style>
  <w:style w:type="paragraph" w:styleId="Footer">
    <w:name w:val="footer"/>
    <w:basedOn w:val="Normal"/>
    <w:link w:val="FooterChar"/>
    <w:uiPriority w:val="99"/>
    <w:unhideWhenUsed/>
    <w:rsid w:val="00BD4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67C"/>
    <w:rPr>
      <w:lang w:val="en-US"/>
    </w:rPr>
  </w:style>
  <w:style w:type="character" w:styleId="UnresolvedMention">
    <w:name w:val="Unresolved Mention"/>
    <w:basedOn w:val="DefaultParagraphFont"/>
    <w:uiPriority w:val="99"/>
    <w:semiHidden/>
    <w:unhideWhenUsed/>
    <w:rsid w:val="005720CD"/>
    <w:rPr>
      <w:color w:val="605E5C"/>
      <w:shd w:val="clear" w:color="auto" w:fill="E1DFDD"/>
    </w:rPr>
  </w:style>
  <w:style w:type="paragraph" w:styleId="BodyText">
    <w:name w:val="Body Text"/>
    <w:basedOn w:val="Normal"/>
    <w:link w:val="BodyTextChar"/>
    <w:uiPriority w:val="1"/>
    <w:semiHidden/>
    <w:unhideWhenUsed/>
    <w:qFormat/>
    <w:rsid w:val="00302B2D"/>
    <w:pPr>
      <w:widowControl w:val="0"/>
      <w:spacing w:before="120" w:after="0" w:line="240" w:lineRule="auto"/>
      <w:ind w:left="8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302B2D"/>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5800">
      <w:bodyDiv w:val="1"/>
      <w:marLeft w:val="0"/>
      <w:marRight w:val="0"/>
      <w:marTop w:val="0"/>
      <w:marBottom w:val="0"/>
      <w:divBdr>
        <w:top w:val="none" w:sz="0" w:space="0" w:color="auto"/>
        <w:left w:val="none" w:sz="0" w:space="0" w:color="auto"/>
        <w:bottom w:val="none" w:sz="0" w:space="0" w:color="auto"/>
        <w:right w:val="none" w:sz="0" w:space="0" w:color="auto"/>
      </w:divBdr>
    </w:div>
    <w:div w:id="614755066">
      <w:bodyDiv w:val="1"/>
      <w:marLeft w:val="0"/>
      <w:marRight w:val="0"/>
      <w:marTop w:val="0"/>
      <w:marBottom w:val="0"/>
      <w:divBdr>
        <w:top w:val="none" w:sz="0" w:space="0" w:color="auto"/>
        <w:left w:val="none" w:sz="0" w:space="0" w:color="auto"/>
        <w:bottom w:val="none" w:sz="0" w:space="0" w:color="auto"/>
        <w:right w:val="none" w:sz="0" w:space="0" w:color="auto"/>
      </w:divBdr>
    </w:div>
    <w:div w:id="1172724791">
      <w:bodyDiv w:val="1"/>
      <w:marLeft w:val="0"/>
      <w:marRight w:val="0"/>
      <w:marTop w:val="0"/>
      <w:marBottom w:val="0"/>
      <w:divBdr>
        <w:top w:val="none" w:sz="0" w:space="0" w:color="auto"/>
        <w:left w:val="none" w:sz="0" w:space="0" w:color="auto"/>
        <w:bottom w:val="none" w:sz="0" w:space="0" w:color="auto"/>
        <w:right w:val="none" w:sz="0" w:space="0" w:color="auto"/>
      </w:divBdr>
    </w:div>
    <w:div w:id="1204906005">
      <w:bodyDiv w:val="1"/>
      <w:marLeft w:val="0"/>
      <w:marRight w:val="0"/>
      <w:marTop w:val="0"/>
      <w:marBottom w:val="0"/>
      <w:divBdr>
        <w:top w:val="none" w:sz="0" w:space="0" w:color="auto"/>
        <w:left w:val="none" w:sz="0" w:space="0" w:color="auto"/>
        <w:bottom w:val="none" w:sz="0" w:space="0" w:color="auto"/>
        <w:right w:val="none" w:sz="0" w:space="0" w:color="auto"/>
      </w:divBdr>
    </w:div>
    <w:div w:id="1270118419">
      <w:bodyDiv w:val="1"/>
      <w:marLeft w:val="0"/>
      <w:marRight w:val="0"/>
      <w:marTop w:val="0"/>
      <w:marBottom w:val="0"/>
      <w:divBdr>
        <w:top w:val="none" w:sz="0" w:space="0" w:color="auto"/>
        <w:left w:val="none" w:sz="0" w:space="0" w:color="auto"/>
        <w:bottom w:val="none" w:sz="0" w:space="0" w:color="auto"/>
        <w:right w:val="none" w:sz="0" w:space="0" w:color="auto"/>
      </w:divBdr>
    </w:div>
    <w:div w:id="1352684777">
      <w:bodyDiv w:val="1"/>
      <w:marLeft w:val="0"/>
      <w:marRight w:val="0"/>
      <w:marTop w:val="0"/>
      <w:marBottom w:val="0"/>
      <w:divBdr>
        <w:top w:val="none" w:sz="0" w:space="0" w:color="auto"/>
        <w:left w:val="none" w:sz="0" w:space="0" w:color="auto"/>
        <w:bottom w:val="none" w:sz="0" w:space="0" w:color="auto"/>
        <w:right w:val="none" w:sz="0" w:space="0" w:color="auto"/>
      </w:divBdr>
    </w:div>
    <w:div w:id="1921211631">
      <w:bodyDiv w:val="1"/>
      <w:marLeft w:val="0"/>
      <w:marRight w:val="0"/>
      <w:marTop w:val="0"/>
      <w:marBottom w:val="0"/>
      <w:divBdr>
        <w:top w:val="none" w:sz="0" w:space="0" w:color="auto"/>
        <w:left w:val="none" w:sz="0" w:space="0" w:color="auto"/>
        <w:bottom w:val="none" w:sz="0" w:space="0" w:color="auto"/>
        <w:right w:val="none" w:sz="0" w:space="0" w:color="auto"/>
      </w:divBdr>
    </w:div>
    <w:div w:id="20385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node/20906"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 xsi:nil="true"/>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356</Value>
    </TaxCatchAll>
    <DLCPolicyLabelClientValue xmlns="e560140e-7b2f-4392-90df-e7567e3021a3">Effective Date: 10/28/2021                                                Version #: {POPPRefItemVersion}</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2021-10-28T22:00:00+00:00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UNDP Risk Appetite Statement Guidance </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POPP-11-3633</_dlc_DocId>
    <_dlc_DocIdUrl xmlns="8264c5cc-ec60-4b56-8111-ce635d3d139a">
      <Url>https://popp.undp.org/_layouts/15/DocIdRedir.aspx?ID=POPP-11-3633</Url>
      <Description>POPP-11-3633</Description>
    </_dlc_DocIdUrl>
    <DLCPolicyLabelValue xmlns="e560140e-7b2f-4392-90df-e7567e3021a3">Effective Date: 10/28/2021                                                Version #: {POPPRefItemVersion}</DLCPolicyLabelVal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857D0-9139-4D45-8F2C-449766CD9498}">
  <ds:schemaRefs>
    <ds:schemaRef ds:uri="http://schemas.microsoft.com/sharepoint/events"/>
  </ds:schemaRefs>
</ds:datastoreItem>
</file>

<file path=customXml/itemProps2.xml><?xml version="1.0" encoding="utf-8"?>
<ds:datastoreItem xmlns:ds="http://schemas.openxmlformats.org/officeDocument/2006/customXml" ds:itemID="{83AAB9E0-78C4-4659-8F35-7CFD25F46A03}">
  <ds:schemaRefs>
    <ds:schemaRef ds:uri="http://schemas.openxmlformats.org/officeDocument/2006/bibliography"/>
  </ds:schemaRefs>
</ds:datastoreItem>
</file>

<file path=customXml/itemProps3.xml><?xml version="1.0" encoding="utf-8"?>
<ds:datastoreItem xmlns:ds="http://schemas.openxmlformats.org/officeDocument/2006/customXml" ds:itemID="{9E555E67-A8A2-4592-8027-DE42EDEDB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0B978-C656-4738-A9C4-44AFCB93171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9BC24721-D4C3-4F3C-9743-DD78CD394B50}">
  <ds:schemaRefs>
    <ds:schemaRef ds:uri="office.server.policy"/>
  </ds:schemaRefs>
</ds:datastoreItem>
</file>

<file path=customXml/itemProps6.xml><?xml version="1.0" encoding="utf-8"?>
<ds:datastoreItem xmlns:ds="http://schemas.openxmlformats.org/officeDocument/2006/customXml" ds:itemID="{D56A3C9F-E3A4-47FC-B882-930E901F5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5938</Words>
  <Characters>33853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39712</CharactersWithSpaces>
  <SharedDoc>false</SharedDoc>
  <HLinks>
    <vt:vector size="66" baseType="variant">
      <vt:variant>
        <vt:i4>2490447</vt:i4>
      </vt:variant>
      <vt:variant>
        <vt:i4>63</vt:i4>
      </vt:variant>
      <vt:variant>
        <vt:i4>0</vt:i4>
      </vt:variant>
      <vt:variant>
        <vt:i4>5</vt:i4>
      </vt:variant>
      <vt:variant>
        <vt:lpwstr>https://info.undp.org/sites/ERM/Shared Documents/UNDP ERM Guide_Sept2019.pdf</vt:lpwstr>
      </vt:variant>
      <vt:variant>
        <vt:lpwstr/>
      </vt:variant>
      <vt:variant>
        <vt:i4>1179710</vt:i4>
      </vt:variant>
      <vt:variant>
        <vt:i4>56</vt:i4>
      </vt:variant>
      <vt:variant>
        <vt:i4>0</vt:i4>
      </vt:variant>
      <vt:variant>
        <vt:i4>5</vt:i4>
      </vt:variant>
      <vt:variant>
        <vt:lpwstr/>
      </vt:variant>
      <vt:variant>
        <vt:lpwstr>_Toc65688860</vt:lpwstr>
      </vt:variant>
      <vt:variant>
        <vt:i4>1769533</vt:i4>
      </vt:variant>
      <vt:variant>
        <vt:i4>50</vt:i4>
      </vt:variant>
      <vt:variant>
        <vt:i4>0</vt:i4>
      </vt:variant>
      <vt:variant>
        <vt:i4>5</vt:i4>
      </vt:variant>
      <vt:variant>
        <vt:lpwstr/>
      </vt:variant>
      <vt:variant>
        <vt:lpwstr>_Toc65688859</vt:lpwstr>
      </vt:variant>
      <vt:variant>
        <vt:i4>1703997</vt:i4>
      </vt:variant>
      <vt:variant>
        <vt:i4>44</vt:i4>
      </vt:variant>
      <vt:variant>
        <vt:i4>0</vt:i4>
      </vt:variant>
      <vt:variant>
        <vt:i4>5</vt:i4>
      </vt:variant>
      <vt:variant>
        <vt:lpwstr/>
      </vt:variant>
      <vt:variant>
        <vt:lpwstr>_Toc65688858</vt:lpwstr>
      </vt:variant>
      <vt:variant>
        <vt:i4>1376317</vt:i4>
      </vt:variant>
      <vt:variant>
        <vt:i4>38</vt:i4>
      </vt:variant>
      <vt:variant>
        <vt:i4>0</vt:i4>
      </vt:variant>
      <vt:variant>
        <vt:i4>5</vt:i4>
      </vt:variant>
      <vt:variant>
        <vt:lpwstr/>
      </vt:variant>
      <vt:variant>
        <vt:lpwstr>_Toc65688857</vt:lpwstr>
      </vt:variant>
      <vt:variant>
        <vt:i4>1310781</vt:i4>
      </vt:variant>
      <vt:variant>
        <vt:i4>32</vt:i4>
      </vt:variant>
      <vt:variant>
        <vt:i4>0</vt:i4>
      </vt:variant>
      <vt:variant>
        <vt:i4>5</vt:i4>
      </vt:variant>
      <vt:variant>
        <vt:lpwstr/>
      </vt:variant>
      <vt:variant>
        <vt:lpwstr>_Toc65688856</vt:lpwstr>
      </vt:variant>
      <vt:variant>
        <vt:i4>1507389</vt:i4>
      </vt:variant>
      <vt:variant>
        <vt:i4>26</vt:i4>
      </vt:variant>
      <vt:variant>
        <vt:i4>0</vt:i4>
      </vt:variant>
      <vt:variant>
        <vt:i4>5</vt:i4>
      </vt:variant>
      <vt:variant>
        <vt:lpwstr/>
      </vt:variant>
      <vt:variant>
        <vt:lpwstr>_Toc65688855</vt:lpwstr>
      </vt:variant>
      <vt:variant>
        <vt:i4>1441853</vt:i4>
      </vt:variant>
      <vt:variant>
        <vt:i4>20</vt:i4>
      </vt:variant>
      <vt:variant>
        <vt:i4>0</vt:i4>
      </vt:variant>
      <vt:variant>
        <vt:i4>5</vt:i4>
      </vt:variant>
      <vt:variant>
        <vt:lpwstr/>
      </vt:variant>
      <vt:variant>
        <vt:lpwstr>_Toc65688854</vt:lpwstr>
      </vt:variant>
      <vt:variant>
        <vt:i4>1114173</vt:i4>
      </vt:variant>
      <vt:variant>
        <vt:i4>14</vt:i4>
      </vt:variant>
      <vt:variant>
        <vt:i4>0</vt:i4>
      </vt:variant>
      <vt:variant>
        <vt:i4>5</vt:i4>
      </vt:variant>
      <vt:variant>
        <vt:lpwstr/>
      </vt:variant>
      <vt:variant>
        <vt:lpwstr>_Toc65688853</vt:lpwstr>
      </vt:variant>
      <vt:variant>
        <vt:i4>1048637</vt:i4>
      </vt:variant>
      <vt:variant>
        <vt:i4>8</vt:i4>
      </vt:variant>
      <vt:variant>
        <vt:i4>0</vt:i4>
      </vt:variant>
      <vt:variant>
        <vt:i4>5</vt:i4>
      </vt:variant>
      <vt:variant>
        <vt:lpwstr/>
      </vt:variant>
      <vt:variant>
        <vt:lpwstr>_Toc65688852</vt:lpwstr>
      </vt:variant>
      <vt:variant>
        <vt:i4>1245245</vt:i4>
      </vt:variant>
      <vt:variant>
        <vt:i4>2</vt:i4>
      </vt:variant>
      <vt:variant>
        <vt:i4>0</vt:i4>
      </vt:variant>
      <vt:variant>
        <vt:i4>5</vt:i4>
      </vt:variant>
      <vt:variant>
        <vt:lpwstr/>
      </vt:variant>
      <vt:variant>
        <vt:lpwstr>_Toc65688851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Humphrey</dc:creator>
  <cp:keywords/>
  <dc:description/>
  <cp:lastModifiedBy>Emiliana Zhivkova</cp:lastModifiedBy>
  <cp:revision>6</cp:revision>
  <dcterms:created xsi:type="dcterms:W3CDTF">2024-02-15T19:17:00Z</dcterms:created>
  <dcterms:modified xsi:type="dcterms:W3CDTF">2024-02-15T22:46:00Z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356;#Accountability|5b42d95a-f181-4192-a566-012e3d461a46</vt:lpwstr>
  </property>
  <property fmtid="{D5CDD505-2E9C-101B-9397-08002B2CF9AE}" pid="5" name="POPPBusinessProcess">
    <vt:lpwstr/>
  </property>
  <property fmtid="{D5CDD505-2E9C-101B-9397-08002B2CF9AE}" pid="6" name="_dlc_DocIdItemGuid">
    <vt:lpwstr>727080e2-c70a-4445-ac43-776d651f3b1e</vt:lpwstr>
  </property>
</Properties>
</file>