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8FF71" w14:textId="3658448D" w:rsidR="00117AC3" w:rsidRPr="009D6B32" w:rsidRDefault="00117AC3" w:rsidP="00117AC3">
      <w:pPr>
        <w:pStyle w:val="Heading1"/>
        <w:rPr>
          <w:lang w:val="es-ES"/>
        </w:rPr>
      </w:pPr>
      <w:bookmarkStart w:id="0" w:name="_Toc157084510"/>
      <w:r>
        <w:rPr>
          <w:lang w:val="es-ES" w:bidi="es-ES"/>
        </w:rPr>
        <w:t>Directrices de la Declaración de Apetito de Riesgo del PNUD</w:t>
      </w:r>
      <w:bookmarkEnd w:id="0"/>
    </w:p>
    <w:p w14:paraId="515C6C0A" w14:textId="77777777" w:rsidR="00117AC3" w:rsidRPr="009D6B32" w:rsidRDefault="00117AC3" w:rsidP="00117AC3">
      <w:pPr>
        <w:pStyle w:val="Heading1"/>
        <w:rPr>
          <w:lang w:val="es-ES"/>
        </w:rPr>
      </w:pPr>
    </w:p>
    <w:p w14:paraId="61A99B3D" w14:textId="4C70F57D" w:rsidR="00117AC3" w:rsidRPr="009D6B32" w:rsidRDefault="7D3376F4" w:rsidP="00117AC3">
      <w:pPr>
        <w:pStyle w:val="Heading1"/>
        <w:rPr>
          <w:lang w:val="es-ES"/>
        </w:rPr>
      </w:pPr>
      <w:bookmarkStart w:id="1" w:name="_Toc157084511"/>
      <w:r w:rsidRPr="43ADDD22">
        <w:rPr>
          <w:lang w:val="es-ES" w:bidi="es-ES"/>
        </w:rPr>
        <w:t>Directrices pormenorizadas de la Declaración de Apetito de Riesgo</w:t>
      </w:r>
      <w:bookmarkEnd w:id="1"/>
    </w:p>
    <w:p w14:paraId="42B56AAC" w14:textId="6E976D44" w:rsidR="00117AC3" w:rsidRDefault="00DB0F35" w:rsidP="00117AC3">
      <w:pPr>
        <w:pStyle w:val="Heading1"/>
        <w:rPr>
          <w:lang w:val="en-GB"/>
        </w:rPr>
      </w:pPr>
      <w:bookmarkStart w:id="2" w:name="_Toc157084512"/>
      <w:r>
        <w:rPr>
          <w:lang w:val="es-ES" w:bidi="es-ES"/>
        </w:rPr>
        <w:t>Octubre de 2021</w:t>
      </w:r>
      <w:bookmarkEnd w:id="2"/>
    </w:p>
    <w:p w14:paraId="012148D0" w14:textId="77777777" w:rsidR="00117AC3" w:rsidRDefault="00117AC3">
      <w:pPr>
        <w:rPr>
          <w:lang w:val="en-GB"/>
        </w:rPr>
      </w:pPr>
      <w:r>
        <w:rPr>
          <w:lang w:val="es-ES" w:bidi="es-ES"/>
        </w:rPr>
        <w:br w:type="page"/>
      </w:r>
    </w:p>
    <w:sdt>
      <w:sdtPr>
        <w:rPr>
          <w:rFonts w:asciiTheme="minorHAnsi" w:eastAsiaTheme="minorHAnsi" w:hAnsiTheme="minorHAnsi" w:cstheme="minorBidi"/>
          <w:color w:val="auto"/>
          <w:sz w:val="22"/>
          <w:szCs w:val="22"/>
        </w:rPr>
        <w:id w:val="-1518692366"/>
        <w:docPartObj>
          <w:docPartGallery w:val="Table of Contents"/>
          <w:docPartUnique/>
        </w:docPartObj>
      </w:sdtPr>
      <w:sdtEndPr>
        <w:rPr>
          <w:b/>
          <w:bCs/>
          <w:noProof/>
        </w:rPr>
      </w:sdtEndPr>
      <w:sdtContent>
        <w:p w14:paraId="6B85D5F9" w14:textId="77777777" w:rsidR="009D6B32" w:rsidRDefault="00117AC3" w:rsidP="003245DD">
          <w:pPr>
            <w:pStyle w:val="TOCHeading"/>
            <w:rPr>
              <w:noProof/>
            </w:rPr>
          </w:pPr>
          <w:r>
            <w:rPr>
              <w:lang w:val="es-ES" w:bidi="es-ES"/>
            </w:rPr>
            <w:t>Índice</w:t>
          </w:r>
          <w:r>
            <w:rPr>
              <w:lang w:val="es-ES" w:bidi="es-ES"/>
            </w:rPr>
            <w:fldChar w:fldCharType="begin"/>
          </w:r>
          <w:r>
            <w:rPr>
              <w:lang w:val="es-ES" w:bidi="es-ES"/>
            </w:rPr>
            <w:instrText xml:space="preserve"> TOC \o "1-3" \h \z \u </w:instrText>
          </w:r>
          <w:r>
            <w:rPr>
              <w:lang w:val="es-ES" w:bidi="es-ES"/>
            </w:rPr>
            <w:fldChar w:fldCharType="separate"/>
          </w:r>
        </w:p>
        <w:p w14:paraId="086EB1BD" w14:textId="5988D2CC" w:rsidR="009D6B32" w:rsidRDefault="002C07F6">
          <w:pPr>
            <w:pStyle w:val="TOC1"/>
            <w:tabs>
              <w:tab w:val="right" w:leader="dot" w:pos="9350"/>
            </w:tabs>
            <w:rPr>
              <w:rFonts w:eastAsiaTheme="minorEastAsia"/>
              <w:noProof/>
              <w:kern w:val="2"/>
              <w:lang w:val="es-ES" w:eastAsia="ja-JP"/>
              <w14:ligatures w14:val="standardContextual"/>
            </w:rPr>
          </w:pPr>
          <w:hyperlink w:anchor="_Toc157084510" w:history="1">
            <w:r w:rsidR="009D6B32" w:rsidRPr="00A37C97">
              <w:rPr>
                <w:rStyle w:val="Hyperlink"/>
                <w:noProof/>
                <w:lang w:val="es-ES" w:bidi="es-ES"/>
              </w:rPr>
              <w:t>Directrices de la Declaración de Apetito de Riesgo del PNUD</w:t>
            </w:r>
            <w:r w:rsidR="009D6B32">
              <w:rPr>
                <w:noProof/>
                <w:webHidden/>
              </w:rPr>
              <w:tab/>
            </w:r>
            <w:r w:rsidR="009D6B32">
              <w:rPr>
                <w:noProof/>
                <w:webHidden/>
              </w:rPr>
              <w:fldChar w:fldCharType="begin"/>
            </w:r>
            <w:r w:rsidR="009D6B32">
              <w:rPr>
                <w:noProof/>
                <w:webHidden/>
              </w:rPr>
              <w:instrText xml:space="preserve"> PAGEREF _Toc157084510 \h </w:instrText>
            </w:r>
            <w:r w:rsidR="009D6B32">
              <w:rPr>
                <w:noProof/>
                <w:webHidden/>
              </w:rPr>
            </w:r>
            <w:r w:rsidR="009D6B32">
              <w:rPr>
                <w:noProof/>
                <w:webHidden/>
              </w:rPr>
              <w:fldChar w:fldCharType="separate"/>
            </w:r>
            <w:r>
              <w:rPr>
                <w:noProof/>
                <w:webHidden/>
              </w:rPr>
              <w:t>1</w:t>
            </w:r>
            <w:r w:rsidR="009D6B32">
              <w:rPr>
                <w:noProof/>
                <w:webHidden/>
              </w:rPr>
              <w:fldChar w:fldCharType="end"/>
            </w:r>
          </w:hyperlink>
        </w:p>
        <w:p w14:paraId="19A551F1" w14:textId="4D66FCBD" w:rsidR="009D6B32" w:rsidRDefault="002C07F6">
          <w:pPr>
            <w:pStyle w:val="TOC1"/>
            <w:tabs>
              <w:tab w:val="right" w:leader="dot" w:pos="9350"/>
            </w:tabs>
            <w:rPr>
              <w:rFonts w:eastAsiaTheme="minorEastAsia"/>
              <w:noProof/>
              <w:kern w:val="2"/>
              <w:lang w:val="es-ES" w:eastAsia="ja-JP"/>
              <w14:ligatures w14:val="standardContextual"/>
            </w:rPr>
          </w:pPr>
          <w:hyperlink w:anchor="_Toc157084511" w:history="1">
            <w:r w:rsidR="009D6B32" w:rsidRPr="00A37C97">
              <w:rPr>
                <w:rStyle w:val="Hyperlink"/>
                <w:noProof/>
                <w:lang w:val="es-ES" w:bidi="es-ES"/>
              </w:rPr>
              <w:t>Directrices pormenorizadas de la Declaración de Apetito de Riesgo</w:t>
            </w:r>
            <w:r w:rsidR="009D6B32">
              <w:rPr>
                <w:noProof/>
                <w:webHidden/>
              </w:rPr>
              <w:tab/>
            </w:r>
            <w:r w:rsidR="009D6B32">
              <w:rPr>
                <w:noProof/>
                <w:webHidden/>
              </w:rPr>
              <w:fldChar w:fldCharType="begin"/>
            </w:r>
            <w:r w:rsidR="009D6B32">
              <w:rPr>
                <w:noProof/>
                <w:webHidden/>
              </w:rPr>
              <w:instrText xml:space="preserve"> PAGEREF _Toc157084511 \h </w:instrText>
            </w:r>
            <w:r w:rsidR="009D6B32">
              <w:rPr>
                <w:noProof/>
                <w:webHidden/>
              </w:rPr>
            </w:r>
            <w:r w:rsidR="009D6B32">
              <w:rPr>
                <w:noProof/>
                <w:webHidden/>
              </w:rPr>
              <w:fldChar w:fldCharType="separate"/>
            </w:r>
            <w:r>
              <w:rPr>
                <w:noProof/>
                <w:webHidden/>
              </w:rPr>
              <w:t>1</w:t>
            </w:r>
            <w:r w:rsidR="009D6B32">
              <w:rPr>
                <w:noProof/>
                <w:webHidden/>
              </w:rPr>
              <w:fldChar w:fldCharType="end"/>
            </w:r>
          </w:hyperlink>
        </w:p>
        <w:p w14:paraId="76453974" w14:textId="194D6912" w:rsidR="009D6B32" w:rsidRDefault="002C07F6">
          <w:pPr>
            <w:pStyle w:val="TOC1"/>
            <w:tabs>
              <w:tab w:val="right" w:leader="dot" w:pos="9350"/>
            </w:tabs>
            <w:rPr>
              <w:rFonts w:eastAsiaTheme="minorEastAsia"/>
              <w:noProof/>
              <w:kern w:val="2"/>
              <w:lang w:val="es-ES" w:eastAsia="ja-JP"/>
              <w14:ligatures w14:val="standardContextual"/>
            </w:rPr>
          </w:pPr>
          <w:hyperlink w:anchor="_Toc157084512" w:history="1">
            <w:r w:rsidR="009D6B32" w:rsidRPr="00A37C97">
              <w:rPr>
                <w:rStyle w:val="Hyperlink"/>
                <w:noProof/>
                <w:lang w:val="es-ES" w:bidi="es-ES"/>
              </w:rPr>
              <w:t>Octubre de 2021</w:t>
            </w:r>
            <w:r w:rsidR="009D6B32">
              <w:rPr>
                <w:noProof/>
                <w:webHidden/>
              </w:rPr>
              <w:tab/>
            </w:r>
            <w:r w:rsidR="009D6B32">
              <w:rPr>
                <w:noProof/>
                <w:webHidden/>
              </w:rPr>
              <w:fldChar w:fldCharType="begin"/>
            </w:r>
            <w:r w:rsidR="009D6B32">
              <w:rPr>
                <w:noProof/>
                <w:webHidden/>
              </w:rPr>
              <w:instrText xml:space="preserve"> PAGEREF _Toc157084512 \h </w:instrText>
            </w:r>
            <w:r w:rsidR="009D6B32">
              <w:rPr>
                <w:noProof/>
                <w:webHidden/>
              </w:rPr>
            </w:r>
            <w:r w:rsidR="009D6B32">
              <w:rPr>
                <w:noProof/>
                <w:webHidden/>
              </w:rPr>
              <w:fldChar w:fldCharType="separate"/>
            </w:r>
            <w:r>
              <w:rPr>
                <w:noProof/>
                <w:webHidden/>
              </w:rPr>
              <w:t>1</w:t>
            </w:r>
            <w:r w:rsidR="009D6B32">
              <w:rPr>
                <w:noProof/>
                <w:webHidden/>
              </w:rPr>
              <w:fldChar w:fldCharType="end"/>
            </w:r>
          </w:hyperlink>
        </w:p>
        <w:p w14:paraId="58BA0C1A" w14:textId="76EFF0A6" w:rsidR="009D6B32" w:rsidRDefault="002C07F6">
          <w:pPr>
            <w:pStyle w:val="TOC1"/>
            <w:tabs>
              <w:tab w:val="left" w:pos="440"/>
              <w:tab w:val="right" w:leader="dot" w:pos="9350"/>
            </w:tabs>
            <w:rPr>
              <w:rFonts w:eastAsiaTheme="minorEastAsia"/>
              <w:noProof/>
              <w:kern w:val="2"/>
              <w:lang w:val="es-ES" w:eastAsia="ja-JP"/>
              <w14:ligatures w14:val="standardContextual"/>
            </w:rPr>
          </w:pPr>
          <w:hyperlink w:anchor="_Toc157084513" w:history="1">
            <w:r w:rsidR="009D6B32" w:rsidRPr="00A37C97">
              <w:rPr>
                <w:rStyle w:val="Hyperlink"/>
                <w:noProof/>
              </w:rPr>
              <w:t>1)</w:t>
            </w:r>
            <w:r w:rsidR="009D6B32">
              <w:rPr>
                <w:rFonts w:eastAsiaTheme="minorEastAsia"/>
                <w:noProof/>
                <w:kern w:val="2"/>
                <w:lang w:val="es-ES" w:eastAsia="ja-JP"/>
                <w14:ligatures w14:val="standardContextual"/>
              </w:rPr>
              <w:tab/>
            </w:r>
            <w:r w:rsidR="009D6B32" w:rsidRPr="00A37C97">
              <w:rPr>
                <w:rStyle w:val="Hyperlink"/>
                <w:noProof/>
                <w:lang w:val="es-ES" w:bidi="es-ES"/>
              </w:rPr>
              <w:t>Introducción</w:t>
            </w:r>
            <w:r w:rsidR="009D6B32">
              <w:rPr>
                <w:noProof/>
                <w:webHidden/>
              </w:rPr>
              <w:tab/>
            </w:r>
            <w:r w:rsidR="009D6B32">
              <w:rPr>
                <w:noProof/>
                <w:webHidden/>
              </w:rPr>
              <w:fldChar w:fldCharType="begin"/>
            </w:r>
            <w:r w:rsidR="009D6B32">
              <w:rPr>
                <w:noProof/>
                <w:webHidden/>
              </w:rPr>
              <w:instrText xml:space="preserve"> PAGEREF _Toc157084513 \h </w:instrText>
            </w:r>
            <w:r w:rsidR="009D6B32">
              <w:rPr>
                <w:noProof/>
                <w:webHidden/>
              </w:rPr>
            </w:r>
            <w:r w:rsidR="009D6B32">
              <w:rPr>
                <w:noProof/>
                <w:webHidden/>
              </w:rPr>
              <w:fldChar w:fldCharType="separate"/>
            </w:r>
            <w:r>
              <w:rPr>
                <w:noProof/>
                <w:webHidden/>
              </w:rPr>
              <w:t>3</w:t>
            </w:r>
            <w:r w:rsidR="009D6B32">
              <w:rPr>
                <w:noProof/>
                <w:webHidden/>
              </w:rPr>
              <w:fldChar w:fldCharType="end"/>
            </w:r>
          </w:hyperlink>
        </w:p>
        <w:p w14:paraId="746F301D" w14:textId="33A25944" w:rsidR="009D6B32" w:rsidRDefault="002C07F6">
          <w:pPr>
            <w:pStyle w:val="TOC1"/>
            <w:tabs>
              <w:tab w:val="left" w:pos="440"/>
              <w:tab w:val="right" w:leader="dot" w:pos="9350"/>
            </w:tabs>
            <w:rPr>
              <w:rFonts w:eastAsiaTheme="minorEastAsia"/>
              <w:noProof/>
              <w:kern w:val="2"/>
              <w:lang w:val="es-ES" w:eastAsia="ja-JP"/>
              <w14:ligatures w14:val="standardContextual"/>
            </w:rPr>
          </w:pPr>
          <w:hyperlink w:anchor="_Toc157084514" w:history="1">
            <w:r w:rsidR="009D6B32" w:rsidRPr="00A37C97">
              <w:rPr>
                <w:rStyle w:val="Hyperlink"/>
                <w:noProof/>
                <w:lang w:val="es-ES"/>
              </w:rPr>
              <w:t>2)</w:t>
            </w:r>
            <w:r w:rsidR="009D6B32">
              <w:rPr>
                <w:rFonts w:eastAsiaTheme="minorEastAsia"/>
                <w:noProof/>
                <w:kern w:val="2"/>
                <w:lang w:val="es-ES" w:eastAsia="ja-JP"/>
                <w14:ligatures w14:val="standardContextual"/>
              </w:rPr>
              <w:tab/>
            </w:r>
            <w:r w:rsidR="009D6B32" w:rsidRPr="00A37C97">
              <w:rPr>
                <w:rStyle w:val="Hyperlink"/>
                <w:noProof/>
                <w:lang w:val="es-ES" w:bidi="es-ES"/>
              </w:rPr>
              <w:t>La Declaración de Apetito de Riesgo: significado</w:t>
            </w:r>
            <w:r w:rsidR="009D6B32">
              <w:rPr>
                <w:noProof/>
                <w:webHidden/>
              </w:rPr>
              <w:tab/>
            </w:r>
            <w:r w:rsidR="009D6B32">
              <w:rPr>
                <w:noProof/>
                <w:webHidden/>
              </w:rPr>
              <w:fldChar w:fldCharType="begin"/>
            </w:r>
            <w:r w:rsidR="009D6B32">
              <w:rPr>
                <w:noProof/>
                <w:webHidden/>
              </w:rPr>
              <w:instrText xml:space="preserve"> PAGEREF _Toc157084514 \h </w:instrText>
            </w:r>
            <w:r w:rsidR="009D6B32">
              <w:rPr>
                <w:noProof/>
                <w:webHidden/>
              </w:rPr>
            </w:r>
            <w:r w:rsidR="009D6B32">
              <w:rPr>
                <w:noProof/>
                <w:webHidden/>
              </w:rPr>
              <w:fldChar w:fldCharType="separate"/>
            </w:r>
            <w:r>
              <w:rPr>
                <w:noProof/>
                <w:webHidden/>
              </w:rPr>
              <w:t>3</w:t>
            </w:r>
            <w:r w:rsidR="009D6B32">
              <w:rPr>
                <w:noProof/>
                <w:webHidden/>
              </w:rPr>
              <w:fldChar w:fldCharType="end"/>
            </w:r>
          </w:hyperlink>
        </w:p>
        <w:p w14:paraId="6895AD3D" w14:textId="5A250C8F" w:rsidR="009D6B32" w:rsidRDefault="002C07F6">
          <w:pPr>
            <w:pStyle w:val="TOC1"/>
            <w:tabs>
              <w:tab w:val="left" w:pos="440"/>
              <w:tab w:val="right" w:leader="dot" w:pos="9350"/>
            </w:tabs>
            <w:rPr>
              <w:rFonts w:eastAsiaTheme="minorEastAsia"/>
              <w:noProof/>
              <w:kern w:val="2"/>
              <w:lang w:val="es-ES" w:eastAsia="ja-JP"/>
              <w14:ligatures w14:val="standardContextual"/>
            </w:rPr>
          </w:pPr>
          <w:hyperlink w:anchor="_Toc157084515" w:history="1">
            <w:r w:rsidR="009D6B32" w:rsidRPr="00A37C97">
              <w:rPr>
                <w:rStyle w:val="Hyperlink"/>
                <w:noProof/>
                <w:lang w:val="es-ES"/>
              </w:rPr>
              <w:t>3)</w:t>
            </w:r>
            <w:r w:rsidR="009D6B32">
              <w:rPr>
                <w:rFonts w:eastAsiaTheme="minorEastAsia"/>
                <w:noProof/>
                <w:kern w:val="2"/>
                <w:lang w:val="es-ES" w:eastAsia="ja-JP"/>
                <w14:ligatures w14:val="standardContextual"/>
              </w:rPr>
              <w:tab/>
            </w:r>
            <w:r w:rsidR="009D6B32" w:rsidRPr="00A37C97">
              <w:rPr>
                <w:rStyle w:val="Hyperlink"/>
                <w:noProof/>
                <w:lang w:val="es-ES" w:bidi="es-ES"/>
              </w:rPr>
              <w:t>¿Cómo y cuando se utiliza la Declaración de Apetito de Riesgo?</w:t>
            </w:r>
            <w:r w:rsidR="009D6B32">
              <w:rPr>
                <w:noProof/>
                <w:webHidden/>
              </w:rPr>
              <w:tab/>
            </w:r>
            <w:r w:rsidR="009D6B32">
              <w:rPr>
                <w:noProof/>
                <w:webHidden/>
              </w:rPr>
              <w:fldChar w:fldCharType="begin"/>
            </w:r>
            <w:r w:rsidR="009D6B32">
              <w:rPr>
                <w:noProof/>
                <w:webHidden/>
              </w:rPr>
              <w:instrText xml:space="preserve"> PAGEREF _Toc157084515 \h </w:instrText>
            </w:r>
            <w:r w:rsidR="009D6B32">
              <w:rPr>
                <w:noProof/>
                <w:webHidden/>
              </w:rPr>
            </w:r>
            <w:r w:rsidR="009D6B32">
              <w:rPr>
                <w:noProof/>
                <w:webHidden/>
              </w:rPr>
              <w:fldChar w:fldCharType="separate"/>
            </w:r>
            <w:r>
              <w:rPr>
                <w:noProof/>
                <w:webHidden/>
              </w:rPr>
              <w:t>3</w:t>
            </w:r>
            <w:r w:rsidR="009D6B32">
              <w:rPr>
                <w:noProof/>
                <w:webHidden/>
              </w:rPr>
              <w:fldChar w:fldCharType="end"/>
            </w:r>
          </w:hyperlink>
        </w:p>
        <w:p w14:paraId="5123DBCB" w14:textId="668DD876" w:rsidR="009D6B32" w:rsidRDefault="002C07F6">
          <w:pPr>
            <w:pStyle w:val="TOC1"/>
            <w:tabs>
              <w:tab w:val="left" w:pos="440"/>
              <w:tab w:val="right" w:leader="dot" w:pos="9350"/>
            </w:tabs>
            <w:rPr>
              <w:rFonts w:eastAsiaTheme="minorEastAsia"/>
              <w:noProof/>
              <w:kern w:val="2"/>
              <w:lang w:val="es-ES" w:eastAsia="ja-JP"/>
              <w14:ligatures w14:val="standardContextual"/>
            </w:rPr>
          </w:pPr>
          <w:hyperlink w:anchor="_Toc157084516" w:history="1">
            <w:r w:rsidR="009D6B32" w:rsidRPr="00A37C97">
              <w:rPr>
                <w:rStyle w:val="Hyperlink"/>
                <w:noProof/>
                <w:lang w:val="es-ES"/>
              </w:rPr>
              <w:t>4)</w:t>
            </w:r>
            <w:r w:rsidR="009D6B32">
              <w:rPr>
                <w:rFonts w:eastAsiaTheme="minorEastAsia"/>
                <w:noProof/>
                <w:kern w:val="2"/>
                <w:lang w:val="es-ES" w:eastAsia="ja-JP"/>
                <w14:ligatures w14:val="standardContextual"/>
              </w:rPr>
              <w:tab/>
            </w:r>
            <w:r w:rsidR="009D6B32" w:rsidRPr="00A37C97">
              <w:rPr>
                <w:rStyle w:val="Hyperlink"/>
                <w:noProof/>
                <w:lang w:val="es-ES" w:bidi="es-ES"/>
              </w:rPr>
              <w:t>La Declaración de Apetito de Riesgo: aplicación</w:t>
            </w:r>
            <w:r w:rsidR="009D6B32">
              <w:rPr>
                <w:noProof/>
                <w:webHidden/>
              </w:rPr>
              <w:tab/>
            </w:r>
            <w:r w:rsidR="009D6B32">
              <w:rPr>
                <w:noProof/>
                <w:webHidden/>
              </w:rPr>
              <w:fldChar w:fldCharType="begin"/>
            </w:r>
            <w:r w:rsidR="009D6B32">
              <w:rPr>
                <w:noProof/>
                <w:webHidden/>
              </w:rPr>
              <w:instrText xml:space="preserve"> PAGEREF _Toc157084516 \h </w:instrText>
            </w:r>
            <w:r w:rsidR="009D6B32">
              <w:rPr>
                <w:noProof/>
                <w:webHidden/>
              </w:rPr>
            </w:r>
            <w:r w:rsidR="009D6B32">
              <w:rPr>
                <w:noProof/>
                <w:webHidden/>
              </w:rPr>
              <w:fldChar w:fldCharType="separate"/>
            </w:r>
            <w:r>
              <w:rPr>
                <w:noProof/>
                <w:webHidden/>
              </w:rPr>
              <w:t>4</w:t>
            </w:r>
            <w:r w:rsidR="009D6B32">
              <w:rPr>
                <w:noProof/>
                <w:webHidden/>
              </w:rPr>
              <w:fldChar w:fldCharType="end"/>
            </w:r>
          </w:hyperlink>
        </w:p>
        <w:p w14:paraId="67B3E465" w14:textId="3A7DAF49" w:rsidR="009D6B32" w:rsidRDefault="002C07F6">
          <w:pPr>
            <w:pStyle w:val="TOC1"/>
            <w:tabs>
              <w:tab w:val="left" w:pos="440"/>
              <w:tab w:val="right" w:leader="dot" w:pos="9350"/>
            </w:tabs>
            <w:rPr>
              <w:rFonts w:eastAsiaTheme="minorEastAsia"/>
              <w:noProof/>
              <w:kern w:val="2"/>
              <w:lang w:val="es-ES" w:eastAsia="ja-JP"/>
              <w14:ligatures w14:val="standardContextual"/>
            </w:rPr>
          </w:pPr>
          <w:hyperlink w:anchor="_Toc157084517" w:history="1">
            <w:r w:rsidR="009D6B32" w:rsidRPr="00A37C97">
              <w:rPr>
                <w:rStyle w:val="Hyperlink"/>
                <w:noProof/>
                <w:lang w:val="es-ES"/>
              </w:rPr>
              <w:t>5)</w:t>
            </w:r>
            <w:r w:rsidR="009D6B32">
              <w:rPr>
                <w:rFonts w:eastAsiaTheme="minorEastAsia"/>
                <w:noProof/>
                <w:kern w:val="2"/>
                <w:lang w:val="es-ES" w:eastAsia="ja-JP"/>
                <w14:ligatures w14:val="standardContextual"/>
              </w:rPr>
              <w:tab/>
            </w:r>
            <w:r w:rsidR="009D6B32" w:rsidRPr="00A37C97">
              <w:rPr>
                <w:rStyle w:val="Hyperlink"/>
                <w:noProof/>
                <w:lang w:val="es-ES" w:bidi="es-ES"/>
              </w:rPr>
              <w:t>Aprendizaje a partir del apetito de riesgo</w:t>
            </w:r>
            <w:r w:rsidR="009D6B32">
              <w:rPr>
                <w:noProof/>
                <w:webHidden/>
              </w:rPr>
              <w:tab/>
            </w:r>
            <w:r w:rsidR="009D6B32">
              <w:rPr>
                <w:noProof/>
                <w:webHidden/>
              </w:rPr>
              <w:fldChar w:fldCharType="begin"/>
            </w:r>
            <w:r w:rsidR="009D6B32">
              <w:rPr>
                <w:noProof/>
                <w:webHidden/>
              </w:rPr>
              <w:instrText xml:space="preserve"> PAGEREF _Toc157084517 \h </w:instrText>
            </w:r>
            <w:r w:rsidR="009D6B32">
              <w:rPr>
                <w:noProof/>
                <w:webHidden/>
              </w:rPr>
            </w:r>
            <w:r w:rsidR="009D6B32">
              <w:rPr>
                <w:noProof/>
                <w:webHidden/>
              </w:rPr>
              <w:fldChar w:fldCharType="separate"/>
            </w:r>
            <w:r>
              <w:rPr>
                <w:noProof/>
                <w:webHidden/>
              </w:rPr>
              <w:t>9</w:t>
            </w:r>
            <w:r w:rsidR="009D6B32">
              <w:rPr>
                <w:noProof/>
                <w:webHidden/>
              </w:rPr>
              <w:fldChar w:fldCharType="end"/>
            </w:r>
          </w:hyperlink>
        </w:p>
        <w:p w14:paraId="7B4DD4DF" w14:textId="2AB5ED08" w:rsidR="009D6B32" w:rsidRDefault="002C07F6">
          <w:pPr>
            <w:pStyle w:val="TOC1"/>
            <w:tabs>
              <w:tab w:val="left" w:pos="440"/>
              <w:tab w:val="right" w:leader="dot" w:pos="9350"/>
            </w:tabs>
            <w:rPr>
              <w:rFonts w:eastAsiaTheme="minorEastAsia"/>
              <w:noProof/>
              <w:kern w:val="2"/>
              <w:lang w:val="es-ES" w:eastAsia="ja-JP"/>
              <w14:ligatures w14:val="standardContextual"/>
            </w:rPr>
          </w:pPr>
          <w:hyperlink w:anchor="_Toc157084518" w:history="1">
            <w:r w:rsidR="009D6B32" w:rsidRPr="00A37C97">
              <w:rPr>
                <w:rStyle w:val="Hyperlink"/>
                <w:noProof/>
                <w:lang w:val="es-ES"/>
              </w:rPr>
              <w:t>6)</w:t>
            </w:r>
            <w:r w:rsidR="009D6B32">
              <w:rPr>
                <w:rFonts w:eastAsiaTheme="minorEastAsia"/>
                <w:noProof/>
                <w:kern w:val="2"/>
                <w:lang w:val="es-ES" w:eastAsia="ja-JP"/>
                <w14:ligatures w14:val="standardContextual"/>
              </w:rPr>
              <w:tab/>
            </w:r>
            <w:r w:rsidR="009D6B32" w:rsidRPr="00A37C97">
              <w:rPr>
                <w:rStyle w:val="Hyperlink"/>
                <w:noProof/>
                <w:lang w:val="es-ES" w:bidi="es-ES"/>
              </w:rPr>
              <w:t>Variación con respecto al apetito de riesgo indicado</w:t>
            </w:r>
            <w:r w:rsidR="009D6B32">
              <w:rPr>
                <w:noProof/>
                <w:webHidden/>
              </w:rPr>
              <w:tab/>
            </w:r>
            <w:r w:rsidR="009D6B32">
              <w:rPr>
                <w:noProof/>
                <w:webHidden/>
              </w:rPr>
              <w:fldChar w:fldCharType="begin"/>
            </w:r>
            <w:r w:rsidR="009D6B32">
              <w:rPr>
                <w:noProof/>
                <w:webHidden/>
              </w:rPr>
              <w:instrText xml:space="preserve"> PAGEREF _Toc157084518 \h </w:instrText>
            </w:r>
            <w:r w:rsidR="009D6B32">
              <w:rPr>
                <w:noProof/>
                <w:webHidden/>
              </w:rPr>
            </w:r>
            <w:r w:rsidR="009D6B32">
              <w:rPr>
                <w:noProof/>
                <w:webHidden/>
              </w:rPr>
              <w:fldChar w:fldCharType="separate"/>
            </w:r>
            <w:r>
              <w:rPr>
                <w:noProof/>
                <w:webHidden/>
              </w:rPr>
              <w:t>9</w:t>
            </w:r>
            <w:r w:rsidR="009D6B32">
              <w:rPr>
                <w:noProof/>
                <w:webHidden/>
              </w:rPr>
              <w:fldChar w:fldCharType="end"/>
            </w:r>
          </w:hyperlink>
        </w:p>
        <w:p w14:paraId="73EC7B93" w14:textId="6FE5B79C" w:rsidR="009D6B32" w:rsidRDefault="002C07F6">
          <w:pPr>
            <w:pStyle w:val="TOC1"/>
            <w:tabs>
              <w:tab w:val="right" w:leader="dot" w:pos="9350"/>
            </w:tabs>
            <w:rPr>
              <w:rFonts w:eastAsiaTheme="minorEastAsia"/>
              <w:noProof/>
              <w:kern w:val="2"/>
              <w:lang w:val="es-ES" w:eastAsia="ja-JP"/>
              <w14:ligatures w14:val="standardContextual"/>
            </w:rPr>
          </w:pPr>
          <w:hyperlink w:anchor="_Toc157084519" w:history="1">
            <w:r w:rsidR="009D6B32" w:rsidRPr="00A37C97">
              <w:rPr>
                <w:rStyle w:val="Hyperlink"/>
                <w:noProof/>
                <w:lang w:val="es-ES" w:bidi="es-ES"/>
              </w:rPr>
              <w:t>Anexo 1: Categorías de riesgo de la ERM</w:t>
            </w:r>
            <w:r w:rsidR="009D6B32">
              <w:rPr>
                <w:noProof/>
                <w:webHidden/>
              </w:rPr>
              <w:tab/>
            </w:r>
            <w:r w:rsidR="009D6B32">
              <w:rPr>
                <w:noProof/>
                <w:webHidden/>
              </w:rPr>
              <w:fldChar w:fldCharType="begin"/>
            </w:r>
            <w:r w:rsidR="009D6B32">
              <w:rPr>
                <w:noProof/>
                <w:webHidden/>
              </w:rPr>
              <w:instrText xml:space="preserve"> PAGEREF _Toc157084519 \h </w:instrText>
            </w:r>
            <w:r w:rsidR="009D6B32">
              <w:rPr>
                <w:noProof/>
                <w:webHidden/>
              </w:rPr>
            </w:r>
            <w:r w:rsidR="009D6B32">
              <w:rPr>
                <w:noProof/>
                <w:webHidden/>
              </w:rPr>
              <w:fldChar w:fldCharType="separate"/>
            </w:r>
            <w:r>
              <w:rPr>
                <w:noProof/>
                <w:webHidden/>
              </w:rPr>
              <w:t>10</w:t>
            </w:r>
            <w:r w:rsidR="009D6B32">
              <w:rPr>
                <w:noProof/>
                <w:webHidden/>
              </w:rPr>
              <w:fldChar w:fldCharType="end"/>
            </w:r>
          </w:hyperlink>
        </w:p>
        <w:p w14:paraId="524DAD50" w14:textId="75D8E579" w:rsidR="009D6B32" w:rsidRDefault="002C07F6">
          <w:pPr>
            <w:pStyle w:val="TOC1"/>
            <w:tabs>
              <w:tab w:val="right" w:leader="dot" w:pos="9350"/>
            </w:tabs>
            <w:rPr>
              <w:rFonts w:eastAsiaTheme="minorEastAsia"/>
              <w:noProof/>
              <w:kern w:val="2"/>
              <w:lang w:val="es-ES" w:eastAsia="ja-JP"/>
              <w14:ligatures w14:val="standardContextual"/>
            </w:rPr>
          </w:pPr>
          <w:hyperlink w:anchor="_Toc157084520" w:history="1">
            <w:r w:rsidR="009D6B32" w:rsidRPr="00A37C97">
              <w:rPr>
                <w:rStyle w:val="Hyperlink"/>
                <w:noProof/>
                <w:lang w:val="es-ES" w:bidi="es-ES"/>
              </w:rPr>
              <w:t>Anexo 2: Categorías y nivel de la Declaración de Apetito de Riesgo de la ERM</w:t>
            </w:r>
            <w:r w:rsidR="009D6B32">
              <w:rPr>
                <w:noProof/>
                <w:webHidden/>
              </w:rPr>
              <w:tab/>
            </w:r>
            <w:r w:rsidR="009D6B32">
              <w:rPr>
                <w:noProof/>
                <w:webHidden/>
              </w:rPr>
              <w:fldChar w:fldCharType="begin"/>
            </w:r>
            <w:r w:rsidR="009D6B32">
              <w:rPr>
                <w:noProof/>
                <w:webHidden/>
              </w:rPr>
              <w:instrText xml:space="preserve"> PAGEREF _Toc157084520 \h </w:instrText>
            </w:r>
            <w:r w:rsidR="009D6B32">
              <w:rPr>
                <w:noProof/>
                <w:webHidden/>
              </w:rPr>
            </w:r>
            <w:r w:rsidR="009D6B32">
              <w:rPr>
                <w:noProof/>
                <w:webHidden/>
              </w:rPr>
              <w:fldChar w:fldCharType="separate"/>
            </w:r>
            <w:r>
              <w:rPr>
                <w:noProof/>
                <w:webHidden/>
              </w:rPr>
              <w:t>11</w:t>
            </w:r>
            <w:r w:rsidR="009D6B32">
              <w:rPr>
                <w:noProof/>
                <w:webHidden/>
              </w:rPr>
              <w:fldChar w:fldCharType="end"/>
            </w:r>
          </w:hyperlink>
        </w:p>
        <w:p w14:paraId="08FEBA18" w14:textId="1C3E437D" w:rsidR="009D6B32" w:rsidRDefault="002C07F6">
          <w:pPr>
            <w:pStyle w:val="TOC1"/>
            <w:tabs>
              <w:tab w:val="right" w:leader="dot" w:pos="9350"/>
            </w:tabs>
            <w:rPr>
              <w:rFonts w:eastAsiaTheme="minorEastAsia"/>
              <w:noProof/>
              <w:kern w:val="2"/>
              <w:lang w:val="es-ES" w:eastAsia="ja-JP"/>
              <w14:ligatures w14:val="standardContextual"/>
            </w:rPr>
          </w:pPr>
          <w:hyperlink w:anchor="_Toc157084521" w:history="1">
            <w:r w:rsidR="009D6B32" w:rsidRPr="00A37C97">
              <w:rPr>
                <w:rStyle w:val="Hyperlink"/>
                <w:noProof/>
                <w:lang w:val="es-ES" w:bidi="es-ES"/>
              </w:rPr>
              <w:t>Anexo 3: Correspondencia entre el apetito de riesgo y su trascendencia en la matriz de riesgo</w:t>
            </w:r>
            <w:r w:rsidR="009D6B32">
              <w:rPr>
                <w:noProof/>
                <w:webHidden/>
              </w:rPr>
              <w:tab/>
            </w:r>
            <w:r w:rsidR="009D6B32">
              <w:rPr>
                <w:noProof/>
                <w:webHidden/>
              </w:rPr>
              <w:fldChar w:fldCharType="begin"/>
            </w:r>
            <w:r w:rsidR="009D6B32">
              <w:rPr>
                <w:noProof/>
                <w:webHidden/>
              </w:rPr>
              <w:instrText xml:space="preserve"> PAGEREF _Toc157084521 \h </w:instrText>
            </w:r>
            <w:r w:rsidR="009D6B32">
              <w:rPr>
                <w:noProof/>
                <w:webHidden/>
              </w:rPr>
            </w:r>
            <w:r w:rsidR="009D6B32">
              <w:rPr>
                <w:noProof/>
                <w:webHidden/>
              </w:rPr>
              <w:fldChar w:fldCharType="separate"/>
            </w:r>
            <w:r>
              <w:rPr>
                <w:noProof/>
                <w:webHidden/>
              </w:rPr>
              <w:t>14</w:t>
            </w:r>
            <w:r w:rsidR="009D6B32">
              <w:rPr>
                <w:noProof/>
                <w:webHidden/>
              </w:rPr>
              <w:fldChar w:fldCharType="end"/>
            </w:r>
          </w:hyperlink>
        </w:p>
        <w:p w14:paraId="2F35F101" w14:textId="50F386EA" w:rsidR="009D6B32" w:rsidRDefault="002C07F6">
          <w:pPr>
            <w:pStyle w:val="TOC1"/>
            <w:tabs>
              <w:tab w:val="right" w:leader="dot" w:pos="9350"/>
            </w:tabs>
            <w:rPr>
              <w:rFonts w:eastAsiaTheme="minorEastAsia"/>
              <w:noProof/>
              <w:kern w:val="2"/>
              <w:lang w:val="es-ES" w:eastAsia="ja-JP"/>
              <w14:ligatures w14:val="standardContextual"/>
            </w:rPr>
          </w:pPr>
          <w:hyperlink w:anchor="_Toc157084522" w:history="1">
            <w:r w:rsidR="009D6B32" w:rsidRPr="00A37C97">
              <w:rPr>
                <w:rStyle w:val="Hyperlink"/>
                <w:noProof/>
                <w:lang w:val="es-ES" w:bidi="es-ES"/>
              </w:rPr>
              <w:t>Anexo 4: Resumen de la Declaración de Apetito de Riesgo</w:t>
            </w:r>
            <w:r w:rsidR="009D6B32">
              <w:rPr>
                <w:noProof/>
                <w:webHidden/>
              </w:rPr>
              <w:tab/>
            </w:r>
            <w:r w:rsidR="009D6B32">
              <w:rPr>
                <w:noProof/>
                <w:webHidden/>
              </w:rPr>
              <w:fldChar w:fldCharType="begin"/>
            </w:r>
            <w:r w:rsidR="009D6B32">
              <w:rPr>
                <w:noProof/>
                <w:webHidden/>
              </w:rPr>
              <w:instrText xml:space="preserve"> PAGEREF _Toc157084522 \h </w:instrText>
            </w:r>
            <w:r w:rsidR="009D6B32">
              <w:rPr>
                <w:noProof/>
                <w:webHidden/>
              </w:rPr>
            </w:r>
            <w:r w:rsidR="009D6B32">
              <w:rPr>
                <w:noProof/>
                <w:webHidden/>
              </w:rPr>
              <w:fldChar w:fldCharType="separate"/>
            </w:r>
            <w:r>
              <w:rPr>
                <w:noProof/>
                <w:webHidden/>
              </w:rPr>
              <w:t>15</w:t>
            </w:r>
            <w:r w:rsidR="009D6B32">
              <w:rPr>
                <w:noProof/>
                <w:webHidden/>
              </w:rPr>
              <w:fldChar w:fldCharType="end"/>
            </w:r>
          </w:hyperlink>
        </w:p>
        <w:p w14:paraId="16D5F206" w14:textId="79728AAB" w:rsidR="00117AC3" w:rsidRDefault="00117AC3">
          <w:r>
            <w:rPr>
              <w:b/>
              <w:noProof/>
              <w:lang w:val="es-ES" w:bidi="es-ES"/>
            </w:rPr>
            <w:fldChar w:fldCharType="end"/>
          </w:r>
        </w:p>
      </w:sdtContent>
    </w:sdt>
    <w:p w14:paraId="17A4FBF4" w14:textId="2F628DF1" w:rsidR="00BC57B0" w:rsidRDefault="00BC57B0">
      <w:pPr>
        <w:rPr>
          <w:rFonts w:asciiTheme="majorHAnsi" w:eastAsiaTheme="majorEastAsia" w:hAnsiTheme="majorHAnsi" w:cstheme="majorBidi"/>
          <w:color w:val="2F5496" w:themeColor="accent1" w:themeShade="BF"/>
          <w:sz w:val="32"/>
          <w:szCs w:val="32"/>
        </w:rPr>
      </w:pPr>
      <w:r>
        <w:rPr>
          <w:lang w:val="es-ES" w:bidi="es-ES"/>
        </w:rPr>
        <w:br w:type="page"/>
      </w:r>
    </w:p>
    <w:p w14:paraId="3A55EA28" w14:textId="472954BF" w:rsidR="00BB7E15" w:rsidRDefault="00BB7E15" w:rsidP="003F0B20">
      <w:pPr>
        <w:pStyle w:val="Heading1"/>
        <w:numPr>
          <w:ilvl w:val="0"/>
          <w:numId w:val="7"/>
        </w:numPr>
        <w:ind w:left="357" w:hanging="357"/>
      </w:pPr>
      <w:bookmarkStart w:id="3" w:name="_Toc157084513"/>
      <w:r>
        <w:rPr>
          <w:lang w:val="es-ES" w:bidi="es-ES"/>
        </w:rPr>
        <w:lastRenderedPageBreak/>
        <w:t>Introducción</w:t>
      </w:r>
      <w:bookmarkEnd w:id="3"/>
    </w:p>
    <w:p w14:paraId="3517AC41" w14:textId="00CAB67F" w:rsidR="00701300" w:rsidRPr="009D6B32" w:rsidRDefault="00BB7E15" w:rsidP="00BB7E15">
      <w:pPr>
        <w:rPr>
          <w:lang w:val="es-ES"/>
        </w:rPr>
      </w:pPr>
      <w:r>
        <w:rPr>
          <w:lang w:val="es-ES" w:bidi="es-ES"/>
        </w:rPr>
        <w:t xml:space="preserve">Estas directrices se han preparado para facilitar que la Declaración de Apetito de Riesgo se implante en todo el PNUD con coherencia. Están pensadas para todo el personal, los asociados y demás agentes que colaboran con la organización en aras de llevar a la práctica su Plan Estratégico. La Declaración de Apetito de Riesgo y las presentes directrices forman parte del marco de gestión de los riesgos institucionales (ERM) del PNUD y se han armonizado con la metodología y el proceso de evaluación de los riesgos de la ERM. </w:t>
      </w:r>
    </w:p>
    <w:p w14:paraId="400E397B" w14:textId="43A191EC" w:rsidR="00306CC0" w:rsidRPr="009D6B32" w:rsidRDefault="000D50E7" w:rsidP="00BB7E15">
      <w:pPr>
        <w:rPr>
          <w:lang w:val="es-ES"/>
        </w:rPr>
      </w:pPr>
      <w:r>
        <w:rPr>
          <w:lang w:val="es-ES" w:bidi="es-ES"/>
        </w:rPr>
        <w:t>La gestión de los riesgos permite transformar recursos e ideas en resultados de gran repercusión que se obtienen en condiciones de incertidumbre. La finalidad de definir el apetito de riesgo es contribuir a gestionar eficazmente estos riesgos (amenazas y oportunidades) por medio de diálogos abiertos sobre el nivel de riesgo que el PNUD está dispuesto a asumir y el que no, así como garantizar que todos los implicados en la organización siguen un enfoque congruente en materia de riesgo. Las directrices deben emplearse como parte de la evaluación general de su oficina, dependencia institucional o proyecto para poder llevar a término con eficacia todos los planes y objetivos del PNUD.</w:t>
      </w:r>
    </w:p>
    <w:p w14:paraId="6AEAA300" w14:textId="77777777" w:rsidR="004F3A7B" w:rsidRPr="009D6B32" w:rsidRDefault="004F3A7B" w:rsidP="004F3A7B">
      <w:pPr>
        <w:pStyle w:val="Heading1"/>
        <w:numPr>
          <w:ilvl w:val="0"/>
          <w:numId w:val="7"/>
        </w:numPr>
        <w:ind w:left="357" w:hanging="357"/>
        <w:rPr>
          <w:lang w:val="es-ES"/>
        </w:rPr>
      </w:pPr>
      <w:bookmarkStart w:id="4" w:name="_Toc157084514"/>
      <w:r>
        <w:rPr>
          <w:lang w:val="es-ES" w:bidi="es-ES"/>
        </w:rPr>
        <w:t>La Declaración de Apetito de Riesgo: significado</w:t>
      </w:r>
      <w:bookmarkEnd w:id="4"/>
    </w:p>
    <w:p w14:paraId="3A6C3C78" w14:textId="72DD29E1" w:rsidR="00761C08" w:rsidRPr="009D6B32" w:rsidRDefault="004F3A7B" w:rsidP="004F3A7B">
      <w:pPr>
        <w:rPr>
          <w:lang w:val="es-ES"/>
        </w:rPr>
      </w:pPr>
      <w:r>
        <w:rPr>
          <w:lang w:val="es-ES" w:bidi="es-ES"/>
        </w:rPr>
        <w:t>En cualquier tipo de situación —ya sea un proyecto o un proceso operativo encaminado a facilitar la consecución de los objetivos de la organización—, será necesario llevar a cabo una evaluación de los riesgos con la metodología de la ERM del PNUD que abarque una gran variedad de riesgo y, en consecuencia, una gran variedad de esferas de apetito de riesgo. Hemos recurrido al ejemplo de fundar una nueva oficina del PNUD para ayudarle a entender cómo se aplican las declaraciones de apetito en el marco de la evaluación de los riesgos. Las directrices son un punto de partida y no una manifestación categórica sobre la implantación de la Declaración de Apetito de Riesgo, así que será necesario seguir su propio criterio y consultar con otros agentes al usarla.</w:t>
      </w:r>
    </w:p>
    <w:p w14:paraId="59329103" w14:textId="1C4AB427" w:rsidR="00CF17BF" w:rsidRPr="009D6B32" w:rsidRDefault="00CF17BF" w:rsidP="00CF17BF">
      <w:pPr>
        <w:pStyle w:val="Heading1"/>
        <w:numPr>
          <w:ilvl w:val="0"/>
          <w:numId w:val="7"/>
        </w:numPr>
        <w:ind w:left="357" w:hanging="357"/>
        <w:rPr>
          <w:lang w:val="es-ES"/>
        </w:rPr>
      </w:pPr>
      <w:bookmarkStart w:id="5" w:name="_Toc157084515"/>
      <w:r>
        <w:rPr>
          <w:lang w:val="es-ES" w:bidi="es-ES"/>
        </w:rPr>
        <w:t>¿Cómo y cu</w:t>
      </w:r>
      <w:r w:rsidR="009D6B32">
        <w:rPr>
          <w:lang w:val="es-ES" w:bidi="es-ES"/>
        </w:rPr>
        <w:t>á</w:t>
      </w:r>
      <w:r>
        <w:rPr>
          <w:lang w:val="es-ES" w:bidi="es-ES"/>
        </w:rPr>
        <w:t>ndo se utiliza la Declaración de Apetito de Riesgo?</w:t>
      </w:r>
      <w:bookmarkEnd w:id="5"/>
    </w:p>
    <w:p w14:paraId="3FB2BE26" w14:textId="7CB0B6A4" w:rsidR="000C1C75" w:rsidRPr="009D6B32" w:rsidRDefault="00D603FF" w:rsidP="00626401">
      <w:pPr>
        <w:rPr>
          <w:lang w:val="es-ES"/>
        </w:rPr>
      </w:pPr>
      <w:r>
        <w:rPr>
          <w:lang w:val="es-ES" w:bidi="es-ES"/>
        </w:rPr>
        <w:t xml:space="preserve">Se utiliza como parte de la evaluación de los riesgos que realizan los encargados de la gestión de los riesgos (plan de trabajo integrado o un programa o proyecto nuevo) para respaldar la toma de decisiones fundamentadas en los riesgos. La metodología de la ERM se explica en detalle en las </w:t>
      </w:r>
      <w:hyperlink r:id="rId13" w:history="1">
        <w:r w:rsidR="005720CD" w:rsidRPr="005720CD">
          <w:rPr>
            <w:rStyle w:val="Hyperlink"/>
            <w:lang w:val="es-ES" w:bidi="es-ES"/>
          </w:rPr>
          <w:t>Directrices de la ERM</w:t>
        </w:r>
      </w:hyperlink>
      <w:r>
        <w:rPr>
          <w:lang w:val="es-ES" w:bidi="es-ES"/>
        </w:rPr>
        <w:t>. El proceso de apetito de riesgo tiene que integrarse (y no ser un proceso aparte) en las actividades de evaluación de los riesgos que se lleven a cabo en la oficina o dependencia institucional como sigue:</w:t>
      </w:r>
    </w:p>
    <w:p w14:paraId="0292375E" w14:textId="587C0B63" w:rsidR="00CF17BF" w:rsidRPr="009D6B32" w:rsidRDefault="00CF17BF" w:rsidP="00CF17BF">
      <w:pPr>
        <w:pStyle w:val="ListParagraph"/>
        <w:numPr>
          <w:ilvl w:val="2"/>
          <w:numId w:val="7"/>
        </w:numPr>
        <w:ind w:left="709"/>
        <w:rPr>
          <w:lang w:val="es-ES"/>
        </w:rPr>
      </w:pPr>
      <w:r>
        <w:rPr>
          <w:lang w:val="es-ES" w:bidi="es-ES"/>
        </w:rPr>
        <w:t>Para empezar, tiene que llevar a cabo una evaluación de los riesgos para saber a cuáles se enfrenta, definirlos con claridad y asignarles una puntuación (en cuanto a probabilidad e impacto) de acuerdo con la metodología de la ERM normalizada del PNUD.</w:t>
      </w:r>
    </w:p>
    <w:p w14:paraId="276D987F" w14:textId="03FE04EA" w:rsidR="00B0384A" w:rsidRPr="009D6B32" w:rsidRDefault="000C1C75" w:rsidP="00CF17BF">
      <w:pPr>
        <w:pStyle w:val="ListParagraph"/>
        <w:numPr>
          <w:ilvl w:val="2"/>
          <w:numId w:val="7"/>
        </w:numPr>
        <w:ind w:left="709"/>
        <w:rPr>
          <w:lang w:val="es-ES"/>
        </w:rPr>
      </w:pPr>
      <w:r>
        <w:rPr>
          <w:lang w:val="es-ES" w:bidi="es-ES"/>
        </w:rPr>
        <w:t xml:space="preserve">Averigüe a qué categoría y subcategoría de riesgo se enfrenta (social y ambiental, financiero, operacional, organizacional, reputacional, regulatorio, estratégico o protección y seguridad) con las Categorías de riesgo de la ERM (véase el anexo 1). </w:t>
      </w:r>
    </w:p>
    <w:p w14:paraId="131848A3" w14:textId="430F4838" w:rsidR="00B0384A" w:rsidRPr="009D6B32" w:rsidRDefault="00B0384A" w:rsidP="00CF17BF">
      <w:pPr>
        <w:pStyle w:val="ListParagraph"/>
        <w:numPr>
          <w:ilvl w:val="2"/>
          <w:numId w:val="7"/>
        </w:numPr>
        <w:ind w:left="709"/>
        <w:rPr>
          <w:lang w:val="es-ES"/>
        </w:rPr>
      </w:pPr>
      <w:r>
        <w:rPr>
          <w:lang w:val="es-ES" w:bidi="es-ES"/>
        </w:rPr>
        <w:t>Compare la trascendencia del riesgo con el nivel de apetito de riesgo que corresponde a esa categoría (véase el anexo 2).</w:t>
      </w:r>
    </w:p>
    <w:p w14:paraId="2F6BB54B" w14:textId="506A4C42" w:rsidR="006C7235" w:rsidRPr="009D6B32" w:rsidRDefault="00ED19C0" w:rsidP="00CF17BF">
      <w:pPr>
        <w:pStyle w:val="ListParagraph"/>
        <w:numPr>
          <w:ilvl w:val="2"/>
          <w:numId w:val="7"/>
        </w:numPr>
        <w:ind w:left="709"/>
        <w:rPr>
          <w:lang w:val="es-ES"/>
        </w:rPr>
      </w:pPr>
      <w:r>
        <w:rPr>
          <w:lang w:val="es-ES" w:bidi="es-ES"/>
        </w:rPr>
        <w:t xml:space="preserve">Consulte la matriz de riesgo (en el anexo 3). Si la puntuación </w:t>
      </w:r>
      <w:r>
        <w:rPr>
          <w:b/>
          <w:lang w:val="es-ES" w:bidi="es-ES"/>
        </w:rPr>
        <w:t>supera</w:t>
      </w:r>
      <w:r>
        <w:rPr>
          <w:lang w:val="es-ES" w:bidi="es-ES"/>
        </w:rPr>
        <w:t xml:space="preserve"> al apetito de riesgo, habrá que tomar una decisión fundamentada en los riesgos para reflexionar sobre qué más puede hacer para gestionar el riesgo y que sea aceptable. Una posible solución es aceptar el riesgo si no se puede hacer nada al respecto o si no puede paliarse lo suficiente de manera económica, </w:t>
      </w:r>
      <w:r>
        <w:rPr>
          <w:lang w:val="es-ES" w:bidi="es-ES"/>
        </w:rPr>
        <w:lastRenderedPageBreak/>
        <w:t>eficaz y puntual; o redefinir el objetivo o la actividad para evitar el riesgo. Los encargados de la gestión de los riesgos se responsabilizan de generar los recursos necesarios para gestionar los riesgos existentes y de establecer los controles que se hayan acordado.</w:t>
      </w:r>
    </w:p>
    <w:p w14:paraId="3164F802" w14:textId="3DF7A427" w:rsidR="000C1C75" w:rsidRPr="009D6B32" w:rsidRDefault="006C7235" w:rsidP="00CF17BF">
      <w:pPr>
        <w:pStyle w:val="ListParagraph"/>
        <w:numPr>
          <w:ilvl w:val="2"/>
          <w:numId w:val="7"/>
        </w:numPr>
        <w:ind w:left="709"/>
        <w:rPr>
          <w:lang w:val="es-ES"/>
        </w:rPr>
      </w:pPr>
      <w:r>
        <w:rPr>
          <w:lang w:val="es-ES" w:bidi="es-ES"/>
        </w:rPr>
        <w:t xml:space="preserve">Si la puntuación </w:t>
      </w:r>
      <w:r>
        <w:rPr>
          <w:b/>
          <w:lang w:val="es-ES" w:bidi="es-ES"/>
        </w:rPr>
        <w:t>queda dentro</w:t>
      </w:r>
      <w:r>
        <w:rPr>
          <w:lang w:val="es-ES" w:bidi="es-ES"/>
        </w:rPr>
        <w:t xml:space="preserve"> de los límites del apetito de riesgo, plantéese si los controles que ha establecido son necesarios. Tal vez sea posible y conveniente relajar el entorno de control, pero siempre hay que procurar controlar los riesgos si resulta viable desde el punto de vista económico y eficaz.</w:t>
      </w:r>
    </w:p>
    <w:p w14:paraId="60A71E10" w14:textId="7B6D2865" w:rsidR="00467AA0" w:rsidRPr="009D6B32" w:rsidRDefault="00E66BD2" w:rsidP="00CF17BF">
      <w:pPr>
        <w:pStyle w:val="ListParagraph"/>
        <w:numPr>
          <w:ilvl w:val="2"/>
          <w:numId w:val="7"/>
        </w:numPr>
        <w:ind w:left="709"/>
        <w:rPr>
          <w:lang w:val="es-ES"/>
        </w:rPr>
      </w:pPr>
      <w:r>
        <w:rPr>
          <w:lang w:val="es-ES" w:bidi="es-ES"/>
        </w:rPr>
        <w:t>Siga las prácticas habituales de la ERM, registre con claridad el proceso y las decisiones que tome y mantenga los riesgos y las puntuaciones bajo examen: puede que varíen, lo que a su vez alteraría la relación entre el nivel de riesgo y el apetito y, como consecuencia, también podría ser necesario cambiar los controles de los riesgos. También hay que dejar constancia de las razones que motivan los cambios para explicar el porqué de sus decisiones y en aras de la transparencia.</w:t>
      </w:r>
    </w:p>
    <w:p w14:paraId="7DCD6550" w14:textId="3AEE9E60" w:rsidR="004C5060" w:rsidRPr="009D6B32" w:rsidRDefault="004C5060" w:rsidP="004C5060">
      <w:pPr>
        <w:rPr>
          <w:lang w:val="es-ES"/>
        </w:rPr>
      </w:pPr>
      <w:r>
        <w:rPr>
          <w:lang w:val="es-ES" w:bidi="es-ES"/>
        </w:rPr>
        <w:t>El flujograma a continuación resume el proceso.</w:t>
      </w:r>
    </w:p>
    <w:p w14:paraId="6F3EA4E2" w14:textId="0054C978" w:rsidR="0079491E" w:rsidRDefault="00FD56CE" w:rsidP="004C5060">
      <w:r>
        <w:rPr>
          <w:noProof/>
        </w:rPr>
        <w:drawing>
          <wp:anchor distT="0" distB="0" distL="114300" distR="114300" simplePos="0" relativeHeight="251660296" behindDoc="0" locked="0" layoutInCell="1" allowOverlap="1" wp14:anchorId="4FC1A708" wp14:editId="3C4F733F">
            <wp:simplePos x="0" y="0"/>
            <wp:positionH relativeFrom="column">
              <wp:posOffset>0</wp:posOffset>
            </wp:positionH>
            <wp:positionV relativeFrom="paragraph">
              <wp:posOffset>-49</wp:posOffset>
            </wp:positionV>
            <wp:extent cx="6055200" cy="3520800"/>
            <wp:effectExtent l="0" t="0" r="3175" b="3810"/>
            <wp:wrapNone/>
            <wp:docPr id="517211709" name="Picture 517211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55200" cy="3520800"/>
                    </a:xfrm>
                    <a:prstGeom prst="rect">
                      <a:avLst/>
                    </a:prstGeom>
                    <a:noFill/>
                    <a:ln>
                      <a:noFill/>
                    </a:ln>
                  </pic:spPr>
                </pic:pic>
              </a:graphicData>
            </a:graphic>
          </wp:anchor>
        </w:drawing>
      </w:r>
      <w:r w:rsidR="0079491E">
        <w:rPr>
          <w:noProof/>
          <w:lang w:val="es-ES" w:bidi="es-ES"/>
        </w:rPr>
        <w:drawing>
          <wp:inline distT="0" distB="0" distL="0" distR="0" wp14:anchorId="056DA90B" wp14:editId="29D108F1">
            <wp:extent cx="6039630" cy="3512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39630" cy="3512820"/>
                    </a:xfrm>
                    <a:prstGeom prst="rect">
                      <a:avLst/>
                    </a:prstGeom>
                  </pic:spPr>
                </pic:pic>
              </a:graphicData>
            </a:graphic>
          </wp:inline>
        </w:drawing>
      </w:r>
    </w:p>
    <w:p w14:paraId="47DEEF1D" w14:textId="2424D5EA" w:rsidR="00790125" w:rsidRPr="009D6B32" w:rsidRDefault="000C4828" w:rsidP="003F0B20">
      <w:pPr>
        <w:pStyle w:val="Heading1"/>
        <w:numPr>
          <w:ilvl w:val="0"/>
          <w:numId w:val="7"/>
        </w:numPr>
        <w:ind w:left="357" w:hanging="357"/>
        <w:rPr>
          <w:lang w:val="es-ES"/>
        </w:rPr>
      </w:pPr>
      <w:bookmarkStart w:id="6" w:name="_Toc157084516"/>
      <w:r>
        <w:rPr>
          <w:lang w:val="es-ES" w:bidi="es-ES"/>
        </w:rPr>
        <w:t>La Declaración de Apetito de Riesgo: aplicación</w:t>
      </w:r>
      <w:bookmarkEnd w:id="6"/>
    </w:p>
    <w:p w14:paraId="18B57B85" w14:textId="5E0B6E5D" w:rsidR="003226B6" w:rsidRDefault="000C6910" w:rsidP="00AE7753">
      <w:pPr>
        <w:rPr>
          <w:lang w:val="es-ES" w:bidi="es-ES"/>
        </w:rPr>
      </w:pPr>
      <w:r>
        <w:rPr>
          <w:lang w:val="es-ES" w:bidi="es-ES"/>
        </w:rPr>
        <w:t>Como se expone en la Declaración de Apetito de Riesgo, el PNUD ha establecido ocho esferas en las que se define el apetito de riesgo (anexo 2). En esta sección vamos a recurrir a dos ejemplos para ayudarle a entender la Declaración de Apetito de Riesgo y a llevarla a la práctica.</w:t>
      </w:r>
    </w:p>
    <w:p w14:paraId="3E755323" w14:textId="77777777" w:rsidR="00590382" w:rsidRDefault="00590382" w:rsidP="00AE7753">
      <w:pPr>
        <w:rPr>
          <w:lang w:val="es-ES" w:bidi="es-ES"/>
        </w:rPr>
      </w:pPr>
    </w:p>
    <w:p w14:paraId="376A6815" w14:textId="77777777" w:rsidR="00590382" w:rsidRPr="009D6B32" w:rsidRDefault="00590382" w:rsidP="00AE7753">
      <w:pPr>
        <w:rPr>
          <w:lang w:val="es-ES"/>
        </w:rPr>
      </w:pPr>
    </w:p>
    <w:p w14:paraId="486D5C7B" w14:textId="77777777" w:rsidR="008948D9" w:rsidRPr="009D6B32" w:rsidRDefault="008948D9" w:rsidP="00ED19C0">
      <w:pPr>
        <w:rPr>
          <w:b/>
          <w:u w:val="single"/>
          <w:lang w:val="es-ES"/>
        </w:rPr>
      </w:pPr>
      <w:r w:rsidRPr="00513FC1">
        <w:rPr>
          <w:b/>
          <w:u w:val="single"/>
          <w:lang w:val="es-ES" w:bidi="es-ES"/>
        </w:rPr>
        <w:t>Ejemplo 1:</w:t>
      </w:r>
    </w:p>
    <w:p w14:paraId="05FA568C" w14:textId="76B85E8C" w:rsidR="00302B2D" w:rsidRPr="009D6B32" w:rsidRDefault="00526443" w:rsidP="00ED19C0">
      <w:pPr>
        <w:rPr>
          <w:lang w:val="es-ES"/>
        </w:rPr>
      </w:pPr>
      <w:r>
        <w:rPr>
          <w:lang w:val="es-ES" w:bidi="es-ES"/>
        </w:rPr>
        <w:lastRenderedPageBreak/>
        <w:t>La oficina del PNUD en Oceanía quiere lanzar un proyecto para tener presencia en una región montañosa llamada Terra que acaba de salir de un conflicto. A pesar de los logros extraordinarios que se han cosechado en Oceanía, todavía hay problemas de desarrollo, como las desigualdades que aún existen en relación con la etnia, el género y la ubicación geográfica. Tres cuartas partes de la población se encuentran justo por encima del umbral de la pobreza y no tienen capacidad de resistencia a las perturbaciones.</w:t>
      </w:r>
      <w:r w:rsidR="00302B2D">
        <w:rPr>
          <w:position w:val="9"/>
          <w:sz w:val="13"/>
          <w:lang w:val="es-ES" w:bidi="es-ES"/>
        </w:rPr>
        <w:t xml:space="preserve"> </w:t>
      </w:r>
      <w:r>
        <w:rPr>
          <w:lang w:val="es-ES" w:bidi="es-ES"/>
        </w:rPr>
        <w:t>Debido a la guerra civil, han surgido nuevos tipos de carencias sociales, económicas y ambientales que afectan a los trabajadores migrantes y del sector informal, sobre todo a las mujeres.</w:t>
      </w:r>
    </w:p>
    <w:p w14:paraId="373C1727" w14:textId="42F9470A" w:rsidR="009973F4" w:rsidRPr="009D6B32" w:rsidRDefault="002430C5" w:rsidP="009973F4">
      <w:pPr>
        <w:spacing w:before="4"/>
        <w:rPr>
          <w:lang w:val="es-ES"/>
        </w:rPr>
      </w:pPr>
      <w:r>
        <w:rPr>
          <w:lang w:val="es-ES" w:bidi="es-ES"/>
        </w:rPr>
        <w:t xml:space="preserve">Usted va a estar al mando de este proceso como Oficial de Programas y Punto Focal de la oficina en el país. Antes de que la oficina del proyecto comience su andadura, hay que estudiar muchos aspectos que constituyen una fuente tanto de oportunidades como de riesgos. Por ejemplo, la aprobación y el apoyo del Gobierno de cara a la creación de la oficina; la implicación de donantes y partes interesadas clave en lograr presencia a través del proyecto; inquietudes en materia de protección y seguridad; los requisitos operativos y de organización de la oficina (adquisiciones, cuestiones jurídicas, recursos humanos, etc.); inversiones, implicaciones y sostenibilidad en el ámbito financiero; la movilización de recursos y la oferta de programas del PNUD; competencia y las ventajas competitivas de la organización; y modalidades de implantación y alianzas, que comprenden aspectos sociales y ambientales. </w:t>
      </w:r>
    </w:p>
    <w:p w14:paraId="22218F1C" w14:textId="24D7ECB2" w:rsidR="002430C5" w:rsidRPr="009D6B32" w:rsidRDefault="00567E72" w:rsidP="00567E72">
      <w:pPr>
        <w:rPr>
          <w:lang w:val="es-ES"/>
        </w:rPr>
      </w:pPr>
      <w:r>
        <w:rPr>
          <w:lang w:val="es-ES" w:bidi="es-ES"/>
        </w:rPr>
        <w:t>Al analizar estas cuestiones, ¿qué riesgos podría traer aparejado el proyecto para lograr esa presencia? ¿Qué amenazas podrían repercutir en los objetivos y qué oportunidades podría aprovechar para cimentar la presencia del PNUD en Terra? Para ayudarle en esta tarea, vamos a escoger algunos riesgos, los evaluaremos y los compararemos con el apetito de riesgo de la categoría correspondiente para valorar si el nivel actual de riesgo se ciñe al apetito de riesgo o lo supera, y cuáles son las opciones adecuadas y eficaces en función del costo para gestionar dichos riesgos. Vamos a centrarnos en los riesgos financieros, reputacionales, operacionales y sociales y ambientales.</w:t>
      </w:r>
    </w:p>
    <w:p w14:paraId="0B6C2228" w14:textId="1F810228" w:rsidR="002430C5" w:rsidRDefault="00843C08" w:rsidP="00AE7753">
      <w:r>
        <w:rPr>
          <w:lang w:val="es-ES" w:bidi="es-ES"/>
        </w:rPr>
        <w:t xml:space="preserve">El presupuesto para el proyecto destinado a ganar presencia se basa en una estimación de gastos preliminar realizada en el momento de preparar la propuesta. Ya está trabajando sobre el terreno y ha llevado a cabo estudios de mercado y análisis en profundidad, por lo que está empezando a ver con claridad el grado de incertidumbre en torno a los gastos reales del proyecto. Lo que más le preocupa es que los gastos en concepto de alquiler, remodelación de la oficina, medidas de mitigación relacionadas con la seguridad e infraestructura de la tecnología de la información y las comunicaciones rebasen el presupuesto asignado. El riesgo se ha resumido de la siguiente forma: </w:t>
      </w:r>
    </w:p>
    <w:tbl>
      <w:tblPr>
        <w:tblStyle w:val="TableGrid"/>
        <w:tblW w:w="9355" w:type="dxa"/>
        <w:tblLook w:val="04A0" w:firstRow="1" w:lastRow="0" w:firstColumn="1" w:lastColumn="0" w:noHBand="0" w:noVBand="1"/>
      </w:tblPr>
      <w:tblGrid>
        <w:gridCol w:w="3118"/>
        <w:gridCol w:w="3118"/>
        <w:gridCol w:w="3119"/>
      </w:tblGrid>
      <w:tr w:rsidR="00301691" w14:paraId="36A9DA6C" w14:textId="77777777" w:rsidTr="00301691">
        <w:tc>
          <w:tcPr>
            <w:tcW w:w="3118" w:type="dxa"/>
          </w:tcPr>
          <w:p w14:paraId="068ACE28" w14:textId="56B84468" w:rsidR="00301691" w:rsidRPr="009D6B32" w:rsidRDefault="00301691" w:rsidP="00301691">
            <w:pPr>
              <w:rPr>
                <w:b/>
                <w:bCs/>
                <w:lang w:val="es-ES"/>
              </w:rPr>
            </w:pPr>
            <w:r>
              <w:rPr>
                <w:b/>
                <w:lang w:val="es-ES" w:bidi="es-ES"/>
              </w:rPr>
              <w:t>Hecho</w:t>
            </w:r>
          </w:p>
          <w:p w14:paraId="024E8406" w14:textId="104C866D" w:rsidR="00301691" w:rsidRPr="009D6B32" w:rsidRDefault="00B55137" w:rsidP="00301691">
            <w:pPr>
              <w:rPr>
                <w:lang w:val="es-ES"/>
              </w:rPr>
            </w:pPr>
            <w:r>
              <w:rPr>
                <w:lang w:val="es-ES" w:bidi="es-ES"/>
              </w:rPr>
              <w:t>Puede que los fondos o el presupuesto para el proyecto encaminado a conseguir presencia no basten</w:t>
            </w:r>
          </w:p>
        </w:tc>
        <w:tc>
          <w:tcPr>
            <w:tcW w:w="3118" w:type="dxa"/>
          </w:tcPr>
          <w:p w14:paraId="09FE1FAA" w14:textId="77777777" w:rsidR="00301691" w:rsidRPr="009D6B32" w:rsidRDefault="00301691" w:rsidP="00301691">
            <w:pPr>
              <w:rPr>
                <w:b/>
                <w:bCs/>
                <w:lang w:val="es-ES"/>
              </w:rPr>
            </w:pPr>
            <w:r>
              <w:rPr>
                <w:b/>
                <w:lang w:val="es-ES" w:bidi="es-ES"/>
              </w:rPr>
              <w:t>Motivo</w:t>
            </w:r>
          </w:p>
          <w:p w14:paraId="7F80AC38" w14:textId="77777777" w:rsidR="00BA48E6" w:rsidRPr="009D6B32" w:rsidRDefault="00BA48E6" w:rsidP="00BA48E6">
            <w:pPr>
              <w:rPr>
                <w:lang w:val="es-ES"/>
              </w:rPr>
            </w:pPr>
            <w:r>
              <w:rPr>
                <w:lang w:val="es-ES" w:bidi="es-ES"/>
              </w:rPr>
              <w:t>Discrepancias que afectan al alquiler y la remodelación del edificio, la seguridad y los gastos corrientes</w:t>
            </w:r>
          </w:p>
          <w:p w14:paraId="694259D3" w14:textId="77777777" w:rsidR="00301691" w:rsidRPr="009D6B32" w:rsidRDefault="00301691" w:rsidP="00301691">
            <w:pPr>
              <w:rPr>
                <w:lang w:val="es-ES"/>
              </w:rPr>
            </w:pPr>
          </w:p>
          <w:p w14:paraId="5BF5B00B" w14:textId="317CF5E1" w:rsidR="00301691" w:rsidRDefault="00301691" w:rsidP="00301691">
            <w:pPr>
              <w:rPr>
                <w:b/>
                <w:bCs/>
              </w:rPr>
            </w:pPr>
            <w:r w:rsidRPr="00971669">
              <w:rPr>
                <w:b/>
                <w:lang w:val="es-ES" w:bidi="es-ES"/>
              </w:rPr>
              <w:t>Probabilidad:</w:t>
            </w:r>
            <w:r w:rsidRPr="00971669">
              <w:rPr>
                <w:lang w:val="es-ES" w:bidi="es-ES"/>
              </w:rPr>
              <w:t xml:space="preserve"> 3, moderadamente probable</w:t>
            </w:r>
          </w:p>
        </w:tc>
        <w:tc>
          <w:tcPr>
            <w:tcW w:w="3119" w:type="dxa"/>
          </w:tcPr>
          <w:p w14:paraId="7E1CD309" w14:textId="76253D78" w:rsidR="00301691" w:rsidRDefault="00301691" w:rsidP="00301691">
            <w:pPr>
              <w:rPr>
                <w:b/>
                <w:bCs/>
              </w:rPr>
            </w:pPr>
            <w:r>
              <w:rPr>
                <w:b/>
                <w:lang w:val="es-ES" w:bidi="es-ES"/>
              </w:rPr>
              <w:t xml:space="preserve">Impacto </w:t>
            </w:r>
          </w:p>
          <w:p w14:paraId="4D93C6C8" w14:textId="77777777" w:rsidR="005518C2" w:rsidRPr="009D6B32" w:rsidRDefault="005518C2" w:rsidP="005518C2">
            <w:pPr>
              <w:pStyle w:val="ListParagraph"/>
              <w:numPr>
                <w:ilvl w:val="0"/>
                <w:numId w:val="35"/>
              </w:numPr>
              <w:rPr>
                <w:lang w:val="es-ES"/>
              </w:rPr>
            </w:pPr>
            <w:r>
              <w:rPr>
                <w:lang w:val="es-ES" w:bidi="es-ES"/>
              </w:rPr>
              <w:t>Posible incremento del presupuesto en hasta un 25%</w:t>
            </w:r>
          </w:p>
          <w:p w14:paraId="393DBE40" w14:textId="77777777" w:rsidR="005518C2" w:rsidRPr="009D6B32" w:rsidRDefault="005518C2" w:rsidP="005518C2">
            <w:pPr>
              <w:pStyle w:val="ListParagraph"/>
              <w:numPr>
                <w:ilvl w:val="0"/>
                <w:numId w:val="35"/>
              </w:numPr>
              <w:rPr>
                <w:lang w:val="es-ES"/>
              </w:rPr>
            </w:pPr>
            <w:r>
              <w:rPr>
                <w:lang w:val="es-ES" w:bidi="es-ES"/>
              </w:rPr>
              <w:t>No se consigue poner en marcha el proyecto en el plazo acordado</w:t>
            </w:r>
          </w:p>
          <w:p w14:paraId="4D16E85F" w14:textId="77777777" w:rsidR="00301691" w:rsidRPr="009D6B32" w:rsidRDefault="00301691" w:rsidP="00301691">
            <w:pPr>
              <w:rPr>
                <w:lang w:val="es-ES"/>
              </w:rPr>
            </w:pPr>
          </w:p>
          <w:p w14:paraId="192B8C16" w14:textId="38E26DF9" w:rsidR="00301691" w:rsidRPr="00A41D96" w:rsidRDefault="00301691" w:rsidP="00301691">
            <w:pPr>
              <w:tabs>
                <w:tab w:val="left" w:pos="357"/>
              </w:tabs>
            </w:pPr>
            <w:r w:rsidRPr="00971669">
              <w:rPr>
                <w:b/>
                <w:lang w:val="es-ES" w:bidi="es-ES"/>
              </w:rPr>
              <w:t>Impacto:</w:t>
            </w:r>
            <w:r w:rsidRPr="00971669">
              <w:rPr>
                <w:lang w:val="es-ES" w:bidi="es-ES"/>
              </w:rPr>
              <w:t xml:space="preserve"> 3, intermedio</w:t>
            </w:r>
          </w:p>
        </w:tc>
      </w:tr>
      <w:tr w:rsidR="00301691" w14:paraId="37D2C952" w14:textId="77777777" w:rsidTr="00301691">
        <w:tc>
          <w:tcPr>
            <w:tcW w:w="3118" w:type="dxa"/>
          </w:tcPr>
          <w:p w14:paraId="5A93EC84" w14:textId="576BBFB6" w:rsidR="00301691" w:rsidRPr="009D6B32" w:rsidRDefault="00301691" w:rsidP="00301691">
            <w:pPr>
              <w:rPr>
                <w:b/>
                <w:bCs/>
                <w:lang w:val="es-ES"/>
              </w:rPr>
            </w:pPr>
            <w:r>
              <w:rPr>
                <w:b/>
                <w:lang w:val="es-ES" w:bidi="es-ES"/>
              </w:rPr>
              <w:t xml:space="preserve">Apetito de riesgo (financiero): </w:t>
            </w:r>
            <w:r>
              <w:rPr>
                <w:lang w:val="es-ES" w:bidi="es-ES"/>
              </w:rPr>
              <w:t>De mínimo a moderado</w:t>
            </w:r>
          </w:p>
        </w:tc>
        <w:tc>
          <w:tcPr>
            <w:tcW w:w="3118" w:type="dxa"/>
          </w:tcPr>
          <w:p w14:paraId="21F186BE" w14:textId="1D934755" w:rsidR="00301691" w:rsidRDefault="00301691" w:rsidP="00301691">
            <w:pPr>
              <w:rPr>
                <w:b/>
                <w:bCs/>
              </w:rPr>
            </w:pPr>
            <w:r w:rsidRPr="00A8410B">
              <w:rPr>
                <w:b/>
                <w:lang w:val="es-ES" w:bidi="es-ES"/>
              </w:rPr>
              <w:t xml:space="preserve">Nivel de riesgo: </w:t>
            </w:r>
          </w:p>
          <w:p w14:paraId="178F0AAC" w14:textId="49CADDDF" w:rsidR="00301691" w:rsidRDefault="00301691" w:rsidP="00301691">
            <w:pPr>
              <w:rPr>
                <w:b/>
                <w:bCs/>
              </w:rPr>
            </w:pPr>
            <w:r>
              <w:rPr>
                <w:lang w:val="es-ES" w:bidi="es-ES"/>
              </w:rPr>
              <w:t>Moderado</w:t>
            </w:r>
          </w:p>
        </w:tc>
        <w:tc>
          <w:tcPr>
            <w:tcW w:w="3119" w:type="dxa"/>
          </w:tcPr>
          <w:p w14:paraId="63496E66" w14:textId="4D1705AE" w:rsidR="00301691" w:rsidRPr="009D6B32" w:rsidRDefault="00301691" w:rsidP="00301691">
            <w:pPr>
              <w:rPr>
                <w:b/>
                <w:bCs/>
                <w:lang w:val="es-ES"/>
              </w:rPr>
            </w:pPr>
            <w:r>
              <w:rPr>
                <w:b/>
                <w:lang w:val="es-ES" w:bidi="es-ES"/>
              </w:rPr>
              <w:t>Categoría y subcategoría de riesgo:</w:t>
            </w:r>
          </w:p>
          <w:p w14:paraId="30B92AAB" w14:textId="78CFDDE0" w:rsidR="00301691" w:rsidRDefault="00301691" w:rsidP="00301691">
            <w:r>
              <w:rPr>
                <w:lang w:val="es-ES" w:bidi="es-ES"/>
              </w:rPr>
              <w:t>2. Financiero</w:t>
            </w:r>
          </w:p>
          <w:p w14:paraId="77E56EA6" w14:textId="526144A2" w:rsidR="00301691" w:rsidRPr="004C636A" w:rsidRDefault="00301691" w:rsidP="00301691">
            <w:r>
              <w:rPr>
                <w:lang w:val="es-ES" w:bidi="es-ES"/>
              </w:rPr>
              <w:t>2.5. Entrega</w:t>
            </w:r>
          </w:p>
        </w:tc>
      </w:tr>
    </w:tbl>
    <w:p w14:paraId="71B7EACB" w14:textId="5FBFFFEB" w:rsidR="00843C08" w:rsidRDefault="00843C08" w:rsidP="00AE7753"/>
    <w:p w14:paraId="63C9BA6D" w14:textId="5477826F" w:rsidR="00C455AC" w:rsidRPr="009D6B32" w:rsidRDefault="00A8410B" w:rsidP="00AE7753">
      <w:pPr>
        <w:rPr>
          <w:lang w:val="es-ES"/>
        </w:rPr>
      </w:pPr>
      <w:r>
        <w:rPr>
          <w:lang w:val="es-ES" w:bidi="es-ES"/>
        </w:rPr>
        <w:lastRenderedPageBreak/>
        <w:t>Ha recurrido a la metodología de la ERM para calcular las puntuaciones de los riesgos y ha otorgado un 3 tanto al impacto como a la probabilidad. Esto se traduce en una trascendencia general del riesgo “moderada” (anexo 3), que se corresponde con un apetito de riesgo “exploratorio”. Asimismo, ha llegado a la conclusión de que la categoría de riesgo (en la columna de riesgo) que le corresponde es la de “financiero” (anexo 1) y el riesgo apetito de los riesgos financieros va de mínimo a moderado (anexo 2); por lo tanto, no cabe duda de que ahora mismo los riesgos financieros que corre superan al apetito de riesgo del PNUD.</w:t>
      </w:r>
    </w:p>
    <w:p w14:paraId="5A81A6F3" w14:textId="76D2AC81" w:rsidR="005C7551" w:rsidRPr="009D6B32" w:rsidRDefault="005C7551" w:rsidP="00AE7753">
      <w:pPr>
        <w:rPr>
          <w:lang w:val="es-ES"/>
        </w:rPr>
      </w:pPr>
      <w:r>
        <w:rPr>
          <w:lang w:val="es-ES" w:bidi="es-ES"/>
        </w:rPr>
        <w:t>Ahora tiene que decidir cómo va a gestionar el riesgo para que se reduzca hasta un nivel aceptable (que la probabilidad baje al 1 o que el impacto quede en un 2 como máximo) con un leve cambio de planes, un replanteamiento de los requisitos de la oficina y la remodelación O BIEN con un aumento del presupuesto inicial en consultas con la oficina en el país y donantes y partes interesadas clave, puesto que apartarse del plan original podría acarrear consecuencias reputacionales para el PNUD, ya que se ha comprometido a tener esa presencia con el proyecto en un plazo determinado que ha hecho llegar al Gobierno de Oceanía, a los donantes y a las partes interesadas. Una vez introducidas estas medidas de tratamiento, tendrá que continuar el seguimiento de la situación para comprobar que los controles funcionan como se espera y los riesgos se mantienen en un nivel aceptable, igual que si se tratara de cualquier otro riesgo.</w:t>
      </w:r>
    </w:p>
    <w:p w14:paraId="1D554883" w14:textId="492AFF6D" w:rsidR="004C50FC" w:rsidRPr="009D6B32" w:rsidRDefault="00015491" w:rsidP="00AE7753">
      <w:pPr>
        <w:rPr>
          <w:lang w:val="es-ES"/>
        </w:rPr>
      </w:pPr>
      <w:r>
        <w:rPr>
          <w:lang w:val="es-ES" w:bidi="es-ES"/>
        </w:rPr>
        <w:t xml:space="preserve">El Gobierno de Oceanía y las partes interesadas clave están encantados de que el PNUD haya decidido tener presencia en Terra a través de su proyecto y piensan que cristaliza la voluntad inquebrantable de la organización en lo relativo a ayudar al país a alcanzar sus metas de desarrollo. Sin embargo, como se considera que el PNUD es un recién llegado al ámbito del desarrollo en la región de Terra, se cree que los asociados en la ejecución, las organizaciones de la sociedad civil y los agentes locales pueden poner trabas al enfoque inclusivo del PNUD a la hora de llevar a cabo sus actividades e intervenciones programáticas, sobre todo porque hay varios grupos étnicos minoritarios en el país y su relación con la mayoría de la población de Oceanía (oceánicos) es de desconfianza mutua por la guerra civil. Es posible que los beneficiarios y las partes interesadas no se impliquen del todo con la organización, lo que obstaculiza las actividades del proyecto y el cumplimiento de los compromisos adquiridos con el Gobierno de Oceanía y los donantes. </w:t>
      </w:r>
    </w:p>
    <w:tbl>
      <w:tblPr>
        <w:tblStyle w:val="TableGrid"/>
        <w:tblW w:w="0" w:type="auto"/>
        <w:tblLook w:val="04A0" w:firstRow="1" w:lastRow="0" w:firstColumn="1" w:lastColumn="0" w:noHBand="0" w:noVBand="1"/>
      </w:tblPr>
      <w:tblGrid>
        <w:gridCol w:w="3116"/>
        <w:gridCol w:w="3116"/>
        <w:gridCol w:w="3117"/>
      </w:tblGrid>
      <w:tr w:rsidR="00B843E9" w14:paraId="34A7482A" w14:textId="77777777" w:rsidTr="00A56B5F">
        <w:tc>
          <w:tcPr>
            <w:tcW w:w="3116" w:type="dxa"/>
          </w:tcPr>
          <w:p w14:paraId="6878F39B" w14:textId="77777777" w:rsidR="00B843E9" w:rsidRPr="009D6B32" w:rsidRDefault="00B843E9" w:rsidP="00B843E9">
            <w:pPr>
              <w:rPr>
                <w:b/>
                <w:bCs/>
                <w:lang w:val="es-ES"/>
              </w:rPr>
            </w:pPr>
            <w:r>
              <w:rPr>
                <w:b/>
                <w:lang w:val="es-ES" w:bidi="es-ES"/>
              </w:rPr>
              <w:t>Hecho</w:t>
            </w:r>
          </w:p>
          <w:p w14:paraId="7B66F2B6" w14:textId="03267287" w:rsidR="00B843E9" w:rsidRPr="009D6B32" w:rsidRDefault="00B843E9" w:rsidP="00B843E9">
            <w:pPr>
              <w:rPr>
                <w:b/>
                <w:bCs/>
                <w:lang w:val="es-ES"/>
              </w:rPr>
            </w:pPr>
            <w:r>
              <w:rPr>
                <w:lang w:val="es-ES" w:bidi="es-ES"/>
              </w:rPr>
              <w:t>Los asociados en la ejecución y los agentes locales son reacios a colaborar con el PNUD y a aceptar su presencia en calidad de asociado para el desarrollo digno de confianza</w:t>
            </w:r>
          </w:p>
        </w:tc>
        <w:tc>
          <w:tcPr>
            <w:tcW w:w="3116" w:type="dxa"/>
          </w:tcPr>
          <w:p w14:paraId="31DC6B92" w14:textId="508AE458" w:rsidR="00B843E9" w:rsidRDefault="00B843E9" w:rsidP="00B843E9">
            <w:pPr>
              <w:rPr>
                <w:b/>
                <w:bCs/>
              </w:rPr>
            </w:pPr>
            <w:r>
              <w:rPr>
                <w:b/>
                <w:lang w:val="es-ES" w:bidi="es-ES"/>
              </w:rPr>
              <w:t>Motivo</w:t>
            </w:r>
          </w:p>
          <w:p w14:paraId="701781F9" w14:textId="53A5B3B7" w:rsidR="00B843E9" w:rsidRPr="009D6B32" w:rsidRDefault="00B843E9" w:rsidP="00B843E9">
            <w:pPr>
              <w:pStyle w:val="ListParagraph"/>
              <w:numPr>
                <w:ilvl w:val="0"/>
                <w:numId w:val="34"/>
              </w:numPr>
              <w:rPr>
                <w:lang w:val="es-ES"/>
              </w:rPr>
            </w:pPr>
            <w:r>
              <w:rPr>
                <w:lang w:val="es-ES" w:bidi="es-ES"/>
              </w:rPr>
              <w:t xml:space="preserve">Se considera que el PNUD es un recién llegado al ámbito del desarrollo en la región de Terra y que no conoce bien el contexto local ni las tensiones políticas existentes entre los beneficiarios </w:t>
            </w:r>
          </w:p>
          <w:p w14:paraId="50E227AA" w14:textId="77777777" w:rsidR="00B843E9" w:rsidRPr="009D6B32" w:rsidRDefault="00B843E9" w:rsidP="00B843E9">
            <w:pPr>
              <w:rPr>
                <w:lang w:val="es-ES"/>
              </w:rPr>
            </w:pPr>
          </w:p>
          <w:p w14:paraId="3B38F42F" w14:textId="62DDBB4A" w:rsidR="00B843E9" w:rsidRPr="00843C08" w:rsidRDefault="00B843E9" w:rsidP="00B843E9">
            <w:pPr>
              <w:tabs>
                <w:tab w:val="left" w:pos="357"/>
              </w:tabs>
            </w:pPr>
            <w:r w:rsidRPr="00C27BD7">
              <w:rPr>
                <w:b/>
                <w:lang w:val="es-ES" w:bidi="es-ES"/>
              </w:rPr>
              <w:t>Probabilidad:</w:t>
            </w:r>
            <w:r w:rsidRPr="00C27BD7">
              <w:rPr>
                <w:lang w:val="es-ES" w:bidi="es-ES"/>
              </w:rPr>
              <w:t xml:space="preserve"> 3, moderadamente probable</w:t>
            </w:r>
          </w:p>
        </w:tc>
        <w:tc>
          <w:tcPr>
            <w:tcW w:w="3117" w:type="dxa"/>
          </w:tcPr>
          <w:p w14:paraId="30D24551" w14:textId="2E152E21" w:rsidR="00B843E9" w:rsidRDefault="00B843E9" w:rsidP="00B843E9">
            <w:pPr>
              <w:rPr>
                <w:b/>
                <w:bCs/>
              </w:rPr>
            </w:pPr>
            <w:r>
              <w:rPr>
                <w:b/>
                <w:lang w:val="es-ES" w:bidi="es-ES"/>
              </w:rPr>
              <w:t>Impacto</w:t>
            </w:r>
          </w:p>
          <w:p w14:paraId="0DBA0461" w14:textId="065A6F0F" w:rsidR="00B843E9" w:rsidRPr="009D6B32" w:rsidRDefault="00B843E9" w:rsidP="00B843E9">
            <w:pPr>
              <w:pStyle w:val="ListParagraph"/>
              <w:numPr>
                <w:ilvl w:val="0"/>
                <w:numId w:val="35"/>
              </w:numPr>
              <w:rPr>
                <w:lang w:val="es-ES"/>
              </w:rPr>
            </w:pPr>
            <w:r>
              <w:rPr>
                <w:lang w:val="es-ES" w:bidi="es-ES"/>
              </w:rPr>
              <w:t>Las partes interesadas se implican menos y la ejecución del proyecto y sus actividades se resienten</w:t>
            </w:r>
          </w:p>
          <w:p w14:paraId="5F0A20DF" w14:textId="45D8887A" w:rsidR="00B843E9" w:rsidRPr="009D6B32" w:rsidRDefault="00B843E9" w:rsidP="00B843E9">
            <w:pPr>
              <w:pStyle w:val="ListParagraph"/>
              <w:numPr>
                <w:ilvl w:val="0"/>
                <w:numId w:val="35"/>
              </w:numPr>
              <w:rPr>
                <w:lang w:val="es-ES"/>
              </w:rPr>
            </w:pPr>
            <w:r>
              <w:rPr>
                <w:lang w:val="es-ES" w:bidi="es-ES"/>
              </w:rPr>
              <w:t>No es posible cumplir las metas de implantación ni los compromisos adquiridos con el Gobierno y los donantes</w:t>
            </w:r>
          </w:p>
          <w:p w14:paraId="3446A972" w14:textId="77777777" w:rsidR="00B843E9" w:rsidRPr="009D6B32" w:rsidRDefault="00B843E9" w:rsidP="00B843E9">
            <w:pPr>
              <w:rPr>
                <w:lang w:val="es-ES"/>
              </w:rPr>
            </w:pPr>
          </w:p>
          <w:p w14:paraId="15DF5AB3" w14:textId="4683592E" w:rsidR="00B843E9" w:rsidRPr="00A41D96" w:rsidRDefault="00B843E9" w:rsidP="00B843E9">
            <w:pPr>
              <w:tabs>
                <w:tab w:val="left" w:pos="357"/>
              </w:tabs>
            </w:pPr>
            <w:r w:rsidRPr="00C27BD7">
              <w:rPr>
                <w:b/>
                <w:lang w:val="es-ES" w:bidi="es-ES"/>
              </w:rPr>
              <w:t>Impacto:</w:t>
            </w:r>
            <w:r w:rsidRPr="00C27BD7">
              <w:rPr>
                <w:lang w:val="es-ES" w:bidi="es-ES"/>
              </w:rPr>
              <w:t xml:space="preserve"> 3, intermedio</w:t>
            </w:r>
          </w:p>
        </w:tc>
      </w:tr>
      <w:tr w:rsidR="00B843E9" w:rsidRPr="00EA7B28" w14:paraId="36852B23" w14:textId="77777777" w:rsidTr="00A56B5F">
        <w:tc>
          <w:tcPr>
            <w:tcW w:w="3116" w:type="dxa"/>
          </w:tcPr>
          <w:p w14:paraId="737ECF88" w14:textId="52B94CDA" w:rsidR="00B843E9" w:rsidRPr="009D6B32" w:rsidRDefault="00B843E9" w:rsidP="00B843E9">
            <w:pPr>
              <w:rPr>
                <w:b/>
                <w:bCs/>
                <w:lang w:val="es-ES"/>
              </w:rPr>
            </w:pPr>
            <w:r>
              <w:rPr>
                <w:b/>
                <w:lang w:val="es-ES" w:bidi="es-ES"/>
              </w:rPr>
              <w:t xml:space="preserve">Apetito de riesgo (reputacional): </w:t>
            </w:r>
            <w:r>
              <w:rPr>
                <w:lang w:val="es-ES" w:bidi="es-ES"/>
              </w:rPr>
              <w:t>Moderado</w:t>
            </w:r>
          </w:p>
        </w:tc>
        <w:tc>
          <w:tcPr>
            <w:tcW w:w="3116" w:type="dxa"/>
          </w:tcPr>
          <w:p w14:paraId="7E958CEB" w14:textId="2FCBD501" w:rsidR="00B843E9" w:rsidRDefault="00B843E9" w:rsidP="00B843E9">
            <w:pPr>
              <w:rPr>
                <w:b/>
                <w:bCs/>
              </w:rPr>
            </w:pPr>
            <w:r w:rsidRPr="00A8410B">
              <w:rPr>
                <w:b/>
                <w:lang w:val="es-ES" w:bidi="es-ES"/>
              </w:rPr>
              <w:t xml:space="preserve">Nivel de riesgo: </w:t>
            </w:r>
          </w:p>
          <w:p w14:paraId="10884382" w14:textId="65132F13" w:rsidR="00B843E9" w:rsidRPr="00A8410B" w:rsidRDefault="00B843E9" w:rsidP="00B843E9">
            <w:r>
              <w:rPr>
                <w:lang w:val="es-ES" w:bidi="es-ES"/>
              </w:rPr>
              <w:t>Moderado</w:t>
            </w:r>
          </w:p>
        </w:tc>
        <w:tc>
          <w:tcPr>
            <w:tcW w:w="3117" w:type="dxa"/>
          </w:tcPr>
          <w:p w14:paraId="295DF929" w14:textId="39B75AFC" w:rsidR="00B843E9" w:rsidRPr="009D6B32" w:rsidRDefault="00B843E9" w:rsidP="00B843E9">
            <w:pPr>
              <w:rPr>
                <w:lang w:val="es-ES"/>
              </w:rPr>
            </w:pPr>
            <w:r w:rsidRPr="00383C62">
              <w:rPr>
                <w:b/>
                <w:lang w:val="es-ES" w:bidi="es-ES"/>
              </w:rPr>
              <w:t xml:space="preserve">Categoría y subcategoría de riesgo: </w:t>
            </w:r>
          </w:p>
          <w:p w14:paraId="09C73C92" w14:textId="77777777" w:rsidR="00B843E9" w:rsidRPr="009D6B32" w:rsidRDefault="00B843E9" w:rsidP="00B843E9">
            <w:pPr>
              <w:rPr>
                <w:lang w:val="es-ES"/>
              </w:rPr>
            </w:pPr>
            <w:r>
              <w:rPr>
                <w:lang w:val="es-ES" w:bidi="es-ES"/>
              </w:rPr>
              <w:t>5. Reputacional</w:t>
            </w:r>
          </w:p>
          <w:p w14:paraId="5136987F" w14:textId="2FC81DFF" w:rsidR="00B843E9" w:rsidRPr="009D6B32" w:rsidRDefault="00B843E9" w:rsidP="00B843E9">
            <w:pPr>
              <w:rPr>
                <w:b/>
                <w:lang w:val="es-ES"/>
              </w:rPr>
            </w:pPr>
            <w:r>
              <w:rPr>
                <w:lang w:val="es-ES" w:bidi="es-ES"/>
              </w:rPr>
              <w:t>5.1. Opinión pública y medios de comunicación</w:t>
            </w:r>
          </w:p>
        </w:tc>
      </w:tr>
    </w:tbl>
    <w:p w14:paraId="78BAA4A5" w14:textId="77777777" w:rsidR="004C50FC" w:rsidRPr="009D6B32" w:rsidRDefault="004C50FC" w:rsidP="00AE7753">
      <w:pPr>
        <w:rPr>
          <w:lang w:val="es-ES"/>
        </w:rPr>
      </w:pPr>
    </w:p>
    <w:p w14:paraId="4AC8D0BB" w14:textId="0180C287" w:rsidR="004F5419" w:rsidRPr="009D6B32" w:rsidRDefault="000D3EF9" w:rsidP="00AE7753">
      <w:pPr>
        <w:rPr>
          <w:lang w:val="es-ES"/>
        </w:rPr>
      </w:pPr>
      <w:r>
        <w:rPr>
          <w:lang w:val="es-ES" w:bidi="es-ES"/>
        </w:rPr>
        <w:t xml:space="preserve">Se ha recurrido a la metodología de la ERM para analizar el riesgo: se cree que es posible mantener implicadas a casi todas las partes interesadas, que todavía es posible obtener la mayor parte de los resultados (desviación de hasta el 30% y un 3 en impacto) y que la probabilidad de que suceda es moderada (3 puntos). Esto se traduce en una trascendencia general del riesgo “moderada”, que se corresponde con un apetito de riesgo “exploratorio”. El riesgo se ha clasificado como “reputacional” porque hace referencia a las relaciones profesionales con los asociados. El apetito de riesgo en esta categoría es “moderado”, así que supera al apetito de riesgo del PNUD y tiene que gestionarse hasta que llegue a un nivel aceptable. </w:t>
      </w:r>
    </w:p>
    <w:p w14:paraId="46B3D4A8" w14:textId="43B370E9" w:rsidR="00891773" w:rsidRPr="009D6B32" w:rsidRDefault="00EC06B2" w:rsidP="00AE7753">
      <w:pPr>
        <w:rPr>
          <w:lang w:val="es-ES"/>
        </w:rPr>
      </w:pPr>
      <w:r>
        <w:rPr>
          <w:lang w:val="es-ES" w:bidi="es-ES"/>
        </w:rPr>
        <w:t xml:space="preserve">Ha empezado a formular planes operacionales que incluyen un plan y estrategia para la contratación. Debido a la guerra y las carencias en Terra, el nivel educativo no es bueno y cuesta encontrar candidatos cualificados para que entren a formar parte del proyecto del PNUD. El mercado laboral ofrece pocas opciones y las tasas de desempleo de la población femenina y joven son aún peores. Muchos lugareños creen que la feria de empleo del PNUD es una oportunidad fantástica, pero tal vez no sea posible encontrar candidatos adecuados y con experiencia que cumplan los requisitos y perfiles de los puestos —entre ellos, el equilibrio de género— que se prepararon de conformidad con la política y el marco de contratación de la organización. </w:t>
      </w:r>
    </w:p>
    <w:tbl>
      <w:tblPr>
        <w:tblStyle w:val="TableGrid"/>
        <w:tblW w:w="0" w:type="auto"/>
        <w:tblLook w:val="04A0" w:firstRow="1" w:lastRow="0" w:firstColumn="1" w:lastColumn="0" w:noHBand="0" w:noVBand="1"/>
      </w:tblPr>
      <w:tblGrid>
        <w:gridCol w:w="3116"/>
        <w:gridCol w:w="3116"/>
        <w:gridCol w:w="3117"/>
      </w:tblGrid>
      <w:tr w:rsidR="00053A9C" w14:paraId="0EFF467A" w14:textId="77777777" w:rsidTr="00A56B5F">
        <w:tc>
          <w:tcPr>
            <w:tcW w:w="3116" w:type="dxa"/>
          </w:tcPr>
          <w:p w14:paraId="118CFA58" w14:textId="77777777" w:rsidR="00053A9C" w:rsidRPr="009D6B32" w:rsidRDefault="00053A9C" w:rsidP="00053A9C">
            <w:pPr>
              <w:rPr>
                <w:b/>
                <w:bCs/>
                <w:lang w:val="es-ES"/>
              </w:rPr>
            </w:pPr>
            <w:r>
              <w:rPr>
                <w:b/>
                <w:lang w:val="es-ES" w:bidi="es-ES"/>
              </w:rPr>
              <w:t>Hecho</w:t>
            </w:r>
          </w:p>
          <w:p w14:paraId="6998EC44" w14:textId="686CCD32" w:rsidR="00053A9C" w:rsidRPr="009D6B32" w:rsidRDefault="00053A9C" w:rsidP="00053A9C">
            <w:pPr>
              <w:rPr>
                <w:b/>
                <w:bCs/>
                <w:lang w:val="es-ES"/>
              </w:rPr>
            </w:pPr>
            <w:r>
              <w:rPr>
                <w:lang w:val="es-ES" w:bidi="es-ES"/>
              </w:rPr>
              <w:t>No se consigue emplear a tiempo suficientes trabajadores bien formados ni adherirse a la estrategia de contratación</w:t>
            </w:r>
          </w:p>
        </w:tc>
        <w:tc>
          <w:tcPr>
            <w:tcW w:w="3116" w:type="dxa"/>
          </w:tcPr>
          <w:p w14:paraId="68235112" w14:textId="2B835D24" w:rsidR="00053A9C" w:rsidRDefault="00053A9C" w:rsidP="00053A9C">
            <w:pPr>
              <w:rPr>
                <w:b/>
                <w:bCs/>
              </w:rPr>
            </w:pPr>
            <w:r>
              <w:rPr>
                <w:b/>
                <w:lang w:val="es-ES" w:bidi="es-ES"/>
              </w:rPr>
              <w:t>Motivo</w:t>
            </w:r>
          </w:p>
          <w:p w14:paraId="2DEA1E78" w14:textId="753C31A2" w:rsidR="00053A9C" w:rsidRPr="009D6B32" w:rsidRDefault="00053A9C" w:rsidP="00053A9C">
            <w:pPr>
              <w:pStyle w:val="ListParagraph"/>
              <w:numPr>
                <w:ilvl w:val="0"/>
                <w:numId w:val="34"/>
              </w:numPr>
              <w:rPr>
                <w:lang w:val="es-ES"/>
              </w:rPr>
            </w:pPr>
            <w:r>
              <w:rPr>
                <w:lang w:val="es-ES" w:bidi="es-ES"/>
              </w:rPr>
              <w:t xml:space="preserve">No hay candidatos cualificados o el plantel es muy limitado </w:t>
            </w:r>
          </w:p>
          <w:p w14:paraId="099FAFE6" w14:textId="77777777" w:rsidR="00053A9C" w:rsidRPr="009D6B32" w:rsidRDefault="00053A9C" w:rsidP="00053A9C">
            <w:pPr>
              <w:rPr>
                <w:lang w:val="es-ES"/>
              </w:rPr>
            </w:pPr>
          </w:p>
          <w:p w14:paraId="244489FF" w14:textId="77777777" w:rsidR="00053A9C" w:rsidRPr="009D6B32" w:rsidRDefault="00053A9C" w:rsidP="00053A9C">
            <w:pPr>
              <w:ind w:firstLine="28"/>
              <w:rPr>
                <w:b/>
                <w:bCs/>
                <w:lang w:val="es-ES"/>
              </w:rPr>
            </w:pPr>
          </w:p>
          <w:p w14:paraId="55ED3572" w14:textId="77777777" w:rsidR="00053A9C" w:rsidRPr="009D6B32" w:rsidRDefault="00053A9C" w:rsidP="00053A9C">
            <w:pPr>
              <w:ind w:firstLine="28"/>
              <w:rPr>
                <w:b/>
                <w:bCs/>
                <w:lang w:val="es-ES"/>
              </w:rPr>
            </w:pPr>
          </w:p>
          <w:p w14:paraId="7E14F6DC" w14:textId="67E4A646" w:rsidR="00053A9C" w:rsidRPr="00843C08" w:rsidRDefault="00053A9C" w:rsidP="00053A9C">
            <w:pPr>
              <w:ind w:firstLine="28"/>
            </w:pPr>
            <w:r w:rsidRPr="00C7395A">
              <w:rPr>
                <w:b/>
                <w:lang w:val="es-ES" w:bidi="es-ES"/>
              </w:rPr>
              <w:t>Probabilidad:</w:t>
            </w:r>
            <w:r w:rsidRPr="00C7395A">
              <w:rPr>
                <w:lang w:val="es-ES" w:bidi="es-ES"/>
              </w:rPr>
              <w:t xml:space="preserve"> 2, poco probable</w:t>
            </w:r>
          </w:p>
        </w:tc>
        <w:tc>
          <w:tcPr>
            <w:tcW w:w="3117" w:type="dxa"/>
          </w:tcPr>
          <w:p w14:paraId="1AD57EEB" w14:textId="2636CDDE" w:rsidR="00053A9C" w:rsidRDefault="00053A9C" w:rsidP="00053A9C">
            <w:pPr>
              <w:rPr>
                <w:b/>
                <w:bCs/>
              </w:rPr>
            </w:pPr>
            <w:r>
              <w:rPr>
                <w:b/>
                <w:lang w:val="es-ES" w:bidi="es-ES"/>
              </w:rPr>
              <w:t>Impacto</w:t>
            </w:r>
          </w:p>
          <w:p w14:paraId="0B72C215" w14:textId="10E23469" w:rsidR="00053A9C" w:rsidRPr="009D6B32" w:rsidRDefault="00053A9C" w:rsidP="00053A9C">
            <w:pPr>
              <w:pStyle w:val="ListParagraph"/>
              <w:numPr>
                <w:ilvl w:val="0"/>
                <w:numId w:val="35"/>
              </w:numPr>
              <w:rPr>
                <w:lang w:val="es-ES"/>
              </w:rPr>
            </w:pPr>
            <w:r>
              <w:rPr>
                <w:lang w:val="es-ES" w:bidi="es-ES"/>
              </w:rPr>
              <w:t xml:space="preserve">La ejecución del programa y el proyecto se retrasa </w:t>
            </w:r>
          </w:p>
          <w:p w14:paraId="1C3FCC16" w14:textId="43F8A62D" w:rsidR="00053A9C" w:rsidRPr="009D6B32" w:rsidRDefault="00053A9C" w:rsidP="00053A9C">
            <w:pPr>
              <w:pStyle w:val="ListParagraph"/>
              <w:numPr>
                <w:ilvl w:val="0"/>
                <w:numId w:val="35"/>
              </w:numPr>
              <w:rPr>
                <w:lang w:val="es-ES"/>
              </w:rPr>
            </w:pPr>
            <w:r>
              <w:rPr>
                <w:lang w:val="es-ES" w:bidi="es-ES"/>
              </w:rPr>
              <w:t>No se consigue estar plenamente operativos dentro del plazo acordado</w:t>
            </w:r>
          </w:p>
          <w:p w14:paraId="4C8C68C2" w14:textId="77777777" w:rsidR="00053A9C" w:rsidRPr="009D6B32" w:rsidRDefault="00053A9C" w:rsidP="00053A9C">
            <w:pPr>
              <w:rPr>
                <w:lang w:val="es-ES"/>
              </w:rPr>
            </w:pPr>
          </w:p>
          <w:p w14:paraId="419BBF1B" w14:textId="695C4AA8" w:rsidR="00053A9C" w:rsidRPr="00A41D96" w:rsidRDefault="00053A9C" w:rsidP="00053A9C">
            <w:pPr>
              <w:ind w:left="360" w:hanging="360"/>
            </w:pPr>
            <w:r w:rsidRPr="00C7395A">
              <w:rPr>
                <w:b/>
                <w:lang w:val="es-ES" w:bidi="es-ES"/>
              </w:rPr>
              <w:t>Impacto:</w:t>
            </w:r>
            <w:r w:rsidRPr="00C7395A">
              <w:rPr>
                <w:lang w:val="es-ES" w:bidi="es-ES"/>
              </w:rPr>
              <w:t xml:space="preserve"> 4, muy probable</w:t>
            </w:r>
          </w:p>
        </w:tc>
      </w:tr>
      <w:tr w:rsidR="00053A9C" w14:paraId="4C810285" w14:textId="77777777" w:rsidTr="00A56B5F">
        <w:tc>
          <w:tcPr>
            <w:tcW w:w="3116" w:type="dxa"/>
          </w:tcPr>
          <w:p w14:paraId="3108DF17" w14:textId="70626F63" w:rsidR="00053A9C" w:rsidRPr="009D6B32" w:rsidRDefault="00053A9C" w:rsidP="00053A9C">
            <w:pPr>
              <w:rPr>
                <w:b/>
                <w:bCs/>
                <w:lang w:val="es-ES"/>
              </w:rPr>
            </w:pPr>
            <w:r>
              <w:rPr>
                <w:b/>
                <w:lang w:val="es-ES" w:bidi="es-ES"/>
              </w:rPr>
              <w:t xml:space="preserve">Apetito de riesgo (organizacional): </w:t>
            </w:r>
          </w:p>
          <w:p w14:paraId="557CE365" w14:textId="3C634CB9" w:rsidR="00053A9C" w:rsidRPr="009D6B32" w:rsidRDefault="00053A9C" w:rsidP="00053A9C">
            <w:pPr>
              <w:rPr>
                <w:b/>
                <w:bCs/>
                <w:lang w:val="es-ES"/>
              </w:rPr>
            </w:pPr>
            <w:r>
              <w:rPr>
                <w:lang w:val="es-ES" w:bidi="es-ES"/>
              </w:rPr>
              <w:t>De exploratorio a abierto</w:t>
            </w:r>
          </w:p>
        </w:tc>
        <w:tc>
          <w:tcPr>
            <w:tcW w:w="3116" w:type="dxa"/>
          </w:tcPr>
          <w:p w14:paraId="7B7249A9" w14:textId="4DC62419" w:rsidR="00053A9C" w:rsidRDefault="00053A9C" w:rsidP="00053A9C">
            <w:pPr>
              <w:rPr>
                <w:b/>
                <w:bCs/>
              </w:rPr>
            </w:pPr>
            <w:r w:rsidRPr="00A8410B">
              <w:rPr>
                <w:b/>
                <w:lang w:val="es-ES" w:bidi="es-ES"/>
              </w:rPr>
              <w:t xml:space="preserve">Nivel de riesgo: </w:t>
            </w:r>
          </w:p>
          <w:p w14:paraId="723F7DB9" w14:textId="2E72431A" w:rsidR="00053A9C" w:rsidRPr="00A8410B" w:rsidRDefault="00053A9C" w:rsidP="00053A9C">
            <w:r>
              <w:rPr>
                <w:lang w:val="es-ES" w:bidi="es-ES"/>
              </w:rPr>
              <w:t>Moderado</w:t>
            </w:r>
          </w:p>
        </w:tc>
        <w:tc>
          <w:tcPr>
            <w:tcW w:w="3117" w:type="dxa"/>
          </w:tcPr>
          <w:p w14:paraId="2E7C2CC1" w14:textId="77777777" w:rsidR="00053A9C" w:rsidRPr="009D6B32" w:rsidRDefault="00053A9C" w:rsidP="00053A9C">
            <w:pPr>
              <w:rPr>
                <w:b/>
                <w:bCs/>
                <w:lang w:val="es-ES"/>
              </w:rPr>
            </w:pPr>
            <w:r w:rsidRPr="00B33857">
              <w:rPr>
                <w:b/>
                <w:lang w:val="es-ES" w:bidi="es-ES"/>
              </w:rPr>
              <w:t>Categoría y subcategoría de riesgo:</w:t>
            </w:r>
          </w:p>
          <w:p w14:paraId="20D5580D" w14:textId="337EFD57" w:rsidR="00053A9C" w:rsidRDefault="00053A9C" w:rsidP="00053A9C">
            <w:r>
              <w:rPr>
                <w:lang w:val="es-ES" w:bidi="es-ES"/>
              </w:rPr>
              <w:t>4. Organizacional</w:t>
            </w:r>
          </w:p>
          <w:p w14:paraId="5B1840F6" w14:textId="7679F3DD" w:rsidR="00053A9C" w:rsidRPr="00A8410B" w:rsidRDefault="00053A9C" w:rsidP="00053A9C">
            <w:r>
              <w:rPr>
                <w:lang w:val="es-ES" w:bidi="es-ES"/>
              </w:rPr>
              <w:t>4.7. Recursos humanos</w:t>
            </w:r>
          </w:p>
        </w:tc>
      </w:tr>
    </w:tbl>
    <w:p w14:paraId="22AC3BFB" w14:textId="77777777" w:rsidR="00891773" w:rsidRDefault="00891773" w:rsidP="00AE7753"/>
    <w:p w14:paraId="093C2F99" w14:textId="004416DA" w:rsidR="0040672E" w:rsidRPr="009D6B32" w:rsidRDefault="00757EB6" w:rsidP="00AE7753">
      <w:pPr>
        <w:rPr>
          <w:lang w:val="es-ES"/>
        </w:rPr>
      </w:pPr>
      <w:r>
        <w:rPr>
          <w:lang w:val="es-ES" w:bidi="es-ES"/>
        </w:rPr>
        <w:t>Los riesgos que tienen que ver con la dotación de personal pertenecen a la categoría de riesgos organizacionales, cuyo apetito de riesgo va de exploratorio a abierto. Si bien el impacto de no contratar a suficientes trabajadores competentes es muy elevado (un 4), la probabilidad de que suceda es baja (un 2) y la trascendencia del riesgo es “moderada”, que no supera el límite del apetito de riesgo. Puede que surjan algunas oportunidades de correr mayores riesgos en lo que respecta a la contratación de la plantilla; por ejemplo, dando la bienvenida a trabajadores con más potencial que aptitudes probadas a la vez que se invierte en desarrollar sus capacidades y habilidades.</w:t>
      </w:r>
    </w:p>
    <w:p w14:paraId="45CA6A21" w14:textId="74F63064" w:rsidR="00FB2438" w:rsidRPr="009D6B32" w:rsidRDefault="00FB2438" w:rsidP="00AE7753">
      <w:pPr>
        <w:rPr>
          <w:lang w:val="es-ES"/>
        </w:rPr>
      </w:pPr>
      <w:r>
        <w:rPr>
          <w:lang w:val="es-ES" w:bidi="es-ES"/>
        </w:rPr>
        <w:t>Como puede extraerse de los ejemplos anteriores, es importante evaluar y puntuar los riesgos conforme a la metodología de la ERM antes de cotejarlos con el apetito de riesgo en esa esfera. De este modo, sabrá en qué puntos se necesitan más controles, pero también en qué aspectos puede tomar menos medidas o asumir mayores riesgos.</w:t>
      </w:r>
    </w:p>
    <w:p w14:paraId="23AB57C7" w14:textId="51F97061" w:rsidR="003226B6" w:rsidRPr="009D6B32" w:rsidRDefault="00863F9F" w:rsidP="00AE7753">
      <w:pPr>
        <w:rPr>
          <w:b/>
          <w:bCs/>
          <w:u w:val="single"/>
          <w:lang w:val="es-ES"/>
        </w:rPr>
      </w:pPr>
      <w:r w:rsidRPr="007D0C60">
        <w:rPr>
          <w:b/>
          <w:u w:val="single"/>
          <w:lang w:val="es-ES" w:bidi="es-ES"/>
        </w:rPr>
        <w:t xml:space="preserve">Ejemplo 2: </w:t>
      </w:r>
    </w:p>
    <w:p w14:paraId="0920B34C" w14:textId="436C9546" w:rsidR="003226B6" w:rsidRPr="009D6B32" w:rsidRDefault="003226B6" w:rsidP="003226B6">
      <w:pPr>
        <w:spacing w:after="0" w:line="240" w:lineRule="auto"/>
        <w:rPr>
          <w:lang w:val="es-ES"/>
        </w:rPr>
      </w:pPr>
      <w:r>
        <w:rPr>
          <w:lang w:val="es-ES" w:bidi="es-ES"/>
        </w:rPr>
        <w:lastRenderedPageBreak/>
        <w:t>Está a cargo de supervisar en Terra la preparación de un proyecto basado en zonas. El proyecto desarrolla la capacidad de las autoridades locales para gestionar servicios, como el registro de los títulos de propiedad de las tierras y los tribunales rurales que brindan servicios jurídicos para resolver los pequeños litigios. En el país viven 12 minorías étnicas: debido a la guerra civil que concluyó hace 2 años, su relación con el grupo mayoritario de la población (oceánicos) es de desconfianza mutua.</w:t>
      </w:r>
    </w:p>
    <w:p w14:paraId="468B316B" w14:textId="77777777" w:rsidR="003226B6" w:rsidRPr="009D6B32" w:rsidRDefault="003226B6" w:rsidP="003226B6">
      <w:pPr>
        <w:spacing w:after="0" w:line="240" w:lineRule="auto"/>
        <w:rPr>
          <w:lang w:val="es-ES"/>
        </w:rPr>
      </w:pPr>
    </w:p>
    <w:p w14:paraId="64F3A24C" w14:textId="77777777" w:rsidR="003226B6" w:rsidRPr="009D6B32" w:rsidRDefault="003226B6" w:rsidP="003226B6">
      <w:pPr>
        <w:spacing w:after="0" w:line="240" w:lineRule="auto"/>
        <w:rPr>
          <w:lang w:val="es-ES"/>
        </w:rPr>
      </w:pPr>
      <w:r>
        <w:rPr>
          <w:lang w:val="es-ES" w:bidi="es-ES"/>
        </w:rPr>
        <w:t xml:space="preserve">Se trata de un proyecto vital para Oceanía. En los últimos años se han producido numerosas disputas en torno al acceso a la tierra que amenazan con volver a sumir al país en una guerra civil. Las minorías étnicas argumentan que los oceánicos les han robado las tierras mediante procesos administrativos estatales en la capital, un lugar al que no tienen acceso. Al trasladar el proceso de registro de los títulos al gobierno local de la región se consigue que la gestión sea más equitativa y, con el nuevo programa de acceso a la justicia en entornos rurales, los pequeños litigios que tienen que ver con las tierras se resuelven a nivel local. </w:t>
      </w:r>
    </w:p>
    <w:p w14:paraId="71A621F0" w14:textId="77777777" w:rsidR="003226B6" w:rsidRPr="009D6B32" w:rsidRDefault="003226B6" w:rsidP="003226B6">
      <w:pPr>
        <w:spacing w:after="0" w:line="240" w:lineRule="auto"/>
        <w:rPr>
          <w:lang w:val="es-ES"/>
        </w:rPr>
      </w:pPr>
    </w:p>
    <w:p w14:paraId="0D70D659" w14:textId="77777777" w:rsidR="003226B6" w:rsidRPr="009D6B32" w:rsidRDefault="003226B6" w:rsidP="003226B6">
      <w:pPr>
        <w:spacing w:after="0" w:line="240" w:lineRule="auto"/>
        <w:rPr>
          <w:lang w:val="es-ES"/>
        </w:rPr>
      </w:pPr>
      <w:r>
        <w:rPr>
          <w:lang w:val="es-ES" w:bidi="es-ES"/>
        </w:rPr>
        <w:t>No obstante, el proyecto plantea riesgos considerables. Tras poner en marcha el proceso de inspección social y ambiental, la oficina en el país pudo constatar que en las comunidades locales existía la preocupación de que los funcionarios de las oficinas locales eran oceánicos y los grupos minoritarios no confiaban en que fueran a recibir un trato justo. Los líderes locales también expresaron inquietud por el hecho de que su pueblo no iba a poder orientarse en el sistema de gestión de tierras y el proceso de litigio porque no hablaban el idioma que se utilizaba en los documentos y procedimientos. Esta situación podría desembocar en que las comunidades minoritarias sufrieran discriminación, algo que seguramente empeoraría el conflicto. La probabilidad de que los cambios introducidos en los derechos de propiedad comunitarios sean injustos es alta.</w:t>
      </w:r>
    </w:p>
    <w:p w14:paraId="3CDBC603" w14:textId="77777777" w:rsidR="003226B6" w:rsidRPr="009D6B32" w:rsidRDefault="003226B6" w:rsidP="003226B6">
      <w:pPr>
        <w:spacing w:after="0" w:line="240" w:lineRule="auto"/>
        <w:rPr>
          <w:lang w:val="es-ES"/>
        </w:rPr>
      </w:pPr>
    </w:p>
    <w:p w14:paraId="564824F9" w14:textId="77777777" w:rsidR="003226B6" w:rsidRPr="009D6B32" w:rsidRDefault="003226B6" w:rsidP="003226B6">
      <w:pPr>
        <w:spacing w:after="0" w:line="240" w:lineRule="auto"/>
        <w:rPr>
          <w:lang w:val="es-ES"/>
        </w:rPr>
      </w:pPr>
      <w:r>
        <w:rPr>
          <w:lang w:val="es-ES" w:bidi="es-ES"/>
        </w:rPr>
        <w:t xml:space="preserve">El riesgo se ha resumido de la siguiente forma: </w:t>
      </w:r>
    </w:p>
    <w:p w14:paraId="28BF5407" w14:textId="77777777" w:rsidR="003226B6" w:rsidRPr="009D6B32" w:rsidRDefault="003226B6" w:rsidP="003226B6">
      <w:pPr>
        <w:spacing w:after="0" w:line="240" w:lineRule="auto"/>
        <w:rPr>
          <w:lang w:val="es-ES"/>
        </w:rPr>
      </w:pPr>
    </w:p>
    <w:tbl>
      <w:tblPr>
        <w:tblStyle w:val="TableGrid"/>
        <w:tblW w:w="0" w:type="auto"/>
        <w:tblLook w:val="04A0" w:firstRow="1" w:lastRow="0" w:firstColumn="1" w:lastColumn="0" w:noHBand="0" w:noVBand="1"/>
      </w:tblPr>
      <w:tblGrid>
        <w:gridCol w:w="3116"/>
        <w:gridCol w:w="3116"/>
        <w:gridCol w:w="3117"/>
      </w:tblGrid>
      <w:tr w:rsidR="00FB44B5" w14:paraId="7FA0F0B0" w14:textId="77777777" w:rsidTr="00A56B5F">
        <w:tc>
          <w:tcPr>
            <w:tcW w:w="3116" w:type="dxa"/>
          </w:tcPr>
          <w:p w14:paraId="6742E31E" w14:textId="77777777" w:rsidR="00FB44B5" w:rsidRPr="009D6B32" w:rsidRDefault="00FB44B5" w:rsidP="00FB44B5">
            <w:pPr>
              <w:rPr>
                <w:b/>
                <w:bCs/>
                <w:lang w:val="es-ES"/>
              </w:rPr>
            </w:pPr>
            <w:r>
              <w:rPr>
                <w:b/>
                <w:lang w:val="es-ES" w:bidi="es-ES"/>
              </w:rPr>
              <w:t>Hecho</w:t>
            </w:r>
          </w:p>
          <w:p w14:paraId="4C76FDDA" w14:textId="0C0FDA75" w:rsidR="00FB44B5" w:rsidRPr="009D6B32" w:rsidRDefault="00FB44B5" w:rsidP="00FB44B5">
            <w:pPr>
              <w:rPr>
                <w:b/>
                <w:bCs/>
                <w:lang w:val="es-ES"/>
              </w:rPr>
            </w:pPr>
            <w:r>
              <w:rPr>
                <w:lang w:val="es-ES" w:bidi="es-ES"/>
              </w:rPr>
              <w:t>Cambios injustos en los derechos de propiedad comunitarios que discriminan a las minorías.</w:t>
            </w:r>
          </w:p>
        </w:tc>
        <w:tc>
          <w:tcPr>
            <w:tcW w:w="3116" w:type="dxa"/>
          </w:tcPr>
          <w:p w14:paraId="4F0755C7" w14:textId="29235B6C" w:rsidR="00FB44B5" w:rsidRDefault="00FB44B5" w:rsidP="00FB44B5">
            <w:pPr>
              <w:rPr>
                <w:b/>
                <w:bCs/>
              </w:rPr>
            </w:pPr>
            <w:r>
              <w:rPr>
                <w:b/>
                <w:lang w:val="es-ES" w:bidi="es-ES"/>
              </w:rPr>
              <w:t>Motivo</w:t>
            </w:r>
          </w:p>
          <w:p w14:paraId="51E03A30" w14:textId="77777777" w:rsidR="00FB44B5" w:rsidRDefault="00FB44B5" w:rsidP="00FB44B5">
            <w:pPr>
              <w:pStyle w:val="ListParagraph"/>
              <w:numPr>
                <w:ilvl w:val="0"/>
                <w:numId w:val="34"/>
              </w:numPr>
            </w:pPr>
            <w:r>
              <w:rPr>
                <w:lang w:val="es-ES" w:bidi="es-ES"/>
              </w:rPr>
              <w:t xml:space="preserve">Los procesos </w:t>
            </w:r>
          </w:p>
          <w:p w14:paraId="677286D6" w14:textId="3AC926BF" w:rsidR="00FB44B5" w:rsidRPr="009D6B32" w:rsidRDefault="00FB44B5" w:rsidP="00FB44B5">
            <w:pPr>
              <w:pStyle w:val="ListParagraph"/>
              <w:numPr>
                <w:ilvl w:val="0"/>
                <w:numId w:val="34"/>
              </w:numPr>
              <w:rPr>
                <w:lang w:val="es-ES"/>
              </w:rPr>
            </w:pPr>
            <w:r>
              <w:rPr>
                <w:lang w:val="es-ES" w:bidi="es-ES"/>
              </w:rPr>
              <w:t>de registro de los títulos de propiedad de las tierras y de solución de litigios locales no se han adaptado para dar un trato justo a las comunidades minoritarias o resultar accesibles para ellas.</w:t>
            </w:r>
          </w:p>
          <w:p w14:paraId="2FABADE3" w14:textId="77777777" w:rsidR="00FB44B5" w:rsidRPr="009D6B32" w:rsidRDefault="00FB44B5" w:rsidP="00FB44B5">
            <w:pPr>
              <w:pStyle w:val="ListParagraph"/>
              <w:ind w:left="360"/>
              <w:rPr>
                <w:lang w:val="es-ES"/>
              </w:rPr>
            </w:pPr>
          </w:p>
          <w:p w14:paraId="683AB7C0" w14:textId="30F7F2AB" w:rsidR="00FB44B5" w:rsidRPr="00843C08" w:rsidRDefault="00FB44B5" w:rsidP="00FB44B5">
            <w:pPr>
              <w:tabs>
                <w:tab w:val="left" w:pos="357"/>
              </w:tabs>
            </w:pPr>
            <w:r w:rsidRPr="00971669">
              <w:rPr>
                <w:b/>
                <w:lang w:val="es-ES" w:bidi="es-ES"/>
              </w:rPr>
              <w:t>Probabilidad:</w:t>
            </w:r>
            <w:r w:rsidRPr="00971669">
              <w:rPr>
                <w:lang w:val="es-ES" w:bidi="es-ES"/>
              </w:rPr>
              <w:t xml:space="preserve"> 4, muy probable</w:t>
            </w:r>
          </w:p>
        </w:tc>
        <w:tc>
          <w:tcPr>
            <w:tcW w:w="3117" w:type="dxa"/>
          </w:tcPr>
          <w:p w14:paraId="0F9BA158" w14:textId="19EC4E13" w:rsidR="00FB44B5" w:rsidRDefault="00FB44B5" w:rsidP="00FB44B5">
            <w:pPr>
              <w:rPr>
                <w:b/>
                <w:bCs/>
              </w:rPr>
            </w:pPr>
            <w:r>
              <w:rPr>
                <w:b/>
                <w:lang w:val="es-ES" w:bidi="es-ES"/>
              </w:rPr>
              <w:t>Impacto</w:t>
            </w:r>
          </w:p>
          <w:p w14:paraId="60896397" w14:textId="77777777" w:rsidR="00FB44B5" w:rsidRPr="009D6B32" w:rsidRDefault="00FB44B5" w:rsidP="00FB44B5">
            <w:pPr>
              <w:pStyle w:val="ListParagraph"/>
              <w:numPr>
                <w:ilvl w:val="0"/>
                <w:numId w:val="35"/>
              </w:numPr>
              <w:rPr>
                <w:lang w:val="es-ES"/>
              </w:rPr>
            </w:pPr>
            <w:r>
              <w:rPr>
                <w:lang w:val="es-ES" w:bidi="es-ES"/>
              </w:rPr>
              <w:t>Las poblaciones minoritarias pierden acceso a las tierras que han explotado desde hace generaciones.</w:t>
            </w:r>
          </w:p>
          <w:p w14:paraId="11BE81A8" w14:textId="77777777" w:rsidR="00FB44B5" w:rsidRPr="009D6B32" w:rsidRDefault="00FB44B5" w:rsidP="00FB44B5">
            <w:pPr>
              <w:pStyle w:val="ListParagraph"/>
              <w:numPr>
                <w:ilvl w:val="0"/>
                <w:numId w:val="35"/>
              </w:numPr>
              <w:rPr>
                <w:lang w:val="es-ES"/>
              </w:rPr>
            </w:pPr>
            <w:r>
              <w:rPr>
                <w:lang w:val="es-ES" w:bidi="es-ES"/>
              </w:rPr>
              <w:t>Pérdida de los medios de vida que se basan en el uso de la tierra.</w:t>
            </w:r>
          </w:p>
          <w:p w14:paraId="5480CFCA" w14:textId="77777777" w:rsidR="00FB44B5" w:rsidRPr="009D6B32" w:rsidRDefault="00FB44B5" w:rsidP="00FB44B5">
            <w:pPr>
              <w:pStyle w:val="ListParagraph"/>
              <w:numPr>
                <w:ilvl w:val="0"/>
                <w:numId w:val="35"/>
              </w:numPr>
              <w:rPr>
                <w:lang w:val="es-ES"/>
              </w:rPr>
            </w:pPr>
            <w:r>
              <w:rPr>
                <w:lang w:val="es-ES" w:bidi="es-ES"/>
              </w:rPr>
              <w:t>Pérdida de viviendas y desintegración de las comunidades minoritarias.</w:t>
            </w:r>
          </w:p>
          <w:p w14:paraId="6CB05657" w14:textId="77777777" w:rsidR="00FB44B5" w:rsidRPr="009D6B32" w:rsidRDefault="00FB44B5" w:rsidP="00FB44B5">
            <w:pPr>
              <w:rPr>
                <w:lang w:val="es-ES"/>
              </w:rPr>
            </w:pPr>
          </w:p>
          <w:p w14:paraId="43ED3F44" w14:textId="28ACC049" w:rsidR="00FB44B5" w:rsidRPr="00A41D96" w:rsidRDefault="00FB44B5" w:rsidP="00FB44B5">
            <w:pPr>
              <w:tabs>
                <w:tab w:val="left" w:pos="357"/>
              </w:tabs>
            </w:pPr>
            <w:r w:rsidRPr="00971669">
              <w:rPr>
                <w:b/>
                <w:lang w:val="es-ES" w:bidi="es-ES"/>
              </w:rPr>
              <w:t>Impacto:</w:t>
            </w:r>
            <w:r w:rsidRPr="00971669">
              <w:rPr>
                <w:lang w:val="es-ES" w:bidi="es-ES"/>
              </w:rPr>
              <w:t xml:space="preserve"> 4, amplio </w:t>
            </w:r>
          </w:p>
        </w:tc>
      </w:tr>
      <w:tr w:rsidR="00FB44B5" w:rsidRPr="00EA7B28" w14:paraId="540AECC2" w14:textId="77777777" w:rsidTr="00A56B5F">
        <w:tc>
          <w:tcPr>
            <w:tcW w:w="3116" w:type="dxa"/>
          </w:tcPr>
          <w:p w14:paraId="573C64D6" w14:textId="0226F1F0" w:rsidR="00FB44B5" w:rsidRPr="009D6B32" w:rsidRDefault="00FB44B5" w:rsidP="00FB44B5">
            <w:pPr>
              <w:rPr>
                <w:b/>
                <w:bCs/>
                <w:lang w:val="es-ES"/>
              </w:rPr>
            </w:pPr>
            <w:r>
              <w:rPr>
                <w:b/>
                <w:lang w:val="es-ES" w:bidi="es-ES"/>
              </w:rPr>
              <w:t xml:space="preserve">Apetito de riesgo (social y ambiental): </w:t>
            </w:r>
          </w:p>
          <w:p w14:paraId="30BC5650" w14:textId="42F557A2" w:rsidR="00FB44B5" w:rsidRPr="00A8410B" w:rsidRDefault="00FB44B5" w:rsidP="00FB44B5">
            <w:pPr>
              <w:rPr>
                <w:b/>
                <w:bCs/>
              </w:rPr>
            </w:pPr>
            <w:r w:rsidRPr="00C2589E">
              <w:rPr>
                <w:lang w:val="es-ES" w:bidi="es-ES"/>
              </w:rPr>
              <w:t>Moderado</w:t>
            </w:r>
          </w:p>
        </w:tc>
        <w:tc>
          <w:tcPr>
            <w:tcW w:w="3116" w:type="dxa"/>
          </w:tcPr>
          <w:p w14:paraId="1A250A8D" w14:textId="5713E16F" w:rsidR="00FB44B5" w:rsidRDefault="00FB44B5" w:rsidP="00FB44B5">
            <w:r w:rsidRPr="00A8410B">
              <w:rPr>
                <w:b/>
                <w:lang w:val="es-ES" w:bidi="es-ES"/>
              </w:rPr>
              <w:t xml:space="preserve">Trascendencia del riesgo: </w:t>
            </w:r>
          </w:p>
          <w:p w14:paraId="5C3E79BC" w14:textId="6B6844D2" w:rsidR="00FB44B5" w:rsidRPr="00A8410B" w:rsidRDefault="00FB44B5" w:rsidP="00FB44B5">
            <w:r w:rsidRPr="002852AA">
              <w:rPr>
                <w:lang w:val="es-ES" w:bidi="es-ES"/>
              </w:rPr>
              <w:t>Sustancial</w:t>
            </w:r>
          </w:p>
        </w:tc>
        <w:tc>
          <w:tcPr>
            <w:tcW w:w="3117" w:type="dxa"/>
          </w:tcPr>
          <w:p w14:paraId="427C26B4" w14:textId="75483E27" w:rsidR="00FB44B5" w:rsidRPr="009D6B32" w:rsidRDefault="00FB44B5" w:rsidP="00FB44B5">
            <w:pPr>
              <w:rPr>
                <w:b/>
                <w:bCs/>
                <w:lang w:val="es-ES"/>
              </w:rPr>
            </w:pPr>
            <w:r>
              <w:rPr>
                <w:b/>
                <w:lang w:val="es-ES" w:bidi="es-ES"/>
              </w:rPr>
              <w:t xml:space="preserve">Categoría y subcategoría de riesgo: </w:t>
            </w:r>
          </w:p>
          <w:p w14:paraId="33433350" w14:textId="77777777" w:rsidR="00FB44B5" w:rsidRPr="009D6B32" w:rsidRDefault="00FB44B5" w:rsidP="00FB44B5">
            <w:pPr>
              <w:rPr>
                <w:lang w:val="es-ES"/>
              </w:rPr>
            </w:pPr>
            <w:r w:rsidRPr="00745451">
              <w:rPr>
                <w:lang w:val="es-ES" w:bidi="es-ES"/>
              </w:rPr>
              <w:t>1. Social y ambiental</w:t>
            </w:r>
          </w:p>
          <w:p w14:paraId="278C7FAE" w14:textId="0D001D86" w:rsidR="00FB44B5" w:rsidRPr="009D6B32" w:rsidRDefault="00FB44B5" w:rsidP="00FB44B5">
            <w:pPr>
              <w:rPr>
                <w:lang w:val="es-ES"/>
              </w:rPr>
            </w:pPr>
            <w:r>
              <w:rPr>
                <w:lang w:val="es-ES" w:bidi="es-ES"/>
              </w:rPr>
              <w:t>1.1. Derechos humanos</w:t>
            </w:r>
          </w:p>
        </w:tc>
      </w:tr>
    </w:tbl>
    <w:p w14:paraId="4229B14F" w14:textId="77777777" w:rsidR="003226B6" w:rsidRPr="009D6B32" w:rsidRDefault="003226B6" w:rsidP="003226B6">
      <w:pPr>
        <w:spacing w:after="0" w:line="240" w:lineRule="auto"/>
        <w:rPr>
          <w:lang w:val="es-ES"/>
        </w:rPr>
      </w:pPr>
    </w:p>
    <w:p w14:paraId="5483ED94" w14:textId="77777777" w:rsidR="003226B6" w:rsidRPr="009D6B32" w:rsidRDefault="003226B6" w:rsidP="003226B6">
      <w:pPr>
        <w:spacing w:after="0" w:line="240" w:lineRule="auto"/>
        <w:rPr>
          <w:lang w:val="es-ES"/>
        </w:rPr>
      </w:pPr>
      <w:r>
        <w:rPr>
          <w:lang w:val="es-ES" w:bidi="es-ES"/>
        </w:rPr>
        <w:t>En este ejemplo, el riesgo excede el apetito de riesgo del PNUD, por lo que hay que mitigar el riesgo para que resulte aceptable dado el apetito de riesgo de la organización.</w:t>
      </w:r>
    </w:p>
    <w:p w14:paraId="643E2459" w14:textId="77777777" w:rsidR="003226B6" w:rsidRPr="009D6B32" w:rsidRDefault="003226B6" w:rsidP="003226B6">
      <w:pPr>
        <w:spacing w:after="0" w:line="240" w:lineRule="auto"/>
        <w:rPr>
          <w:lang w:val="es-ES"/>
        </w:rPr>
      </w:pPr>
    </w:p>
    <w:p w14:paraId="3F056584" w14:textId="77777777" w:rsidR="003226B6" w:rsidRPr="009D6B32" w:rsidRDefault="003226B6" w:rsidP="003226B6">
      <w:pPr>
        <w:spacing w:after="0" w:line="240" w:lineRule="auto"/>
        <w:rPr>
          <w:lang w:val="es-ES"/>
        </w:rPr>
      </w:pPr>
      <w:r>
        <w:rPr>
          <w:lang w:val="es-ES" w:bidi="es-ES"/>
        </w:rPr>
        <w:t xml:space="preserve">En el caso que nos ocupa, el proyecto consiguió el permiso de las autoridades para traducir al idioma local toda la documentación relacionada con los títulos de propiedad de las tierras y que así los grupos </w:t>
      </w:r>
      <w:r>
        <w:rPr>
          <w:lang w:val="es-ES" w:bidi="es-ES"/>
        </w:rPr>
        <w:lastRenderedPageBreak/>
        <w:t>étnicos minoritarios tengan acceso a ella, así como para impartir capacitación sobre leyes de ordenación territorial a abogados de las minorías locales. Asimismo, el proyecto ha conseguido que las autoridades se comprometan a que el 60% del personal contratado para las oficinas locales proceda de comunidades minoritarias para que la plantilla sea más representativa de la población de la región de Terra. El PNUD apartó recursos para formar a estos nuevos trabajadores y asesorarlos a lo largo del proyecto a la vez que instaura un sistema interno de mentorías para que la plantilla actual pueda tutorizar a las nuevas incorporaciones de forma continuada.</w:t>
      </w:r>
    </w:p>
    <w:p w14:paraId="4D14441B" w14:textId="77777777" w:rsidR="003226B6" w:rsidRPr="009D6B32" w:rsidRDefault="003226B6" w:rsidP="003226B6">
      <w:pPr>
        <w:spacing w:after="0" w:line="240" w:lineRule="auto"/>
        <w:rPr>
          <w:lang w:val="es-ES"/>
        </w:rPr>
      </w:pPr>
    </w:p>
    <w:p w14:paraId="1D85A0C5" w14:textId="77777777" w:rsidR="003226B6" w:rsidRPr="009D6B32" w:rsidRDefault="003226B6" w:rsidP="003226B6">
      <w:pPr>
        <w:spacing w:after="0" w:line="240" w:lineRule="auto"/>
        <w:rPr>
          <w:lang w:val="es-ES"/>
        </w:rPr>
      </w:pPr>
      <w:r>
        <w:rPr>
          <w:lang w:val="es-ES" w:bidi="es-ES"/>
        </w:rPr>
        <w:t>Estos cambios que se introdujeron en el proyecto modificaron la probabilidad de que los riesgos se materializaran –pasó de un 4 a un 1– (el impacto no varió), lo que conllevó que fuera aceptable correr el riesgo si se adoptaban medidas de mitigación.</w:t>
      </w:r>
    </w:p>
    <w:p w14:paraId="35DA57AF" w14:textId="77777777" w:rsidR="003226B6" w:rsidRPr="009D6B32" w:rsidRDefault="003226B6" w:rsidP="00AE7753">
      <w:pPr>
        <w:rPr>
          <w:lang w:val="es-ES"/>
        </w:rPr>
      </w:pPr>
    </w:p>
    <w:p w14:paraId="070B0E77" w14:textId="3C79F297" w:rsidR="00672D45" w:rsidRPr="009D6B32" w:rsidRDefault="00672D45" w:rsidP="00672D45">
      <w:pPr>
        <w:pStyle w:val="Heading1"/>
        <w:numPr>
          <w:ilvl w:val="0"/>
          <w:numId w:val="7"/>
        </w:numPr>
        <w:ind w:left="357" w:hanging="357"/>
        <w:rPr>
          <w:lang w:val="es-ES"/>
        </w:rPr>
      </w:pPr>
      <w:bookmarkStart w:id="7" w:name="_Toc157084517"/>
      <w:r>
        <w:rPr>
          <w:lang w:val="es-ES" w:bidi="es-ES"/>
        </w:rPr>
        <w:t>Aprendizaje a partir del apetito de riesgo</w:t>
      </w:r>
      <w:bookmarkEnd w:id="7"/>
    </w:p>
    <w:p w14:paraId="1556BF4D" w14:textId="615C295E" w:rsidR="008125FF" w:rsidRDefault="00FA4FAA" w:rsidP="00FA4FAA">
      <w:r>
        <w:rPr>
          <w:lang w:val="es-ES" w:bidi="es-ES"/>
        </w:rPr>
        <w:t>La Declaración de Apetito de Riesgo y estas directrices se aplican con ánimo de aprender y mejorar constantemente. No son documentos inamovibles, sino que cambiarán con el paso del tiempo a medida que la filosofía del PNUD en materia de riesgos se desarrolle y se familiarice más con el concepto de apetito de riesgo. Su contribución a ese aprendizaje y mejora es fundamental:</w:t>
      </w:r>
    </w:p>
    <w:p w14:paraId="4BC3BB85" w14:textId="6B05CE5C" w:rsidR="00FA4FAA" w:rsidRPr="009D6B32" w:rsidRDefault="008125FF" w:rsidP="008125FF">
      <w:pPr>
        <w:pStyle w:val="ListParagraph"/>
        <w:numPr>
          <w:ilvl w:val="0"/>
          <w:numId w:val="21"/>
        </w:numPr>
        <w:rPr>
          <w:lang w:val="es-ES"/>
        </w:rPr>
      </w:pPr>
      <w:r>
        <w:rPr>
          <w:lang w:val="es-ES" w:bidi="es-ES"/>
        </w:rPr>
        <w:t>Al reconocer los errores que se producen a la hora de innovar, en los proyectos y programas y en la implantación de la Declaración de Apetito de Riesgo y aprender de ellos.</w:t>
      </w:r>
    </w:p>
    <w:p w14:paraId="371FB354" w14:textId="2A5C3DA1" w:rsidR="008125FF" w:rsidRPr="009D6B32" w:rsidRDefault="008125FF" w:rsidP="008125FF">
      <w:pPr>
        <w:pStyle w:val="ListParagraph"/>
        <w:numPr>
          <w:ilvl w:val="0"/>
          <w:numId w:val="21"/>
        </w:numPr>
        <w:rPr>
          <w:lang w:val="es-ES"/>
        </w:rPr>
      </w:pPr>
      <w:r>
        <w:rPr>
          <w:lang w:val="es-ES" w:bidi="es-ES"/>
        </w:rPr>
        <w:t>Al prestar más atención a los riesgos que van más allá de la Declaración de Apetito de Riesgo y que se han aceptado, así como al hacer un seguimiento de los resultados.</w:t>
      </w:r>
    </w:p>
    <w:p w14:paraId="6F57F12C" w14:textId="587951E7" w:rsidR="008F1111" w:rsidRPr="009D6B32" w:rsidRDefault="008125FF" w:rsidP="008125FF">
      <w:pPr>
        <w:pStyle w:val="ListParagraph"/>
        <w:numPr>
          <w:ilvl w:val="0"/>
          <w:numId w:val="21"/>
        </w:numPr>
        <w:rPr>
          <w:lang w:val="es-ES"/>
        </w:rPr>
      </w:pPr>
      <w:r>
        <w:rPr>
          <w:lang w:val="es-ES" w:bidi="es-ES"/>
        </w:rPr>
        <w:t>Al hacer hincapié en los aspectos donde no se han aplicado correctamente los controles y el marco de gobernanza y un riesgo ha dado lugar a un impacto.</w:t>
      </w:r>
    </w:p>
    <w:p w14:paraId="2FB51F5C" w14:textId="6780BE07" w:rsidR="008125FF" w:rsidRPr="009D6B32" w:rsidRDefault="008F1111" w:rsidP="008125FF">
      <w:pPr>
        <w:pStyle w:val="ListParagraph"/>
        <w:numPr>
          <w:ilvl w:val="0"/>
          <w:numId w:val="21"/>
        </w:numPr>
        <w:rPr>
          <w:lang w:val="es-ES"/>
        </w:rPr>
      </w:pPr>
      <w:r>
        <w:rPr>
          <w:lang w:val="es-ES" w:bidi="es-ES"/>
        </w:rPr>
        <w:t>Al señalar en qué puntos se necesitan más directrices para facilitar que la Declaración de Apetito de Riesgo se implante con coherencia y resulte provechosa.</w:t>
      </w:r>
    </w:p>
    <w:p w14:paraId="053AA11E" w14:textId="3F05DA17" w:rsidR="00811B27" w:rsidRPr="009D6B32" w:rsidRDefault="00811B27" w:rsidP="00811B27">
      <w:pPr>
        <w:rPr>
          <w:lang w:val="es-ES"/>
        </w:rPr>
      </w:pPr>
      <w:r>
        <w:rPr>
          <w:lang w:val="es-ES" w:bidi="es-ES"/>
        </w:rPr>
        <w:t>De este modo, el apetito de riesgo seguirá su evolución para adaptarse a los cambios en las necesidades del PNUD y se integrará en el marco de la ERM en calidad de apoyo crucial para tomar decisiones basadas en los riesgos y ejecutar los planes estratégicos de la organización.</w:t>
      </w:r>
    </w:p>
    <w:p w14:paraId="5E8C7D25" w14:textId="03E996EE" w:rsidR="001A187F" w:rsidRPr="009D6B32" w:rsidRDefault="001A187F" w:rsidP="00811B27">
      <w:pPr>
        <w:rPr>
          <w:lang w:val="es-ES"/>
        </w:rPr>
      </w:pPr>
      <w:r>
        <w:rPr>
          <w:lang w:val="es-ES" w:bidi="es-ES"/>
        </w:rPr>
        <w:t>En el anexo 3 se sintetizan los niveles de apetito de riesgo para cada categoría de riesgo y se muestra cómo serían las circunstancias si el apetito de riesgo sube o baja.</w:t>
      </w:r>
    </w:p>
    <w:p w14:paraId="53F1A288" w14:textId="459C5C17" w:rsidR="00FE3B6B" w:rsidRPr="009D6B32" w:rsidRDefault="00FE3B6B" w:rsidP="00672D45">
      <w:pPr>
        <w:pStyle w:val="Heading1"/>
        <w:numPr>
          <w:ilvl w:val="0"/>
          <w:numId w:val="7"/>
        </w:numPr>
        <w:ind w:left="426"/>
        <w:rPr>
          <w:lang w:val="es-ES"/>
        </w:rPr>
      </w:pPr>
      <w:bookmarkStart w:id="8" w:name="_Toc157084518"/>
      <w:r w:rsidRPr="003F0B20">
        <w:rPr>
          <w:lang w:val="es-ES" w:bidi="es-ES"/>
        </w:rPr>
        <w:t>Variación con respecto al apetito de riesgo indicado</w:t>
      </w:r>
      <w:bookmarkEnd w:id="8"/>
    </w:p>
    <w:p w14:paraId="4AA2B6BE" w14:textId="3FD7E569" w:rsidR="00CF3AFC" w:rsidRPr="009D6B32" w:rsidRDefault="00FE3B6B" w:rsidP="00FE3B6B">
      <w:pPr>
        <w:rPr>
          <w:lang w:val="es-ES"/>
        </w:rPr>
      </w:pPr>
      <w:r w:rsidRPr="00073D44">
        <w:rPr>
          <w:lang w:val="es-ES" w:bidi="es-ES"/>
        </w:rPr>
        <w:t>El objetivo de la Declaración de Apetito de Riesgo es proporcionar una metodología coherente para que todos los miembros de la organización puedan abordar la gestión de los riesgos en cualquier circunstancia. Sin embargo, habrá momentos en los que el PNUD decida operar por encima de su apetito de riesgo; por ejemplo, en un entorno de alto riesgo donde el personal tiene que poder “permanecer y cumplir”. En tales ocasiones en las que se exceda la Declaración de Apetito de Riesgo acordada, tiene que ser una decisión intencional, consciente y a la que se ha llegado “trabajando en voz alta” mediante debates bien documentados con el equipo de gestión de los riesgos y el Comité de Riesgos. Esas esferas de riesgo tienen que revisarse constantemente y hay que aprovechar todas las oportunidades para reducirlas y acercarlas al apetito de riesgo.</w:t>
      </w:r>
    </w:p>
    <w:p w14:paraId="5077ABC3" w14:textId="12EEC477" w:rsidR="001E7406" w:rsidRPr="009D6B32" w:rsidRDefault="001E7406">
      <w:pPr>
        <w:rPr>
          <w:lang w:val="es-ES"/>
        </w:rPr>
      </w:pPr>
    </w:p>
    <w:p w14:paraId="5A9F99C3" w14:textId="77777777" w:rsidR="00D603FF" w:rsidRPr="009D6B32" w:rsidRDefault="00D603FF">
      <w:pPr>
        <w:rPr>
          <w:lang w:val="es-ES"/>
        </w:rPr>
        <w:sectPr w:rsidR="00D603FF" w:rsidRPr="009D6B32" w:rsidSect="00590382">
          <w:footerReference w:type="default" r:id="rId16"/>
          <w:pgSz w:w="12240" w:h="15840"/>
          <w:pgMar w:top="1440" w:right="1440" w:bottom="540" w:left="1440" w:header="720" w:footer="450" w:gutter="0"/>
          <w:cols w:space="720"/>
          <w:docGrid w:linePitch="360"/>
        </w:sectPr>
      </w:pPr>
    </w:p>
    <w:p w14:paraId="0551CE2B" w14:textId="28B1552B" w:rsidR="002533C4" w:rsidRPr="009D6B32" w:rsidRDefault="002533C4" w:rsidP="002533C4">
      <w:pPr>
        <w:pStyle w:val="Heading1"/>
        <w:rPr>
          <w:lang w:val="es-ES"/>
        </w:rPr>
      </w:pPr>
      <w:bookmarkStart w:id="9" w:name="_Toc157084519"/>
      <w:r>
        <w:rPr>
          <w:lang w:val="es-ES" w:bidi="es-ES"/>
        </w:rPr>
        <w:lastRenderedPageBreak/>
        <w:t>Anexo 1: Categorías de riesgo de la ERM</w:t>
      </w:r>
      <w:bookmarkEnd w:id="9"/>
    </w:p>
    <w:tbl>
      <w:tblPr>
        <w:tblStyle w:val="TableGrid"/>
        <w:tblpPr w:leftFromText="180" w:rightFromText="180" w:vertAnchor="text" w:horzAnchor="margin" w:tblpXSpec="center" w:tblpY="181"/>
        <w:tblW w:w="15295" w:type="dxa"/>
        <w:tblLayout w:type="fixed"/>
        <w:tblLook w:val="04A0" w:firstRow="1" w:lastRow="0" w:firstColumn="1" w:lastColumn="0" w:noHBand="0" w:noVBand="1"/>
      </w:tblPr>
      <w:tblGrid>
        <w:gridCol w:w="1911"/>
        <w:gridCol w:w="1912"/>
        <w:gridCol w:w="1912"/>
        <w:gridCol w:w="1912"/>
        <w:gridCol w:w="1912"/>
        <w:gridCol w:w="1912"/>
        <w:gridCol w:w="1912"/>
        <w:gridCol w:w="1912"/>
      </w:tblGrid>
      <w:tr w:rsidR="00745451" w:rsidRPr="00D55872" w14:paraId="306E794B" w14:textId="77777777" w:rsidTr="0089132A">
        <w:tc>
          <w:tcPr>
            <w:tcW w:w="1911"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6AD93A76" w14:textId="77777777" w:rsidR="0089132A" w:rsidRPr="00D55872" w:rsidRDefault="0089132A" w:rsidP="00E474A7">
            <w:pPr>
              <w:spacing w:before="60" w:after="60"/>
              <w:ind w:left="-113" w:right="-69"/>
              <w:jc w:val="center"/>
              <w:rPr>
                <w:b/>
                <w:bCs/>
                <w:color w:val="FFFFFF" w:themeColor="background1"/>
                <w:sz w:val="16"/>
                <w:szCs w:val="16"/>
              </w:rPr>
            </w:pPr>
            <w:r w:rsidRPr="00D55872">
              <w:rPr>
                <w:b/>
                <w:color w:val="FFFFFF" w:themeColor="background1"/>
                <w:sz w:val="16"/>
                <w:lang w:val="es-ES" w:bidi="es-ES"/>
              </w:rPr>
              <w:t>1. Social y ambiental</w:t>
            </w:r>
          </w:p>
        </w:tc>
        <w:tc>
          <w:tcPr>
            <w:tcW w:w="1912"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2AA4BDC6" w14:textId="77777777" w:rsidR="0089132A" w:rsidRPr="00D55872" w:rsidRDefault="0089132A" w:rsidP="00E474A7">
            <w:pPr>
              <w:spacing w:before="60" w:after="60"/>
              <w:jc w:val="center"/>
              <w:rPr>
                <w:b/>
                <w:bCs/>
                <w:color w:val="FFFFFF" w:themeColor="background1"/>
                <w:sz w:val="16"/>
                <w:szCs w:val="16"/>
              </w:rPr>
            </w:pPr>
            <w:r w:rsidRPr="00D55872">
              <w:rPr>
                <w:b/>
                <w:color w:val="FFFFFF" w:themeColor="background1"/>
                <w:sz w:val="16"/>
                <w:lang w:val="es-ES" w:bidi="es-ES"/>
              </w:rPr>
              <w:t>2. Financiero</w:t>
            </w:r>
          </w:p>
        </w:tc>
        <w:tc>
          <w:tcPr>
            <w:tcW w:w="1912"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0D1126FB" w14:textId="77777777" w:rsidR="0089132A" w:rsidRPr="00D55872" w:rsidRDefault="0089132A" w:rsidP="00E474A7">
            <w:pPr>
              <w:spacing w:before="60" w:after="60"/>
              <w:jc w:val="center"/>
              <w:rPr>
                <w:b/>
                <w:bCs/>
                <w:color w:val="FFFFFF" w:themeColor="background1"/>
                <w:sz w:val="16"/>
                <w:szCs w:val="16"/>
              </w:rPr>
            </w:pPr>
            <w:r w:rsidRPr="00D55872">
              <w:rPr>
                <w:b/>
                <w:color w:val="FFFFFF" w:themeColor="background1"/>
                <w:sz w:val="16"/>
                <w:lang w:val="es-ES" w:bidi="es-ES"/>
              </w:rPr>
              <w:t>3. Operacional</w:t>
            </w:r>
          </w:p>
        </w:tc>
        <w:tc>
          <w:tcPr>
            <w:tcW w:w="1912"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66111AB0" w14:textId="77777777" w:rsidR="0089132A" w:rsidRPr="00D55872" w:rsidRDefault="0089132A" w:rsidP="00E474A7">
            <w:pPr>
              <w:spacing w:before="60" w:after="60"/>
              <w:jc w:val="center"/>
              <w:rPr>
                <w:b/>
                <w:bCs/>
                <w:color w:val="FFFFFF" w:themeColor="background1"/>
                <w:sz w:val="16"/>
                <w:szCs w:val="16"/>
              </w:rPr>
            </w:pPr>
            <w:r w:rsidRPr="00D55872">
              <w:rPr>
                <w:b/>
                <w:color w:val="FFFFFF" w:themeColor="background1"/>
                <w:sz w:val="16"/>
                <w:lang w:val="es-ES" w:bidi="es-ES"/>
              </w:rPr>
              <w:t>4. Organizacional</w:t>
            </w:r>
          </w:p>
        </w:tc>
        <w:tc>
          <w:tcPr>
            <w:tcW w:w="1912"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3939B1EC" w14:textId="77777777" w:rsidR="0089132A" w:rsidRPr="00D55872" w:rsidRDefault="0089132A" w:rsidP="00E474A7">
            <w:pPr>
              <w:spacing w:before="60" w:after="60"/>
              <w:jc w:val="center"/>
              <w:rPr>
                <w:b/>
                <w:bCs/>
                <w:color w:val="FFFFFF" w:themeColor="background1"/>
                <w:sz w:val="16"/>
                <w:szCs w:val="16"/>
              </w:rPr>
            </w:pPr>
            <w:r w:rsidRPr="00D55872">
              <w:rPr>
                <w:b/>
                <w:color w:val="FFFFFF" w:themeColor="background1"/>
                <w:sz w:val="16"/>
                <w:lang w:val="es-ES" w:bidi="es-ES"/>
              </w:rPr>
              <w:t>5. Reputacional</w:t>
            </w:r>
          </w:p>
        </w:tc>
        <w:tc>
          <w:tcPr>
            <w:tcW w:w="1912"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756B785B" w14:textId="77777777" w:rsidR="0089132A" w:rsidRPr="00D55872" w:rsidRDefault="0089132A" w:rsidP="00E474A7">
            <w:pPr>
              <w:spacing w:before="60" w:after="60"/>
              <w:jc w:val="center"/>
              <w:rPr>
                <w:b/>
                <w:bCs/>
                <w:color w:val="FFFFFF" w:themeColor="background1"/>
                <w:sz w:val="16"/>
                <w:szCs w:val="16"/>
              </w:rPr>
            </w:pPr>
            <w:r>
              <w:rPr>
                <w:b/>
                <w:color w:val="FFFFFF" w:themeColor="background1"/>
                <w:sz w:val="16"/>
                <w:lang w:val="es-ES" w:bidi="es-ES"/>
              </w:rPr>
              <w:t>6. Regulatorio</w:t>
            </w:r>
          </w:p>
        </w:tc>
        <w:tc>
          <w:tcPr>
            <w:tcW w:w="1912"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36F54228" w14:textId="77777777" w:rsidR="0089132A" w:rsidRPr="00D55872" w:rsidRDefault="0089132A" w:rsidP="00E474A7">
            <w:pPr>
              <w:spacing w:before="60" w:after="60"/>
              <w:jc w:val="center"/>
              <w:rPr>
                <w:b/>
                <w:bCs/>
                <w:color w:val="FFFFFF" w:themeColor="background1"/>
                <w:sz w:val="16"/>
                <w:szCs w:val="16"/>
              </w:rPr>
            </w:pPr>
            <w:r w:rsidRPr="00D55872">
              <w:rPr>
                <w:b/>
                <w:color w:val="FFFFFF" w:themeColor="background1"/>
                <w:sz w:val="16"/>
                <w:lang w:val="es-ES" w:bidi="es-ES"/>
              </w:rPr>
              <w:t>7. Estratégico</w:t>
            </w:r>
          </w:p>
        </w:tc>
        <w:tc>
          <w:tcPr>
            <w:tcW w:w="1912"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79F7BF2F" w14:textId="77777777" w:rsidR="0089132A" w:rsidRPr="00D55872" w:rsidRDefault="0089132A" w:rsidP="00E474A7">
            <w:pPr>
              <w:spacing w:before="60" w:after="60"/>
              <w:jc w:val="center"/>
              <w:rPr>
                <w:b/>
                <w:bCs/>
                <w:color w:val="FFFFFF" w:themeColor="background1"/>
                <w:sz w:val="16"/>
                <w:szCs w:val="16"/>
              </w:rPr>
            </w:pPr>
            <w:r w:rsidRPr="00D55872">
              <w:rPr>
                <w:b/>
                <w:color w:val="FFFFFF" w:themeColor="background1"/>
                <w:sz w:val="16"/>
                <w:lang w:val="es-ES" w:bidi="es-ES"/>
              </w:rPr>
              <w:t>8. Protección y seguridad</w:t>
            </w:r>
          </w:p>
        </w:tc>
      </w:tr>
      <w:tr w:rsidR="00745451" w:rsidRPr="009D6B32" w14:paraId="0A62F45A" w14:textId="77777777" w:rsidTr="008A13BD">
        <w:trPr>
          <w:trHeight w:val="5601"/>
        </w:trPr>
        <w:tc>
          <w:tcPr>
            <w:tcW w:w="1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FF89B" w14:textId="77777777" w:rsidR="0089132A" w:rsidRPr="00525AD0" w:rsidRDefault="0089132A" w:rsidP="0089132A">
            <w:pPr>
              <w:pStyle w:val="ListParagraph"/>
              <w:numPr>
                <w:ilvl w:val="1"/>
                <w:numId w:val="24"/>
              </w:numPr>
              <w:tabs>
                <w:tab w:val="left" w:pos="338"/>
              </w:tabs>
              <w:spacing w:before="60" w:after="60"/>
              <w:ind w:left="-14" w:firstLine="0"/>
              <w:contextualSpacing w:val="0"/>
              <w:rPr>
                <w:rFonts w:cstheme="minorHAnsi"/>
                <w:sz w:val="16"/>
                <w:szCs w:val="16"/>
              </w:rPr>
            </w:pPr>
            <w:r w:rsidRPr="00525AD0">
              <w:rPr>
                <w:sz w:val="16"/>
                <w:lang w:val="es-ES" w:bidi="es-ES"/>
              </w:rPr>
              <w:t xml:space="preserve">Derechos humanos </w:t>
            </w:r>
          </w:p>
          <w:p w14:paraId="60611B49" w14:textId="77777777" w:rsidR="0089132A" w:rsidRPr="009D6B32" w:rsidRDefault="0089132A" w:rsidP="0089132A">
            <w:pPr>
              <w:pStyle w:val="ListParagraph"/>
              <w:numPr>
                <w:ilvl w:val="1"/>
                <w:numId w:val="24"/>
              </w:numPr>
              <w:tabs>
                <w:tab w:val="left" w:pos="338"/>
              </w:tabs>
              <w:spacing w:before="60" w:after="60"/>
              <w:ind w:left="-14" w:firstLine="0"/>
              <w:contextualSpacing w:val="0"/>
              <w:rPr>
                <w:rFonts w:cstheme="minorHAnsi"/>
                <w:sz w:val="16"/>
                <w:szCs w:val="16"/>
                <w:lang w:val="es-ES"/>
              </w:rPr>
            </w:pPr>
            <w:r w:rsidRPr="00525AD0">
              <w:rPr>
                <w:sz w:val="16"/>
                <w:lang w:val="es-ES" w:bidi="es-ES"/>
              </w:rPr>
              <w:t>Igualdad de género y empoderamiento de la mujer</w:t>
            </w:r>
          </w:p>
          <w:p w14:paraId="0860BC94" w14:textId="77777777" w:rsidR="0089132A" w:rsidRPr="009D6B32" w:rsidRDefault="0089132A" w:rsidP="0089132A">
            <w:pPr>
              <w:pStyle w:val="ListParagraph"/>
              <w:numPr>
                <w:ilvl w:val="1"/>
                <w:numId w:val="24"/>
              </w:numPr>
              <w:tabs>
                <w:tab w:val="left" w:pos="338"/>
              </w:tabs>
              <w:spacing w:before="60" w:after="60"/>
              <w:ind w:left="-14" w:firstLine="0"/>
              <w:contextualSpacing w:val="0"/>
              <w:rPr>
                <w:rFonts w:cstheme="minorHAnsi"/>
                <w:sz w:val="16"/>
                <w:szCs w:val="16"/>
                <w:lang w:val="es-ES"/>
              </w:rPr>
            </w:pPr>
            <w:r>
              <w:rPr>
                <w:sz w:val="16"/>
                <w:lang w:val="es-ES" w:bidi="es-ES"/>
              </w:rPr>
              <w:t>Reclamos (responsabilidad ante las partes interesadas)</w:t>
            </w:r>
          </w:p>
          <w:p w14:paraId="022F3351" w14:textId="0C6BE1B8" w:rsidR="0089132A" w:rsidRPr="009D6B32" w:rsidRDefault="0089132A" w:rsidP="0089132A">
            <w:pPr>
              <w:pStyle w:val="ListParagraph"/>
              <w:numPr>
                <w:ilvl w:val="1"/>
                <w:numId w:val="24"/>
              </w:numPr>
              <w:tabs>
                <w:tab w:val="left" w:pos="338"/>
              </w:tabs>
              <w:spacing w:before="60" w:after="60"/>
              <w:ind w:left="-14" w:firstLine="0"/>
              <w:contextualSpacing w:val="0"/>
              <w:rPr>
                <w:rFonts w:cstheme="minorHAnsi"/>
                <w:sz w:val="16"/>
                <w:szCs w:val="16"/>
                <w:lang w:val="es-ES"/>
              </w:rPr>
            </w:pPr>
            <w:r w:rsidRPr="00525AD0">
              <w:rPr>
                <w:sz w:val="16"/>
                <w:lang w:val="es-ES" w:bidi="es-ES"/>
              </w:rPr>
              <w:t xml:space="preserve">Conservación de la biodiversidad y gestión sostenible de los recursos naturales </w:t>
            </w:r>
          </w:p>
          <w:p w14:paraId="67D04AB8" w14:textId="77777777" w:rsidR="0089132A" w:rsidRPr="00525AD0" w:rsidRDefault="0089132A" w:rsidP="0089132A">
            <w:pPr>
              <w:pStyle w:val="ListParagraph"/>
              <w:numPr>
                <w:ilvl w:val="1"/>
                <w:numId w:val="24"/>
              </w:numPr>
              <w:tabs>
                <w:tab w:val="left" w:pos="338"/>
              </w:tabs>
              <w:spacing w:before="60" w:after="60"/>
              <w:ind w:left="-14" w:firstLine="0"/>
              <w:contextualSpacing w:val="0"/>
              <w:rPr>
                <w:rFonts w:cstheme="minorHAnsi"/>
                <w:sz w:val="16"/>
                <w:szCs w:val="16"/>
              </w:rPr>
            </w:pPr>
            <w:r w:rsidRPr="00525AD0">
              <w:rPr>
                <w:sz w:val="16"/>
                <w:lang w:val="es-ES" w:bidi="es-ES"/>
              </w:rPr>
              <w:t>Cambio climático y desastres</w:t>
            </w:r>
          </w:p>
          <w:p w14:paraId="3CCF59B3" w14:textId="21BEFF6D" w:rsidR="0089132A" w:rsidRPr="00525AD0" w:rsidRDefault="0089132A" w:rsidP="0089132A">
            <w:pPr>
              <w:pStyle w:val="ListParagraph"/>
              <w:numPr>
                <w:ilvl w:val="1"/>
                <w:numId w:val="24"/>
              </w:numPr>
              <w:tabs>
                <w:tab w:val="left" w:pos="338"/>
              </w:tabs>
              <w:spacing w:before="60" w:after="60"/>
              <w:ind w:left="-14" w:firstLine="0"/>
              <w:contextualSpacing w:val="0"/>
              <w:rPr>
                <w:rFonts w:cstheme="minorHAnsi"/>
                <w:sz w:val="16"/>
                <w:szCs w:val="16"/>
              </w:rPr>
            </w:pPr>
            <w:r w:rsidRPr="00525AD0">
              <w:rPr>
                <w:sz w:val="16"/>
                <w:lang w:val="es-ES" w:bidi="es-ES"/>
              </w:rPr>
              <w:t xml:space="preserve">Salud y seguridad comunitaria </w:t>
            </w:r>
          </w:p>
          <w:p w14:paraId="79B1053C" w14:textId="77777777" w:rsidR="0089132A" w:rsidRPr="00525AD0" w:rsidRDefault="0089132A" w:rsidP="0089132A">
            <w:pPr>
              <w:pStyle w:val="ListParagraph"/>
              <w:numPr>
                <w:ilvl w:val="1"/>
                <w:numId w:val="24"/>
              </w:numPr>
              <w:tabs>
                <w:tab w:val="left" w:pos="338"/>
              </w:tabs>
              <w:spacing w:before="60" w:after="60"/>
              <w:ind w:left="-14" w:firstLine="0"/>
              <w:contextualSpacing w:val="0"/>
              <w:rPr>
                <w:rFonts w:cstheme="minorHAnsi"/>
                <w:sz w:val="16"/>
                <w:szCs w:val="16"/>
              </w:rPr>
            </w:pPr>
            <w:r w:rsidRPr="00525AD0">
              <w:rPr>
                <w:sz w:val="16"/>
                <w:lang w:val="es-ES" w:bidi="es-ES"/>
              </w:rPr>
              <w:t xml:space="preserve">Patrimonio cultural </w:t>
            </w:r>
          </w:p>
          <w:p w14:paraId="1722CD81" w14:textId="77777777" w:rsidR="0089132A" w:rsidRPr="00525AD0" w:rsidRDefault="0089132A" w:rsidP="0089132A">
            <w:pPr>
              <w:pStyle w:val="ListParagraph"/>
              <w:numPr>
                <w:ilvl w:val="1"/>
                <w:numId w:val="24"/>
              </w:numPr>
              <w:tabs>
                <w:tab w:val="left" w:pos="338"/>
              </w:tabs>
              <w:spacing w:before="60" w:after="60"/>
              <w:ind w:left="-14" w:firstLine="0"/>
              <w:contextualSpacing w:val="0"/>
              <w:rPr>
                <w:rFonts w:cstheme="minorHAnsi"/>
                <w:sz w:val="16"/>
                <w:szCs w:val="16"/>
              </w:rPr>
            </w:pPr>
            <w:r w:rsidRPr="00525AD0">
              <w:rPr>
                <w:sz w:val="16"/>
                <w:lang w:val="es-ES" w:bidi="es-ES"/>
              </w:rPr>
              <w:t>Desplazamiento y reasentamiento</w:t>
            </w:r>
          </w:p>
          <w:p w14:paraId="2D328756" w14:textId="77777777" w:rsidR="0089132A" w:rsidRPr="00525AD0" w:rsidRDefault="0089132A" w:rsidP="0089132A">
            <w:pPr>
              <w:pStyle w:val="ListParagraph"/>
              <w:numPr>
                <w:ilvl w:val="1"/>
                <w:numId w:val="24"/>
              </w:numPr>
              <w:tabs>
                <w:tab w:val="left" w:pos="338"/>
              </w:tabs>
              <w:spacing w:before="60" w:after="60"/>
              <w:ind w:left="-14" w:firstLine="0"/>
              <w:contextualSpacing w:val="0"/>
              <w:rPr>
                <w:rFonts w:cstheme="minorHAnsi"/>
                <w:sz w:val="16"/>
                <w:szCs w:val="16"/>
              </w:rPr>
            </w:pPr>
            <w:r w:rsidRPr="00525AD0">
              <w:rPr>
                <w:sz w:val="16"/>
                <w:lang w:val="es-ES" w:bidi="es-ES"/>
              </w:rPr>
              <w:t>Derechos de los pueblos indígenas</w:t>
            </w:r>
          </w:p>
          <w:p w14:paraId="067EADEF" w14:textId="77777777" w:rsidR="0089132A" w:rsidRPr="00525AD0" w:rsidRDefault="0089132A" w:rsidP="0089132A">
            <w:pPr>
              <w:pStyle w:val="ListParagraph"/>
              <w:numPr>
                <w:ilvl w:val="1"/>
                <w:numId w:val="24"/>
              </w:numPr>
              <w:tabs>
                <w:tab w:val="left" w:pos="338"/>
              </w:tabs>
              <w:spacing w:before="60" w:after="60"/>
              <w:ind w:left="-14" w:firstLine="0"/>
              <w:contextualSpacing w:val="0"/>
              <w:rPr>
                <w:rFonts w:cstheme="minorHAnsi"/>
                <w:sz w:val="16"/>
                <w:szCs w:val="16"/>
              </w:rPr>
            </w:pPr>
            <w:r w:rsidRPr="00525AD0">
              <w:rPr>
                <w:sz w:val="16"/>
                <w:lang w:val="es-ES" w:bidi="es-ES"/>
              </w:rPr>
              <w:t>Condiciones/normas laborales</w:t>
            </w:r>
          </w:p>
          <w:p w14:paraId="44E36C6F" w14:textId="3454BB66" w:rsidR="0089132A" w:rsidRPr="009D6B32" w:rsidRDefault="0089132A" w:rsidP="0089132A">
            <w:pPr>
              <w:pStyle w:val="ListParagraph"/>
              <w:numPr>
                <w:ilvl w:val="1"/>
                <w:numId w:val="24"/>
              </w:numPr>
              <w:tabs>
                <w:tab w:val="left" w:pos="338"/>
              </w:tabs>
              <w:spacing w:before="60" w:after="60"/>
              <w:ind w:left="-14" w:firstLine="0"/>
              <w:contextualSpacing w:val="0"/>
              <w:rPr>
                <w:rFonts w:cstheme="minorHAnsi"/>
                <w:sz w:val="16"/>
                <w:szCs w:val="16"/>
                <w:lang w:val="es-ES"/>
              </w:rPr>
            </w:pPr>
            <w:r w:rsidRPr="00525AD0">
              <w:rPr>
                <w:sz w:val="16"/>
                <w:lang w:val="es-ES" w:bidi="es-ES"/>
              </w:rPr>
              <w:t>Prevención de la contaminación y eficiencia de los recursos</w:t>
            </w:r>
          </w:p>
          <w:p w14:paraId="63C3CA85" w14:textId="77777777" w:rsidR="0089132A" w:rsidRPr="00525AD0" w:rsidRDefault="0089132A" w:rsidP="0089132A">
            <w:pPr>
              <w:pStyle w:val="ListParagraph"/>
              <w:numPr>
                <w:ilvl w:val="1"/>
                <w:numId w:val="24"/>
              </w:numPr>
              <w:tabs>
                <w:tab w:val="left" w:pos="338"/>
              </w:tabs>
              <w:spacing w:before="60" w:after="60"/>
              <w:ind w:left="-14" w:firstLine="0"/>
              <w:contextualSpacing w:val="0"/>
              <w:rPr>
                <w:rFonts w:cstheme="minorHAnsi"/>
                <w:sz w:val="16"/>
                <w:szCs w:val="16"/>
              </w:rPr>
            </w:pPr>
            <w:r w:rsidRPr="00525AD0">
              <w:rPr>
                <w:sz w:val="16"/>
                <w:lang w:val="es-ES" w:bidi="es-ES"/>
              </w:rPr>
              <w:t>Participación de las partes interesadas</w:t>
            </w:r>
          </w:p>
          <w:p w14:paraId="693D353E" w14:textId="407B5A0A" w:rsidR="0089132A" w:rsidRPr="00195CB3" w:rsidRDefault="0089132A" w:rsidP="00513FC1">
            <w:pPr>
              <w:pStyle w:val="ListParagraph"/>
              <w:numPr>
                <w:ilvl w:val="1"/>
                <w:numId w:val="24"/>
              </w:numPr>
              <w:tabs>
                <w:tab w:val="left" w:pos="338"/>
              </w:tabs>
              <w:spacing w:before="60" w:after="60"/>
              <w:ind w:left="-14" w:firstLine="0"/>
              <w:contextualSpacing w:val="0"/>
              <w:rPr>
                <w:rFonts w:cstheme="minorHAnsi"/>
                <w:strike/>
                <w:sz w:val="16"/>
                <w:szCs w:val="16"/>
              </w:rPr>
            </w:pPr>
            <w:r w:rsidRPr="00525AD0">
              <w:rPr>
                <w:sz w:val="16"/>
                <w:lang w:val="es-ES" w:bidi="es-ES"/>
              </w:rPr>
              <w:t>Explotación y abuso sexuales</w:t>
            </w:r>
          </w:p>
        </w:tc>
        <w:tc>
          <w:tcPr>
            <w:tcW w:w="1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307F0F" w14:textId="77777777" w:rsidR="0089132A" w:rsidRPr="00D53BC7" w:rsidRDefault="0089132A" w:rsidP="0089132A">
            <w:pPr>
              <w:pStyle w:val="ListParagraph"/>
              <w:numPr>
                <w:ilvl w:val="1"/>
                <w:numId w:val="25"/>
              </w:numPr>
              <w:tabs>
                <w:tab w:val="left" w:pos="351"/>
              </w:tabs>
              <w:spacing w:before="60" w:after="60"/>
              <w:ind w:left="-14" w:firstLine="0"/>
              <w:contextualSpacing w:val="0"/>
              <w:rPr>
                <w:rFonts w:cstheme="minorHAnsi"/>
                <w:sz w:val="16"/>
                <w:szCs w:val="16"/>
              </w:rPr>
            </w:pPr>
            <w:r w:rsidRPr="00D53BC7">
              <w:rPr>
                <w:sz w:val="16"/>
                <w:lang w:val="es-ES" w:bidi="es-ES"/>
              </w:rPr>
              <w:t>Recuperación de costos</w:t>
            </w:r>
          </w:p>
          <w:p w14:paraId="1B87661A" w14:textId="77777777" w:rsidR="0089132A" w:rsidRPr="00D53BC7" w:rsidRDefault="0089132A" w:rsidP="0089132A">
            <w:pPr>
              <w:pStyle w:val="ListParagraph"/>
              <w:numPr>
                <w:ilvl w:val="1"/>
                <w:numId w:val="25"/>
              </w:numPr>
              <w:tabs>
                <w:tab w:val="left" w:pos="351"/>
              </w:tabs>
              <w:spacing w:before="60" w:after="60"/>
              <w:ind w:left="-14" w:firstLine="0"/>
              <w:contextualSpacing w:val="0"/>
              <w:rPr>
                <w:rFonts w:cstheme="minorHAnsi"/>
                <w:sz w:val="16"/>
                <w:szCs w:val="16"/>
              </w:rPr>
            </w:pPr>
            <w:r w:rsidRPr="00D53BC7">
              <w:rPr>
                <w:sz w:val="16"/>
                <w:lang w:val="es-ES" w:bidi="es-ES"/>
              </w:rPr>
              <w:t>Relación entre calidad y precio</w:t>
            </w:r>
          </w:p>
          <w:p w14:paraId="3464AC77" w14:textId="77777777" w:rsidR="0089132A" w:rsidRPr="00D53BC7" w:rsidRDefault="0089132A" w:rsidP="0089132A">
            <w:pPr>
              <w:pStyle w:val="ListParagraph"/>
              <w:numPr>
                <w:ilvl w:val="1"/>
                <w:numId w:val="25"/>
              </w:numPr>
              <w:tabs>
                <w:tab w:val="left" w:pos="351"/>
              </w:tabs>
              <w:spacing w:before="60" w:after="60"/>
              <w:ind w:left="-14" w:firstLine="0"/>
              <w:contextualSpacing w:val="0"/>
              <w:rPr>
                <w:rFonts w:cstheme="minorHAnsi"/>
                <w:sz w:val="16"/>
                <w:szCs w:val="16"/>
              </w:rPr>
            </w:pPr>
            <w:r w:rsidRPr="00D53BC7">
              <w:rPr>
                <w:sz w:val="16"/>
                <w:lang w:val="es-ES" w:bidi="es-ES"/>
              </w:rPr>
              <w:t>Corrupción y fraude</w:t>
            </w:r>
          </w:p>
          <w:p w14:paraId="153933D7" w14:textId="77777777" w:rsidR="0089132A" w:rsidRPr="009D6B32" w:rsidRDefault="0089132A" w:rsidP="0089132A">
            <w:pPr>
              <w:pStyle w:val="ListParagraph"/>
              <w:numPr>
                <w:ilvl w:val="1"/>
                <w:numId w:val="25"/>
              </w:numPr>
              <w:tabs>
                <w:tab w:val="left" w:pos="351"/>
              </w:tabs>
              <w:spacing w:before="60" w:after="60"/>
              <w:ind w:left="-14" w:firstLine="0"/>
              <w:contextualSpacing w:val="0"/>
              <w:rPr>
                <w:rFonts w:cstheme="minorHAnsi"/>
                <w:sz w:val="16"/>
                <w:szCs w:val="16"/>
                <w:lang w:val="es-ES"/>
              </w:rPr>
            </w:pPr>
            <w:r w:rsidRPr="00D53BC7">
              <w:rPr>
                <w:sz w:val="16"/>
                <w:lang w:val="es-ES" w:bidi="es-ES"/>
              </w:rPr>
              <w:t>Fluctuación en la tasa de crédito, el mercado y las divisas</w:t>
            </w:r>
          </w:p>
          <w:p w14:paraId="4E867414" w14:textId="77777777" w:rsidR="0089132A" w:rsidRPr="00D53BC7" w:rsidRDefault="0089132A" w:rsidP="0089132A">
            <w:pPr>
              <w:pStyle w:val="ListParagraph"/>
              <w:numPr>
                <w:ilvl w:val="1"/>
                <w:numId w:val="25"/>
              </w:numPr>
              <w:tabs>
                <w:tab w:val="left" w:pos="351"/>
              </w:tabs>
              <w:spacing w:before="60" w:after="60"/>
              <w:ind w:left="-14" w:firstLine="0"/>
              <w:contextualSpacing w:val="0"/>
              <w:rPr>
                <w:rFonts w:cstheme="minorHAnsi"/>
                <w:sz w:val="16"/>
                <w:szCs w:val="16"/>
              </w:rPr>
            </w:pPr>
            <w:r w:rsidRPr="00D53BC7">
              <w:rPr>
                <w:sz w:val="16"/>
                <w:lang w:val="es-ES" w:bidi="es-ES"/>
              </w:rPr>
              <w:t xml:space="preserve">Entrega </w:t>
            </w:r>
          </w:p>
          <w:p w14:paraId="17200D38" w14:textId="77777777" w:rsidR="0089132A" w:rsidRPr="009D6B32" w:rsidRDefault="0089132A" w:rsidP="0089132A">
            <w:pPr>
              <w:pStyle w:val="ListParagraph"/>
              <w:numPr>
                <w:ilvl w:val="1"/>
                <w:numId w:val="25"/>
              </w:numPr>
              <w:tabs>
                <w:tab w:val="left" w:pos="351"/>
              </w:tabs>
              <w:spacing w:before="60" w:after="60"/>
              <w:ind w:left="-14" w:firstLine="0"/>
              <w:contextualSpacing w:val="0"/>
              <w:rPr>
                <w:rFonts w:cstheme="minorHAnsi"/>
                <w:sz w:val="16"/>
                <w:szCs w:val="16"/>
                <w:lang w:val="es-ES"/>
              </w:rPr>
            </w:pPr>
            <w:r w:rsidRPr="00D53BC7">
              <w:rPr>
                <w:sz w:val="16"/>
                <w:lang w:val="es-ES" w:bidi="es-ES"/>
              </w:rPr>
              <w:t>Disponibilidad de presupuesto y flujo de efectivo</w:t>
            </w:r>
          </w:p>
          <w:p w14:paraId="43A7CAAD" w14:textId="77777777" w:rsidR="0089132A" w:rsidRPr="009D6B32" w:rsidRDefault="0089132A" w:rsidP="00E474A7">
            <w:pPr>
              <w:tabs>
                <w:tab w:val="left" w:pos="351"/>
              </w:tabs>
              <w:spacing w:before="60" w:after="60"/>
              <w:ind w:left="-14"/>
              <w:rPr>
                <w:rFonts w:cstheme="minorHAnsi"/>
                <w:sz w:val="16"/>
                <w:szCs w:val="16"/>
                <w:lang w:val="es-ES"/>
              </w:rPr>
            </w:pPr>
          </w:p>
        </w:tc>
        <w:tc>
          <w:tcPr>
            <w:tcW w:w="1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72492" w14:textId="77777777" w:rsidR="0089132A" w:rsidRPr="009D6B32" w:rsidRDefault="0089132A" w:rsidP="0089132A">
            <w:pPr>
              <w:pStyle w:val="ListParagraph"/>
              <w:numPr>
                <w:ilvl w:val="1"/>
                <w:numId w:val="26"/>
              </w:numPr>
              <w:tabs>
                <w:tab w:val="left" w:pos="335"/>
              </w:tabs>
              <w:spacing w:before="60" w:after="60"/>
              <w:ind w:left="-29" w:firstLine="0"/>
              <w:contextualSpacing w:val="0"/>
              <w:rPr>
                <w:rFonts w:cstheme="minorHAnsi"/>
                <w:sz w:val="16"/>
                <w:szCs w:val="16"/>
                <w:lang w:val="es-ES"/>
              </w:rPr>
            </w:pPr>
            <w:r>
              <w:rPr>
                <w:sz w:val="16"/>
                <w:lang w:val="es-ES" w:bidi="es-ES"/>
              </w:rPr>
              <w:t>Capacidad de respuesta a las auditorías y las evaluaciones (demoras en la ejecución de las recomendaciones)</w:t>
            </w:r>
          </w:p>
          <w:p w14:paraId="6DE2A0B8" w14:textId="77777777" w:rsidR="0089132A" w:rsidRPr="00D53BC7" w:rsidRDefault="0089132A" w:rsidP="0089132A">
            <w:pPr>
              <w:pStyle w:val="ListParagraph"/>
              <w:numPr>
                <w:ilvl w:val="1"/>
                <w:numId w:val="26"/>
              </w:numPr>
              <w:tabs>
                <w:tab w:val="left" w:pos="335"/>
              </w:tabs>
              <w:spacing w:before="60" w:after="60"/>
              <w:ind w:left="-29" w:firstLine="0"/>
              <w:contextualSpacing w:val="0"/>
              <w:rPr>
                <w:rFonts w:cstheme="minorHAnsi"/>
                <w:sz w:val="16"/>
                <w:szCs w:val="16"/>
              </w:rPr>
            </w:pPr>
            <w:r w:rsidRPr="00D53BC7">
              <w:rPr>
                <w:sz w:val="16"/>
                <w:lang w:val="es-ES" w:bidi="es-ES"/>
              </w:rPr>
              <w:t xml:space="preserve">Liderazgo y gestión </w:t>
            </w:r>
          </w:p>
          <w:p w14:paraId="2A3CAF14" w14:textId="77777777" w:rsidR="0089132A" w:rsidRPr="009D6B32" w:rsidRDefault="0089132A" w:rsidP="0089132A">
            <w:pPr>
              <w:pStyle w:val="ListParagraph"/>
              <w:numPr>
                <w:ilvl w:val="1"/>
                <w:numId w:val="26"/>
              </w:numPr>
              <w:tabs>
                <w:tab w:val="left" w:pos="335"/>
              </w:tabs>
              <w:spacing w:before="60" w:after="60"/>
              <w:ind w:left="-29" w:firstLine="0"/>
              <w:contextualSpacing w:val="0"/>
              <w:rPr>
                <w:rFonts w:cstheme="minorHAnsi"/>
                <w:sz w:val="16"/>
                <w:szCs w:val="16"/>
                <w:lang w:val="es-ES"/>
              </w:rPr>
            </w:pPr>
            <w:r w:rsidRPr="00D53BC7">
              <w:rPr>
                <w:sz w:val="16"/>
                <w:lang w:val="es-ES" w:bidi="es-ES"/>
              </w:rPr>
              <w:t>Flexibilidad y gestión de las oportunidades</w:t>
            </w:r>
          </w:p>
          <w:p w14:paraId="75154C08" w14:textId="77777777" w:rsidR="0089132A" w:rsidRPr="00D53BC7" w:rsidRDefault="0089132A" w:rsidP="0089132A">
            <w:pPr>
              <w:pStyle w:val="ListParagraph"/>
              <w:numPr>
                <w:ilvl w:val="1"/>
                <w:numId w:val="26"/>
              </w:numPr>
              <w:tabs>
                <w:tab w:val="left" w:pos="335"/>
              </w:tabs>
              <w:spacing w:before="60" w:after="60"/>
              <w:ind w:left="-29" w:firstLine="0"/>
              <w:contextualSpacing w:val="0"/>
              <w:rPr>
                <w:rFonts w:cstheme="minorHAnsi"/>
                <w:sz w:val="16"/>
                <w:szCs w:val="16"/>
              </w:rPr>
            </w:pPr>
            <w:r w:rsidRPr="00D53BC7">
              <w:rPr>
                <w:sz w:val="16"/>
                <w:lang w:val="es-ES" w:bidi="es-ES"/>
              </w:rPr>
              <w:t>Presentación de informes y comunicación</w:t>
            </w:r>
          </w:p>
          <w:p w14:paraId="4D12D0D5" w14:textId="77777777" w:rsidR="0089132A" w:rsidRPr="00370CB7" w:rsidRDefault="0089132A" w:rsidP="0089132A">
            <w:pPr>
              <w:pStyle w:val="ListParagraph"/>
              <w:numPr>
                <w:ilvl w:val="1"/>
                <w:numId w:val="26"/>
              </w:numPr>
              <w:tabs>
                <w:tab w:val="left" w:pos="335"/>
              </w:tabs>
              <w:spacing w:before="60" w:after="60"/>
              <w:ind w:left="-29" w:firstLine="0"/>
              <w:contextualSpacing w:val="0"/>
              <w:rPr>
                <w:rFonts w:cstheme="minorHAnsi"/>
                <w:sz w:val="16"/>
                <w:szCs w:val="16"/>
              </w:rPr>
            </w:pPr>
            <w:r w:rsidRPr="00370CB7">
              <w:rPr>
                <w:sz w:val="16"/>
                <w:lang w:val="es-ES" w:bidi="es-ES"/>
              </w:rPr>
              <w:t xml:space="preserve">Participación de asociados </w:t>
            </w:r>
          </w:p>
          <w:p w14:paraId="65E25404" w14:textId="77777777" w:rsidR="0089132A" w:rsidRPr="00D53BC7" w:rsidRDefault="0089132A" w:rsidP="0089132A">
            <w:pPr>
              <w:pStyle w:val="ListParagraph"/>
              <w:numPr>
                <w:ilvl w:val="1"/>
                <w:numId w:val="26"/>
              </w:numPr>
              <w:tabs>
                <w:tab w:val="left" w:pos="335"/>
              </w:tabs>
              <w:spacing w:before="60" w:after="60"/>
              <w:ind w:left="-29" w:firstLine="0"/>
              <w:contextualSpacing w:val="0"/>
              <w:rPr>
                <w:rFonts w:cstheme="minorHAnsi"/>
                <w:sz w:val="16"/>
                <w:szCs w:val="16"/>
              </w:rPr>
            </w:pPr>
            <w:r w:rsidRPr="00D53BC7">
              <w:rPr>
                <w:sz w:val="16"/>
                <w:lang w:val="es-ES" w:bidi="es-ES"/>
              </w:rPr>
              <w:t>Estrategia de transición y salida</w:t>
            </w:r>
          </w:p>
          <w:p w14:paraId="36BE1916" w14:textId="77777777" w:rsidR="0089132A" w:rsidRPr="009D6B32" w:rsidRDefault="0089132A" w:rsidP="0089132A">
            <w:pPr>
              <w:pStyle w:val="ListParagraph"/>
              <w:numPr>
                <w:ilvl w:val="1"/>
                <w:numId w:val="26"/>
              </w:numPr>
              <w:tabs>
                <w:tab w:val="left" w:pos="335"/>
              </w:tabs>
              <w:spacing w:before="60" w:after="60"/>
              <w:ind w:left="-29" w:firstLine="0"/>
              <w:contextualSpacing w:val="0"/>
              <w:rPr>
                <w:rFonts w:cstheme="minorHAnsi"/>
                <w:sz w:val="16"/>
                <w:szCs w:val="16"/>
                <w:lang w:val="es-ES"/>
              </w:rPr>
            </w:pPr>
            <w:r w:rsidRPr="00D53BC7">
              <w:rPr>
                <w:sz w:val="16"/>
                <w:lang w:val="es-ES" w:bidi="es-ES"/>
              </w:rPr>
              <w:t xml:space="preserve">Bienestar y salud y seguridad ocupacional </w:t>
            </w:r>
          </w:p>
          <w:p w14:paraId="35D52F98" w14:textId="77777777" w:rsidR="0089132A" w:rsidRPr="00D53BC7" w:rsidRDefault="0089132A" w:rsidP="0089132A">
            <w:pPr>
              <w:pStyle w:val="ListParagraph"/>
              <w:numPr>
                <w:ilvl w:val="1"/>
                <w:numId w:val="26"/>
              </w:numPr>
              <w:tabs>
                <w:tab w:val="left" w:pos="335"/>
              </w:tabs>
              <w:spacing w:before="60" w:after="60"/>
              <w:ind w:left="-29" w:firstLine="0"/>
              <w:contextualSpacing w:val="0"/>
              <w:rPr>
                <w:rFonts w:cstheme="minorHAnsi"/>
                <w:sz w:val="16"/>
                <w:szCs w:val="16"/>
              </w:rPr>
            </w:pPr>
            <w:r w:rsidRPr="00D53BC7">
              <w:rPr>
                <w:sz w:val="16"/>
                <w:lang w:val="es-ES" w:bidi="es-ES"/>
              </w:rPr>
              <w:t>Capacidad de los asociados</w:t>
            </w:r>
          </w:p>
          <w:p w14:paraId="4E8FA273" w14:textId="77777777" w:rsidR="0089132A" w:rsidRPr="004A14CB" w:rsidRDefault="0089132A" w:rsidP="00E474A7">
            <w:pPr>
              <w:tabs>
                <w:tab w:val="left" w:pos="335"/>
              </w:tabs>
              <w:spacing w:before="60" w:after="60"/>
              <w:ind w:left="-29"/>
              <w:rPr>
                <w:rFonts w:cstheme="minorHAnsi"/>
                <w:sz w:val="16"/>
                <w:szCs w:val="16"/>
              </w:rPr>
            </w:pPr>
          </w:p>
        </w:tc>
        <w:tc>
          <w:tcPr>
            <w:tcW w:w="1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57F382" w14:textId="77777777" w:rsidR="0089132A" w:rsidRPr="00D53BC7" w:rsidRDefault="0089132A" w:rsidP="0089132A">
            <w:pPr>
              <w:pStyle w:val="ListParagraph"/>
              <w:numPr>
                <w:ilvl w:val="1"/>
                <w:numId w:val="27"/>
              </w:numPr>
              <w:tabs>
                <w:tab w:val="left" w:pos="285"/>
              </w:tabs>
              <w:spacing w:before="60" w:after="60"/>
              <w:ind w:left="-29" w:firstLine="0"/>
              <w:contextualSpacing w:val="0"/>
              <w:rPr>
                <w:rFonts w:cstheme="minorHAnsi"/>
                <w:sz w:val="16"/>
                <w:szCs w:val="16"/>
              </w:rPr>
            </w:pPr>
            <w:r w:rsidRPr="00D53BC7">
              <w:rPr>
                <w:sz w:val="16"/>
                <w:lang w:val="es-ES" w:bidi="es-ES"/>
              </w:rPr>
              <w:t>Gobernanza</w:t>
            </w:r>
          </w:p>
          <w:p w14:paraId="0425CB59" w14:textId="77777777" w:rsidR="0089132A" w:rsidRPr="00D53BC7" w:rsidRDefault="0089132A" w:rsidP="0089132A">
            <w:pPr>
              <w:pStyle w:val="ListParagraph"/>
              <w:numPr>
                <w:ilvl w:val="1"/>
                <w:numId w:val="27"/>
              </w:numPr>
              <w:tabs>
                <w:tab w:val="left" w:pos="285"/>
              </w:tabs>
              <w:spacing w:before="60" w:after="60"/>
              <w:ind w:left="-29" w:firstLine="0"/>
              <w:contextualSpacing w:val="0"/>
              <w:rPr>
                <w:rFonts w:cstheme="minorHAnsi"/>
                <w:sz w:val="16"/>
                <w:szCs w:val="16"/>
              </w:rPr>
            </w:pPr>
            <w:r w:rsidRPr="00D53BC7">
              <w:rPr>
                <w:sz w:val="16"/>
                <w:lang w:val="es-ES" w:bidi="es-ES"/>
              </w:rPr>
              <w:t>Capacidad de ejecución</w:t>
            </w:r>
          </w:p>
          <w:p w14:paraId="38F6D865" w14:textId="77777777" w:rsidR="0089132A" w:rsidRPr="00D53BC7" w:rsidRDefault="0089132A" w:rsidP="0089132A">
            <w:pPr>
              <w:pStyle w:val="ListParagraph"/>
              <w:numPr>
                <w:ilvl w:val="1"/>
                <w:numId w:val="27"/>
              </w:numPr>
              <w:tabs>
                <w:tab w:val="left" w:pos="285"/>
              </w:tabs>
              <w:spacing w:before="60" w:after="60"/>
              <w:ind w:left="-29" w:firstLine="0"/>
              <w:contextualSpacing w:val="0"/>
              <w:rPr>
                <w:rFonts w:cstheme="minorHAnsi"/>
                <w:sz w:val="16"/>
                <w:szCs w:val="16"/>
              </w:rPr>
            </w:pPr>
            <w:r w:rsidRPr="00D53BC7">
              <w:rPr>
                <w:sz w:val="16"/>
                <w:lang w:val="es-ES" w:bidi="es-ES"/>
              </w:rPr>
              <w:t>Preparativos de implementación</w:t>
            </w:r>
          </w:p>
          <w:p w14:paraId="70D863F8" w14:textId="77777777" w:rsidR="0089132A" w:rsidRPr="00D53BC7" w:rsidRDefault="0089132A" w:rsidP="0089132A">
            <w:pPr>
              <w:pStyle w:val="ListParagraph"/>
              <w:numPr>
                <w:ilvl w:val="1"/>
                <w:numId w:val="27"/>
              </w:numPr>
              <w:tabs>
                <w:tab w:val="left" w:pos="285"/>
              </w:tabs>
              <w:spacing w:before="60" w:after="60"/>
              <w:ind w:left="-29" w:firstLine="0"/>
              <w:contextualSpacing w:val="0"/>
              <w:rPr>
                <w:rFonts w:cstheme="minorHAnsi"/>
                <w:sz w:val="16"/>
                <w:szCs w:val="16"/>
              </w:rPr>
            </w:pPr>
            <w:r w:rsidRPr="00D53BC7">
              <w:rPr>
                <w:sz w:val="16"/>
                <w:lang w:val="es-ES" w:bidi="es-ES"/>
              </w:rPr>
              <w:t>Responsabilidad</w:t>
            </w:r>
          </w:p>
          <w:p w14:paraId="388013A9" w14:textId="77777777" w:rsidR="0089132A" w:rsidRDefault="0089132A" w:rsidP="0089132A">
            <w:pPr>
              <w:pStyle w:val="ListParagraph"/>
              <w:numPr>
                <w:ilvl w:val="1"/>
                <w:numId w:val="27"/>
              </w:numPr>
              <w:tabs>
                <w:tab w:val="left" w:pos="285"/>
              </w:tabs>
              <w:spacing w:before="60" w:after="60"/>
              <w:ind w:left="-29" w:firstLine="0"/>
              <w:contextualSpacing w:val="0"/>
              <w:rPr>
                <w:rFonts w:cstheme="minorHAnsi"/>
                <w:sz w:val="16"/>
                <w:szCs w:val="16"/>
              </w:rPr>
            </w:pPr>
            <w:r w:rsidRPr="00D53BC7">
              <w:rPr>
                <w:sz w:val="16"/>
                <w:lang w:val="es-ES" w:bidi="es-ES"/>
              </w:rPr>
              <w:t>Seguimiento y vigilancia</w:t>
            </w:r>
          </w:p>
          <w:p w14:paraId="247F09E5" w14:textId="77777777" w:rsidR="0089132A" w:rsidRPr="00D53BC7" w:rsidRDefault="0089132A" w:rsidP="0089132A">
            <w:pPr>
              <w:pStyle w:val="ListParagraph"/>
              <w:numPr>
                <w:ilvl w:val="1"/>
                <w:numId w:val="27"/>
              </w:numPr>
              <w:tabs>
                <w:tab w:val="left" w:pos="285"/>
              </w:tabs>
              <w:spacing w:before="60" w:after="60"/>
              <w:ind w:left="-29" w:firstLine="0"/>
              <w:contextualSpacing w:val="0"/>
              <w:rPr>
                <w:rFonts w:cstheme="minorHAnsi"/>
                <w:sz w:val="16"/>
                <w:szCs w:val="16"/>
              </w:rPr>
            </w:pPr>
            <w:r w:rsidRPr="00D53BC7">
              <w:rPr>
                <w:sz w:val="16"/>
                <w:lang w:val="es-ES" w:bidi="es-ES"/>
              </w:rPr>
              <w:t xml:space="preserve">Gestión del conocimiento </w:t>
            </w:r>
          </w:p>
          <w:p w14:paraId="38AB6551" w14:textId="77777777" w:rsidR="0089132A" w:rsidRPr="00D53BC7" w:rsidRDefault="0089132A" w:rsidP="0089132A">
            <w:pPr>
              <w:pStyle w:val="ListParagraph"/>
              <w:numPr>
                <w:ilvl w:val="1"/>
                <w:numId w:val="27"/>
              </w:numPr>
              <w:tabs>
                <w:tab w:val="left" w:pos="285"/>
              </w:tabs>
              <w:spacing w:before="60" w:after="60"/>
              <w:ind w:left="-29" w:firstLine="0"/>
              <w:contextualSpacing w:val="0"/>
              <w:rPr>
                <w:rFonts w:cstheme="minorHAnsi"/>
                <w:sz w:val="16"/>
                <w:szCs w:val="16"/>
              </w:rPr>
            </w:pPr>
            <w:r w:rsidRPr="00D53BC7">
              <w:rPr>
                <w:sz w:val="16"/>
                <w:lang w:val="es-ES" w:bidi="es-ES"/>
              </w:rPr>
              <w:t>Recursos humanos</w:t>
            </w:r>
          </w:p>
          <w:p w14:paraId="225AA713" w14:textId="77777777" w:rsidR="0089132A" w:rsidRPr="00D53BC7" w:rsidRDefault="0089132A" w:rsidP="0089132A">
            <w:pPr>
              <w:pStyle w:val="ListParagraph"/>
              <w:numPr>
                <w:ilvl w:val="1"/>
                <w:numId w:val="27"/>
              </w:numPr>
              <w:tabs>
                <w:tab w:val="left" w:pos="285"/>
              </w:tabs>
              <w:spacing w:before="60" w:after="60"/>
              <w:ind w:left="-29" w:firstLine="0"/>
              <w:contextualSpacing w:val="0"/>
              <w:rPr>
                <w:rFonts w:cstheme="minorHAnsi"/>
                <w:sz w:val="16"/>
                <w:szCs w:val="16"/>
              </w:rPr>
            </w:pPr>
            <w:r w:rsidRPr="00D53BC7">
              <w:rPr>
                <w:sz w:val="16"/>
                <w:lang w:val="es-ES" w:bidi="es-ES"/>
              </w:rPr>
              <w:t>Control interno</w:t>
            </w:r>
          </w:p>
          <w:p w14:paraId="0AC844CB" w14:textId="77777777" w:rsidR="0089132A" w:rsidRPr="00D53BC7" w:rsidRDefault="0089132A" w:rsidP="0089132A">
            <w:pPr>
              <w:pStyle w:val="ListParagraph"/>
              <w:numPr>
                <w:ilvl w:val="1"/>
                <w:numId w:val="27"/>
              </w:numPr>
              <w:tabs>
                <w:tab w:val="left" w:pos="285"/>
              </w:tabs>
              <w:spacing w:before="60" w:after="60"/>
              <w:ind w:left="-29" w:firstLine="0"/>
              <w:contextualSpacing w:val="0"/>
              <w:rPr>
                <w:rFonts w:cstheme="minorHAnsi"/>
                <w:sz w:val="16"/>
                <w:szCs w:val="16"/>
              </w:rPr>
            </w:pPr>
            <w:r w:rsidRPr="00D53BC7">
              <w:rPr>
                <w:sz w:val="16"/>
                <w:lang w:val="es-ES" w:bidi="es-ES"/>
              </w:rPr>
              <w:t>Adquisición</w:t>
            </w:r>
          </w:p>
          <w:p w14:paraId="4003DEC3" w14:textId="77777777" w:rsidR="0089132A" w:rsidRPr="00D53BC7" w:rsidRDefault="0089132A" w:rsidP="00E474A7">
            <w:pPr>
              <w:ind w:left="361"/>
              <w:rPr>
                <w:rFonts w:cstheme="minorHAnsi"/>
                <w:sz w:val="16"/>
                <w:szCs w:val="16"/>
              </w:rPr>
            </w:pPr>
          </w:p>
          <w:p w14:paraId="6F85AF76" w14:textId="77777777" w:rsidR="0089132A" w:rsidRPr="00D53BC7" w:rsidRDefault="0089132A" w:rsidP="00E474A7">
            <w:pPr>
              <w:rPr>
                <w:rFonts w:cstheme="minorHAnsi"/>
                <w:i/>
                <w:iCs/>
                <w:sz w:val="16"/>
                <w:szCs w:val="16"/>
              </w:rPr>
            </w:pPr>
          </w:p>
          <w:p w14:paraId="76A92CC9" w14:textId="77777777" w:rsidR="0089132A" w:rsidRPr="00D53BC7" w:rsidRDefault="0089132A" w:rsidP="00E474A7">
            <w:pPr>
              <w:rPr>
                <w:rFonts w:cstheme="minorHAnsi"/>
                <w:sz w:val="16"/>
                <w:szCs w:val="16"/>
              </w:rPr>
            </w:pPr>
          </w:p>
        </w:tc>
        <w:tc>
          <w:tcPr>
            <w:tcW w:w="1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282303" w14:textId="77777777" w:rsidR="0089132A" w:rsidRPr="009D6B32" w:rsidRDefault="0089132A" w:rsidP="00E474A7">
            <w:pPr>
              <w:tabs>
                <w:tab w:val="left" w:pos="348"/>
              </w:tabs>
              <w:spacing w:before="60" w:after="60"/>
              <w:ind w:left="-14"/>
              <w:rPr>
                <w:rFonts w:eastAsiaTheme="minorEastAsia" w:cstheme="minorHAnsi"/>
                <w:sz w:val="16"/>
                <w:szCs w:val="16"/>
                <w:lang w:val="es-ES"/>
              </w:rPr>
            </w:pPr>
            <w:r w:rsidRPr="00D53BC7">
              <w:rPr>
                <w:sz w:val="16"/>
                <w:lang w:val="es-ES" w:bidi="es-ES"/>
              </w:rPr>
              <w:t>5.1.</w:t>
            </w:r>
            <w:r w:rsidRPr="00D53BC7">
              <w:rPr>
                <w:sz w:val="16"/>
                <w:lang w:val="es-ES" w:bidi="es-ES"/>
              </w:rPr>
              <w:tab/>
              <w:t xml:space="preserve">Opinión pública y medios de comunicación </w:t>
            </w:r>
          </w:p>
          <w:p w14:paraId="45D41E01" w14:textId="77777777" w:rsidR="0089132A" w:rsidRPr="009D6B32" w:rsidRDefault="0089132A" w:rsidP="00E474A7">
            <w:pPr>
              <w:tabs>
                <w:tab w:val="left" w:pos="348"/>
              </w:tabs>
              <w:spacing w:before="60" w:after="60"/>
              <w:ind w:left="-14"/>
              <w:rPr>
                <w:rFonts w:eastAsiaTheme="minorEastAsia" w:cstheme="minorHAnsi"/>
                <w:sz w:val="16"/>
                <w:szCs w:val="16"/>
                <w:lang w:val="es-ES"/>
              </w:rPr>
            </w:pPr>
            <w:r w:rsidRPr="00D53BC7">
              <w:rPr>
                <w:sz w:val="16"/>
                <w:lang w:val="es-ES" w:bidi="es-ES"/>
              </w:rPr>
              <w:t>5.2.</w:t>
            </w:r>
            <w:r w:rsidRPr="00D53BC7">
              <w:rPr>
                <w:sz w:val="16"/>
                <w:lang w:val="es-ES" w:bidi="es-ES"/>
              </w:rPr>
              <w:tab/>
              <w:t>Compromiso con la asociación del sector privado</w:t>
            </w:r>
          </w:p>
          <w:p w14:paraId="758FE620" w14:textId="77777777" w:rsidR="0089132A" w:rsidRPr="009D6B32" w:rsidRDefault="0089132A" w:rsidP="00E474A7">
            <w:pPr>
              <w:tabs>
                <w:tab w:val="left" w:pos="348"/>
              </w:tabs>
              <w:spacing w:before="60" w:after="60"/>
              <w:ind w:left="-14"/>
              <w:rPr>
                <w:rFonts w:eastAsiaTheme="minorEastAsia" w:cstheme="minorHAnsi"/>
                <w:sz w:val="16"/>
                <w:szCs w:val="16"/>
                <w:lang w:val="es-ES"/>
              </w:rPr>
            </w:pPr>
            <w:r w:rsidRPr="00D53BC7">
              <w:rPr>
                <w:sz w:val="16"/>
                <w:lang w:val="es-ES" w:bidi="es-ES"/>
              </w:rPr>
              <w:t>5.3.</w:t>
            </w:r>
            <w:r w:rsidRPr="00D53BC7">
              <w:rPr>
                <w:sz w:val="16"/>
                <w:lang w:val="es-ES" w:bidi="es-ES"/>
              </w:rPr>
              <w:tab/>
              <w:t>Código de conducta y ética</w:t>
            </w:r>
          </w:p>
          <w:p w14:paraId="2C7C4AB1" w14:textId="77777777" w:rsidR="0089132A" w:rsidRPr="009D6B32" w:rsidRDefault="0089132A" w:rsidP="00E474A7">
            <w:pPr>
              <w:tabs>
                <w:tab w:val="left" w:pos="348"/>
              </w:tabs>
              <w:spacing w:before="60" w:after="60"/>
              <w:ind w:left="-14"/>
              <w:rPr>
                <w:rFonts w:eastAsiaTheme="minorEastAsia" w:cstheme="minorHAnsi"/>
                <w:sz w:val="16"/>
                <w:szCs w:val="16"/>
                <w:lang w:val="es-ES"/>
              </w:rPr>
            </w:pPr>
            <w:r w:rsidRPr="00D53BC7">
              <w:rPr>
                <w:sz w:val="16"/>
                <w:lang w:val="es-ES" w:bidi="es-ES"/>
              </w:rPr>
              <w:t xml:space="preserve">5.4. </w:t>
            </w:r>
            <w:r w:rsidRPr="00D53BC7">
              <w:rPr>
                <w:sz w:val="16"/>
                <w:lang w:val="es-ES" w:bidi="es-ES"/>
              </w:rPr>
              <w:tab/>
              <w:t>Comunicaciones</w:t>
            </w:r>
          </w:p>
          <w:p w14:paraId="374A45E3" w14:textId="77777777" w:rsidR="0089132A" w:rsidRPr="009D6B32" w:rsidRDefault="0089132A" w:rsidP="00E474A7">
            <w:pPr>
              <w:tabs>
                <w:tab w:val="left" w:pos="348"/>
              </w:tabs>
              <w:spacing w:before="60" w:after="60"/>
              <w:ind w:left="-14"/>
              <w:rPr>
                <w:rFonts w:eastAsiaTheme="minorEastAsia" w:cstheme="minorHAnsi"/>
                <w:sz w:val="16"/>
                <w:szCs w:val="16"/>
                <w:lang w:val="es-ES"/>
              </w:rPr>
            </w:pPr>
            <w:r w:rsidRPr="00D53BC7">
              <w:rPr>
                <w:sz w:val="16"/>
                <w:lang w:val="es-ES" w:bidi="es-ES"/>
              </w:rPr>
              <w:t>5.5.</w:t>
            </w:r>
            <w:r w:rsidRPr="00D53BC7">
              <w:rPr>
                <w:sz w:val="16"/>
                <w:lang w:val="es-ES" w:bidi="es-ES"/>
              </w:rPr>
              <w:tab/>
              <w:t>Gestión de las partes interesadas</w:t>
            </w:r>
          </w:p>
          <w:p w14:paraId="76EEC91F" w14:textId="2996A63D" w:rsidR="003D55CB" w:rsidRPr="009D6B32" w:rsidRDefault="0031527C" w:rsidP="00E474A7">
            <w:pPr>
              <w:tabs>
                <w:tab w:val="left" w:pos="348"/>
              </w:tabs>
              <w:spacing w:before="60" w:after="60"/>
              <w:ind w:left="-14"/>
              <w:rPr>
                <w:rFonts w:eastAsiaTheme="minorEastAsia" w:cstheme="minorHAnsi"/>
                <w:sz w:val="16"/>
                <w:szCs w:val="16"/>
                <w:lang w:val="es-ES"/>
              </w:rPr>
            </w:pPr>
            <w:r w:rsidRPr="0031527C">
              <w:rPr>
                <w:sz w:val="16"/>
                <w:lang w:val="es-ES" w:bidi="es-ES"/>
              </w:rPr>
              <w:t>5.6.</w:t>
            </w:r>
            <w:r w:rsidRPr="0031527C">
              <w:rPr>
                <w:sz w:val="16"/>
                <w:lang w:val="es-ES" w:bidi="es-ES"/>
              </w:rPr>
              <w:tab/>
              <w:t>Exposición a entidades implicadas en el blanqueo de dinero y la financiación del terrorismo</w:t>
            </w:r>
          </w:p>
          <w:p w14:paraId="3767EA49" w14:textId="77777777" w:rsidR="0089132A" w:rsidRPr="009D6B32" w:rsidRDefault="0089132A" w:rsidP="00E474A7">
            <w:pPr>
              <w:rPr>
                <w:rFonts w:cstheme="minorHAnsi"/>
                <w:sz w:val="16"/>
                <w:szCs w:val="16"/>
                <w:lang w:val="es-ES"/>
              </w:rPr>
            </w:pPr>
          </w:p>
          <w:p w14:paraId="2893BDAD" w14:textId="77777777" w:rsidR="0089132A" w:rsidRPr="009D6B32" w:rsidRDefault="0089132A" w:rsidP="00E474A7">
            <w:pPr>
              <w:ind w:left="360"/>
              <w:rPr>
                <w:rFonts w:eastAsiaTheme="minorEastAsia" w:cstheme="minorHAnsi"/>
                <w:sz w:val="16"/>
                <w:szCs w:val="16"/>
                <w:lang w:val="es-ES"/>
              </w:rPr>
            </w:pPr>
          </w:p>
          <w:p w14:paraId="46E05071" w14:textId="77777777" w:rsidR="0089132A" w:rsidRPr="009D6B32" w:rsidRDefault="0089132A" w:rsidP="00E474A7">
            <w:pPr>
              <w:rPr>
                <w:rFonts w:cstheme="minorHAnsi"/>
                <w:i/>
                <w:iCs/>
                <w:sz w:val="16"/>
                <w:szCs w:val="16"/>
                <w:lang w:val="es-ES"/>
              </w:rPr>
            </w:pPr>
          </w:p>
          <w:p w14:paraId="267ADA8A" w14:textId="77777777" w:rsidR="0089132A" w:rsidRPr="009D6B32" w:rsidRDefault="0089132A" w:rsidP="00E474A7">
            <w:pPr>
              <w:rPr>
                <w:rFonts w:cstheme="minorHAnsi"/>
                <w:sz w:val="16"/>
                <w:szCs w:val="16"/>
                <w:lang w:val="es-ES"/>
              </w:rPr>
            </w:pPr>
          </w:p>
        </w:tc>
        <w:tc>
          <w:tcPr>
            <w:tcW w:w="1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1EB1A7" w14:textId="77777777" w:rsidR="0089132A" w:rsidRPr="009D6B32" w:rsidRDefault="0089132A" w:rsidP="0089132A">
            <w:pPr>
              <w:pStyle w:val="ListParagraph"/>
              <w:numPr>
                <w:ilvl w:val="1"/>
                <w:numId w:val="30"/>
              </w:numPr>
              <w:tabs>
                <w:tab w:val="left" w:pos="344"/>
              </w:tabs>
              <w:spacing w:before="60" w:after="60"/>
              <w:ind w:left="-14" w:firstLine="0"/>
              <w:contextualSpacing w:val="0"/>
              <w:rPr>
                <w:rFonts w:cstheme="minorHAnsi"/>
                <w:sz w:val="16"/>
                <w:szCs w:val="16"/>
                <w:lang w:val="es-ES"/>
              </w:rPr>
            </w:pPr>
            <w:r w:rsidRPr="00D53BC7">
              <w:rPr>
                <w:sz w:val="16"/>
                <w:lang w:val="es-ES" w:bidi="es-ES"/>
              </w:rPr>
              <w:t>Cambios en el marco regulatorio dentro del país de operación</w:t>
            </w:r>
          </w:p>
          <w:p w14:paraId="7E92457B" w14:textId="77777777" w:rsidR="0089132A" w:rsidRPr="009D6B32" w:rsidRDefault="0089132A" w:rsidP="0089132A">
            <w:pPr>
              <w:pStyle w:val="ListParagraph"/>
              <w:numPr>
                <w:ilvl w:val="1"/>
                <w:numId w:val="30"/>
              </w:numPr>
              <w:tabs>
                <w:tab w:val="left" w:pos="344"/>
              </w:tabs>
              <w:spacing w:before="60" w:after="60"/>
              <w:ind w:left="-14" w:firstLine="0"/>
              <w:contextualSpacing w:val="0"/>
              <w:rPr>
                <w:rFonts w:cstheme="minorHAnsi"/>
                <w:sz w:val="16"/>
                <w:szCs w:val="16"/>
                <w:lang w:val="es-ES"/>
              </w:rPr>
            </w:pPr>
            <w:r w:rsidRPr="00D53BC7">
              <w:rPr>
                <w:sz w:val="16"/>
                <w:lang w:val="es-ES" w:bidi="es-ES"/>
              </w:rPr>
              <w:t>Cambios en el marco regulatorio internacional que afectan a toda la organización</w:t>
            </w:r>
          </w:p>
          <w:p w14:paraId="4C807C84" w14:textId="77777777" w:rsidR="0089132A" w:rsidRPr="009D6B32" w:rsidRDefault="0089132A" w:rsidP="0089132A">
            <w:pPr>
              <w:pStyle w:val="ListParagraph"/>
              <w:numPr>
                <w:ilvl w:val="1"/>
                <w:numId w:val="30"/>
              </w:numPr>
              <w:tabs>
                <w:tab w:val="left" w:pos="344"/>
              </w:tabs>
              <w:spacing w:before="60" w:after="60"/>
              <w:ind w:left="-14" w:firstLine="0"/>
              <w:contextualSpacing w:val="0"/>
              <w:rPr>
                <w:rFonts w:cstheme="minorHAnsi"/>
                <w:sz w:val="16"/>
                <w:szCs w:val="16"/>
                <w:lang w:val="es-ES"/>
              </w:rPr>
            </w:pPr>
            <w:r w:rsidRPr="00D53BC7">
              <w:rPr>
                <w:sz w:val="16"/>
                <w:lang w:val="es-ES" w:bidi="es-ES"/>
              </w:rPr>
              <w:t>Desviación de las reglas y reglamentaciones internas del PNUD</w:t>
            </w:r>
          </w:p>
          <w:p w14:paraId="78359F1A" w14:textId="77777777" w:rsidR="0089132A" w:rsidRPr="009D6B32" w:rsidRDefault="0089132A" w:rsidP="00E474A7">
            <w:pPr>
              <w:rPr>
                <w:rFonts w:cstheme="minorHAnsi"/>
                <w:i/>
                <w:sz w:val="16"/>
                <w:szCs w:val="16"/>
                <w:lang w:val="es-ES"/>
              </w:rPr>
            </w:pPr>
          </w:p>
          <w:p w14:paraId="3C25AFC4" w14:textId="77777777" w:rsidR="0089132A" w:rsidRPr="009D6B32" w:rsidRDefault="0089132A" w:rsidP="00E474A7">
            <w:pPr>
              <w:rPr>
                <w:rFonts w:cstheme="minorHAnsi"/>
                <w:i/>
                <w:iCs/>
                <w:sz w:val="16"/>
                <w:szCs w:val="16"/>
                <w:lang w:val="es-ES"/>
              </w:rPr>
            </w:pPr>
          </w:p>
          <w:p w14:paraId="0CD4CDD8" w14:textId="77777777" w:rsidR="0089132A" w:rsidRPr="009D6B32" w:rsidRDefault="0089132A" w:rsidP="00E474A7">
            <w:pPr>
              <w:ind w:left="331"/>
              <w:rPr>
                <w:rFonts w:cstheme="minorHAnsi"/>
                <w:sz w:val="16"/>
                <w:szCs w:val="16"/>
                <w:lang w:val="es-ES"/>
              </w:rPr>
            </w:pPr>
          </w:p>
        </w:tc>
        <w:tc>
          <w:tcPr>
            <w:tcW w:w="1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E99090" w14:textId="757C75A8" w:rsidR="0089132A" w:rsidRPr="009D6B32" w:rsidRDefault="0089132A" w:rsidP="0089132A">
            <w:pPr>
              <w:pStyle w:val="ListParagraph"/>
              <w:numPr>
                <w:ilvl w:val="1"/>
                <w:numId w:val="29"/>
              </w:numPr>
              <w:tabs>
                <w:tab w:val="left" w:pos="335"/>
              </w:tabs>
              <w:spacing w:before="60" w:after="60"/>
              <w:ind w:left="0" w:firstLine="0"/>
              <w:contextualSpacing w:val="0"/>
              <w:rPr>
                <w:rFonts w:cstheme="minorHAnsi"/>
                <w:sz w:val="16"/>
                <w:szCs w:val="16"/>
                <w:lang w:val="es-ES"/>
              </w:rPr>
            </w:pPr>
            <w:r w:rsidRPr="00D53BC7">
              <w:rPr>
                <w:sz w:val="16"/>
                <w:lang w:val="es-ES" w:bidi="es-ES"/>
              </w:rPr>
              <w:t>Alineación con las prioridades estratégicas del PNUD</w:t>
            </w:r>
          </w:p>
          <w:p w14:paraId="4D5BCDE3" w14:textId="77777777" w:rsidR="0089132A" w:rsidRPr="009D6B32" w:rsidRDefault="0089132A" w:rsidP="0089132A">
            <w:pPr>
              <w:pStyle w:val="ListParagraph"/>
              <w:numPr>
                <w:ilvl w:val="1"/>
                <w:numId w:val="29"/>
              </w:numPr>
              <w:tabs>
                <w:tab w:val="left" w:pos="335"/>
              </w:tabs>
              <w:spacing w:before="60" w:after="60"/>
              <w:ind w:left="0" w:firstLine="0"/>
              <w:contextualSpacing w:val="0"/>
              <w:rPr>
                <w:rFonts w:cstheme="minorHAnsi"/>
                <w:sz w:val="16"/>
                <w:szCs w:val="16"/>
                <w:lang w:val="es-ES"/>
              </w:rPr>
            </w:pPr>
            <w:r w:rsidRPr="00D53BC7">
              <w:rPr>
                <w:sz w:val="16"/>
                <w:lang w:val="es-ES" w:bidi="es-ES"/>
              </w:rPr>
              <w:t>Coordinación y reforma del sistema de las Naciones Unidas</w:t>
            </w:r>
          </w:p>
          <w:p w14:paraId="55F654AE" w14:textId="77777777" w:rsidR="0089132A" w:rsidRPr="009D6B32" w:rsidRDefault="0089132A" w:rsidP="0089132A">
            <w:pPr>
              <w:pStyle w:val="ListParagraph"/>
              <w:numPr>
                <w:ilvl w:val="1"/>
                <w:numId w:val="29"/>
              </w:numPr>
              <w:tabs>
                <w:tab w:val="left" w:pos="335"/>
              </w:tabs>
              <w:spacing w:before="60" w:after="60"/>
              <w:ind w:left="0" w:firstLine="0"/>
              <w:contextualSpacing w:val="0"/>
              <w:rPr>
                <w:rFonts w:eastAsiaTheme="minorEastAsia" w:cstheme="minorHAnsi"/>
                <w:sz w:val="16"/>
                <w:szCs w:val="16"/>
                <w:lang w:val="es-ES"/>
              </w:rPr>
            </w:pPr>
            <w:r w:rsidRPr="00D53BC7">
              <w:rPr>
                <w:sz w:val="16"/>
                <w:lang w:val="es-ES" w:bidi="es-ES"/>
              </w:rPr>
              <w:t>Relaciones con las partes interesadas y asociaciones</w:t>
            </w:r>
          </w:p>
          <w:p w14:paraId="661B8188" w14:textId="77777777" w:rsidR="0089132A" w:rsidRPr="00D53BC7" w:rsidRDefault="0089132A" w:rsidP="0089132A">
            <w:pPr>
              <w:pStyle w:val="ListParagraph"/>
              <w:numPr>
                <w:ilvl w:val="1"/>
                <w:numId w:val="29"/>
              </w:numPr>
              <w:tabs>
                <w:tab w:val="left" w:pos="335"/>
              </w:tabs>
              <w:spacing w:before="60" w:after="60"/>
              <w:ind w:left="0" w:firstLine="0"/>
              <w:contextualSpacing w:val="0"/>
              <w:rPr>
                <w:rFonts w:eastAsiaTheme="minorEastAsia" w:cstheme="minorHAnsi"/>
                <w:sz w:val="16"/>
                <w:szCs w:val="16"/>
              </w:rPr>
            </w:pPr>
            <w:r w:rsidRPr="00D53BC7">
              <w:rPr>
                <w:sz w:val="16"/>
                <w:lang w:val="es-ES" w:bidi="es-ES"/>
              </w:rPr>
              <w:t xml:space="preserve">Competencia </w:t>
            </w:r>
          </w:p>
          <w:p w14:paraId="484534F1" w14:textId="77777777" w:rsidR="0089132A" w:rsidRPr="00D53BC7" w:rsidRDefault="0089132A" w:rsidP="0089132A">
            <w:pPr>
              <w:pStyle w:val="ListParagraph"/>
              <w:numPr>
                <w:ilvl w:val="1"/>
                <w:numId w:val="29"/>
              </w:numPr>
              <w:tabs>
                <w:tab w:val="left" w:pos="335"/>
              </w:tabs>
              <w:spacing w:before="60" w:after="60"/>
              <w:ind w:left="0" w:firstLine="0"/>
              <w:contextualSpacing w:val="0"/>
              <w:rPr>
                <w:rFonts w:cstheme="minorHAnsi"/>
                <w:sz w:val="16"/>
                <w:szCs w:val="16"/>
              </w:rPr>
            </w:pPr>
            <w:r w:rsidRPr="00D53BC7">
              <w:rPr>
                <w:sz w:val="16"/>
                <w:lang w:val="es-ES" w:bidi="es-ES"/>
              </w:rPr>
              <w:t>Compromiso del gobierno</w:t>
            </w:r>
          </w:p>
          <w:p w14:paraId="220CE907" w14:textId="77777777" w:rsidR="0089132A" w:rsidRPr="00D53BC7" w:rsidRDefault="0089132A" w:rsidP="0089132A">
            <w:pPr>
              <w:pStyle w:val="ListParagraph"/>
              <w:numPr>
                <w:ilvl w:val="1"/>
                <w:numId w:val="29"/>
              </w:numPr>
              <w:tabs>
                <w:tab w:val="left" w:pos="335"/>
              </w:tabs>
              <w:spacing w:before="60" w:after="60"/>
              <w:ind w:left="0" w:right="315" w:firstLine="0"/>
              <w:contextualSpacing w:val="0"/>
              <w:rPr>
                <w:rFonts w:cstheme="minorHAnsi"/>
                <w:sz w:val="16"/>
                <w:szCs w:val="16"/>
              </w:rPr>
            </w:pPr>
            <w:r w:rsidRPr="00D53BC7">
              <w:rPr>
                <w:sz w:val="16"/>
                <w:lang w:val="es-ES" w:bidi="es-ES"/>
              </w:rPr>
              <w:t>Cambio/rotación en el gobierno</w:t>
            </w:r>
          </w:p>
          <w:p w14:paraId="64548576" w14:textId="77777777" w:rsidR="0089132A" w:rsidRPr="00D53BC7" w:rsidRDefault="0089132A" w:rsidP="0089132A">
            <w:pPr>
              <w:pStyle w:val="ListParagraph"/>
              <w:numPr>
                <w:ilvl w:val="1"/>
                <w:numId w:val="29"/>
              </w:numPr>
              <w:tabs>
                <w:tab w:val="left" w:pos="335"/>
              </w:tabs>
              <w:spacing w:before="60" w:after="60"/>
              <w:ind w:left="0" w:firstLine="0"/>
              <w:contextualSpacing w:val="0"/>
              <w:rPr>
                <w:rFonts w:cstheme="minorHAnsi"/>
                <w:sz w:val="16"/>
                <w:szCs w:val="16"/>
              </w:rPr>
            </w:pPr>
            <w:r w:rsidRPr="00D53BC7">
              <w:rPr>
                <w:sz w:val="16"/>
                <w:lang w:val="es-ES" w:bidi="es-ES"/>
              </w:rPr>
              <w:t>Alineación con las prioridades nacionales</w:t>
            </w:r>
          </w:p>
          <w:p w14:paraId="1990EA7E" w14:textId="77777777" w:rsidR="0089132A" w:rsidRPr="009B513A" w:rsidRDefault="0089132A" w:rsidP="0089132A">
            <w:pPr>
              <w:pStyle w:val="ListParagraph"/>
              <w:numPr>
                <w:ilvl w:val="1"/>
                <w:numId w:val="29"/>
              </w:numPr>
              <w:tabs>
                <w:tab w:val="left" w:pos="335"/>
              </w:tabs>
              <w:spacing w:before="60" w:after="60"/>
              <w:ind w:left="0" w:firstLine="0"/>
              <w:contextualSpacing w:val="0"/>
              <w:rPr>
                <w:rFonts w:cstheme="minorHAnsi"/>
                <w:sz w:val="16"/>
                <w:szCs w:val="16"/>
              </w:rPr>
            </w:pPr>
            <w:r w:rsidRPr="00D53BC7">
              <w:rPr>
                <w:sz w:val="16"/>
                <w:lang w:val="es-ES" w:bidi="es-ES"/>
              </w:rPr>
              <w:t>Innovar, pilotar, experimentar</w:t>
            </w:r>
          </w:p>
          <w:p w14:paraId="6780A974" w14:textId="77777777" w:rsidR="0089132A" w:rsidRPr="00D53BC7" w:rsidRDefault="0089132A" w:rsidP="00E474A7">
            <w:pPr>
              <w:rPr>
                <w:rFonts w:cstheme="minorHAnsi"/>
                <w:i/>
                <w:iCs/>
                <w:sz w:val="16"/>
                <w:szCs w:val="16"/>
              </w:rPr>
            </w:pPr>
          </w:p>
          <w:p w14:paraId="4DF1C47F" w14:textId="77777777" w:rsidR="0089132A" w:rsidRPr="00D53BC7" w:rsidRDefault="0089132A" w:rsidP="00E474A7">
            <w:pPr>
              <w:rPr>
                <w:rFonts w:eastAsiaTheme="minorEastAsia" w:cstheme="minorHAnsi"/>
                <w:sz w:val="16"/>
                <w:szCs w:val="16"/>
              </w:rPr>
            </w:pPr>
          </w:p>
        </w:tc>
        <w:tc>
          <w:tcPr>
            <w:tcW w:w="1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0C118E" w14:textId="77777777" w:rsidR="0089132A" w:rsidRPr="00D53BC7" w:rsidRDefault="0089132A" w:rsidP="00E474A7">
            <w:pPr>
              <w:tabs>
                <w:tab w:val="left" w:pos="335"/>
              </w:tabs>
              <w:spacing w:before="60" w:after="60"/>
              <w:rPr>
                <w:rFonts w:eastAsiaTheme="minorEastAsia" w:cstheme="minorHAnsi"/>
                <w:color w:val="000000" w:themeColor="text1"/>
                <w:sz w:val="16"/>
                <w:szCs w:val="16"/>
              </w:rPr>
            </w:pPr>
            <w:r w:rsidRPr="00D53BC7">
              <w:rPr>
                <w:sz w:val="16"/>
                <w:lang w:val="es-ES" w:bidi="es-ES"/>
              </w:rPr>
              <w:t>8.1.</w:t>
            </w:r>
            <w:r w:rsidRPr="00D53BC7">
              <w:rPr>
                <w:sz w:val="16"/>
                <w:lang w:val="es-ES" w:bidi="es-ES"/>
              </w:rPr>
              <w:tab/>
              <w:t>Conflicto armado</w:t>
            </w:r>
          </w:p>
          <w:p w14:paraId="1D0A5120" w14:textId="77777777" w:rsidR="0089132A" w:rsidRPr="00D53BC7" w:rsidRDefault="0089132A" w:rsidP="00E474A7">
            <w:pPr>
              <w:tabs>
                <w:tab w:val="left" w:pos="335"/>
                <w:tab w:val="center" w:pos="927"/>
              </w:tabs>
              <w:spacing w:before="60" w:after="60"/>
              <w:rPr>
                <w:rFonts w:eastAsiaTheme="minorEastAsia" w:cstheme="minorHAnsi"/>
                <w:color w:val="000000" w:themeColor="text1"/>
                <w:sz w:val="16"/>
                <w:szCs w:val="16"/>
              </w:rPr>
            </w:pPr>
            <w:r w:rsidRPr="00D53BC7">
              <w:rPr>
                <w:sz w:val="16"/>
                <w:lang w:val="es-ES" w:bidi="es-ES"/>
              </w:rPr>
              <w:t>8.2.</w:t>
            </w:r>
            <w:r w:rsidRPr="00D53BC7">
              <w:rPr>
                <w:sz w:val="16"/>
                <w:lang w:val="es-ES" w:bidi="es-ES"/>
              </w:rPr>
              <w:tab/>
              <w:t xml:space="preserve">Inestabilidad política </w:t>
            </w:r>
          </w:p>
          <w:p w14:paraId="2FD6F89D" w14:textId="77777777" w:rsidR="0089132A" w:rsidRPr="00D53BC7" w:rsidRDefault="0089132A" w:rsidP="00E474A7">
            <w:pPr>
              <w:tabs>
                <w:tab w:val="left" w:pos="335"/>
              </w:tabs>
              <w:spacing w:before="60" w:after="60"/>
              <w:rPr>
                <w:rFonts w:eastAsiaTheme="minorEastAsia" w:cstheme="minorHAnsi"/>
                <w:color w:val="000000" w:themeColor="text1"/>
                <w:sz w:val="16"/>
                <w:szCs w:val="16"/>
              </w:rPr>
            </w:pPr>
            <w:r w:rsidRPr="00D53BC7">
              <w:rPr>
                <w:sz w:val="16"/>
                <w:lang w:val="es-ES" w:bidi="es-ES"/>
              </w:rPr>
              <w:t>8.3.</w:t>
            </w:r>
            <w:r w:rsidRPr="00D53BC7">
              <w:rPr>
                <w:sz w:val="16"/>
                <w:lang w:val="es-ES" w:bidi="es-ES"/>
              </w:rPr>
              <w:tab/>
              <w:t>Terrorismo</w:t>
            </w:r>
          </w:p>
          <w:p w14:paraId="650C7D85" w14:textId="77777777" w:rsidR="0089132A" w:rsidRPr="00D53BC7" w:rsidRDefault="0089132A" w:rsidP="00E474A7">
            <w:pPr>
              <w:tabs>
                <w:tab w:val="left" w:pos="335"/>
              </w:tabs>
              <w:spacing w:before="60" w:after="60"/>
              <w:rPr>
                <w:rFonts w:eastAsiaTheme="minorEastAsia" w:cstheme="minorHAnsi"/>
                <w:color w:val="000000" w:themeColor="text1"/>
                <w:sz w:val="16"/>
                <w:szCs w:val="16"/>
              </w:rPr>
            </w:pPr>
            <w:r w:rsidRPr="00D53BC7">
              <w:rPr>
                <w:sz w:val="16"/>
                <w:lang w:val="es-ES" w:bidi="es-ES"/>
              </w:rPr>
              <w:t>8.4.</w:t>
            </w:r>
            <w:r w:rsidRPr="00D53BC7">
              <w:rPr>
                <w:sz w:val="16"/>
                <w:lang w:val="es-ES" w:bidi="es-ES"/>
              </w:rPr>
              <w:tab/>
              <w:t>Crimen</w:t>
            </w:r>
          </w:p>
          <w:p w14:paraId="2B383308" w14:textId="77777777" w:rsidR="0089132A" w:rsidRPr="00D53BC7" w:rsidRDefault="0089132A" w:rsidP="00E474A7">
            <w:pPr>
              <w:tabs>
                <w:tab w:val="left" w:pos="335"/>
              </w:tabs>
              <w:spacing w:before="60" w:after="60"/>
              <w:rPr>
                <w:rFonts w:eastAsiaTheme="minorEastAsia" w:cstheme="minorHAnsi"/>
                <w:color w:val="000000" w:themeColor="text1"/>
                <w:sz w:val="16"/>
                <w:szCs w:val="16"/>
              </w:rPr>
            </w:pPr>
            <w:r w:rsidRPr="00D53BC7">
              <w:rPr>
                <w:sz w:val="16"/>
                <w:lang w:val="es-ES" w:bidi="es-ES"/>
              </w:rPr>
              <w:t>8.5.</w:t>
            </w:r>
            <w:r w:rsidRPr="00D53BC7">
              <w:rPr>
                <w:sz w:val="16"/>
                <w:lang w:val="es-ES" w:bidi="es-ES"/>
              </w:rPr>
              <w:tab/>
              <w:t>Disturbios civiles</w:t>
            </w:r>
          </w:p>
          <w:p w14:paraId="260A79F9" w14:textId="77777777" w:rsidR="0089132A" w:rsidRPr="00D53BC7" w:rsidRDefault="0089132A" w:rsidP="00E474A7">
            <w:pPr>
              <w:tabs>
                <w:tab w:val="left" w:pos="335"/>
              </w:tabs>
              <w:spacing w:before="60" w:after="60"/>
              <w:rPr>
                <w:rFonts w:eastAsiaTheme="minorEastAsia" w:cstheme="minorHAnsi"/>
                <w:color w:val="000000" w:themeColor="text1"/>
                <w:sz w:val="16"/>
                <w:szCs w:val="16"/>
              </w:rPr>
            </w:pPr>
            <w:r w:rsidRPr="00D53BC7">
              <w:rPr>
                <w:sz w:val="16"/>
                <w:lang w:val="es-ES" w:bidi="es-ES"/>
              </w:rPr>
              <w:t>8.6.</w:t>
            </w:r>
            <w:r w:rsidRPr="00D53BC7">
              <w:rPr>
                <w:sz w:val="16"/>
                <w:lang w:val="es-ES" w:bidi="es-ES"/>
              </w:rPr>
              <w:tab/>
              <w:t>Peligros naturales</w:t>
            </w:r>
          </w:p>
          <w:p w14:paraId="6FCC8378" w14:textId="6F730390" w:rsidR="00A809A1" w:rsidRDefault="0089132A" w:rsidP="00E474A7">
            <w:pPr>
              <w:tabs>
                <w:tab w:val="left" w:pos="335"/>
              </w:tabs>
              <w:spacing w:before="60" w:after="60"/>
              <w:rPr>
                <w:sz w:val="16"/>
                <w:lang w:val="es-ES" w:bidi="es-ES"/>
              </w:rPr>
            </w:pPr>
            <w:r w:rsidRPr="00D53BC7">
              <w:rPr>
                <w:sz w:val="16"/>
                <w:lang w:val="es-ES" w:bidi="es-ES"/>
              </w:rPr>
              <w:t>8.7.</w:t>
            </w:r>
            <w:r w:rsidRPr="00D53BC7">
              <w:rPr>
                <w:sz w:val="16"/>
                <w:lang w:val="es-ES" w:bidi="es-ES"/>
              </w:rPr>
              <w:tab/>
              <w:t>Peligros de origen humano</w:t>
            </w:r>
          </w:p>
          <w:p w14:paraId="7AF6048B" w14:textId="3DB5500B" w:rsidR="0089132A" w:rsidRPr="009D6B32" w:rsidRDefault="0089132A" w:rsidP="00E474A7">
            <w:pPr>
              <w:tabs>
                <w:tab w:val="left" w:pos="335"/>
              </w:tabs>
              <w:spacing w:before="60" w:after="60"/>
              <w:rPr>
                <w:rFonts w:eastAsiaTheme="minorEastAsia" w:cstheme="minorHAnsi"/>
                <w:color w:val="000000" w:themeColor="text1"/>
                <w:sz w:val="16"/>
                <w:szCs w:val="16"/>
                <w:lang w:val="es-ES"/>
              </w:rPr>
            </w:pPr>
            <w:r w:rsidRPr="00D53BC7">
              <w:rPr>
                <w:sz w:val="16"/>
                <w:lang w:val="es-ES" w:bidi="es-ES"/>
              </w:rPr>
              <w:t>8.8.</w:t>
            </w:r>
            <w:r w:rsidRPr="00D53BC7">
              <w:rPr>
                <w:sz w:val="16"/>
                <w:lang w:val="es-ES" w:bidi="es-ES"/>
              </w:rPr>
              <w:tab/>
              <w:t>Ciberseguridad y amenazas</w:t>
            </w:r>
          </w:p>
          <w:p w14:paraId="4B194673" w14:textId="77777777" w:rsidR="0089132A" w:rsidRPr="009D6B32" w:rsidRDefault="0089132A" w:rsidP="00E474A7">
            <w:pPr>
              <w:ind w:hanging="360"/>
              <w:rPr>
                <w:rFonts w:eastAsiaTheme="minorEastAsia" w:cstheme="minorHAnsi"/>
                <w:color w:val="000000" w:themeColor="text1"/>
                <w:sz w:val="16"/>
                <w:szCs w:val="16"/>
                <w:lang w:val="es-ES"/>
              </w:rPr>
            </w:pPr>
            <w:r w:rsidRPr="00D53BC7">
              <w:rPr>
                <w:sz w:val="16"/>
                <w:lang w:val="es-ES" w:bidi="es-ES"/>
              </w:rPr>
              <w:t xml:space="preserve"> </w:t>
            </w:r>
          </w:p>
          <w:p w14:paraId="23B090A8" w14:textId="77777777" w:rsidR="0089132A" w:rsidRPr="009D6B32" w:rsidRDefault="0089132A" w:rsidP="00E474A7">
            <w:pPr>
              <w:ind w:hanging="360"/>
              <w:rPr>
                <w:rFonts w:eastAsiaTheme="minorEastAsia" w:cstheme="minorHAnsi"/>
                <w:color w:val="000000" w:themeColor="text1"/>
                <w:sz w:val="16"/>
                <w:szCs w:val="16"/>
                <w:lang w:val="es-ES"/>
              </w:rPr>
            </w:pPr>
          </w:p>
          <w:p w14:paraId="47AA3F91" w14:textId="77777777" w:rsidR="0089132A" w:rsidRPr="009D6B32" w:rsidRDefault="0089132A" w:rsidP="00E474A7">
            <w:pPr>
              <w:ind w:hanging="360"/>
              <w:rPr>
                <w:rFonts w:eastAsiaTheme="minorEastAsia" w:cstheme="minorHAnsi"/>
                <w:color w:val="000000" w:themeColor="text1"/>
                <w:sz w:val="16"/>
                <w:szCs w:val="16"/>
                <w:lang w:val="es-ES"/>
              </w:rPr>
            </w:pPr>
          </w:p>
          <w:p w14:paraId="695582E7" w14:textId="77777777" w:rsidR="0089132A" w:rsidRPr="009D6B32" w:rsidRDefault="0089132A" w:rsidP="00E474A7">
            <w:pPr>
              <w:ind w:hanging="360"/>
              <w:rPr>
                <w:rFonts w:eastAsiaTheme="minorEastAsia" w:cstheme="minorHAnsi"/>
                <w:color w:val="000000" w:themeColor="text1"/>
                <w:sz w:val="16"/>
                <w:szCs w:val="16"/>
                <w:lang w:val="es-ES"/>
              </w:rPr>
            </w:pPr>
          </w:p>
          <w:p w14:paraId="108BC0F8" w14:textId="77777777" w:rsidR="0089132A" w:rsidRPr="009D6B32" w:rsidRDefault="0089132A" w:rsidP="00E474A7">
            <w:pPr>
              <w:ind w:hanging="360"/>
              <w:rPr>
                <w:rFonts w:eastAsiaTheme="minorEastAsia" w:cstheme="minorHAnsi"/>
                <w:color w:val="000000" w:themeColor="text1"/>
                <w:sz w:val="16"/>
                <w:szCs w:val="16"/>
                <w:lang w:val="es-ES"/>
              </w:rPr>
            </w:pPr>
          </w:p>
          <w:p w14:paraId="5C76B6E5" w14:textId="77777777" w:rsidR="0089132A" w:rsidRPr="009D6B32" w:rsidRDefault="0089132A" w:rsidP="00E474A7">
            <w:pPr>
              <w:ind w:hanging="360"/>
              <w:rPr>
                <w:rFonts w:eastAsiaTheme="minorEastAsia" w:cstheme="minorHAnsi"/>
                <w:color w:val="000000" w:themeColor="text1"/>
                <w:sz w:val="16"/>
                <w:szCs w:val="16"/>
                <w:lang w:val="es-ES"/>
              </w:rPr>
            </w:pPr>
          </w:p>
          <w:p w14:paraId="51534FFF" w14:textId="77777777" w:rsidR="0089132A" w:rsidRPr="009D6B32" w:rsidRDefault="0089132A" w:rsidP="00E474A7">
            <w:pPr>
              <w:ind w:hanging="360"/>
              <w:rPr>
                <w:rFonts w:eastAsiaTheme="minorEastAsia" w:cstheme="minorHAnsi"/>
                <w:color w:val="000000" w:themeColor="text1"/>
                <w:sz w:val="16"/>
                <w:szCs w:val="16"/>
                <w:lang w:val="es-ES"/>
              </w:rPr>
            </w:pPr>
          </w:p>
          <w:p w14:paraId="0430DD8E" w14:textId="77777777" w:rsidR="0089132A" w:rsidRPr="009D6B32" w:rsidRDefault="0089132A" w:rsidP="00E474A7">
            <w:pPr>
              <w:ind w:hanging="360"/>
              <w:rPr>
                <w:rFonts w:eastAsiaTheme="minorEastAsia" w:cstheme="minorHAnsi"/>
                <w:color w:val="000000" w:themeColor="text1"/>
                <w:sz w:val="16"/>
                <w:szCs w:val="16"/>
                <w:lang w:val="es-ES"/>
              </w:rPr>
            </w:pPr>
          </w:p>
          <w:p w14:paraId="61B043FC" w14:textId="77777777" w:rsidR="0089132A" w:rsidRPr="009D6B32" w:rsidRDefault="0089132A" w:rsidP="00E474A7">
            <w:pPr>
              <w:ind w:hanging="360"/>
              <w:rPr>
                <w:rFonts w:eastAsiaTheme="minorEastAsia" w:cstheme="minorHAnsi"/>
                <w:color w:val="000000" w:themeColor="text1"/>
                <w:sz w:val="16"/>
                <w:szCs w:val="16"/>
                <w:lang w:val="es-ES"/>
              </w:rPr>
            </w:pPr>
          </w:p>
          <w:p w14:paraId="422D0B9D" w14:textId="77777777" w:rsidR="0089132A" w:rsidRPr="009D6B32" w:rsidRDefault="0089132A" w:rsidP="00E474A7">
            <w:pPr>
              <w:ind w:hanging="360"/>
              <w:rPr>
                <w:rFonts w:eastAsiaTheme="minorEastAsia" w:cstheme="minorHAnsi"/>
                <w:color w:val="000000" w:themeColor="text1"/>
                <w:sz w:val="16"/>
                <w:szCs w:val="16"/>
                <w:lang w:val="es-ES"/>
              </w:rPr>
            </w:pPr>
          </w:p>
          <w:p w14:paraId="5523638B" w14:textId="77777777" w:rsidR="0089132A" w:rsidRPr="009D6B32" w:rsidRDefault="0089132A" w:rsidP="00E474A7">
            <w:pPr>
              <w:ind w:hanging="360"/>
              <w:rPr>
                <w:rFonts w:eastAsiaTheme="minorEastAsia" w:cstheme="minorHAnsi"/>
                <w:color w:val="000000" w:themeColor="text1"/>
                <w:sz w:val="16"/>
                <w:szCs w:val="16"/>
                <w:lang w:val="es-ES"/>
              </w:rPr>
            </w:pPr>
          </w:p>
          <w:p w14:paraId="49AEBFB6" w14:textId="77777777" w:rsidR="0089132A" w:rsidRPr="009D6B32" w:rsidRDefault="0089132A" w:rsidP="00E474A7">
            <w:pPr>
              <w:ind w:hanging="360"/>
              <w:rPr>
                <w:rFonts w:eastAsiaTheme="minorEastAsia" w:cstheme="minorHAnsi"/>
                <w:color w:val="000000" w:themeColor="text1"/>
                <w:sz w:val="16"/>
                <w:szCs w:val="16"/>
                <w:lang w:val="es-ES"/>
              </w:rPr>
            </w:pPr>
          </w:p>
          <w:p w14:paraId="4FFD7864" w14:textId="77777777" w:rsidR="0089132A" w:rsidRPr="009D6B32" w:rsidRDefault="0089132A" w:rsidP="00E474A7">
            <w:pPr>
              <w:ind w:hanging="360"/>
              <w:rPr>
                <w:rFonts w:eastAsiaTheme="minorEastAsia" w:cstheme="minorHAnsi"/>
                <w:color w:val="000000" w:themeColor="text1"/>
                <w:sz w:val="16"/>
                <w:szCs w:val="16"/>
                <w:lang w:val="es-ES"/>
              </w:rPr>
            </w:pPr>
          </w:p>
          <w:p w14:paraId="4A0074E9" w14:textId="77777777" w:rsidR="0089132A" w:rsidRPr="009D6B32" w:rsidRDefault="0089132A" w:rsidP="00E474A7">
            <w:pPr>
              <w:ind w:hanging="360"/>
              <w:rPr>
                <w:rFonts w:eastAsiaTheme="minorEastAsia" w:cstheme="minorHAnsi"/>
                <w:color w:val="000000" w:themeColor="text1"/>
                <w:sz w:val="16"/>
                <w:szCs w:val="16"/>
                <w:lang w:val="es-ES"/>
              </w:rPr>
            </w:pPr>
          </w:p>
          <w:p w14:paraId="0E91EDA8" w14:textId="77777777" w:rsidR="0089132A" w:rsidRPr="009D6B32" w:rsidRDefault="0089132A" w:rsidP="00E474A7">
            <w:pPr>
              <w:ind w:hanging="360"/>
              <w:rPr>
                <w:rFonts w:eastAsiaTheme="minorEastAsia" w:cstheme="minorHAnsi"/>
                <w:color w:val="000000" w:themeColor="text1"/>
                <w:sz w:val="16"/>
                <w:szCs w:val="16"/>
                <w:lang w:val="es-ES"/>
              </w:rPr>
            </w:pPr>
          </w:p>
          <w:p w14:paraId="0F5705CC" w14:textId="77777777" w:rsidR="0089132A" w:rsidRPr="009D6B32" w:rsidRDefault="0089132A" w:rsidP="00E474A7">
            <w:pPr>
              <w:ind w:hanging="360"/>
              <w:rPr>
                <w:rFonts w:eastAsiaTheme="minorEastAsia" w:cstheme="minorHAnsi"/>
                <w:color w:val="000000" w:themeColor="text1"/>
                <w:sz w:val="16"/>
                <w:szCs w:val="16"/>
                <w:lang w:val="es-ES"/>
              </w:rPr>
            </w:pPr>
          </w:p>
          <w:p w14:paraId="18862CB1" w14:textId="77777777" w:rsidR="0089132A" w:rsidRPr="009D6B32" w:rsidRDefault="0089132A" w:rsidP="00E474A7">
            <w:pPr>
              <w:ind w:hanging="360"/>
              <w:rPr>
                <w:rFonts w:eastAsiaTheme="minorEastAsia" w:cstheme="minorHAnsi"/>
                <w:color w:val="000000" w:themeColor="text1"/>
                <w:sz w:val="16"/>
                <w:szCs w:val="16"/>
                <w:lang w:val="es-ES"/>
              </w:rPr>
            </w:pPr>
          </w:p>
          <w:p w14:paraId="6E6D4403" w14:textId="77777777" w:rsidR="0089132A" w:rsidRPr="009D6B32" w:rsidRDefault="0089132A" w:rsidP="00E474A7">
            <w:pPr>
              <w:ind w:hanging="360"/>
              <w:rPr>
                <w:rFonts w:eastAsiaTheme="minorEastAsia" w:cstheme="minorHAnsi"/>
                <w:color w:val="000000" w:themeColor="text1"/>
                <w:sz w:val="16"/>
                <w:szCs w:val="16"/>
                <w:lang w:val="es-ES"/>
              </w:rPr>
            </w:pPr>
          </w:p>
          <w:p w14:paraId="70D70C64" w14:textId="77777777" w:rsidR="0089132A" w:rsidRPr="009D6B32" w:rsidRDefault="0089132A" w:rsidP="00E474A7">
            <w:pPr>
              <w:ind w:hanging="360"/>
              <w:rPr>
                <w:rFonts w:eastAsiaTheme="minorEastAsia" w:cstheme="minorHAnsi"/>
                <w:color w:val="000000" w:themeColor="text1"/>
                <w:sz w:val="16"/>
                <w:szCs w:val="16"/>
                <w:lang w:val="es-ES"/>
              </w:rPr>
            </w:pPr>
          </w:p>
          <w:p w14:paraId="0503485A" w14:textId="77777777" w:rsidR="0089132A" w:rsidRPr="009D6B32" w:rsidRDefault="0089132A" w:rsidP="00E474A7">
            <w:pPr>
              <w:ind w:hanging="360"/>
              <w:rPr>
                <w:rFonts w:eastAsiaTheme="minorEastAsia" w:cstheme="minorHAnsi"/>
                <w:color w:val="000000" w:themeColor="text1"/>
                <w:sz w:val="16"/>
                <w:szCs w:val="16"/>
                <w:lang w:val="es-ES"/>
              </w:rPr>
            </w:pPr>
          </w:p>
          <w:p w14:paraId="69FB4716" w14:textId="77777777" w:rsidR="0089132A" w:rsidRPr="009D6B32" w:rsidRDefault="0089132A" w:rsidP="00E474A7">
            <w:pPr>
              <w:ind w:hanging="360"/>
              <w:rPr>
                <w:rFonts w:eastAsiaTheme="minorEastAsia" w:cstheme="minorHAnsi"/>
                <w:i/>
                <w:color w:val="000000" w:themeColor="text1"/>
                <w:sz w:val="16"/>
                <w:szCs w:val="16"/>
                <w:lang w:val="es-ES"/>
              </w:rPr>
            </w:pPr>
            <w:r w:rsidRPr="00D53BC7">
              <w:rPr>
                <w:sz w:val="16"/>
                <w:lang w:val="es-ES" w:bidi="es-ES"/>
              </w:rPr>
              <w:t xml:space="preserve">         </w:t>
            </w:r>
          </w:p>
          <w:p w14:paraId="67E2FF24" w14:textId="77777777" w:rsidR="0089132A" w:rsidRPr="009D6B32" w:rsidRDefault="0089132A" w:rsidP="00E474A7">
            <w:pPr>
              <w:ind w:hanging="360"/>
              <w:rPr>
                <w:rFonts w:eastAsiaTheme="minorEastAsia" w:cstheme="minorHAnsi"/>
                <w:color w:val="000000" w:themeColor="text1"/>
                <w:sz w:val="16"/>
                <w:szCs w:val="16"/>
                <w:lang w:val="es-ES"/>
              </w:rPr>
            </w:pPr>
          </w:p>
        </w:tc>
      </w:tr>
    </w:tbl>
    <w:p w14:paraId="4F32CFFB" w14:textId="54BD96A3" w:rsidR="0089132A" w:rsidRPr="009D6B32" w:rsidRDefault="0089132A" w:rsidP="00447F1B">
      <w:pPr>
        <w:rPr>
          <w:lang w:val="es-ES"/>
        </w:rPr>
        <w:sectPr w:rsidR="0089132A" w:rsidRPr="009D6B32" w:rsidSect="00A331F7">
          <w:pgSz w:w="15840" w:h="12240" w:orient="landscape"/>
          <w:pgMar w:top="1440" w:right="1440" w:bottom="1440" w:left="1440" w:header="720" w:footer="720" w:gutter="0"/>
          <w:cols w:space="720"/>
          <w:docGrid w:linePitch="360"/>
        </w:sectPr>
      </w:pPr>
    </w:p>
    <w:p w14:paraId="2B9EB9C3" w14:textId="1CECB80B" w:rsidR="00C84DEE" w:rsidRPr="009D6B32" w:rsidRDefault="00C1312D" w:rsidP="00D603FF">
      <w:pPr>
        <w:pStyle w:val="Heading1"/>
        <w:rPr>
          <w:lang w:val="es-ES"/>
        </w:rPr>
      </w:pPr>
      <w:bookmarkStart w:id="10" w:name="_Toc157084520"/>
      <w:r>
        <w:rPr>
          <w:lang w:val="es-ES" w:bidi="es-ES"/>
        </w:rPr>
        <w:lastRenderedPageBreak/>
        <w:t>Anexo 2: Categorías y nivel de la Declaración de Apetito de Riesgo de la ERM</w:t>
      </w:r>
      <w:bookmarkEnd w:id="10"/>
    </w:p>
    <w:p w14:paraId="67BDF1B3" w14:textId="420BB9A8" w:rsidR="00C84DEE" w:rsidRPr="009D6B32" w:rsidRDefault="00C84DEE" w:rsidP="00C84DEE">
      <w:pPr>
        <w:rPr>
          <w:lang w:val="es-ES"/>
        </w:rPr>
      </w:pPr>
      <w:r>
        <w:rPr>
          <w:lang w:val="es-ES" w:bidi="es-ES"/>
        </w:rPr>
        <w:t>La Declaración sitúa todas las categorías de riesgo en una escala que va desde “mínimo” a “elevado”:</w:t>
      </w:r>
    </w:p>
    <w:p w14:paraId="56DE48AF" w14:textId="69149244" w:rsidR="0041558F" w:rsidRPr="009D6B32" w:rsidRDefault="0041558F" w:rsidP="00C84DEE">
      <w:pPr>
        <w:rPr>
          <w:lang w:val="es-ES"/>
        </w:rPr>
      </w:pPr>
      <w:r>
        <w:rPr>
          <w:noProof/>
          <w:lang w:val="es-ES" w:bidi="es-ES"/>
        </w:rPr>
        <mc:AlternateContent>
          <mc:Choice Requires="wpg">
            <w:drawing>
              <wp:anchor distT="0" distB="0" distL="114300" distR="114300" simplePos="0" relativeHeight="251658242" behindDoc="0" locked="0" layoutInCell="1" allowOverlap="1" wp14:anchorId="67C7E80B" wp14:editId="1B9D28E2">
                <wp:simplePos x="0" y="0"/>
                <wp:positionH relativeFrom="margin">
                  <wp:align>left</wp:align>
                </wp:positionH>
                <wp:positionV relativeFrom="paragraph">
                  <wp:posOffset>11430</wp:posOffset>
                </wp:positionV>
                <wp:extent cx="6042660" cy="587375"/>
                <wp:effectExtent l="0" t="19050" r="0" b="0"/>
                <wp:wrapNone/>
                <wp:docPr id="10" name="Group 10"/>
                <wp:cNvGraphicFramePr/>
                <a:graphic xmlns:a="http://schemas.openxmlformats.org/drawingml/2006/main">
                  <a:graphicData uri="http://schemas.microsoft.com/office/word/2010/wordprocessingGroup">
                    <wpg:wgp>
                      <wpg:cNvGrpSpPr/>
                      <wpg:grpSpPr>
                        <a:xfrm>
                          <a:off x="0" y="0"/>
                          <a:ext cx="6042660" cy="587375"/>
                          <a:chOff x="0" y="0"/>
                          <a:chExt cx="6043122" cy="587606"/>
                        </a:xfrm>
                      </wpg:grpSpPr>
                      <wpg:grpSp>
                        <wpg:cNvPr id="12" name="Group 19"/>
                        <wpg:cNvGrpSpPr/>
                        <wpg:grpSpPr>
                          <a:xfrm>
                            <a:off x="91621" y="0"/>
                            <a:ext cx="5805752" cy="585810"/>
                            <a:chOff x="90822" y="0"/>
                            <a:chExt cx="5805752" cy="585810"/>
                          </a:xfrm>
                        </wpg:grpSpPr>
                        <wps:wsp>
                          <wps:cNvPr id="13" name="Arrow: Left-Right 13"/>
                          <wps:cNvSpPr/>
                          <wps:spPr>
                            <a:xfrm>
                              <a:off x="90822" y="0"/>
                              <a:ext cx="5805752" cy="152399"/>
                            </a:xfrm>
                            <a:prstGeom prst="leftRightArrow">
                              <a:avLst/>
                            </a:prstGeom>
                            <a:gradFill flip="none" rotWithShape="1">
                              <a:gsLst>
                                <a:gs pos="67000">
                                  <a:schemeClr val="accent1">
                                    <a:lumMod val="60000"/>
                                    <a:lumOff val="40000"/>
                                  </a:schemeClr>
                                </a:gs>
                                <a:gs pos="33000">
                                  <a:schemeClr val="accent1">
                                    <a:lumMod val="75000"/>
                                  </a:schemeClr>
                                </a:gs>
                                <a:gs pos="0">
                                  <a:schemeClr val="accent1">
                                    <a:lumMod val="50000"/>
                                  </a:schemeClr>
                                </a:gs>
                                <a:gs pos="100000">
                                  <a:schemeClr val="accent1">
                                    <a:lumMod val="40000"/>
                                    <a:lumOff val="60000"/>
                                    <a:shade val="100000"/>
                                    <a:satMod val="115000"/>
                                  </a:schemeClr>
                                </a:gs>
                              </a:gsLst>
                              <a:lin ang="10800000" scaled="1"/>
                              <a:tileRect/>
                            </a:gra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 name="TextBox 21"/>
                          <wps:cNvSpPr txBox="1"/>
                          <wps:spPr>
                            <a:xfrm>
                              <a:off x="4010958" y="225765"/>
                              <a:ext cx="739140" cy="360045"/>
                            </a:xfrm>
                            <a:prstGeom prst="rect">
                              <a:avLst/>
                            </a:prstGeom>
                            <a:noFill/>
                          </wps:spPr>
                          <wps:txbx>
                            <w:txbxContent>
                              <w:p w14:paraId="16D4BD73" w14:textId="77777777" w:rsidR="001703F8" w:rsidRDefault="001703F8" w:rsidP="0041558F">
                                <w:pPr>
                                  <w:jc w:val="center"/>
                                  <w:rPr>
                                    <w:sz w:val="24"/>
                                    <w:szCs w:val="24"/>
                                  </w:rPr>
                                </w:pPr>
                                <w:r>
                                  <w:rPr>
                                    <w:b/>
                                    <w:color w:val="2F5496" w:themeColor="accent1" w:themeShade="BF"/>
                                    <w:kern w:val="24"/>
                                    <w:sz w:val="20"/>
                                    <w:lang w:val="es-ES" w:bidi="es-ES"/>
                                  </w:rPr>
                                  <w:t xml:space="preserve">Abierto </w:t>
                                </w:r>
                              </w:p>
                            </w:txbxContent>
                          </wps:txbx>
                          <wps:bodyPr wrap="square" rtlCol="0">
                            <a:spAutoFit/>
                          </wps:bodyPr>
                        </wps:wsp>
                      </wpg:grpSp>
                      <wps:wsp>
                        <wps:cNvPr id="23" name="TextBox 22">
                          <a:extLst>
                            <a:ext uri="{FF2B5EF4-FFF2-40B4-BE49-F238E27FC236}">
                              <a16:creationId xmlns:a16="http://schemas.microsoft.com/office/drawing/2014/main" id="{75839BE1-89F3-4005-8672-6BEB2EC92904}"/>
                            </a:ext>
                          </a:extLst>
                        </wps:cNvPr>
                        <wps:cNvSpPr txBox="1"/>
                        <wps:spPr>
                          <a:xfrm>
                            <a:off x="0" y="220307"/>
                            <a:ext cx="738505" cy="360045"/>
                          </a:xfrm>
                          <a:prstGeom prst="rect">
                            <a:avLst/>
                          </a:prstGeom>
                          <a:noFill/>
                        </wps:spPr>
                        <wps:txbx>
                          <w:txbxContent>
                            <w:p w14:paraId="6A433645" w14:textId="77777777" w:rsidR="001703F8" w:rsidRDefault="001703F8" w:rsidP="0041558F">
                              <w:pPr>
                                <w:jc w:val="center"/>
                                <w:rPr>
                                  <w:sz w:val="24"/>
                                  <w:szCs w:val="24"/>
                                </w:rPr>
                              </w:pPr>
                              <w:r>
                                <w:rPr>
                                  <w:b/>
                                  <w:color w:val="9FB7E3"/>
                                  <w:kern w:val="24"/>
                                  <w:sz w:val="20"/>
                                  <w:lang w:val="es-ES" w:bidi="es-ES"/>
                                </w:rPr>
                                <w:t>Mínimo</w:t>
                              </w:r>
                            </w:p>
                          </w:txbxContent>
                        </wps:txbx>
                        <wps:bodyPr wrap="square" rtlCol="0">
                          <a:spAutoFit/>
                        </wps:bodyPr>
                      </wps:wsp>
                      <wps:wsp>
                        <wps:cNvPr id="24" name="TextBox 23">
                          <a:extLst>
                            <a:ext uri="{FF2B5EF4-FFF2-40B4-BE49-F238E27FC236}">
                              <a16:creationId xmlns:a16="http://schemas.microsoft.com/office/drawing/2014/main" id="{E9C02621-456A-45E1-B01A-1BC42098D681}"/>
                            </a:ext>
                          </a:extLst>
                        </wps:cNvPr>
                        <wps:cNvSpPr txBox="1"/>
                        <wps:spPr>
                          <a:xfrm>
                            <a:off x="1175579" y="227561"/>
                            <a:ext cx="739140" cy="360045"/>
                          </a:xfrm>
                          <a:prstGeom prst="rect">
                            <a:avLst/>
                          </a:prstGeom>
                          <a:noFill/>
                        </wps:spPr>
                        <wps:txbx>
                          <w:txbxContent>
                            <w:p w14:paraId="3CF79997" w14:textId="77777777" w:rsidR="001703F8" w:rsidRDefault="001703F8" w:rsidP="0041558F">
                              <w:pPr>
                                <w:jc w:val="center"/>
                                <w:rPr>
                                  <w:sz w:val="24"/>
                                  <w:szCs w:val="24"/>
                                </w:rPr>
                              </w:pPr>
                              <w:r>
                                <w:rPr>
                                  <w:b/>
                                  <w:color w:val="8EAADB" w:themeColor="accent1" w:themeTint="99"/>
                                  <w:kern w:val="24"/>
                                  <w:sz w:val="20"/>
                                  <w:lang w:val="es-ES" w:bidi="es-ES"/>
                                </w:rPr>
                                <w:t>Moderado</w:t>
                              </w:r>
                            </w:p>
                          </w:txbxContent>
                        </wps:txbx>
                        <wps:bodyPr wrap="square" rtlCol="0">
                          <a:spAutoFit/>
                        </wps:bodyPr>
                      </wps:wsp>
                      <wps:wsp>
                        <wps:cNvPr id="25" name="TextBox 24">
                          <a:extLst>
                            <a:ext uri="{FF2B5EF4-FFF2-40B4-BE49-F238E27FC236}">
                              <a16:creationId xmlns:a16="http://schemas.microsoft.com/office/drawing/2014/main" id="{7AFF9DC1-10F3-41FC-834E-DCF95F7EB62F}"/>
                            </a:ext>
                          </a:extLst>
                        </wps:cNvPr>
                        <wps:cNvSpPr txBox="1"/>
                        <wps:spPr>
                          <a:xfrm>
                            <a:off x="2380184" y="220348"/>
                            <a:ext cx="1215390" cy="360045"/>
                          </a:xfrm>
                          <a:prstGeom prst="rect">
                            <a:avLst/>
                          </a:prstGeom>
                          <a:noFill/>
                        </wps:spPr>
                        <wps:txbx>
                          <w:txbxContent>
                            <w:p w14:paraId="0AFC02EE" w14:textId="77777777" w:rsidR="001703F8" w:rsidRDefault="001703F8" w:rsidP="0041558F">
                              <w:pPr>
                                <w:jc w:val="center"/>
                                <w:rPr>
                                  <w:sz w:val="24"/>
                                  <w:szCs w:val="24"/>
                                </w:rPr>
                              </w:pPr>
                              <w:r>
                                <w:rPr>
                                  <w:b/>
                                  <w:color w:val="4472C4" w:themeColor="accent1"/>
                                  <w:kern w:val="24"/>
                                  <w:sz w:val="20"/>
                                  <w:lang w:val="es-ES" w:bidi="es-ES"/>
                                </w:rPr>
                                <w:t>Exploratorio</w:t>
                              </w:r>
                            </w:p>
                          </w:txbxContent>
                        </wps:txbx>
                        <wps:bodyPr wrap="square" rtlCol="0">
                          <a:spAutoFit/>
                        </wps:bodyPr>
                      </wps:wsp>
                      <wps:wsp>
                        <wps:cNvPr id="26" name="TextBox 25">
                          <a:extLst>
                            <a:ext uri="{FF2B5EF4-FFF2-40B4-BE49-F238E27FC236}">
                              <a16:creationId xmlns:a16="http://schemas.microsoft.com/office/drawing/2014/main" id="{08AB0481-ED8F-4F28-AD27-BFC59A440F5C}"/>
                            </a:ext>
                          </a:extLst>
                        </wps:cNvPr>
                        <wps:cNvSpPr txBox="1"/>
                        <wps:spPr>
                          <a:xfrm>
                            <a:off x="5304617" y="213094"/>
                            <a:ext cx="738505" cy="360045"/>
                          </a:xfrm>
                          <a:prstGeom prst="rect">
                            <a:avLst/>
                          </a:prstGeom>
                          <a:noFill/>
                        </wps:spPr>
                        <wps:txbx>
                          <w:txbxContent>
                            <w:p w14:paraId="5298157E" w14:textId="77777777" w:rsidR="001703F8" w:rsidRDefault="001703F8" w:rsidP="0041558F">
                              <w:pPr>
                                <w:jc w:val="center"/>
                                <w:rPr>
                                  <w:sz w:val="24"/>
                                  <w:szCs w:val="24"/>
                                </w:rPr>
                              </w:pPr>
                              <w:r>
                                <w:rPr>
                                  <w:b/>
                                  <w:color w:val="1F3864" w:themeColor="accent1" w:themeShade="80"/>
                                  <w:kern w:val="24"/>
                                  <w:sz w:val="20"/>
                                  <w:lang w:val="es-ES" w:bidi="es-ES"/>
                                </w:rPr>
                                <w:t>Elevado</w:t>
                              </w:r>
                            </w:p>
                          </w:txbxContent>
                        </wps:txbx>
                        <wps:bodyPr wrap="square" rtlCol="0">
                          <a:spAutoFit/>
                        </wps:bodyPr>
                      </wps:wsp>
                    </wpg:wgp>
                  </a:graphicData>
                </a:graphic>
              </wp:anchor>
            </w:drawing>
          </mc:Choice>
          <mc:Fallback>
            <w:pict>
              <v:group w14:anchorId="67C7E80B" id="Group 10" o:spid="_x0000_s1026" style="position:absolute;margin-left:0;margin-top:.9pt;width:475.8pt;height:46.25pt;z-index:251658242;mso-position-horizontal:left;mso-position-horizontal-relative:margin" coordsize="60431,5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">
                <v:group id="Group 19" o:spid="_x0000_s1027" style="position:absolute;left:916;width:58057;height:5858" coordorigin="908" coordsize="58057,5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13" o:spid="_x0000_s1028" type="#_x0000_t69" style="position:absolute;left:908;width:58057;height:1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" adj="283" fillcolor="#1f3763 [1604]" strokecolor="#1f3763 [1604]" strokeweight="1pt">
                    <v:fill color2="#b4c6e7 [1300]" rotate="t" angle="270" colors="0 #203864;21627f #2f5597;43909f #8faadc;1 #b0c6eb" focus="100%" type="gradient"/>
                  </v:shape>
                  <v:shapetype id="_x0000_t202" coordsize="21600,21600" o:spt="202" path="m,l,21600r21600,l21600,xe">
                    <v:stroke joinstyle="miter"/>
                    <v:path gradientshapeok="t" o:connecttype="rect"/>
                  </v:shapetype>
                  <v:shape id="TextBox 21" o:spid="_x0000_s1029" type="#_x0000_t202" style="position:absolute;left:40109;top:2257;width:7391;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E7vwAAANsAAAAPAAAAZHJzL2Rvd25yZXYueG1sRE9La8JA&#10;EL4X/A/LCN7qxmJ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C1uGE7vwAAANsAAAAPAAAAAAAA&#10;AAAAAAAAAAcCAABkcnMvZG93bnJldi54bWxQSwUGAAAAAAMAAwC3AAAA8wIAAAAA&#10;" filled="f" stroked="f">
                    <v:textbox style="mso-fit-shape-to-text:t">
                      <w:txbxContent>
                        <w:p w14:paraId="16D4BD73" w14:textId="77777777" w:rsidR="001703F8" w:rsidRDefault="001703F8" w:rsidP="0041558F">
                          <w:pPr>
                            <w:jc w:val="center"/>
                            <w:rPr>
                              <w:sz w:val="24"/>
                              <w:szCs w:val="24"/>
                            </w:rPr>
                          </w:pPr>
                          <w:r>
                            <w:rPr>
                              <w:b/>
                              <w:color w:val="2F5496" w:themeColor="accent1" w:themeShade="BF"/>
                              <w:kern w:val="24"/>
                              <w:sz w:val="20"/>
                              <w:lang w:val="es-ES" w:bidi="es-ES"/>
                            </w:rPr>
                            <w:t xml:space="preserve">Abierto </w:t>
                          </w:r>
                        </w:p>
                      </w:txbxContent>
                    </v:textbox>
                  </v:shape>
                </v:group>
                <v:shape id="TextBox 22" o:spid="_x0000_s1030" type="#_x0000_t202" style="position:absolute;top:2203;width:7385;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TPywgAAANsAAAAPAAAAZHJzL2Rvd25yZXYueG1sRI9Pa8JA&#10;FMTvBb/D8gq91Y2W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D0PTPywgAAANsAAAAPAAAA&#10;AAAAAAAAAAAAAAcCAABkcnMvZG93bnJldi54bWxQSwUGAAAAAAMAAwC3AAAA9gIAAAAA&#10;" filled="f" stroked="f">
                  <v:textbox style="mso-fit-shape-to-text:t">
                    <w:txbxContent>
                      <w:p w14:paraId="6A433645" w14:textId="77777777" w:rsidR="001703F8" w:rsidRDefault="001703F8" w:rsidP="0041558F">
                        <w:pPr>
                          <w:jc w:val="center"/>
                          <w:rPr>
                            <w:sz w:val="24"/>
                            <w:szCs w:val="24"/>
                          </w:rPr>
                        </w:pPr>
                        <w:r>
                          <w:rPr>
                            <w:b/>
                            <w:color w:val="9FB7E3"/>
                            <w:kern w:val="24"/>
                            <w:sz w:val="20"/>
                            <w:lang w:val="es-ES" w:bidi="es-ES"/>
                          </w:rPr>
                          <w:t>Mínimo</w:t>
                        </w:r>
                      </w:p>
                    </w:txbxContent>
                  </v:textbox>
                </v:shape>
                <v:shape id="TextBox 23" o:spid="_x0000_s1031" type="#_x0000_t202" style="position:absolute;left:11755;top:2275;width:7392;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KuGwgAAANsAAAAPAAAAZHJzL2Rvd25yZXYueG1sRI9Pa8JA&#10;FMTvBb/D8gq91Y3S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B71KuGwgAAANsAAAAPAAAA&#10;AAAAAAAAAAAAAAcCAABkcnMvZG93bnJldi54bWxQSwUGAAAAAAMAAwC3AAAA9gIAAAAA&#10;" filled="f" stroked="f">
                  <v:textbox style="mso-fit-shape-to-text:t">
                    <w:txbxContent>
                      <w:p w14:paraId="3CF79997" w14:textId="77777777" w:rsidR="001703F8" w:rsidRDefault="001703F8" w:rsidP="0041558F">
                        <w:pPr>
                          <w:jc w:val="center"/>
                          <w:rPr>
                            <w:sz w:val="24"/>
                            <w:szCs w:val="24"/>
                          </w:rPr>
                        </w:pPr>
                        <w:r>
                          <w:rPr>
                            <w:b/>
                            <w:color w:val="8EAADB" w:themeColor="accent1" w:themeTint="99"/>
                            <w:kern w:val="24"/>
                            <w:sz w:val="20"/>
                            <w:lang w:val="es-ES" w:bidi="es-ES"/>
                          </w:rPr>
                          <w:t>Moderado</w:t>
                        </w:r>
                      </w:p>
                    </w:txbxContent>
                  </v:textbox>
                </v:shape>
                <v:shape id="TextBox 24" o:spid="_x0000_s1032" type="#_x0000_t202" style="position:absolute;left:23801;top:2203;width:12154;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" filled="f" stroked="f">
                  <v:textbox style="mso-fit-shape-to-text:t">
                    <w:txbxContent>
                      <w:p w14:paraId="0AFC02EE" w14:textId="77777777" w:rsidR="001703F8" w:rsidRDefault="001703F8" w:rsidP="0041558F">
                        <w:pPr>
                          <w:jc w:val="center"/>
                          <w:rPr>
                            <w:sz w:val="24"/>
                            <w:szCs w:val="24"/>
                          </w:rPr>
                        </w:pPr>
                        <w:r>
                          <w:rPr>
                            <w:b/>
                            <w:color w:val="4472C4" w:themeColor="accent1"/>
                            <w:kern w:val="24"/>
                            <w:sz w:val="20"/>
                            <w:lang w:val="es-ES" w:bidi="es-ES"/>
                          </w:rPr>
                          <w:t>Exploratorio</w:t>
                        </w:r>
                      </w:p>
                    </w:txbxContent>
                  </v:textbox>
                </v:shape>
                <v:shape id="TextBox 25" o:spid="_x0000_s1033" type="#_x0000_t202" style="position:absolute;left:53046;top:2130;width:7385;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" filled="f" stroked="f">
                  <v:textbox style="mso-fit-shape-to-text:t">
                    <w:txbxContent>
                      <w:p w14:paraId="5298157E" w14:textId="77777777" w:rsidR="001703F8" w:rsidRDefault="001703F8" w:rsidP="0041558F">
                        <w:pPr>
                          <w:jc w:val="center"/>
                          <w:rPr>
                            <w:sz w:val="24"/>
                            <w:szCs w:val="24"/>
                          </w:rPr>
                        </w:pPr>
                        <w:r>
                          <w:rPr>
                            <w:b/>
                            <w:color w:val="1F3864" w:themeColor="accent1" w:themeShade="80"/>
                            <w:kern w:val="24"/>
                            <w:sz w:val="20"/>
                            <w:lang w:val="es-ES" w:bidi="es-ES"/>
                          </w:rPr>
                          <w:t>Elevado</w:t>
                        </w:r>
                      </w:p>
                    </w:txbxContent>
                  </v:textbox>
                </v:shape>
                <w10:wrap anchorx="margin"/>
              </v:group>
            </w:pict>
          </mc:Fallback>
        </mc:AlternateContent>
      </w:r>
    </w:p>
    <w:p w14:paraId="20294E65" w14:textId="77777777" w:rsidR="0041558F" w:rsidRPr="009D6B32" w:rsidRDefault="0041558F" w:rsidP="00C84DEE">
      <w:pPr>
        <w:rPr>
          <w:lang w:val="es-ES"/>
        </w:rPr>
      </w:pPr>
    </w:p>
    <w:p w14:paraId="7CEE3E5C" w14:textId="7A2A0685" w:rsidR="00C84DEE" w:rsidRPr="009D6B32" w:rsidRDefault="00C84DEE" w:rsidP="00C84DEE">
      <w:pPr>
        <w:pStyle w:val="ListParagraph"/>
        <w:numPr>
          <w:ilvl w:val="0"/>
          <w:numId w:val="12"/>
        </w:numPr>
        <w:rPr>
          <w:lang w:val="es-ES"/>
        </w:rPr>
      </w:pPr>
      <w:r>
        <w:rPr>
          <w:b/>
          <w:lang w:val="es-ES" w:bidi="es-ES"/>
        </w:rPr>
        <w:t>Apetito de riesgo mínimo:</w:t>
      </w:r>
      <w:r>
        <w:rPr>
          <w:lang w:val="es-ES" w:bidi="es-ES"/>
        </w:rPr>
        <w:t xml:space="preserve"> esferas en las que el PNUD generará un entorno sólido de control para rebajar o reducir al mínimo la probabilidad de que un riesgo se materialice o para mitigar sus efectos.</w:t>
      </w:r>
    </w:p>
    <w:p w14:paraId="5ADB438F" w14:textId="77777777" w:rsidR="00C84DEE" w:rsidRPr="009D6B32" w:rsidRDefault="00C84DEE" w:rsidP="00C84DEE">
      <w:pPr>
        <w:pStyle w:val="ListParagraph"/>
        <w:numPr>
          <w:ilvl w:val="0"/>
          <w:numId w:val="12"/>
        </w:numPr>
        <w:rPr>
          <w:lang w:val="es-ES"/>
        </w:rPr>
      </w:pPr>
      <w:r>
        <w:rPr>
          <w:b/>
          <w:lang w:val="es-ES" w:bidi="es-ES"/>
        </w:rPr>
        <w:t>Apetito de riesgo moderado:</w:t>
      </w:r>
      <w:r>
        <w:rPr>
          <w:lang w:val="es-ES" w:bidi="es-ES"/>
        </w:rPr>
        <w:t xml:space="preserve"> esferas en las que el PNUD busca opciones de ejecución que planteen pocos riesgos y donde solo pondrá a prueba las innovaciones en un entorno controlado.</w:t>
      </w:r>
    </w:p>
    <w:p w14:paraId="28BBB3C5" w14:textId="77777777" w:rsidR="00C84DEE" w:rsidRPr="009D6B32" w:rsidRDefault="00C84DEE" w:rsidP="00C84DEE">
      <w:pPr>
        <w:pStyle w:val="ListParagraph"/>
        <w:numPr>
          <w:ilvl w:val="0"/>
          <w:numId w:val="12"/>
        </w:numPr>
        <w:rPr>
          <w:lang w:val="es-ES"/>
        </w:rPr>
      </w:pPr>
      <w:r>
        <w:rPr>
          <w:b/>
          <w:lang w:val="es-ES" w:bidi="es-ES"/>
        </w:rPr>
        <w:t>Apetito de riesgo exploratorio:</w:t>
      </w:r>
      <w:r>
        <w:rPr>
          <w:lang w:val="es-ES" w:bidi="es-ES"/>
        </w:rPr>
        <w:t xml:space="preserve"> esferas en las que el PNUD ha alcanzado un equilibrio entre las posibles ventajas y el riesgo de perjuicios que conlleva una decisión e investiga nuevas soluciones y opciones de ejecución.</w:t>
      </w:r>
    </w:p>
    <w:p w14:paraId="43EC58D8" w14:textId="77777777" w:rsidR="00C84DEE" w:rsidRDefault="00C84DEE" w:rsidP="00C84DEE">
      <w:pPr>
        <w:pStyle w:val="ListParagraph"/>
        <w:numPr>
          <w:ilvl w:val="0"/>
          <w:numId w:val="12"/>
        </w:numPr>
      </w:pPr>
      <w:r>
        <w:rPr>
          <w:b/>
          <w:lang w:val="es-ES" w:bidi="es-ES"/>
        </w:rPr>
        <w:t>Apetito de riesgo abierto:</w:t>
      </w:r>
      <w:r>
        <w:rPr>
          <w:lang w:val="es-ES" w:bidi="es-ES"/>
        </w:rPr>
        <w:t xml:space="preserve"> esferas en las que el PNUD ha decidido que las posibles ventajas compensan los riesgos y resulta apropiado correr riesgos fundamentados. Se barajan todas las posibilidades.</w:t>
      </w:r>
    </w:p>
    <w:p w14:paraId="73ED1D26" w14:textId="531AB6CE" w:rsidR="00C1312D" w:rsidRPr="009D6B32" w:rsidRDefault="00C84DEE" w:rsidP="00D603FF">
      <w:pPr>
        <w:pStyle w:val="ListParagraph"/>
        <w:numPr>
          <w:ilvl w:val="0"/>
          <w:numId w:val="12"/>
        </w:numPr>
        <w:rPr>
          <w:lang w:val="es-ES"/>
        </w:rPr>
      </w:pPr>
      <w:r>
        <w:rPr>
          <w:b/>
          <w:lang w:val="es-ES" w:bidi="es-ES"/>
        </w:rPr>
        <w:t xml:space="preserve">Apetito de riesgo elevado: </w:t>
      </w:r>
      <w:r>
        <w:rPr>
          <w:lang w:val="es-ES" w:bidi="es-ES"/>
        </w:rPr>
        <w:t>esferas en las que el PNUD asume riesgos al trabajar con nuevas ideas y metodologías, buscar la innovación y contemplar los fracasos como oportunidades de aprendizaje y mejora.</w:t>
      </w:r>
    </w:p>
    <w:tbl>
      <w:tblPr>
        <w:tblStyle w:val="ListTable3"/>
        <w:tblW w:w="0" w:type="auto"/>
        <w:tblLook w:val="04A0" w:firstRow="1" w:lastRow="0" w:firstColumn="1" w:lastColumn="0" w:noHBand="0" w:noVBand="1"/>
      </w:tblPr>
      <w:tblGrid>
        <w:gridCol w:w="7763"/>
        <w:gridCol w:w="1587"/>
      </w:tblGrid>
      <w:tr w:rsidR="0041558F" w14:paraId="14AA4598" w14:textId="77777777" w:rsidTr="001703F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auto"/>
          </w:tcPr>
          <w:p w14:paraId="00A9D8FE" w14:textId="77777777" w:rsidR="0041558F" w:rsidRDefault="0041558F" w:rsidP="001703F8">
            <w:r>
              <w:rPr>
                <w:lang w:val="es-ES" w:bidi="es-ES"/>
              </w:rPr>
              <w:t>Categoría de riesgo</w:t>
            </w:r>
          </w:p>
        </w:tc>
        <w:tc>
          <w:tcPr>
            <w:tcW w:w="0" w:type="auto"/>
          </w:tcPr>
          <w:p w14:paraId="0EF629B2" w14:textId="77777777" w:rsidR="0041558F" w:rsidRDefault="0041558F" w:rsidP="001703F8">
            <w:pPr>
              <w:cnfStyle w:val="100000000000" w:firstRow="1" w:lastRow="0" w:firstColumn="0" w:lastColumn="0" w:oddVBand="0" w:evenVBand="0" w:oddHBand="0" w:evenHBand="0" w:firstRowFirstColumn="0" w:firstRowLastColumn="0" w:lastRowFirstColumn="0" w:lastRowLastColumn="0"/>
            </w:pPr>
            <w:r>
              <w:rPr>
                <w:lang w:val="es-ES" w:bidi="es-ES"/>
              </w:rPr>
              <w:t>Apetito general de riesgo</w:t>
            </w:r>
          </w:p>
        </w:tc>
      </w:tr>
      <w:tr w:rsidR="00E25098" w:rsidRPr="00CA19B6" w14:paraId="1E7F87C1" w14:textId="77777777" w:rsidTr="00E474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1D2E52C" w14:textId="77777777" w:rsidR="00E25098" w:rsidRPr="009D6B32" w:rsidRDefault="00E25098" w:rsidP="00E474A7">
            <w:pPr>
              <w:rPr>
                <w:b w:val="0"/>
                <w:bCs w:val="0"/>
                <w:lang w:val="es-ES"/>
              </w:rPr>
            </w:pPr>
            <w:r>
              <w:rPr>
                <w:lang w:val="es-ES" w:bidi="es-ES"/>
              </w:rPr>
              <w:t>Social y ambiental</w:t>
            </w:r>
          </w:p>
          <w:p w14:paraId="02AE85FB" w14:textId="77777777" w:rsidR="00E25098" w:rsidRPr="009D6B32" w:rsidRDefault="00E25098" w:rsidP="00E474A7">
            <w:pPr>
              <w:rPr>
                <w:b w:val="0"/>
                <w:bCs w:val="0"/>
                <w:lang w:val="es-ES"/>
              </w:rPr>
            </w:pPr>
            <w:r>
              <w:rPr>
                <w:b w:val="0"/>
                <w:lang w:val="es-ES" w:bidi="es-ES"/>
              </w:rPr>
              <w:t>El PNUD planifica todas sus actividades programáticas y de proyecto para proteger a quienes se ven afectadas por ellas y no hacer daño desde el punto de vista social o medioambiental, siempre con un comportamiento ético.</w:t>
            </w:r>
          </w:p>
          <w:p w14:paraId="7C569C1C" w14:textId="77777777" w:rsidR="00E25098" w:rsidRPr="009D6B32" w:rsidRDefault="00E25098" w:rsidP="00E474A7">
            <w:pPr>
              <w:rPr>
                <w:lang w:val="es-ES"/>
              </w:rPr>
            </w:pPr>
            <w:r>
              <w:rPr>
                <w:b w:val="0"/>
                <w:lang w:val="es-ES" w:bidi="es-ES"/>
              </w:rPr>
              <w:t xml:space="preserve"> La organización toma medidas positivas de cara a la interacción con grupos desfavorecidos y no permite ningún tipo de discriminación ni acoso. Para mitigar esos riesgos, procurará que el personal y los asociados sean conscientes de los controles que hay que introducir para proteger a la población y el medio ambiente, así como para garantizar la adherencia al principio de “no hacer daño”. </w:t>
            </w:r>
          </w:p>
          <w:p w14:paraId="21AFEBA4" w14:textId="43E7F99E" w:rsidR="00E25098" w:rsidRPr="009D6B32" w:rsidRDefault="00231DB7" w:rsidP="00E474A7">
            <w:pPr>
              <w:rPr>
                <w:lang w:val="es-ES"/>
              </w:rPr>
            </w:pPr>
            <w:r>
              <w:rPr>
                <w:noProof/>
              </w:rPr>
              <w:drawing>
                <wp:anchor distT="0" distB="0" distL="114300" distR="114300" simplePos="0" relativeHeight="251662344" behindDoc="0" locked="0" layoutInCell="1" allowOverlap="1" wp14:anchorId="355FFFC3" wp14:editId="3EE39BC1">
                  <wp:simplePos x="0" y="0"/>
                  <wp:positionH relativeFrom="column">
                    <wp:posOffset>-635</wp:posOffset>
                  </wp:positionH>
                  <wp:positionV relativeFrom="paragraph">
                    <wp:posOffset>0</wp:posOffset>
                  </wp:positionV>
                  <wp:extent cx="5752306" cy="603738"/>
                  <wp:effectExtent l="0" t="0" r="1270" b="6350"/>
                  <wp:wrapNone/>
                  <wp:docPr id="17444312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94749" cy="60819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EFBABB" w14:textId="77777777" w:rsidR="00E25098" w:rsidRPr="009D6B32" w:rsidRDefault="00E25098" w:rsidP="00E474A7">
            <w:pPr>
              <w:rPr>
                <w:lang w:val="es-ES"/>
              </w:rPr>
            </w:pPr>
          </w:p>
          <w:p w14:paraId="2BDB9511" w14:textId="77777777" w:rsidR="00E25098" w:rsidRPr="009D6B32" w:rsidRDefault="00E25098" w:rsidP="00E474A7">
            <w:pPr>
              <w:rPr>
                <w:lang w:val="es-ES"/>
              </w:rPr>
            </w:pPr>
          </w:p>
          <w:p w14:paraId="21F26DD7" w14:textId="77777777" w:rsidR="00E25098" w:rsidRPr="009D6B32" w:rsidRDefault="00E25098" w:rsidP="00E474A7">
            <w:pPr>
              <w:rPr>
                <w:b w:val="0"/>
                <w:bCs w:val="0"/>
                <w:lang w:val="es-ES"/>
              </w:rPr>
            </w:pPr>
          </w:p>
        </w:tc>
        <w:tc>
          <w:tcPr>
            <w:tcW w:w="0" w:type="auto"/>
          </w:tcPr>
          <w:p w14:paraId="6C6CA193" w14:textId="77777777" w:rsidR="00E25098" w:rsidRPr="00CA19B6" w:rsidRDefault="00E25098" w:rsidP="00E474A7">
            <w:pPr>
              <w:cnfStyle w:val="000000100000" w:firstRow="0" w:lastRow="0" w:firstColumn="0" w:lastColumn="0" w:oddVBand="0" w:evenVBand="0" w:oddHBand="1" w:evenHBand="0" w:firstRowFirstColumn="0" w:firstRowLastColumn="0" w:lastRowFirstColumn="0" w:lastRowLastColumn="0"/>
              <w:rPr>
                <w:b/>
                <w:bCs/>
              </w:rPr>
            </w:pPr>
            <w:r w:rsidRPr="00CA19B6">
              <w:rPr>
                <w:b/>
                <w:lang w:val="es-ES" w:bidi="es-ES"/>
              </w:rPr>
              <w:t xml:space="preserve">Moderado </w:t>
            </w:r>
          </w:p>
        </w:tc>
      </w:tr>
      <w:tr w:rsidR="002730F0" w:rsidRPr="00CA19B6" w14:paraId="76DC7ADE" w14:textId="77777777" w:rsidTr="00E474A7">
        <w:tc>
          <w:tcPr>
            <w:cnfStyle w:val="001000000000" w:firstRow="0" w:lastRow="0" w:firstColumn="1" w:lastColumn="0" w:oddVBand="0" w:evenVBand="0" w:oddHBand="0" w:evenHBand="0" w:firstRowFirstColumn="0" w:firstRowLastColumn="0" w:lastRowFirstColumn="0" w:lastRowLastColumn="0"/>
            <w:tcW w:w="0" w:type="auto"/>
          </w:tcPr>
          <w:p w14:paraId="58C6303C" w14:textId="77777777" w:rsidR="002730F0" w:rsidRPr="009D6B32" w:rsidRDefault="002730F0" w:rsidP="00E474A7">
            <w:pPr>
              <w:rPr>
                <w:b w:val="0"/>
                <w:bCs w:val="0"/>
                <w:lang w:val="es-ES"/>
              </w:rPr>
            </w:pPr>
            <w:r>
              <w:rPr>
                <w:lang w:val="es-ES" w:bidi="es-ES"/>
              </w:rPr>
              <w:t xml:space="preserve">Financiero </w:t>
            </w:r>
          </w:p>
          <w:p w14:paraId="4635496F" w14:textId="77777777" w:rsidR="002730F0" w:rsidRPr="009D6B32" w:rsidRDefault="002730F0" w:rsidP="00E474A7">
            <w:pPr>
              <w:rPr>
                <w:lang w:val="es-ES"/>
              </w:rPr>
            </w:pPr>
            <w:r w:rsidRPr="0022322F">
              <w:rPr>
                <w:b w:val="0"/>
                <w:lang w:val="es-ES" w:bidi="es-ES"/>
              </w:rPr>
              <w:t xml:space="preserve">El PNUD se propone gestionar los recursos financieros con eficacia para poder cumplir sus objetivos con prontitud al mismo tiempo que mantiene la sostenibilidad y la estabilidad de la institución, reduce al mínimo los casos de fraude y vela por la protección de los activos. La organización deja un cierto margen de flexibilidad financiera mientras trabaja en favor de sus objetivos y lleva a cabo actividades con </w:t>
            </w:r>
            <w:r w:rsidRPr="0022322F">
              <w:rPr>
                <w:b w:val="0"/>
                <w:lang w:val="es-ES" w:bidi="es-ES"/>
              </w:rPr>
              <w:lastRenderedPageBreak/>
              <w:t>fondos de desarrollo, pero nunca hasta el punto de que suponga una amenaza para las iniciativas institucionales básicas. Siempre hace lo posible por lograr los objetivos del Plan Estratégico. El PNUD obra con transparencia en todo momento y protege sus fondos del riesgo de fraude.</w:t>
            </w:r>
          </w:p>
          <w:p w14:paraId="054F06C9" w14:textId="1153D271" w:rsidR="002730F0" w:rsidRPr="009D6B32" w:rsidRDefault="00231DB7" w:rsidP="00E474A7">
            <w:pPr>
              <w:rPr>
                <w:lang w:val="es-ES"/>
              </w:rPr>
            </w:pPr>
            <w:r>
              <w:rPr>
                <w:noProof/>
              </w:rPr>
              <w:drawing>
                <wp:anchor distT="0" distB="0" distL="114300" distR="114300" simplePos="0" relativeHeight="251664392" behindDoc="0" locked="0" layoutInCell="1" allowOverlap="1" wp14:anchorId="57BCEE53" wp14:editId="060FC59D">
                  <wp:simplePos x="0" y="0"/>
                  <wp:positionH relativeFrom="column">
                    <wp:posOffset>-635</wp:posOffset>
                  </wp:positionH>
                  <wp:positionV relativeFrom="paragraph">
                    <wp:posOffset>1905</wp:posOffset>
                  </wp:positionV>
                  <wp:extent cx="5767200" cy="626400"/>
                  <wp:effectExtent l="0" t="0" r="5080" b="2540"/>
                  <wp:wrapNone/>
                  <wp:docPr id="2005448665" name="Picture 2005448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7200" cy="626400"/>
                          </a:xfrm>
                          <a:prstGeom prst="rect">
                            <a:avLst/>
                          </a:prstGeom>
                          <a:noFill/>
                          <a:ln>
                            <a:noFill/>
                          </a:ln>
                        </pic:spPr>
                      </pic:pic>
                    </a:graphicData>
                  </a:graphic>
                </wp:anchor>
              </w:drawing>
            </w:r>
          </w:p>
          <w:p w14:paraId="43C4103B" w14:textId="77777777" w:rsidR="002730F0" w:rsidRPr="009D6B32" w:rsidRDefault="002730F0" w:rsidP="00E474A7">
            <w:pPr>
              <w:rPr>
                <w:lang w:val="es-ES"/>
              </w:rPr>
            </w:pPr>
          </w:p>
          <w:p w14:paraId="53AF7EA6" w14:textId="77777777" w:rsidR="002730F0" w:rsidRPr="009D6B32" w:rsidRDefault="002730F0" w:rsidP="00E474A7">
            <w:pPr>
              <w:rPr>
                <w:lang w:val="es-ES"/>
              </w:rPr>
            </w:pPr>
          </w:p>
          <w:p w14:paraId="0E9A90A2" w14:textId="77777777" w:rsidR="002730F0" w:rsidRPr="009D6B32" w:rsidRDefault="002730F0" w:rsidP="00E474A7">
            <w:pPr>
              <w:rPr>
                <w:b w:val="0"/>
                <w:bCs w:val="0"/>
                <w:lang w:val="es-ES"/>
              </w:rPr>
            </w:pPr>
          </w:p>
        </w:tc>
        <w:tc>
          <w:tcPr>
            <w:tcW w:w="0" w:type="auto"/>
          </w:tcPr>
          <w:p w14:paraId="5AAB40A9" w14:textId="77777777" w:rsidR="002730F0" w:rsidRPr="00CA19B6" w:rsidRDefault="002730F0" w:rsidP="00E474A7">
            <w:pPr>
              <w:cnfStyle w:val="000000000000" w:firstRow="0" w:lastRow="0" w:firstColumn="0" w:lastColumn="0" w:oddVBand="0" w:evenVBand="0" w:oddHBand="0" w:evenHBand="0" w:firstRowFirstColumn="0" w:firstRowLastColumn="0" w:lastRowFirstColumn="0" w:lastRowLastColumn="0"/>
              <w:rPr>
                <w:b/>
                <w:bCs/>
              </w:rPr>
            </w:pPr>
            <w:r w:rsidRPr="00CA19B6">
              <w:rPr>
                <w:b/>
                <w:lang w:val="es-ES" w:bidi="es-ES"/>
              </w:rPr>
              <w:lastRenderedPageBreak/>
              <w:t xml:space="preserve">De mínimo a moderado </w:t>
            </w:r>
          </w:p>
        </w:tc>
      </w:tr>
      <w:tr w:rsidR="002730F0" w:rsidRPr="00871D0E" w14:paraId="5A9AB7D6" w14:textId="77777777" w:rsidTr="00E474A7">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0" w:type="auto"/>
          </w:tcPr>
          <w:p w14:paraId="3E5A5500" w14:textId="77777777" w:rsidR="002730F0" w:rsidRPr="009D6B32" w:rsidRDefault="002730F0" w:rsidP="00E474A7">
            <w:pPr>
              <w:rPr>
                <w:b w:val="0"/>
                <w:bCs w:val="0"/>
                <w:lang w:val="es-ES"/>
              </w:rPr>
            </w:pPr>
            <w:r>
              <w:rPr>
                <w:lang w:val="es-ES" w:bidi="es-ES"/>
              </w:rPr>
              <w:t>Operacional</w:t>
            </w:r>
          </w:p>
          <w:p w14:paraId="2A7BC5DB" w14:textId="77777777" w:rsidR="002730F0" w:rsidRPr="009D6B32" w:rsidRDefault="002730F0" w:rsidP="00E474A7">
            <w:pPr>
              <w:rPr>
                <w:lang w:val="es-ES"/>
              </w:rPr>
            </w:pPr>
            <w:r>
              <w:rPr>
                <w:b w:val="0"/>
                <w:lang w:val="es-ES" w:bidi="es-ES"/>
              </w:rPr>
              <w:t>El PNUD aboga por la variedad en la calidad y la ejecución operativas de cara a estudiar metodologías innovadoras y colaborar con nuevos asociados mientras que no ponga en peligro la confianza que las partes interesadas depositan en la organización. El PNUD no cesa de incorporar herramientas operativas, enfoques de adquisición, procedimientos y mecanismos novedosos y de reciente aparición con ánimo de potenciar la ejecución y la continuidad de las operaciones y la implantación de los programas. Considera que los fracasos son oportunidades para aprender y desarrollarse.</w:t>
            </w:r>
          </w:p>
          <w:p w14:paraId="696228C4" w14:textId="4B0A3600" w:rsidR="002730F0" w:rsidRPr="009D6B32" w:rsidRDefault="00231DB7" w:rsidP="00E474A7">
            <w:pPr>
              <w:rPr>
                <w:lang w:val="es-ES"/>
              </w:rPr>
            </w:pPr>
            <w:r>
              <w:rPr>
                <w:noProof/>
              </w:rPr>
              <w:drawing>
                <wp:anchor distT="0" distB="0" distL="114300" distR="114300" simplePos="0" relativeHeight="251666440" behindDoc="0" locked="0" layoutInCell="1" allowOverlap="1" wp14:anchorId="61C672BE" wp14:editId="152CCD93">
                  <wp:simplePos x="0" y="0"/>
                  <wp:positionH relativeFrom="column">
                    <wp:posOffset>-635</wp:posOffset>
                  </wp:positionH>
                  <wp:positionV relativeFrom="paragraph">
                    <wp:posOffset>3175</wp:posOffset>
                  </wp:positionV>
                  <wp:extent cx="5756400" cy="597600"/>
                  <wp:effectExtent l="0" t="0" r="0" b="0"/>
                  <wp:wrapNone/>
                  <wp:docPr id="859777061" name="Picture 859777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6400" cy="597600"/>
                          </a:xfrm>
                          <a:prstGeom prst="rect">
                            <a:avLst/>
                          </a:prstGeom>
                          <a:noFill/>
                          <a:ln>
                            <a:noFill/>
                          </a:ln>
                        </pic:spPr>
                      </pic:pic>
                    </a:graphicData>
                  </a:graphic>
                </wp:anchor>
              </w:drawing>
            </w:r>
          </w:p>
          <w:p w14:paraId="75C2C89B" w14:textId="77777777" w:rsidR="002730F0" w:rsidRPr="009D6B32" w:rsidRDefault="002730F0" w:rsidP="00E474A7">
            <w:pPr>
              <w:rPr>
                <w:lang w:val="es-ES"/>
              </w:rPr>
            </w:pPr>
          </w:p>
          <w:p w14:paraId="4C96E79B" w14:textId="77777777" w:rsidR="002730F0" w:rsidRPr="009D6B32" w:rsidRDefault="002730F0" w:rsidP="00E474A7">
            <w:pPr>
              <w:rPr>
                <w:lang w:val="es-ES"/>
              </w:rPr>
            </w:pPr>
          </w:p>
          <w:p w14:paraId="5440048B" w14:textId="77777777" w:rsidR="002730F0" w:rsidRPr="009D6B32" w:rsidRDefault="002730F0" w:rsidP="00E474A7">
            <w:pPr>
              <w:rPr>
                <w:b w:val="0"/>
                <w:bCs w:val="0"/>
                <w:lang w:val="es-ES"/>
              </w:rPr>
            </w:pPr>
          </w:p>
        </w:tc>
        <w:tc>
          <w:tcPr>
            <w:tcW w:w="0" w:type="auto"/>
          </w:tcPr>
          <w:p w14:paraId="36FB1D2A" w14:textId="77777777" w:rsidR="002730F0" w:rsidRPr="00871D0E" w:rsidRDefault="002730F0" w:rsidP="00E474A7">
            <w:pPr>
              <w:cnfStyle w:val="000000100000" w:firstRow="0" w:lastRow="0" w:firstColumn="0" w:lastColumn="0" w:oddVBand="0" w:evenVBand="0" w:oddHBand="1" w:evenHBand="0" w:firstRowFirstColumn="0" w:firstRowLastColumn="0" w:lastRowFirstColumn="0" w:lastRowLastColumn="0"/>
              <w:rPr>
                <w:b/>
                <w:bCs/>
              </w:rPr>
            </w:pPr>
            <w:r w:rsidRPr="00871D0E">
              <w:rPr>
                <w:b/>
                <w:lang w:val="es-ES" w:bidi="es-ES"/>
              </w:rPr>
              <w:t>De exploratorio a abierto</w:t>
            </w:r>
          </w:p>
        </w:tc>
      </w:tr>
      <w:tr w:rsidR="002730F0" w:rsidRPr="00871D0E" w14:paraId="19BE3648" w14:textId="77777777" w:rsidTr="00E474A7">
        <w:tc>
          <w:tcPr>
            <w:cnfStyle w:val="001000000000" w:firstRow="0" w:lastRow="0" w:firstColumn="1" w:lastColumn="0" w:oddVBand="0" w:evenVBand="0" w:oddHBand="0" w:evenHBand="0" w:firstRowFirstColumn="0" w:firstRowLastColumn="0" w:lastRowFirstColumn="0" w:lastRowLastColumn="0"/>
            <w:tcW w:w="0" w:type="auto"/>
          </w:tcPr>
          <w:p w14:paraId="70FBCDEB" w14:textId="77777777" w:rsidR="002730F0" w:rsidRPr="009D6B32" w:rsidRDefault="002730F0" w:rsidP="00E474A7">
            <w:pPr>
              <w:rPr>
                <w:b w:val="0"/>
                <w:bCs w:val="0"/>
                <w:lang w:val="es-ES"/>
              </w:rPr>
            </w:pPr>
            <w:r>
              <w:rPr>
                <w:lang w:val="es-ES" w:bidi="es-ES"/>
              </w:rPr>
              <w:t>Organizacional</w:t>
            </w:r>
          </w:p>
          <w:p w14:paraId="0717AFB7" w14:textId="77777777" w:rsidR="002730F0" w:rsidRPr="009D6B32" w:rsidRDefault="002730F0" w:rsidP="00E474A7">
            <w:pPr>
              <w:rPr>
                <w:lang w:val="es-ES"/>
              </w:rPr>
            </w:pPr>
            <w:r>
              <w:rPr>
                <w:b w:val="0"/>
                <w:lang w:val="es-ES" w:bidi="es-ES"/>
              </w:rPr>
              <w:t xml:space="preserve">El PNUD sigue un enfoque ágil en lo que respecta a mantenerse a la vanguardia de todas las esferas de intervención y asume riesgos fundamentados para garantizar la eficacia, el dinamismo, el aprendizaje y la resiliencia en el seno de la organización. Se asegura de cumplir las normas y políticas de gobernanza institucional y de adherirse a las normas éticas sin dejar de explorar otros métodos originales e innovadores para llevar a cabo su labor y ser una institución adecuada a sus metas. </w:t>
            </w:r>
          </w:p>
          <w:p w14:paraId="32BCBA9A" w14:textId="2BB1EDA4" w:rsidR="002730F0" w:rsidRPr="009D6B32" w:rsidRDefault="00231DB7" w:rsidP="00E474A7">
            <w:pPr>
              <w:rPr>
                <w:b w:val="0"/>
                <w:bCs w:val="0"/>
                <w:lang w:val="es-ES"/>
              </w:rPr>
            </w:pPr>
            <w:r>
              <w:rPr>
                <w:noProof/>
              </w:rPr>
              <w:drawing>
                <wp:anchor distT="0" distB="0" distL="114300" distR="114300" simplePos="0" relativeHeight="251668488" behindDoc="0" locked="0" layoutInCell="1" allowOverlap="1" wp14:anchorId="63F67C9A" wp14:editId="0216F97D">
                  <wp:simplePos x="0" y="0"/>
                  <wp:positionH relativeFrom="column">
                    <wp:posOffset>-635</wp:posOffset>
                  </wp:positionH>
                  <wp:positionV relativeFrom="paragraph">
                    <wp:posOffset>1270</wp:posOffset>
                  </wp:positionV>
                  <wp:extent cx="5756400" cy="597600"/>
                  <wp:effectExtent l="0" t="0" r="0" b="0"/>
                  <wp:wrapNone/>
                  <wp:docPr id="754287" name="Picture 754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6400" cy="597600"/>
                          </a:xfrm>
                          <a:prstGeom prst="rect">
                            <a:avLst/>
                          </a:prstGeom>
                          <a:noFill/>
                          <a:ln>
                            <a:noFill/>
                          </a:ln>
                        </pic:spPr>
                      </pic:pic>
                    </a:graphicData>
                  </a:graphic>
                </wp:anchor>
              </w:drawing>
            </w:r>
          </w:p>
          <w:p w14:paraId="0D4F657D" w14:textId="77777777" w:rsidR="002730F0" w:rsidRPr="009D6B32" w:rsidRDefault="002730F0" w:rsidP="00E474A7">
            <w:pPr>
              <w:rPr>
                <w:b w:val="0"/>
                <w:bCs w:val="0"/>
                <w:lang w:val="es-ES"/>
              </w:rPr>
            </w:pPr>
          </w:p>
          <w:p w14:paraId="39F52116" w14:textId="77777777" w:rsidR="002730F0" w:rsidRPr="009D6B32" w:rsidRDefault="002730F0" w:rsidP="00E474A7">
            <w:pPr>
              <w:rPr>
                <w:lang w:val="es-ES"/>
              </w:rPr>
            </w:pPr>
          </w:p>
          <w:p w14:paraId="0C031712" w14:textId="77777777" w:rsidR="002730F0" w:rsidRPr="009D6B32" w:rsidRDefault="002730F0" w:rsidP="00E474A7">
            <w:pPr>
              <w:rPr>
                <w:b w:val="0"/>
                <w:bCs w:val="0"/>
                <w:lang w:val="es-ES"/>
              </w:rPr>
            </w:pPr>
          </w:p>
        </w:tc>
        <w:tc>
          <w:tcPr>
            <w:tcW w:w="0" w:type="auto"/>
          </w:tcPr>
          <w:p w14:paraId="6D98CB5A" w14:textId="77777777" w:rsidR="002730F0" w:rsidRPr="00871D0E" w:rsidRDefault="002730F0" w:rsidP="00E474A7">
            <w:pPr>
              <w:cnfStyle w:val="000000000000" w:firstRow="0" w:lastRow="0" w:firstColumn="0" w:lastColumn="0" w:oddVBand="0" w:evenVBand="0" w:oddHBand="0" w:evenHBand="0" w:firstRowFirstColumn="0" w:firstRowLastColumn="0" w:lastRowFirstColumn="0" w:lastRowLastColumn="0"/>
              <w:rPr>
                <w:b/>
                <w:bCs/>
              </w:rPr>
            </w:pPr>
            <w:r w:rsidRPr="00871D0E">
              <w:rPr>
                <w:b/>
                <w:lang w:val="es-ES" w:bidi="es-ES"/>
              </w:rPr>
              <w:t>De exploratorio a abierto</w:t>
            </w:r>
          </w:p>
        </w:tc>
      </w:tr>
      <w:tr w:rsidR="002730F0" w:rsidRPr="00871D0E" w14:paraId="42E72C36" w14:textId="77777777" w:rsidTr="00E474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CBA12D5" w14:textId="6DA0B849" w:rsidR="002730F0" w:rsidRPr="009D6B32" w:rsidRDefault="002730F0" w:rsidP="00E474A7">
            <w:pPr>
              <w:rPr>
                <w:b w:val="0"/>
                <w:bCs w:val="0"/>
                <w:lang w:val="es-ES"/>
              </w:rPr>
            </w:pPr>
            <w:r>
              <w:rPr>
                <w:lang w:val="es-ES" w:bidi="es-ES"/>
              </w:rPr>
              <w:t>Reputacional</w:t>
            </w:r>
          </w:p>
          <w:p w14:paraId="59712448" w14:textId="77777777" w:rsidR="002730F0" w:rsidRPr="009D6B32" w:rsidRDefault="002730F0" w:rsidP="00E474A7">
            <w:pPr>
              <w:rPr>
                <w:lang w:val="es-ES"/>
              </w:rPr>
            </w:pPr>
            <w:r w:rsidRPr="001F63F9">
              <w:rPr>
                <w:b w:val="0"/>
                <w:lang w:val="es-ES" w:bidi="es-ES"/>
              </w:rPr>
              <w:t>El PNUD es una organización sumamente apreciada que inspira mucha confianza. No puede poner en entredicho su postura ética ni la credibilidad y la reputación que se ha granjeado entre las partes interesadas con las que colabora (gobiernos, donantes, asociados en la ejecución, el sector privado, la sociedad civil, beneficiarios, etc.). La entidad está decidida a proteger su reputación y su valor como organización. Para ello, llevará a ejecución la programación, satisfará los compromisos, completará las actividades de diligencia debida, mantendrá alianzas y gestionará las expectativas con eficacia y espíritu innovador sin dejar de estudiar nuevas opciones de ejecución y asociación ni de aprender y desarrollarse gracias a las pruebas piloto.</w:t>
            </w:r>
          </w:p>
          <w:p w14:paraId="6489D31E" w14:textId="66D49B6D" w:rsidR="002730F0" w:rsidRPr="009D6B32" w:rsidRDefault="00231DB7" w:rsidP="00E474A7">
            <w:pPr>
              <w:rPr>
                <w:b w:val="0"/>
                <w:bCs w:val="0"/>
                <w:lang w:val="es-ES"/>
              </w:rPr>
            </w:pPr>
            <w:r>
              <w:rPr>
                <w:noProof/>
              </w:rPr>
              <w:drawing>
                <wp:anchor distT="0" distB="0" distL="114300" distR="114300" simplePos="0" relativeHeight="251670536" behindDoc="0" locked="0" layoutInCell="1" allowOverlap="1" wp14:anchorId="055B840F" wp14:editId="22E5F6A9">
                  <wp:simplePos x="0" y="0"/>
                  <wp:positionH relativeFrom="column">
                    <wp:posOffset>-635</wp:posOffset>
                  </wp:positionH>
                  <wp:positionV relativeFrom="paragraph">
                    <wp:posOffset>1270</wp:posOffset>
                  </wp:positionV>
                  <wp:extent cx="5752306" cy="603738"/>
                  <wp:effectExtent l="0" t="0" r="1270" b="6350"/>
                  <wp:wrapNone/>
                  <wp:docPr id="1241355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94749" cy="60819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75147F" w14:textId="77777777" w:rsidR="002730F0" w:rsidRPr="009D6B32" w:rsidRDefault="002730F0" w:rsidP="00E474A7">
            <w:pPr>
              <w:rPr>
                <w:b w:val="0"/>
                <w:bCs w:val="0"/>
                <w:lang w:val="es-ES"/>
              </w:rPr>
            </w:pPr>
          </w:p>
          <w:p w14:paraId="24A00383" w14:textId="77777777" w:rsidR="002730F0" w:rsidRPr="009D6B32" w:rsidRDefault="002730F0" w:rsidP="00E474A7">
            <w:pPr>
              <w:rPr>
                <w:b w:val="0"/>
                <w:bCs w:val="0"/>
                <w:lang w:val="es-ES"/>
              </w:rPr>
            </w:pPr>
          </w:p>
          <w:p w14:paraId="29B374FC" w14:textId="77777777" w:rsidR="002730F0" w:rsidRPr="009D6B32" w:rsidRDefault="002730F0" w:rsidP="00E474A7">
            <w:pPr>
              <w:rPr>
                <w:b w:val="0"/>
                <w:bCs w:val="0"/>
                <w:lang w:val="es-ES"/>
              </w:rPr>
            </w:pPr>
          </w:p>
        </w:tc>
        <w:tc>
          <w:tcPr>
            <w:tcW w:w="0" w:type="auto"/>
          </w:tcPr>
          <w:p w14:paraId="649BAA75" w14:textId="77777777" w:rsidR="002730F0" w:rsidRPr="00871D0E" w:rsidRDefault="002730F0" w:rsidP="00E474A7">
            <w:pPr>
              <w:cnfStyle w:val="000000100000" w:firstRow="0" w:lastRow="0" w:firstColumn="0" w:lastColumn="0" w:oddVBand="0" w:evenVBand="0" w:oddHBand="1" w:evenHBand="0" w:firstRowFirstColumn="0" w:firstRowLastColumn="0" w:lastRowFirstColumn="0" w:lastRowLastColumn="0"/>
              <w:rPr>
                <w:b/>
                <w:bCs/>
              </w:rPr>
            </w:pPr>
            <w:r w:rsidRPr="00871D0E">
              <w:rPr>
                <w:b/>
                <w:lang w:val="es-ES" w:bidi="es-ES"/>
              </w:rPr>
              <w:lastRenderedPageBreak/>
              <w:t xml:space="preserve">Moderado </w:t>
            </w:r>
          </w:p>
        </w:tc>
      </w:tr>
      <w:tr w:rsidR="00CC4AE5" w:rsidRPr="00CA19B6" w14:paraId="6FFAECCD" w14:textId="77777777" w:rsidTr="00E474A7">
        <w:trPr>
          <w:trHeight w:val="2231"/>
        </w:trPr>
        <w:tc>
          <w:tcPr>
            <w:cnfStyle w:val="001000000000" w:firstRow="0" w:lastRow="0" w:firstColumn="1" w:lastColumn="0" w:oddVBand="0" w:evenVBand="0" w:oddHBand="0" w:evenHBand="0" w:firstRowFirstColumn="0" w:firstRowLastColumn="0" w:lastRowFirstColumn="0" w:lastRowLastColumn="0"/>
            <w:tcW w:w="0" w:type="auto"/>
          </w:tcPr>
          <w:p w14:paraId="5F82762D" w14:textId="77777777" w:rsidR="00CC4AE5" w:rsidRPr="009D6B32" w:rsidRDefault="00CC4AE5" w:rsidP="00E474A7">
            <w:pPr>
              <w:rPr>
                <w:b w:val="0"/>
                <w:bCs w:val="0"/>
                <w:lang w:val="es-ES"/>
              </w:rPr>
            </w:pPr>
            <w:r>
              <w:rPr>
                <w:lang w:val="es-ES" w:bidi="es-ES"/>
              </w:rPr>
              <w:t>Regulatorio</w:t>
            </w:r>
          </w:p>
          <w:p w14:paraId="2AFC82B4" w14:textId="77777777" w:rsidR="00CC4AE5" w:rsidRPr="009D6B32" w:rsidRDefault="00CC4AE5" w:rsidP="00E474A7">
            <w:pPr>
              <w:rPr>
                <w:lang w:val="es-ES"/>
              </w:rPr>
            </w:pPr>
            <w:r>
              <w:rPr>
                <w:b w:val="0"/>
                <w:lang w:val="es-ES" w:bidi="es-ES"/>
              </w:rPr>
              <w:t>El PNUD encontrará métodos válidos para valerse del marco jurídico y regulatorio a fin de llevar a buen término sus planes estratégicos, como sumarse a la interpretación de los reglamentos que hacen otros organismos de las Naciones Unidas con marcos regulatorios parecidos.</w:t>
            </w:r>
          </w:p>
          <w:p w14:paraId="342EEB83" w14:textId="49CA47F9" w:rsidR="00CC4AE5" w:rsidRPr="009D6B32" w:rsidRDefault="00231DB7" w:rsidP="00E474A7">
            <w:pPr>
              <w:rPr>
                <w:lang w:val="es-ES"/>
              </w:rPr>
            </w:pPr>
            <w:r>
              <w:rPr>
                <w:noProof/>
              </w:rPr>
              <w:drawing>
                <wp:anchor distT="0" distB="0" distL="114300" distR="114300" simplePos="0" relativeHeight="251672584" behindDoc="0" locked="0" layoutInCell="1" allowOverlap="1" wp14:anchorId="7037F3F2" wp14:editId="2D96789C">
                  <wp:simplePos x="0" y="0"/>
                  <wp:positionH relativeFrom="column">
                    <wp:posOffset>-635</wp:posOffset>
                  </wp:positionH>
                  <wp:positionV relativeFrom="paragraph">
                    <wp:posOffset>0</wp:posOffset>
                  </wp:positionV>
                  <wp:extent cx="5752306" cy="603738"/>
                  <wp:effectExtent l="0" t="0" r="1270" b="6350"/>
                  <wp:wrapNone/>
                  <wp:docPr id="1001068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94749" cy="60819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0DDC4E" w14:textId="77777777" w:rsidR="00CC4AE5" w:rsidRPr="009D6B32" w:rsidRDefault="00CC4AE5" w:rsidP="00E474A7">
            <w:pPr>
              <w:rPr>
                <w:lang w:val="es-ES"/>
              </w:rPr>
            </w:pPr>
          </w:p>
          <w:p w14:paraId="39C95C66" w14:textId="77777777" w:rsidR="00CC4AE5" w:rsidRPr="009D6B32" w:rsidRDefault="00CC4AE5" w:rsidP="00E474A7">
            <w:pPr>
              <w:rPr>
                <w:lang w:val="es-ES"/>
              </w:rPr>
            </w:pPr>
          </w:p>
          <w:p w14:paraId="7CEA9A81" w14:textId="77777777" w:rsidR="00CC4AE5" w:rsidRPr="009D6B32" w:rsidRDefault="00CC4AE5" w:rsidP="00E474A7">
            <w:pPr>
              <w:rPr>
                <w:b w:val="0"/>
                <w:bCs w:val="0"/>
                <w:lang w:val="es-ES"/>
              </w:rPr>
            </w:pPr>
          </w:p>
        </w:tc>
        <w:tc>
          <w:tcPr>
            <w:tcW w:w="0" w:type="auto"/>
          </w:tcPr>
          <w:p w14:paraId="4F3644D1" w14:textId="77777777" w:rsidR="00CC4AE5" w:rsidRPr="00CA19B6" w:rsidRDefault="00CC4AE5" w:rsidP="00E474A7">
            <w:pPr>
              <w:cnfStyle w:val="000000000000" w:firstRow="0" w:lastRow="0" w:firstColumn="0" w:lastColumn="0" w:oddVBand="0" w:evenVBand="0" w:oddHBand="0" w:evenHBand="0" w:firstRowFirstColumn="0" w:firstRowLastColumn="0" w:lastRowFirstColumn="0" w:lastRowLastColumn="0"/>
              <w:rPr>
                <w:b/>
                <w:bCs/>
              </w:rPr>
            </w:pPr>
            <w:r w:rsidRPr="00CA19B6">
              <w:rPr>
                <w:b/>
                <w:lang w:val="es-ES" w:bidi="es-ES"/>
              </w:rPr>
              <w:t>Moderado</w:t>
            </w:r>
          </w:p>
        </w:tc>
      </w:tr>
      <w:tr w:rsidR="0041558F" w14:paraId="51CE27C8" w14:textId="77777777" w:rsidTr="001703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33C9279" w14:textId="77777777" w:rsidR="0041558F" w:rsidRPr="009D6B32" w:rsidRDefault="0041558F" w:rsidP="001703F8">
            <w:pPr>
              <w:rPr>
                <w:b w:val="0"/>
                <w:bCs w:val="0"/>
                <w:lang w:val="es-ES"/>
              </w:rPr>
            </w:pPr>
            <w:r>
              <w:rPr>
                <w:lang w:val="es-ES" w:bidi="es-ES"/>
              </w:rPr>
              <w:t>Estratégico</w:t>
            </w:r>
          </w:p>
          <w:p w14:paraId="25CC21A2" w14:textId="77777777" w:rsidR="0041558F" w:rsidRPr="009D6B32" w:rsidRDefault="0041558F" w:rsidP="001703F8">
            <w:pPr>
              <w:rPr>
                <w:b w:val="0"/>
                <w:bCs w:val="0"/>
                <w:lang w:val="es-ES"/>
              </w:rPr>
            </w:pPr>
            <w:r>
              <w:rPr>
                <w:b w:val="0"/>
                <w:lang w:val="es-ES" w:bidi="es-ES"/>
              </w:rPr>
              <w:t>El PNUD da prioridad a la elaboración y ejecución de su estrategia, de modo que busca tácticas novedosas y de reciente aparición para prestar servicios de gran valor, ofrecer programas y cumplir objetivos a la vez que amplía y diversifica el plantel de donantes y asociados. Mientras tanto, aprende de los errores que haya podido cometer y nunca deja de seguir sus principios éticos.</w:t>
            </w:r>
          </w:p>
          <w:p w14:paraId="233314C7" w14:textId="4D5BB529" w:rsidR="0041558F" w:rsidRPr="009D6B32" w:rsidRDefault="00231DB7" w:rsidP="001703F8">
            <w:pPr>
              <w:rPr>
                <w:b w:val="0"/>
                <w:bCs w:val="0"/>
                <w:lang w:val="es-ES"/>
              </w:rPr>
            </w:pPr>
            <w:r>
              <w:rPr>
                <w:noProof/>
              </w:rPr>
              <w:drawing>
                <wp:anchor distT="0" distB="0" distL="114300" distR="114300" simplePos="0" relativeHeight="251674632" behindDoc="0" locked="0" layoutInCell="1" allowOverlap="1" wp14:anchorId="5241D157" wp14:editId="4208E294">
                  <wp:simplePos x="0" y="0"/>
                  <wp:positionH relativeFrom="column">
                    <wp:posOffset>-635</wp:posOffset>
                  </wp:positionH>
                  <wp:positionV relativeFrom="paragraph">
                    <wp:posOffset>1270</wp:posOffset>
                  </wp:positionV>
                  <wp:extent cx="5814000" cy="651600"/>
                  <wp:effectExtent l="0" t="0" r="0" b="0"/>
                  <wp:wrapNone/>
                  <wp:docPr id="1728159102" name="Picture 1728159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14000" cy="651600"/>
                          </a:xfrm>
                          <a:prstGeom prst="rect">
                            <a:avLst/>
                          </a:prstGeom>
                          <a:noFill/>
                          <a:ln>
                            <a:noFill/>
                          </a:ln>
                        </pic:spPr>
                      </pic:pic>
                    </a:graphicData>
                  </a:graphic>
                </wp:anchor>
              </w:drawing>
            </w:r>
          </w:p>
          <w:p w14:paraId="79B0D05C" w14:textId="77777777" w:rsidR="0041558F" w:rsidRPr="009D6B32" w:rsidRDefault="0041558F" w:rsidP="001703F8">
            <w:pPr>
              <w:rPr>
                <w:b w:val="0"/>
                <w:bCs w:val="0"/>
                <w:lang w:val="es-ES"/>
              </w:rPr>
            </w:pPr>
          </w:p>
          <w:p w14:paraId="0F3650DC" w14:textId="77777777" w:rsidR="0041558F" w:rsidRPr="009D6B32" w:rsidRDefault="0041558F" w:rsidP="001703F8">
            <w:pPr>
              <w:rPr>
                <w:b w:val="0"/>
                <w:bCs w:val="0"/>
                <w:lang w:val="es-ES"/>
              </w:rPr>
            </w:pPr>
          </w:p>
          <w:p w14:paraId="31C8D014" w14:textId="77777777" w:rsidR="0041558F" w:rsidRPr="009D6B32" w:rsidRDefault="0041558F" w:rsidP="001703F8">
            <w:pPr>
              <w:rPr>
                <w:b w:val="0"/>
                <w:bCs w:val="0"/>
                <w:lang w:val="es-ES"/>
              </w:rPr>
            </w:pPr>
          </w:p>
        </w:tc>
        <w:tc>
          <w:tcPr>
            <w:tcW w:w="0" w:type="auto"/>
          </w:tcPr>
          <w:p w14:paraId="7FE36607" w14:textId="77777777" w:rsidR="0041558F" w:rsidRPr="00871D0E" w:rsidRDefault="0041558F" w:rsidP="001703F8">
            <w:pPr>
              <w:cnfStyle w:val="000000100000" w:firstRow="0" w:lastRow="0" w:firstColumn="0" w:lastColumn="0" w:oddVBand="0" w:evenVBand="0" w:oddHBand="1" w:evenHBand="0" w:firstRowFirstColumn="0" w:firstRowLastColumn="0" w:lastRowFirstColumn="0" w:lastRowLastColumn="0"/>
              <w:rPr>
                <w:b/>
                <w:bCs/>
              </w:rPr>
            </w:pPr>
            <w:r w:rsidRPr="00871D0E">
              <w:rPr>
                <w:b/>
                <w:lang w:val="es-ES" w:bidi="es-ES"/>
              </w:rPr>
              <w:t>De abierto a elevado</w:t>
            </w:r>
          </w:p>
        </w:tc>
      </w:tr>
      <w:tr w:rsidR="0041558F" w14:paraId="06AEF6C3" w14:textId="77777777" w:rsidTr="001703F8">
        <w:tc>
          <w:tcPr>
            <w:cnfStyle w:val="001000000000" w:firstRow="0" w:lastRow="0" w:firstColumn="1" w:lastColumn="0" w:oddVBand="0" w:evenVBand="0" w:oddHBand="0" w:evenHBand="0" w:firstRowFirstColumn="0" w:firstRowLastColumn="0" w:lastRowFirstColumn="0" w:lastRowLastColumn="0"/>
            <w:tcW w:w="0" w:type="auto"/>
          </w:tcPr>
          <w:p w14:paraId="18699191" w14:textId="77777777" w:rsidR="0041558F" w:rsidRPr="009D6B32" w:rsidRDefault="0041558F" w:rsidP="001703F8">
            <w:pPr>
              <w:rPr>
                <w:b w:val="0"/>
                <w:bCs w:val="0"/>
                <w:lang w:val="es-ES"/>
              </w:rPr>
            </w:pPr>
            <w:r>
              <w:rPr>
                <w:lang w:val="es-ES" w:bidi="es-ES"/>
              </w:rPr>
              <w:t>Protección y seguridad</w:t>
            </w:r>
          </w:p>
          <w:p w14:paraId="2502171B" w14:textId="2A5C8F58" w:rsidR="0041558F" w:rsidRPr="009D6B32" w:rsidRDefault="0041558F" w:rsidP="001703F8">
            <w:pPr>
              <w:rPr>
                <w:b w:val="0"/>
                <w:bCs w:val="0"/>
                <w:lang w:val="es-ES"/>
              </w:rPr>
            </w:pPr>
            <w:r w:rsidRPr="00CD1C74">
              <w:rPr>
                <w:b w:val="0"/>
                <w:lang w:val="es-ES" w:bidi="es-ES"/>
              </w:rPr>
              <w:t>El PNUD adopta medidas eficaces encaminadas a reducir su grado de exposición a los riesgos de seguridad y protección que afectan al personal, las instalaciones, los activos y las operaciones para así lograr la puesta en marcha de las actividades. Incluso en circunstancias de riesgo considerable, las actividades programáticas de la organización se llevarán a cabo con los controles y medidas de mitigación oportunos que se hayan acordado. El PNUD asumirá los riesgos necesarios —también las decisiones en el plano indicado de la autoridad delegada— hasta que se haya hecho todo lo posible por reducir los riesgos a unos niveles aceptables de acuerdo con la Política de Gestión de los Riegos para la Seguridad del sistema de gestión de la seguridad de las Naciones Unidas (SGSNU)</w:t>
            </w:r>
            <w:r w:rsidRPr="007E75BF">
              <w:rPr>
                <w:rStyle w:val="FootnoteReference"/>
                <w:b w:val="0"/>
                <w:lang w:val="es-ES" w:bidi="es-ES"/>
              </w:rPr>
              <w:footnoteReference w:id="2"/>
            </w:r>
            <w:r w:rsidRPr="00CD1C74">
              <w:rPr>
                <w:b w:val="0"/>
                <w:lang w:val="es-ES" w:bidi="es-ES"/>
              </w:rPr>
              <w:t>.</w:t>
            </w:r>
          </w:p>
          <w:p w14:paraId="5C3D3FD2" w14:textId="77777777" w:rsidR="0041558F" w:rsidRPr="009D6B32" w:rsidRDefault="0041558F" w:rsidP="001703F8">
            <w:pPr>
              <w:rPr>
                <w:lang w:val="es-ES"/>
              </w:rPr>
            </w:pPr>
            <w:r>
              <w:rPr>
                <w:b w:val="0"/>
                <w:lang w:val="es-ES" w:bidi="es-ES"/>
              </w:rPr>
              <w:t>El PNUD gestiona la ciberseguridad con vistas a mantener la confidencialidad y la integridad de la información que atesora</w:t>
            </w:r>
            <w:r>
              <w:rPr>
                <w:rStyle w:val="FootnoteReference"/>
                <w:b w:val="0"/>
                <w:lang w:val="es-ES" w:bidi="es-ES"/>
              </w:rPr>
              <w:footnoteReference w:id="3"/>
            </w:r>
            <w:r>
              <w:rPr>
                <w:b w:val="0"/>
                <w:lang w:val="es-ES" w:bidi="es-ES"/>
              </w:rPr>
              <w:t>.</w:t>
            </w:r>
          </w:p>
          <w:p w14:paraId="34C65366" w14:textId="39DE14FF" w:rsidR="0041558F" w:rsidRPr="009D6B32" w:rsidRDefault="00231DB7" w:rsidP="001703F8">
            <w:pPr>
              <w:rPr>
                <w:lang w:val="es-ES"/>
              </w:rPr>
            </w:pPr>
            <w:r>
              <w:rPr>
                <w:noProof/>
              </w:rPr>
              <w:drawing>
                <wp:anchor distT="0" distB="0" distL="114300" distR="114300" simplePos="0" relativeHeight="251676680" behindDoc="0" locked="0" layoutInCell="1" allowOverlap="1" wp14:anchorId="17D84FC2" wp14:editId="213AD9A6">
                  <wp:simplePos x="0" y="0"/>
                  <wp:positionH relativeFrom="column">
                    <wp:posOffset>-635</wp:posOffset>
                  </wp:positionH>
                  <wp:positionV relativeFrom="paragraph">
                    <wp:posOffset>1270</wp:posOffset>
                  </wp:positionV>
                  <wp:extent cx="5752306" cy="603738"/>
                  <wp:effectExtent l="0" t="0" r="1270" b="6350"/>
                  <wp:wrapNone/>
                  <wp:docPr id="17104674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52306" cy="60373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7A506A" w14:textId="77777777" w:rsidR="0041558F" w:rsidRPr="009D6B32" w:rsidRDefault="0041558F" w:rsidP="001703F8">
            <w:pPr>
              <w:rPr>
                <w:lang w:val="es-ES"/>
              </w:rPr>
            </w:pPr>
          </w:p>
          <w:p w14:paraId="6A6BBC9C" w14:textId="77777777" w:rsidR="0041558F" w:rsidRPr="009D6B32" w:rsidRDefault="0041558F" w:rsidP="001703F8">
            <w:pPr>
              <w:rPr>
                <w:lang w:val="es-ES"/>
              </w:rPr>
            </w:pPr>
          </w:p>
          <w:p w14:paraId="422F9F2A" w14:textId="77777777" w:rsidR="0041558F" w:rsidRPr="009D6B32" w:rsidRDefault="0041558F" w:rsidP="001703F8">
            <w:pPr>
              <w:rPr>
                <w:b w:val="0"/>
                <w:bCs w:val="0"/>
                <w:lang w:val="es-ES"/>
              </w:rPr>
            </w:pPr>
          </w:p>
        </w:tc>
        <w:tc>
          <w:tcPr>
            <w:tcW w:w="0" w:type="auto"/>
          </w:tcPr>
          <w:p w14:paraId="37F9D6B7" w14:textId="77777777" w:rsidR="0041558F" w:rsidRPr="00CA19B6" w:rsidRDefault="0041558F" w:rsidP="001703F8">
            <w:pPr>
              <w:cnfStyle w:val="000000000000" w:firstRow="0" w:lastRow="0" w:firstColumn="0" w:lastColumn="0" w:oddVBand="0" w:evenVBand="0" w:oddHBand="0" w:evenHBand="0" w:firstRowFirstColumn="0" w:firstRowLastColumn="0" w:lastRowFirstColumn="0" w:lastRowLastColumn="0"/>
              <w:rPr>
                <w:b/>
                <w:bCs/>
              </w:rPr>
            </w:pPr>
            <w:r w:rsidRPr="00CA19B6">
              <w:rPr>
                <w:b/>
                <w:lang w:val="es-ES" w:bidi="es-ES"/>
              </w:rPr>
              <w:t xml:space="preserve">Moderado </w:t>
            </w:r>
          </w:p>
        </w:tc>
      </w:tr>
    </w:tbl>
    <w:p w14:paraId="2F83522F" w14:textId="7D208A9D" w:rsidR="00672D45" w:rsidRPr="009D6B32" w:rsidRDefault="001E7406" w:rsidP="001E7406">
      <w:pPr>
        <w:pStyle w:val="Heading1"/>
        <w:rPr>
          <w:lang w:val="es-ES"/>
        </w:rPr>
      </w:pPr>
      <w:bookmarkStart w:id="11" w:name="_Toc157084521"/>
      <w:r>
        <w:rPr>
          <w:lang w:val="es-ES" w:bidi="es-ES"/>
        </w:rPr>
        <w:lastRenderedPageBreak/>
        <w:t>Anexo 3: Correspondencia entre el apetito de riesgo y su trascendencia en la matriz de riesgo</w:t>
      </w:r>
      <w:bookmarkEnd w:id="11"/>
    </w:p>
    <w:p w14:paraId="793EBA63" w14:textId="77777777" w:rsidR="00DD5E07" w:rsidRPr="009D6B32" w:rsidRDefault="00DD5E07" w:rsidP="00513FC1">
      <w:pPr>
        <w:spacing w:after="0"/>
        <w:rPr>
          <w:lang w:val="es-ES"/>
        </w:rPr>
      </w:pPr>
    </w:p>
    <w:tbl>
      <w:tblPr>
        <w:tblStyle w:val="TableGrid"/>
        <w:tblW w:w="0" w:type="auto"/>
        <w:jc w:val="center"/>
        <w:tblLook w:val="04A0" w:firstRow="1" w:lastRow="0" w:firstColumn="1" w:lastColumn="0" w:noHBand="0" w:noVBand="1"/>
      </w:tblPr>
      <w:tblGrid>
        <w:gridCol w:w="907"/>
        <w:gridCol w:w="907"/>
        <w:gridCol w:w="1244"/>
        <w:gridCol w:w="358"/>
        <w:gridCol w:w="921"/>
        <w:gridCol w:w="688"/>
        <w:gridCol w:w="613"/>
        <w:gridCol w:w="981"/>
        <w:gridCol w:w="307"/>
        <w:gridCol w:w="1244"/>
      </w:tblGrid>
      <w:tr w:rsidR="003C4D56" w14:paraId="71E4C1B4" w14:textId="77777777" w:rsidTr="003C4D56">
        <w:trPr>
          <w:cantSplit/>
          <w:trHeight w:val="992"/>
          <w:jc w:val="center"/>
        </w:trPr>
        <w:tc>
          <w:tcPr>
            <w:tcW w:w="907" w:type="dxa"/>
            <w:vMerge w:val="restart"/>
            <w:textDirection w:val="btLr"/>
            <w:vAlign w:val="center"/>
          </w:tcPr>
          <w:p w14:paraId="32B4229B" w14:textId="43DEFFE4" w:rsidR="00DD5E07" w:rsidRPr="00C74078" w:rsidRDefault="00DD5E07" w:rsidP="00DD5E07">
            <w:pPr>
              <w:ind w:left="113" w:right="113"/>
              <w:jc w:val="center"/>
              <w:rPr>
                <w:b/>
                <w:bCs/>
              </w:rPr>
            </w:pPr>
            <w:r w:rsidRPr="00C74078">
              <w:rPr>
                <w:b/>
                <w:sz w:val="28"/>
                <w:lang w:val="es-ES" w:bidi="es-ES"/>
              </w:rPr>
              <w:t>Impacto</w:t>
            </w:r>
          </w:p>
        </w:tc>
        <w:tc>
          <w:tcPr>
            <w:tcW w:w="907" w:type="dxa"/>
            <w:vAlign w:val="center"/>
          </w:tcPr>
          <w:p w14:paraId="46976DB5" w14:textId="61EBEB70" w:rsidR="00DD5E07" w:rsidRPr="00C74078" w:rsidRDefault="00DD5E07" w:rsidP="00DD5E07">
            <w:pPr>
              <w:jc w:val="center"/>
              <w:rPr>
                <w:b/>
                <w:bCs/>
              </w:rPr>
            </w:pPr>
            <w:r w:rsidRPr="00C74078">
              <w:rPr>
                <w:b/>
                <w:lang w:val="es-ES" w:bidi="es-ES"/>
              </w:rPr>
              <w:t>5</w:t>
            </w:r>
          </w:p>
        </w:tc>
        <w:tc>
          <w:tcPr>
            <w:tcW w:w="1227" w:type="dxa"/>
            <w:shd w:val="clear" w:color="auto" w:fill="8EAADB" w:themeFill="accent1" w:themeFillTint="99"/>
            <w:vAlign w:val="center"/>
          </w:tcPr>
          <w:p w14:paraId="3A5885B5" w14:textId="3E6566A1" w:rsidR="00DD5E07" w:rsidRPr="003C4D56" w:rsidRDefault="00C74078" w:rsidP="00DD5E07">
            <w:pPr>
              <w:jc w:val="center"/>
              <w:rPr>
                <w:b/>
                <w:bCs/>
                <w:sz w:val="20"/>
                <w:szCs w:val="20"/>
              </w:rPr>
            </w:pPr>
            <w:r w:rsidRPr="003C4D56">
              <w:rPr>
                <w:b/>
                <w:sz w:val="20"/>
                <w:lang w:val="es-ES" w:bidi="es-ES"/>
              </w:rPr>
              <w:t>Exploratorio</w:t>
            </w:r>
          </w:p>
        </w:tc>
        <w:tc>
          <w:tcPr>
            <w:tcW w:w="1228" w:type="dxa"/>
            <w:gridSpan w:val="2"/>
            <w:shd w:val="clear" w:color="auto" w:fill="2F5496" w:themeFill="accent1" w:themeFillShade="BF"/>
            <w:vAlign w:val="center"/>
          </w:tcPr>
          <w:p w14:paraId="710E3922" w14:textId="185236F9" w:rsidR="00DD5E07" w:rsidRDefault="00C74078" w:rsidP="00DD5E07">
            <w:pPr>
              <w:jc w:val="center"/>
            </w:pPr>
            <w:r w:rsidRPr="00C74078">
              <w:rPr>
                <w:b/>
                <w:color w:val="FFFFFF" w:themeColor="background1"/>
                <w:lang w:val="es-ES" w:bidi="es-ES"/>
              </w:rPr>
              <w:t>Abierto</w:t>
            </w:r>
          </w:p>
        </w:tc>
        <w:tc>
          <w:tcPr>
            <w:tcW w:w="1227" w:type="dxa"/>
            <w:gridSpan w:val="2"/>
            <w:shd w:val="clear" w:color="auto" w:fill="2F5496" w:themeFill="accent1" w:themeFillShade="BF"/>
            <w:vAlign w:val="center"/>
          </w:tcPr>
          <w:p w14:paraId="49B2B906" w14:textId="14C83DB9" w:rsidR="00DD5E07" w:rsidRPr="00C74078" w:rsidRDefault="00C74078" w:rsidP="00DD5E07">
            <w:pPr>
              <w:jc w:val="center"/>
              <w:rPr>
                <w:b/>
                <w:bCs/>
              </w:rPr>
            </w:pPr>
            <w:r w:rsidRPr="00C74078">
              <w:rPr>
                <w:b/>
                <w:color w:val="FFFFFF" w:themeColor="background1"/>
                <w:lang w:val="es-ES" w:bidi="es-ES"/>
              </w:rPr>
              <w:t>Abierto</w:t>
            </w:r>
          </w:p>
        </w:tc>
        <w:tc>
          <w:tcPr>
            <w:tcW w:w="1228" w:type="dxa"/>
            <w:gridSpan w:val="2"/>
            <w:shd w:val="clear" w:color="auto" w:fill="1F3864" w:themeFill="accent1" w:themeFillShade="80"/>
            <w:vAlign w:val="center"/>
          </w:tcPr>
          <w:p w14:paraId="6870F5C4" w14:textId="21F8C49F" w:rsidR="00DD5E07" w:rsidRPr="00C74078" w:rsidRDefault="00C74078" w:rsidP="00DD5E07">
            <w:pPr>
              <w:jc w:val="center"/>
              <w:rPr>
                <w:b/>
                <w:bCs/>
                <w:color w:val="FFFFFF" w:themeColor="background1"/>
              </w:rPr>
            </w:pPr>
            <w:r>
              <w:rPr>
                <w:b/>
                <w:color w:val="FFFFFF" w:themeColor="background1"/>
                <w:lang w:val="es-ES" w:bidi="es-ES"/>
              </w:rPr>
              <w:t>Elevado</w:t>
            </w:r>
          </w:p>
        </w:tc>
        <w:tc>
          <w:tcPr>
            <w:tcW w:w="1228" w:type="dxa"/>
            <w:shd w:val="clear" w:color="auto" w:fill="1F3864" w:themeFill="accent1" w:themeFillShade="80"/>
            <w:vAlign w:val="center"/>
          </w:tcPr>
          <w:p w14:paraId="50915132" w14:textId="6FC148A3" w:rsidR="00DD5E07" w:rsidRPr="00C74078" w:rsidRDefault="00C74078" w:rsidP="00DD5E07">
            <w:pPr>
              <w:jc w:val="center"/>
              <w:rPr>
                <w:b/>
                <w:bCs/>
              </w:rPr>
            </w:pPr>
            <w:r w:rsidRPr="00C74078">
              <w:rPr>
                <w:b/>
                <w:lang w:val="es-ES" w:bidi="es-ES"/>
              </w:rPr>
              <w:t>Elevado</w:t>
            </w:r>
          </w:p>
        </w:tc>
      </w:tr>
      <w:tr w:rsidR="003C4D56" w14:paraId="24BB4A0E" w14:textId="77777777" w:rsidTr="003C4D56">
        <w:trPr>
          <w:cantSplit/>
          <w:trHeight w:val="992"/>
          <w:jc w:val="center"/>
        </w:trPr>
        <w:tc>
          <w:tcPr>
            <w:tcW w:w="907" w:type="dxa"/>
            <w:vMerge/>
          </w:tcPr>
          <w:p w14:paraId="7C6F3C51" w14:textId="77777777" w:rsidR="00DD5E07" w:rsidRPr="00C74078" w:rsidRDefault="00DD5E07" w:rsidP="00DD5E07">
            <w:pPr>
              <w:jc w:val="center"/>
              <w:rPr>
                <w:b/>
                <w:bCs/>
              </w:rPr>
            </w:pPr>
          </w:p>
        </w:tc>
        <w:tc>
          <w:tcPr>
            <w:tcW w:w="907" w:type="dxa"/>
            <w:vAlign w:val="center"/>
          </w:tcPr>
          <w:p w14:paraId="6FE80EB9" w14:textId="43A06C80" w:rsidR="00DD5E07" w:rsidRPr="00C74078" w:rsidRDefault="00DD5E07" w:rsidP="00DD5E07">
            <w:pPr>
              <w:jc w:val="center"/>
              <w:rPr>
                <w:b/>
                <w:bCs/>
              </w:rPr>
            </w:pPr>
            <w:r w:rsidRPr="00C74078">
              <w:rPr>
                <w:b/>
                <w:lang w:val="es-ES" w:bidi="es-ES"/>
              </w:rPr>
              <w:t>4</w:t>
            </w:r>
          </w:p>
        </w:tc>
        <w:tc>
          <w:tcPr>
            <w:tcW w:w="1227" w:type="dxa"/>
            <w:shd w:val="clear" w:color="auto" w:fill="B4C6E7" w:themeFill="accent1" w:themeFillTint="66"/>
            <w:vAlign w:val="center"/>
          </w:tcPr>
          <w:p w14:paraId="3489C49F" w14:textId="553CAAE8" w:rsidR="00DD5E07" w:rsidRPr="00C74078" w:rsidRDefault="00C74078" w:rsidP="00DD5E07">
            <w:pPr>
              <w:jc w:val="center"/>
              <w:rPr>
                <w:b/>
                <w:bCs/>
              </w:rPr>
            </w:pPr>
            <w:r>
              <w:rPr>
                <w:b/>
                <w:lang w:val="es-ES" w:bidi="es-ES"/>
              </w:rPr>
              <w:t>Moderado</w:t>
            </w:r>
          </w:p>
        </w:tc>
        <w:tc>
          <w:tcPr>
            <w:tcW w:w="1228" w:type="dxa"/>
            <w:gridSpan w:val="2"/>
            <w:shd w:val="clear" w:color="auto" w:fill="8EAADB" w:themeFill="accent1" w:themeFillTint="99"/>
            <w:vAlign w:val="center"/>
          </w:tcPr>
          <w:p w14:paraId="2448D384" w14:textId="0EC06C5A" w:rsidR="00DD5E07" w:rsidRPr="003C4D56" w:rsidRDefault="00C74078" w:rsidP="00DD5E07">
            <w:pPr>
              <w:jc w:val="center"/>
              <w:rPr>
                <w:sz w:val="20"/>
                <w:szCs w:val="20"/>
              </w:rPr>
            </w:pPr>
            <w:r w:rsidRPr="003C4D56">
              <w:rPr>
                <w:b/>
                <w:sz w:val="20"/>
                <w:lang w:val="es-ES" w:bidi="es-ES"/>
              </w:rPr>
              <w:t>Exploratorio</w:t>
            </w:r>
          </w:p>
        </w:tc>
        <w:tc>
          <w:tcPr>
            <w:tcW w:w="1227" w:type="dxa"/>
            <w:gridSpan w:val="2"/>
            <w:shd w:val="clear" w:color="auto" w:fill="2F5496" w:themeFill="accent1" w:themeFillShade="BF"/>
            <w:vAlign w:val="center"/>
          </w:tcPr>
          <w:p w14:paraId="18E73AEF" w14:textId="32BE6421" w:rsidR="00DD5E07" w:rsidRPr="00C74078" w:rsidRDefault="00C74078" w:rsidP="00DD5E07">
            <w:pPr>
              <w:jc w:val="center"/>
              <w:rPr>
                <w:b/>
                <w:bCs/>
                <w:color w:val="FFFFFF" w:themeColor="background1"/>
              </w:rPr>
            </w:pPr>
            <w:r w:rsidRPr="00C74078">
              <w:rPr>
                <w:b/>
                <w:color w:val="FFFFFF" w:themeColor="background1"/>
                <w:lang w:val="es-ES" w:bidi="es-ES"/>
              </w:rPr>
              <w:t>Abierto</w:t>
            </w:r>
          </w:p>
        </w:tc>
        <w:tc>
          <w:tcPr>
            <w:tcW w:w="1228" w:type="dxa"/>
            <w:gridSpan w:val="2"/>
            <w:shd w:val="clear" w:color="auto" w:fill="2F5496" w:themeFill="accent1" w:themeFillShade="BF"/>
            <w:vAlign w:val="center"/>
          </w:tcPr>
          <w:p w14:paraId="79CC9D57" w14:textId="2513BE08" w:rsidR="00DD5E07" w:rsidRPr="00C74078" w:rsidRDefault="00C74078" w:rsidP="00DD5E07">
            <w:pPr>
              <w:jc w:val="center"/>
              <w:rPr>
                <w:color w:val="FFFFFF" w:themeColor="background1"/>
              </w:rPr>
            </w:pPr>
            <w:r w:rsidRPr="00C74078">
              <w:rPr>
                <w:b/>
                <w:color w:val="FFFFFF" w:themeColor="background1"/>
                <w:lang w:val="es-ES" w:bidi="es-ES"/>
              </w:rPr>
              <w:t>Abierto</w:t>
            </w:r>
          </w:p>
        </w:tc>
        <w:tc>
          <w:tcPr>
            <w:tcW w:w="1228" w:type="dxa"/>
            <w:shd w:val="clear" w:color="auto" w:fill="1F3864" w:themeFill="accent1" w:themeFillShade="80"/>
            <w:vAlign w:val="center"/>
          </w:tcPr>
          <w:p w14:paraId="39BD0D7D" w14:textId="20C0320D" w:rsidR="00DD5E07" w:rsidRDefault="00C74078" w:rsidP="00DD5E07">
            <w:pPr>
              <w:jc w:val="center"/>
            </w:pPr>
            <w:r w:rsidRPr="00C74078">
              <w:rPr>
                <w:b/>
                <w:lang w:val="es-ES" w:bidi="es-ES"/>
              </w:rPr>
              <w:t>Elevado</w:t>
            </w:r>
          </w:p>
        </w:tc>
      </w:tr>
      <w:tr w:rsidR="003C4D56" w14:paraId="1F0B44B5" w14:textId="77777777" w:rsidTr="003C4D56">
        <w:trPr>
          <w:cantSplit/>
          <w:trHeight w:val="992"/>
          <w:jc w:val="center"/>
        </w:trPr>
        <w:tc>
          <w:tcPr>
            <w:tcW w:w="907" w:type="dxa"/>
            <w:vMerge/>
          </w:tcPr>
          <w:p w14:paraId="47202DF5" w14:textId="77777777" w:rsidR="00DD5E07" w:rsidRPr="00C74078" w:rsidRDefault="00DD5E07" w:rsidP="00DD5E07">
            <w:pPr>
              <w:jc w:val="center"/>
              <w:rPr>
                <w:b/>
                <w:bCs/>
              </w:rPr>
            </w:pPr>
          </w:p>
        </w:tc>
        <w:tc>
          <w:tcPr>
            <w:tcW w:w="907" w:type="dxa"/>
            <w:vAlign w:val="center"/>
          </w:tcPr>
          <w:p w14:paraId="4014C62A" w14:textId="5269FD1D" w:rsidR="00DD5E07" w:rsidRPr="00C74078" w:rsidRDefault="00DD5E07" w:rsidP="00DD5E07">
            <w:pPr>
              <w:jc w:val="center"/>
              <w:rPr>
                <w:b/>
                <w:bCs/>
              </w:rPr>
            </w:pPr>
            <w:r w:rsidRPr="00C74078">
              <w:rPr>
                <w:b/>
                <w:lang w:val="es-ES" w:bidi="es-ES"/>
              </w:rPr>
              <w:t>3</w:t>
            </w:r>
          </w:p>
        </w:tc>
        <w:tc>
          <w:tcPr>
            <w:tcW w:w="1227" w:type="dxa"/>
            <w:shd w:val="clear" w:color="auto" w:fill="B4C6E7" w:themeFill="accent1" w:themeFillTint="66"/>
            <w:vAlign w:val="center"/>
          </w:tcPr>
          <w:p w14:paraId="7803133E" w14:textId="7A2570AC" w:rsidR="00DD5E07" w:rsidRDefault="00C74078" w:rsidP="00C74078">
            <w:pPr>
              <w:jc w:val="center"/>
            </w:pPr>
            <w:r>
              <w:rPr>
                <w:b/>
                <w:lang w:val="es-ES" w:bidi="es-ES"/>
              </w:rPr>
              <w:t>Moderado</w:t>
            </w:r>
          </w:p>
        </w:tc>
        <w:tc>
          <w:tcPr>
            <w:tcW w:w="1228" w:type="dxa"/>
            <w:gridSpan w:val="2"/>
            <w:shd w:val="clear" w:color="auto" w:fill="8EAADB" w:themeFill="accent1" w:themeFillTint="99"/>
            <w:vAlign w:val="center"/>
          </w:tcPr>
          <w:p w14:paraId="2906377F" w14:textId="07096E7F" w:rsidR="00DD5E07" w:rsidRPr="003C4D56" w:rsidRDefault="00C74078" w:rsidP="00DD5E07">
            <w:pPr>
              <w:jc w:val="center"/>
              <w:rPr>
                <w:sz w:val="20"/>
                <w:szCs w:val="20"/>
              </w:rPr>
            </w:pPr>
            <w:r w:rsidRPr="003C4D56">
              <w:rPr>
                <w:b/>
                <w:sz w:val="20"/>
                <w:lang w:val="es-ES" w:bidi="es-ES"/>
              </w:rPr>
              <w:t>Exploratorio</w:t>
            </w:r>
          </w:p>
        </w:tc>
        <w:tc>
          <w:tcPr>
            <w:tcW w:w="1227" w:type="dxa"/>
            <w:gridSpan w:val="2"/>
            <w:shd w:val="clear" w:color="auto" w:fill="8EAADB" w:themeFill="accent1" w:themeFillTint="99"/>
            <w:vAlign w:val="center"/>
          </w:tcPr>
          <w:p w14:paraId="6E8BD448" w14:textId="0FE0C1A6" w:rsidR="00DD5E07" w:rsidRPr="003C4D56" w:rsidRDefault="00C74078" w:rsidP="00DD5E07">
            <w:pPr>
              <w:jc w:val="center"/>
              <w:rPr>
                <w:sz w:val="20"/>
                <w:szCs w:val="20"/>
              </w:rPr>
            </w:pPr>
            <w:r w:rsidRPr="003C4D56">
              <w:rPr>
                <w:b/>
                <w:sz w:val="20"/>
                <w:lang w:val="es-ES" w:bidi="es-ES"/>
              </w:rPr>
              <w:t>Exploratorio</w:t>
            </w:r>
          </w:p>
        </w:tc>
        <w:tc>
          <w:tcPr>
            <w:tcW w:w="1228" w:type="dxa"/>
            <w:gridSpan w:val="2"/>
            <w:shd w:val="clear" w:color="auto" w:fill="8EAADB" w:themeFill="accent1" w:themeFillTint="99"/>
            <w:vAlign w:val="center"/>
          </w:tcPr>
          <w:p w14:paraId="055BC37F" w14:textId="3C71CA08" w:rsidR="00DD5E07" w:rsidRPr="003C4D56" w:rsidRDefault="00C74078" w:rsidP="00DD5E07">
            <w:pPr>
              <w:jc w:val="center"/>
              <w:rPr>
                <w:sz w:val="20"/>
                <w:szCs w:val="20"/>
              </w:rPr>
            </w:pPr>
            <w:r w:rsidRPr="003C4D56">
              <w:rPr>
                <w:b/>
                <w:sz w:val="20"/>
                <w:lang w:val="es-ES" w:bidi="es-ES"/>
              </w:rPr>
              <w:t>Exploratorio</w:t>
            </w:r>
          </w:p>
        </w:tc>
        <w:tc>
          <w:tcPr>
            <w:tcW w:w="1228" w:type="dxa"/>
            <w:shd w:val="clear" w:color="auto" w:fill="2F5496" w:themeFill="accent1" w:themeFillShade="BF"/>
            <w:vAlign w:val="center"/>
          </w:tcPr>
          <w:p w14:paraId="2C67A3FF" w14:textId="016E0F01" w:rsidR="00DD5E07" w:rsidRPr="00C74078" w:rsidRDefault="00C74078" w:rsidP="00DD5E07">
            <w:pPr>
              <w:jc w:val="center"/>
              <w:rPr>
                <w:color w:val="FFFFFF" w:themeColor="background1"/>
              </w:rPr>
            </w:pPr>
            <w:r w:rsidRPr="00C74078">
              <w:rPr>
                <w:b/>
                <w:color w:val="FFFFFF" w:themeColor="background1"/>
                <w:lang w:val="es-ES" w:bidi="es-ES"/>
              </w:rPr>
              <w:t>Abierto</w:t>
            </w:r>
          </w:p>
        </w:tc>
      </w:tr>
      <w:tr w:rsidR="003C4D56" w14:paraId="4EA7B242" w14:textId="77777777" w:rsidTr="003C4D56">
        <w:trPr>
          <w:cantSplit/>
          <w:trHeight w:val="992"/>
          <w:jc w:val="center"/>
        </w:trPr>
        <w:tc>
          <w:tcPr>
            <w:tcW w:w="907" w:type="dxa"/>
            <w:vMerge/>
          </w:tcPr>
          <w:p w14:paraId="03168023" w14:textId="77777777" w:rsidR="00DD5E07" w:rsidRPr="00C74078" w:rsidRDefault="00DD5E07" w:rsidP="00DD5E07">
            <w:pPr>
              <w:jc w:val="center"/>
              <w:rPr>
                <w:b/>
                <w:bCs/>
              </w:rPr>
            </w:pPr>
          </w:p>
        </w:tc>
        <w:tc>
          <w:tcPr>
            <w:tcW w:w="907" w:type="dxa"/>
            <w:vAlign w:val="center"/>
          </w:tcPr>
          <w:p w14:paraId="0E5789C8" w14:textId="388FE37A" w:rsidR="00DD5E07" w:rsidRPr="00C74078" w:rsidRDefault="00DD5E07" w:rsidP="00DD5E07">
            <w:pPr>
              <w:jc w:val="center"/>
              <w:rPr>
                <w:b/>
                <w:bCs/>
              </w:rPr>
            </w:pPr>
            <w:r w:rsidRPr="00C74078">
              <w:rPr>
                <w:b/>
                <w:lang w:val="es-ES" w:bidi="es-ES"/>
              </w:rPr>
              <w:t>2</w:t>
            </w:r>
          </w:p>
        </w:tc>
        <w:tc>
          <w:tcPr>
            <w:tcW w:w="1227" w:type="dxa"/>
            <w:shd w:val="clear" w:color="auto" w:fill="B4C6E7" w:themeFill="accent1" w:themeFillTint="66"/>
            <w:vAlign w:val="center"/>
          </w:tcPr>
          <w:p w14:paraId="4F4D6FB5" w14:textId="43B49A42" w:rsidR="00DD5E07" w:rsidRPr="00C74078" w:rsidRDefault="00C74078" w:rsidP="00DD5E07">
            <w:pPr>
              <w:jc w:val="center"/>
              <w:rPr>
                <w:b/>
                <w:bCs/>
              </w:rPr>
            </w:pPr>
            <w:r>
              <w:rPr>
                <w:b/>
                <w:lang w:val="es-ES" w:bidi="es-ES"/>
              </w:rPr>
              <w:t>Mínimo</w:t>
            </w:r>
          </w:p>
        </w:tc>
        <w:tc>
          <w:tcPr>
            <w:tcW w:w="1228" w:type="dxa"/>
            <w:gridSpan w:val="2"/>
            <w:shd w:val="clear" w:color="auto" w:fill="B4C6E7" w:themeFill="accent1" w:themeFillTint="66"/>
            <w:vAlign w:val="center"/>
          </w:tcPr>
          <w:p w14:paraId="68C3597A" w14:textId="4DE77E8A" w:rsidR="00DD5E07" w:rsidRDefault="00C74078" w:rsidP="00DD5E07">
            <w:pPr>
              <w:jc w:val="center"/>
            </w:pPr>
            <w:r>
              <w:rPr>
                <w:b/>
                <w:lang w:val="es-ES" w:bidi="es-ES"/>
              </w:rPr>
              <w:t>Mínimo</w:t>
            </w:r>
          </w:p>
        </w:tc>
        <w:tc>
          <w:tcPr>
            <w:tcW w:w="1227" w:type="dxa"/>
            <w:gridSpan w:val="2"/>
            <w:shd w:val="clear" w:color="auto" w:fill="B4C6E7" w:themeFill="accent1" w:themeFillTint="66"/>
            <w:vAlign w:val="center"/>
          </w:tcPr>
          <w:p w14:paraId="294C9EA6" w14:textId="0960678E" w:rsidR="00DD5E07" w:rsidRDefault="00C74078" w:rsidP="00DD5E07">
            <w:pPr>
              <w:jc w:val="center"/>
            </w:pPr>
            <w:r>
              <w:rPr>
                <w:b/>
                <w:lang w:val="es-ES" w:bidi="es-ES"/>
              </w:rPr>
              <w:t>Moderado</w:t>
            </w:r>
          </w:p>
        </w:tc>
        <w:tc>
          <w:tcPr>
            <w:tcW w:w="1228" w:type="dxa"/>
            <w:gridSpan w:val="2"/>
            <w:shd w:val="clear" w:color="auto" w:fill="8EAADB" w:themeFill="accent1" w:themeFillTint="99"/>
            <w:vAlign w:val="center"/>
          </w:tcPr>
          <w:p w14:paraId="7B6F0D69" w14:textId="74606EBE" w:rsidR="00DD5E07" w:rsidRPr="003C4D56" w:rsidRDefault="00C74078" w:rsidP="00DD5E07">
            <w:pPr>
              <w:jc w:val="center"/>
              <w:rPr>
                <w:sz w:val="20"/>
                <w:szCs w:val="20"/>
              </w:rPr>
            </w:pPr>
            <w:r w:rsidRPr="003C4D56">
              <w:rPr>
                <w:b/>
                <w:sz w:val="20"/>
                <w:lang w:val="es-ES" w:bidi="es-ES"/>
              </w:rPr>
              <w:t>Exploratorio</w:t>
            </w:r>
          </w:p>
        </w:tc>
        <w:tc>
          <w:tcPr>
            <w:tcW w:w="1228" w:type="dxa"/>
            <w:shd w:val="clear" w:color="auto" w:fill="8EAADB" w:themeFill="accent1" w:themeFillTint="99"/>
            <w:vAlign w:val="center"/>
          </w:tcPr>
          <w:p w14:paraId="6E625D71" w14:textId="3285670F" w:rsidR="00DD5E07" w:rsidRPr="003C4D56" w:rsidRDefault="00C74078" w:rsidP="00DD5E07">
            <w:pPr>
              <w:jc w:val="center"/>
              <w:rPr>
                <w:sz w:val="20"/>
                <w:szCs w:val="20"/>
              </w:rPr>
            </w:pPr>
            <w:r w:rsidRPr="003C4D56">
              <w:rPr>
                <w:b/>
                <w:sz w:val="20"/>
                <w:lang w:val="es-ES" w:bidi="es-ES"/>
              </w:rPr>
              <w:t>Exploratorio</w:t>
            </w:r>
          </w:p>
        </w:tc>
      </w:tr>
      <w:tr w:rsidR="003C4D56" w14:paraId="1F3D1032" w14:textId="77777777" w:rsidTr="003C4D56">
        <w:trPr>
          <w:cantSplit/>
          <w:trHeight w:val="992"/>
          <w:jc w:val="center"/>
        </w:trPr>
        <w:tc>
          <w:tcPr>
            <w:tcW w:w="907" w:type="dxa"/>
            <w:vMerge/>
            <w:tcBorders>
              <w:bottom w:val="single" w:sz="4" w:space="0" w:color="auto"/>
            </w:tcBorders>
          </w:tcPr>
          <w:p w14:paraId="245EEB97" w14:textId="77777777" w:rsidR="00DD5E07" w:rsidRPr="00C74078" w:rsidRDefault="00DD5E07" w:rsidP="00DD5E07">
            <w:pPr>
              <w:jc w:val="center"/>
              <w:rPr>
                <w:b/>
                <w:bCs/>
              </w:rPr>
            </w:pPr>
          </w:p>
        </w:tc>
        <w:tc>
          <w:tcPr>
            <w:tcW w:w="907" w:type="dxa"/>
            <w:tcBorders>
              <w:bottom w:val="single" w:sz="4" w:space="0" w:color="auto"/>
            </w:tcBorders>
            <w:vAlign w:val="center"/>
          </w:tcPr>
          <w:p w14:paraId="126E71B6" w14:textId="113E76C4" w:rsidR="00DD5E07" w:rsidRPr="00C74078" w:rsidRDefault="00DD5E07" w:rsidP="00DD5E07">
            <w:pPr>
              <w:jc w:val="center"/>
              <w:rPr>
                <w:b/>
                <w:bCs/>
              </w:rPr>
            </w:pPr>
            <w:r w:rsidRPr="00C74078">
              <w:rPr>
                <w:b/>
                <w:lang w:val="es-ES" w:bidi="es-ES"/>
              </w:rPr>
              <w:t>1</w:t>
            </w:r>
          </w:p>
        </w:tc>
        <w:tc>
          <w:tcPr>
            <w:tcW w:w="1227" w:type="dxa"/>
            <w:shd w:val="clear" w:color="auto" w:fill="B4C6E7" w:themeFill="accent1" w:themeFillTint="66"/>
            <w:vAlign w:val="center"/>
          </w:tcPr>
          <w:p w14:paraId="320CFD87" w14:textId="08907456" w:rsidR="00DD5E07" w:rsidRDefault="00C74078" w:rsidP="00DD5E07">
            <w:pPr>
              <w:jc w:val="center"/>
            </w:pPr>
            <w:r>
              <w:rPr>
                <w:b/>
                <w:lang w:val="es-ES" w:bidi="es-ES"/>
              </w:rPr>
              <w:t>Mínimo</w:t>
            </w:r>
          </w:p>
        </w:tc>
        <w:tc>
          <w:tcPr>
            <w:tcW w:w="1228" w:type="dxa"/>
            <w:gridSpan w:val="2"/>
            <w:shd w:val="clear" w:color="auto" w:fill="B4C6E7" w:themeFill="accent1" w:themeFillTint="66"/>
            <w:vAlign w:val="center"/>
          </w:tcPr>
          <w:p w14:paraId="3766F68A" w14:textId="44EE6473" w:rsidR="00DD5E07" w:rsidRDefault="00C74078" w:rsidP="00DD5E07">
            <w:pPr>
              <w:jc w:val="center"/>
            </w:pPr>
            <w:r>
              <w:rPr>
                <w:b/>
                <w:lang w:val="es-ES" w:bidi="es-ES"/>
              </w:rPr>
              <w:t>Mínimo</w:t>
            </w:r>
          </w:p>
        </w:tc>
        <w:tc>
          <w:tcPr>
            <w:tcW w:w="1227" w:type="dxa"/>
            <w:gridSpan w:val="2"/>
            <w:shd w:val="clear" w:color="auto" w:fill="B4C6E7" w:themeFill="accent1" w:themeFillTint="66"/>
            <w:vAlign w:val="center"/>
          </w:tcPr>
          <w:p w14:paraId="040CE574" w14:textId="527169CF" w:rsidR="00DD5E07" w:rsidRDefault="00C74078" w:rsidP="00DD5E07">
            <w:pPr>
              <w:jc w:val="center"/>
            </w:pPr>
            <w:r>
              <w:rPr>
                <w:b/>
                <w:lang w:val="es-ES" w:bidi="es-ES"/>
              </w:rPr>
              <w:t>Moderado</w:t>
            </w:r>
          </w:p>
        </w:tc>
        <w:tc>
          <w:tcPr>
            <w:tcW w:w="1228" w:type="dxa"/>
            <w:gridSpan w:val="2"/>
            <w:shd w:val="clear" w:color="auto" w:fill="B4C6E7" w:themeFill="accent1" w:themeFillTint="66"/>
            <w:vAlign w:val="center"/>
          </w:tcPr>
          <w:p w14:paraId="7DCB3408" w14:textId="63F4FF04" w:rsidR="00DD5E07" w:rsidRDefault="00C74078" w:rsidP="00DD5E07">
            <w:pPr>
              <w:jc w:val="center"/>
            </w:pPr>
            <w:r>
              <w:rPr>
                <w:b/>
                <w:lang w:val="es-ES" w:bidi="es-ES"/>
              </w:rPr>
              <w:t>Moderado</w:t>
            </w:r>
          </w:p>
        </w:tc>
        <w:tc>
          <w:tcPr>
            <w:tcW w:w="1228" w:type="dxa"/>
            <w:shd w:val="clear" w:color="auto" w:fill="B4C6E7" w:themeFill="accent1" w:themeFillTint="66"/>
            <w:vAlign w:val="center"/>
          </w:tcPr>
          <w:p w14:paraId="77980D24" w14:textId="48E82DF8" w:rsidR="00DD5E07" w:rsidRDefault="00C74078" w:rsidP="00DD5E07">
            <w:pPr>
              <w:jc w:val="center"/>
            </w:pPr>
            <w:r>
              <w:rPr>
                <w:b/>
                <w:lang w:val="es-ES" w:bidi="es-ES"/>
              </w:rPr>
              <w:t>Moderado</w:t>
            </w:r>
          </w:p>
        </w:tc>
      </w:tr>
      <w:tr w:rsidR="003C4D56" w14:paraId="74E441B3" w14:textId="77777777" w:rsidTr="003C4D56">
        <w:trPr>
          <w:trHeight w:val="737"/>
          <w:jc w:val="center"/>
        </w:trPr>
        <w:tc>
          <w:tcPr>
            <w:tcW w:w="907" w:type="dxa"/>
            <w:tcBorders>
              <w:top w:val="single" w:sz="4" w:space="0" w:color="auto"/>
              <w:left w:val="nil"/>
              <w:bottom w:val="nil"/>
              <w:right w:val="nil"/>
            </w:tcBorders>
          </w:tcPr>
          <w:p w14:paraId="2CA05339" w14:textId="77777777" w:rsidR="00DD5E07" w:rsidRPr="00C74078" w:rsidRDefault="00DD5E07" w:rsidP="00DD5E07">
            <w:pPr>
              <w:jc w:val="center"/>
              <w:rPr>
                <w:b/>
                <w:bCs/>
              </w:rPr>
            </w:pPr>
          </w:p>
        </w:tc>
        <w:tc>
          <w:tcPr>
            <w:tcW w:w="907" w:type="dxa"/>
            <w:tcBorders>
              <w:left w:val="nil"/>
              <w:bottom w:val="nil"/>
            </w:tcBorders>
            <w:vAlign w:val="center"/>
          </w:tcPr>
          <w:p w14:paraId="04A31A38" w14:textId="6880B4AE" w:rsidR="00DD5E07" w:rsidRPr="00C74078" w:rsidRDefault="00DD5E07" w:rsidP="00DD5E07">
            <w:pPr>
              <w:jc w:val="center"/>
              <w:rPr>
                <w:b/>
                <w:bCs/>
              </w:rPr>
            </w:pPr>
          </w:p>
        </w:tc>
        <w:tc>
          <w:tcPr>
            <w:tcW w:w="1227" w:type="dxa"/>
            <w:vAlign w:val="center"/>
          </w:tcPr>
          <w:p w14:paraId="003197D6" w14:textId="6DA94C37" w:rsidR="00DD5E07" w:rsidRPr="00C74078" w:rsidRDefault="00DD5E07" w:rsidP="00DD5E07">
            <w:pPr>
              <w:jc w:val="center"/>
              <w:rPr>
                <w:b/>
                <w:bCs/>
              </w:rPr>
            </w:pPr>
            <w:r w:rsidRPr="00C74078">
              <w:rPr>
                <w:b/>
                <w:lang w:val="es-ES" w:bidi="es-ES"/>
              </w:rPr>
              <w:t>1</w:t>
            </w:r>
          </w:p>
        </w:tc>
        <w:tc>
          <w:tcPr>
            <w:tcW w:w="1228" w:type="dxa"/>
            <w:gridSpan w:val="2"/>
            <w:vAlign w:val="center"/>
          </w:tcPr>
          <w:p w14:paraId="099A96C8" w14:textId="12DDD2EB" w:rsidR="00DD5E07" w:rsidRPr="00C74078" w:rsidRDefault="00DD5E07" w:rsidP="00DD5E07">
            <w:pPr>
              <w:jc w:val="center"/>
              <w:rPr>
                <w:b/>
                <w:bCs/>
              </w:rPr>
            </w:pPr>
            <w:r w:rsidRPr="00C74078">
              <w:rPr>
                <w:b/>
                <w:lang w:val="es-ES" w:bidi="es-ES"/>
              </w:rPr>
              <w:t>2</w:t>
            </w:r>
          </w:p>
        </w:tc>
        <w:tc>
          <w:tcPr>
            <w:tcW w:w="1227" w:type="dxa"/>
            <w:gridSpan w:val="2"/>
            <w:vAlign w:val="center"/>
          </w:tcPr>
          <w:p w14:paraId="0A972651" w14:textId="62F13B70" w:rsidR="00DD5E07" w:rsidRPr="00C74078" w:rsidRDefault="00DD5E07" w:rsidP="00DD5E07">
            <w:pPr>
              <w:jc w:val="center"/>
              <w:rPr>
                <w:b/>
                <w:bCs/>
              </w:rPr>
            </w:pPr>
            <w:r w:rsidRPr="00C74078">
              <w:rPr>
                <w:b/>
                <w:lang w:val="es-ES" w:bidi="es-ES"/>
              </w:rPr>
              <w:t>3</w:t>
            </w:r>
          </w:p>
        </w:tc>
        <w:tc>
          <w:tcPr>
            <w:tcW w:w="1228" w:type="dxa"/>
            <w:gridSpan w:val="2"/>
            <w:vAlign w:val="center"/>
          </w:tcPr>
          <w:p w14:paraId="63A5A0FE" w14:textId="5B822F1F" w:rsidR="00DD5E07" w:rsidRPr="00C74078" w:rsidRDefault="00DD5E07" w:rsidP="00DD5E07">
            <w:pPr>
              <w:jc w:val="center"/>
              <w:rPr>
                <w:b/>
                <w:bCs/>
              </w:rPr>
            </w:pPr>
            <w:r w:rsidRPr="00C74078">
              <w:rPr>
                <w:b/>
                <w:lang w:val="es-ES" w:bidi="es-ES"/>
              </w:rPr>
              <w:t>4</w:t>
            </w:r>
          </w:p>
        </w:tc>
        <w:tc>
          <w:tcPr>
            <w:tcW w:w="1228" w:type="dxa"/>
            <w:vAlign w:val="center"/>
          </w:tcPr>
          <w:p w14:paraId="641E2E54" w14:textId="2C56A6A2" w:rsidR="00DD5E07" w:rsidRPr="00C74078" w:rsidRDefault="00DD5E07" w:rsidP="00DD5E07">
            <w:pPr>
              <w:jc w:val="center"/>
              <w:rPr>
                <w:b/>
                <w:bCs/>
              </w:rPr>
            </w:pPr>
            <w:r w:rsidRPr="00C74078">
              <w:rPr>
                <w:b/>
                <w:lang w:val="es-ES" w:bidi="es-ES"/>
              </w:rPr>
              <w:t>5</w:t>
            </w:r>
          </w:p>
        </w:tc>
      </w:tr>
      <w:tr w:rsidR="00C74078" w14:paraId="02F56937" w14:textId="77777777" w:rsidTr="003C4D56">
        <w:trPr>
          <w:trHeight w:val="737"/>
          <w:jc w:val="center"/>
        </w:trPr>
        <w:tc>
          <w:tcPr>
            <w:tcW w:w="907" w:type="dxa"/>
            <w:tcBorders>
              <w:top w:val="nil"/>
              <w:left w:val="nil"/>
              <w:bottom w:val="nil"/>
              <w:right w:val="nil"/>
            </w:tcBorders>
          </w:tcPr>
          <w:p w14:paraId="4CECA09B" w14:textId="77777777" w:rsidR="00DD5E07" w:rsidRPr="00C74078" w:rsidRDefault="00DD5E07" w:rsidP="00DD5E07">
            <w:pPr>
              <w:jc w:val="center"/>
              <w:rPr>
                <w:b/>
                <w:bCs/>
              </w:rPr>
            </w:pPr>
          </w:p>
        </w:tc>
        <w:tc>
          <w:tcPr>
            <w:tcW w:w="907" w:type="dxa"/>
            <w:tcBorders>
              <w:top w:val="nil"/>
              <w:left w:val="nil"/>
              <w:bottom w:val="nil"/>
            </w:tcBorders>
            <w:vAlign w:val="center"/>
          </w:tcPr>
          <w:p w14:paraId="2CDA48DE" w14:textId="77777777" w:rsidR="00DD5E07" w:rsidRPr="00C74078" w:rsidRDefault="00DD5E07" w:rsidP="00DD5E07">
            <w:pPr>
              <w:jc w:val="center"/>
              <w:rPr>
                <w:b/>
                <w:bCs/>
              </w:rPr>
            </w:pPr>
          </w:p>
        </w:tc>
        <w:tc>
          <w:tcPr>
            <w:tcW w:w="6138" w:type="dxa"/>
            <w:gridSpan w:val="8"/>
            <w:tcBorders>
              <w:bottom w:val="single" w:sz="4" w:space="0" w:color="auto"/>
            </w:tcBorders>
            <w:vAlign w:val="center"/>
          </w:tcPr>
          <w:p w14:paraId="68A0FC21" w14:textId="020258A1" w:rsidR="00DD5E07" w:rsidRPr="00C74078" w:rsidRDefault="00DD5E07" w:rsidP="00DD5E07">
            <w:pPr>
              <w:jc w:val="center"/>
              <w:rPr>
                <w:b/>
                <w:bCs/>
              </w:rPr>
            </w:pPr>
            <w:r w:rsidRPr="00C74078">
              <w:rPr>
                <w:b/>
                <w:sz w:val="28"/>
                <w:lang w:val="es-ES" w:bidi="es-ES"/>
              </w:rPr>
              <w:t>Probabilidad</w:t>
            </w:r>
          </w:p>
        </w:tc>
      </w:tr>
      <w:tr w:rsidR="00C74078" w14:paraId="7001D847" w14:textId="77777777" w:rsidTr="003C4D56">
        <w:trPr>
          <w:trHeight w:val="242"/>
          <w:jc w:val="center"/>
        </w:trPr>
        <w:tc>
          <w:tcPr>
            <w:tcW w:w="907" w:type="dxa"/>
            <w:tcBorders>
              <w:top w:val="nil"/>
              <w:left w:val="nil"/>
              <w:bottom w:val="nil"/>
              <w:right w:val="nil"/>
            </w:tcBorders>
          </w:tcPr>
          <w:p w14:paraId="7E1ECCE7" w14:textId="77777777" w:rsidR="00C74078" w:rsidRPr="00C74078" w:rsidRDefault="00C74078" w:rsidP="00DD5E07">
            <w:pPr>
              <w:jc w:val="center"/>
              <w:rPr>
                <w:b/>
                <w:bCs/>
              </w:rPr>
            </w:pPr>
          </w:p>
        </w:tc>
        <w:tc>
          <w:tcPr>
            <w:tcW w:w="907" w:type="dxa"/>
            <w:tcBorders>
              <w:top w:val="nil"/>
              <w:left w:val="nil"/>
              <w:bottom w:val="nil"/>
              <w:right w:val="nil"/>
            </w:tcBorders>
            <w:vAlign w:val="center"/>
          </w:tcPr>
          <w:p w14:paraId="7EA7C89E" w14:textId="77777777" w:rsidR="00C74078" w:rsidRPr="00C74078" w:rsidRDefault="00C74078" w:rsidP="00DD5E07">
            <w:pPr>
              <w:jc w:val="center"/>
              <w:rPr>
                <w:b/>
                <w:bCs/>
              </w:rPr>
            </w:pPr>
          </w:p>
        </w:tc>
        <w:tc>
          <w:tcPr>
            <w:tcW w:w="6138" w:type="dxa"/>
            <w:gridSpan w:val="8"/>
            <w:tcBorders>
              <w:left w:val="nil"/>
              <w:right w:val="nil"/>
            </w:tcBorders>
            <w:vAlign w:val="center"/>
          </w:tcPr>
          <w:p w14:paraId="05C84B6A" w14:textId="0365458C" w:rsidR="00C74078" w:rsidRPr="00CE4B30" w:rsidRDefault="00C74078" w:rsidP="00CE4B30">
            <w:pPr>
              <w:rPr>
                <w:b/>
                <w:bCs/>
              </w:rPr>
            </w:pPr>
          </w:p>
        </w:tc>
      </w:tr>
      <w:tr w:rsidR="00CE4B30" w:rsidRPr="00CE4B30" w14:paraId="6C4EA881" w14:textId="77777777" w:rsidTr="003C4D56">
        <w:trPr>
          <w:trHeight w:val="737"/>
          <w:jc w:val="center"/>
        </w:trPr>
        <w:tc>
          <w:tcPr>
            <w:tcW w:w="1814" w:type="dxa"/>
            <w:gridSpan w:val="2"/>
            <w:tcBorders>
              <w:top w:val="nil"/>
              <w:left w:val="nil"/>
              <w:bottom w:val="nil"/>
            </w:tcBorders>
            <w:vAlign w:val="center"/>
          </w:tcPr>
          <w:p w14:paraId="1EEB5298" w14:textId="276D022A" w:rsidR="00CE4B30" w:rsidRPr="00CE4B30" w:rsidRDefault="00CE4B30" w:rsidP="00CE4B30">
            <w:pPr>
              <w:rPr>
                <w:b/>
                <w:bCs/>
              </w:rPr>
            </w:pPr>
            <w:r>
              <w:rPr>
                <w:b/>
                <w:lang w:val="es-ES" w:bidi="es-ES"/>
              </w:rPr>
              <w:t>Trascendencia del riesgo</w:t>
            </w:r>
          </w:p>
        </w:tc>
        <w:tc>
          <w:tcPr>
            <w:tcW w:w="1534" w:type="dxa"/>
            <w:gridSpan w:val="2"/>
            <w:shd w:val="clear" w:color="auto" w:fill="B4C6E7" w:themeFill="accent1" w:themeFillTint="66"/>
            <w:vAlign w:val="center"/>
          </w:tcPr>
          <w:p w14:paraId="5181FFF5" w14:textId="4856495A" w:rsidR="00CE4B30" w:rsidRPr="00CE4B30" w:rsidRDefault="00CE4B30" w:rsidP="00DD5E07">
            <w:pPr>
              <w:jc w:val="center"/>
              <w:rPr>
                <w:b/>
                <w:bCs/>
              </w:rPr>
            </w:pPr>
            <w:r w:rsidRPr="00CE4B30">
              <w:rPr>
                <w:b/>
                <w:lang w:val="es-ES" w:bidi="es-ES"/>
              </w:rPr>
              <w:t>Bajo</w:t>
            </w:r>
          </w:p>
        </w:tc>
        <w:tc>
          <w:tcPr>
            <w:tcW w:w="1535" w:type="dxa"/>
            <w:gridSpan w:val="2"/>
            <w:shd w:val="clear" w:color="auto" w:fill="8EAADB" w:themeFill="accent1" w:themeFillTint="99"/>
            <w:vAlign w:val="center"/>
          </w:tcPr>
          <w:p w14:paraId="034547DA" w14:textId="7B62942D" w:rsidR="00CE4B30" w:rsidRPr="00CE4B30" w:rsidRDefault="00CE4B30" w:rsidP="00DD5E07">
            <w:pPr>
              <w:jc w:val="center"/>
              <w:rPr>
                <w:b/>
                <w:bCs/>
              </w:rPr>
            </w:pPr>
            <w:r>
              <w:rPr>
                <w:b/>
                <w:lang w:val="es-ES" w:bidi="es-ES"/>
              </w:rPr>
              <w:t>Moderado</w:t>
            </w:r>
          </w:p>
        </w:tc>
        <w:tc>
          <w:tcPr>
            <w:tcW w:w="1534" w:type="dxa"/>
            <w:gridSpan w:val="2"/>
            <w:shd w:val="clear" w:color="auto" w:fill="2F5496" w:themeFill="accent1" w:themeFillShade="BF"/>
            <w:vAlign w:val="center"/>
          </w:tcPr>
          <w:p w14:paraId="13E2349D" w14:textId="45401385" w:rsidR="00CE4B30" w:rsidRPr="00CE4B30" w:rsidRDefault="00CE4B30" w:rsidP="00DD5E07">
            <w:pPr>
              <w:jc w:val="center"/>
              <w:rPr>
                <w:b/>
                <w:bCs/>
                <w:color w:val="FFFFFF" w:themeColor="background1"/>
              </w:rPr>
            </w:pPr>
            <w:r w:rsidRPr="00CE4B30">
              <w:rPr>
                <w:b/>
                <w:color w:val="FFFFFF" w:themeColor="background1"/>
                <w:lang w:val="es-ES" w:bidi="es-ES"/>
              </w:rPr>
              <w:t>Sustancial</w:t>
            </w:r>
          </w:p>
        </w:tc>
        <w:tc>
          <w:tcPr>
            <w:tcW w:w="1535" w:type="dxa"/>
            <w:gridSpan w:val="2"/>
            <w:shd w:val="clear" w:color="auto" w:fill="1F3864" w:themeFill="accent1" w:themeFillShade="80"/>
            <w:vAlign w:val="center"/>
          </w:tcPr>
          <w:p w14:paraId="44CC4A64" w14:textId="7F3823D5" w:rsidR="00CE4B30" w:rsidRPr="00CE4B30" w:rsidRDefault="00CE4B30" w:rsidP="00DD5E07">
            <w:pPr>
              <w:jc w:val="center"/>
              <w:rPr>
                <w:b/>
                <w:bCs/>
                <w:color w:val="FFFFFF" w:themeColor="background1"/>
              </w:rPr>
            </w:pPr>
            <w:r w:rsidRPr="00CE4B30">
              <w:rPr>
                <w:b/>
                <w:color w:val="FFFFFF" w:themeColor="background1"/>
                <w:lang w:val="es-ES" w:bidi="es-ES"/>
              </w:rPr>
              <w:t>Alto</w:t>
            </w:r>
          </w:p>
        </w:tc>
      </w:tr>
    </w:tbl>
    <w:p w14:paraId="38F49D48" w14:textId="26505CB1" w:rsidR="001E7406" w:rsidRDefault="001E7406" w:rsidP="001E7406"/>
    <w:tbl>
      <w:tblPr>
        <w:tblStyle w:val="TableGrid"/>
        <w:tblW w:w="17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7735"/>
        <w:gridCol w:w="7735"/>
      </w:tblGrid>
      <w:tr w:rsidR="008B1678" w14:paraId="34753DDF" w14:textId="77777777" w:rsidTr="008B1678">
        <w:tc>
          <w:tcPr>
            <w:tcW w:w="1615" w:type="dxa"/>
          </w:tcPr>
          <w:p w14:paraId="0AA0EAA3" w14:textId="785D0159" w:rsidR="008B1678" w:rsidRDefault="008B1678" w:rsidP="008B1678"/>
        </w:tc>
        <w:tc>
          <w:tcPr>
            <w:tcW w:w="7735" w:type="dxa"/>
          </w:tcPr>
          <w:p w14:paraId="3513490E" w14:textId="7BFEC874" w:rsidR="008B1678" w:rsidRPr="008B1678" w:rsidRDefault="008B1678" w:rsidP="008B1678">
            <w:pPr>
              <w:rPr>
                <w:sz w:val="20"/>
                <w:szCs w:val="20"/>
              </w:rPr>
            </w:pPr>
          </w:p>
        </w:tc>
        <w:tc>
          <w:tcPr>
            <w:tcW w:w="7735" w:type="dxa"/>
          </w:tcPr>
          <w:p w14:paraId="5A561BCC" w14:textId="0E92E978" w:rsidR="008B1678" w:rsidRPr="008B1678" w:rsidRDefault="008B1678" w:rsidP="008B1678">
            <w:pPr>
              <w:rPr>
                <w:sz w:val="20"/>
                <w:szCs w:val="20"/>
              </w:rPr>
            </w:pPr>
          </w:p>
        </w:tc>
      </w:tr>
      <w:tr w:rsidR="008B1678" w14:paraId="6D6E7240" w14:textId="77777777" w:rsidTr="008B1678">
        <w:tc>
          <w:tcPr>
            <w:tcW w:w="1615" w:type="dxa"/>
          </w:tcPr>
          <w:p w14:paraId="10D368E9" w14:textId="006F617C" w:rsidR="008B1678" w:rsidRDefault="008B1678" w:rsidP="008B1678"/>
        </w:tc>
        <w:tc>
          <w:tcPr>
            <w:tcW w:w="7735" w:type="dxa"/>
          </w:tcPr>
          <w:p w14:paraId="28D38427" w14:textId="74050A77" w:rsidR="008B1678" w:rsidRPr="008B1678" w:rsidRDefault="008B1678" w:rsidP="008B1678">
            <w:pPr>
              <w:spacing w:before="120"/>
              <w:rPr>
                <w:sz w:val="20"/>
                <w:szCs w:val="20"/>
              </w:rPr>
            </w:pPr>
          </w:p>
        </w:tc>
        <w:tc>
          <w:tcPr>
            <w:tcW w:w="7735" w:type="dxa"/>
          </w:tcPr>
          <w:p w14:paraId="196C5E68" w14:textId="373FE225" w:rsidR="008B1678" w:rsidRPr="008B1678" w:rsidRDefault="008B1678" w:rsidP="008B1678">
            <w:pPr>
              <w:spacing w:before="120"/>
              <w:rPr>
                <w:sz w:val="20"/>
                <w:szCs w:val="20"/>
              </w:rPr>
            </w:pPr>
          </w:p>
        </w:tc>
      </w:tr>
    </w:tbl>
    <w:p w14:paraId="630A17F8" w14:textId="77777777" w:rsidR="0027133B" w:rsidRDefault="0027133B" w:rsidP="0027133B">
      <w:pPr>
        <w:pStyle w:val="Heading1"/>
        <w:sectPr w:rsidR="0027133B" w:rsidSect="00A331F7">
          <w:pgSz w:w="12240" w:h="15840"/>
          <w:pgMar w:top="1440" w:right="1440" w:bottom="1440" w:left="1440" w:header="720" w:footer="720" w:gutter="0"/>
          <w:cols w:space="720"/>
          <w:docGrid w:linePitch="360"/>
        </w:sectPr>
      </w:pPr>
    </w:p>
    <w:p w14:paraId="6994D620" w14:textId="66FD1B4C" w:rsidR="00441407" w:rsidRPr="009D6B32" w:rsidRDefault="00441407" w:rsidP="00441407">
      <w:pPr>
        <w:pStyle w:val="Heading1"/>
        <w:rPr>
          <w:lang w:val="es-ES"/>
        </w:rPr>
      </w:pPr>
      <w:bookmarkStart w:id="12" w:name="_Toc157084522"/>
      <w:r>
        <w:rPr>
          <w:lang w:val="es-ES" w:bidi="es-ES"/>
        </w:rPr>
        <w:lastRenderedPageBreak/>
        <w:t>Anexo 4: Resumen de la Declaración de Apetito de Riesgo</w:t>
      </w:r>
      <w:bookmarkEnd w:id="12"/>
    </w:p>
    <w:p w14:paraId="22042388" w14:textId="13D3E762" w:rsidR="00441407" w:rsidRPr="009D6B32" w:rsidRDefault="00441407" w:rsidP="001E7406">
      <w:pPr>
        <w:rPr>
          <w:lang w:val="es-ES"/>
        </w:rPr>
      </w:pPr>
    </w:p>
    <w:tbl>
      <w:tblPr>
        <w:tblStyle w:val="TableGrid"/>
        <w:tblW w:w="0" w:type="auto"/>
        <w:tblLook w:val="04A0" w:firstRow="1" w:lastRow="0" w:firstColumn="1" w:lastColumn="0" w:noHBand="0" w:noVBand="1"/>
      </w:tblPr>
      <w:tblGrid>
        <w:gridCol w:w="2158"/>
        <w:gridCol w:w="2158"/>
        <w:gridCol w:w="2158"/>
        <w:gridCol w:w="2158"/>
        <w:gridCol w:w="2159"/>
        <w:gridCol w:w="2159"/>
      </w:tblGrid>
      <w:tr w:rsidR="00441407" w:rsidRPr="00594646" w14:paraId="4704345D" w14:textId="77777777" w:rsidTr="00E70A59">
        <w:trPr>
          <w:tblHeader/>
        </w:trPr>
        <w:tc>
          <w:tcPr>
            <w:tcW w:w="2158" w:type="dxa"/>
            <w:vAlign w:val="center"/>
          </w:tcPr>
          <w:p w14:paraId="63354931" w14:textId="77777777" w:rsidR="00441407" w:rsidRPr="009D6B32" w:rsidRDefault="00441407" w:rsidP="00E70A59">
            <w:pPr>
              <w:jc w:val="center"/>
              <w:rPr>
                <w:b/>
                <w:bCs/>
                <w:lang w:val="es-ES"/>
              </w:rPr>
            </w:pPr>
          </w:p>
        </w:tc>
        <w:tc>
          <w:tcPr>
            <w:tcW w:w="2158" w:type="dxa"/>
            <w:vAlign w:val="center"/>
          </w:tcPr>
          <w:p w14:paraId="0E45C16F" w14:textId="77777777" w:rsidR="00441407" w:rsidRPr="00594646" w:rsidRDefault="00441407" w:rsidP="00E70A59">
            <w:pPr>
              <w:jc w:val="center"/>
              <w:rPr>
                <w:b/>
                <w:bCs/>
              </w:rPr>
            </w:pPr>
            <w:r>
              <w:rPr>
                <w:b/>
                <w:lang w:val="es-ES" w:bidi="es-ES"/>
              </w:rPr>
              <w:t>Mínimo</w:t>
            </w:r>
          </w:p>
        </w:tc>
        <w:tc>
          <w:tcPr>
            <w:tcW w:w="2158" w:type="dxa"/>
            <w:vAlign w:val="center"/>
          </w:tcPr>
          <w:p w14:paraId="251A70A1" w14:textId="77777777" w:rsidR="00441407" w:rsidRPr="00594646" w:rsidRDefault="00441407" w:rsidP="00E70A59">
            <w:pPr>
              <w:jc w:val="center"/>
              <w:rPr>
                <w:b/>
                <w:bCs/>
              </w:rPr>
            </w:pPr>
            <w:r>
              <w:rPr>
                <w:b/>
                <w:lang w:val="es-ES" w:bidi="es-ES"/>
              </w:rPr>
              <w:t>Moderado</w:t>
            </w:r>
          </w:p>
        </w:tc>
        <w:tc>
          <w:tcPr>
            <w:tcW w:w="2158" w:type="dxa"/>
            <w:vAlign w:val="center"/>
          </w:tcPr>
          <w:p w14:paraId="025F97E6" w14:textId="77777777" w:rsidR="00441407" w:rsidRPr="00594646" w:rsidRDefault="00441407" w:rsidP="00E70A59">
            <w:pPr>
              <w:jc w:val="center"/>
              <w:rPr>
                <w:b/>
                <w:bCs/>
              </w:rPr>
            </w:pPr>
            <w:r>
              <w:rPr>
                <w:b/>
                <w:lang w:val="es-ES" w:bidi="es-ES"/>
              </w:rPr>
              <w:t>Exploratorio</w:t>
            </w:r>
          </w:p>
        </w:tc>
        <w:tc>
          <w:tcPr>
            <w:tcW w:w="2159" w:type="dxa"/>
            <w:vAlign w:val="center"/>
          </w:tcPr>
          <w:p w14:paraId="28530A01" w14:textId="77777777" w:rsidR="00441407" w:rsidRPr="00594646" w:rsidRDefault="00441407" w:rsidP="00E70A59">
            <w:pPr>
              <w:jc w:val="center"/>
              <w:rPr>
                <w:b/>
                <w:bCs/>
              </w:rPr>
            </w:pPr>
            <w:r>
              <w:rPr>
                <w:b/>
                <w:lang w:val="es-ES" w:bidi="es-ES"/>
              </w:rPr>
              <w:t>Abierto</w:t>
            </w:r>
          </w:p>
        </w:tc>
        <w:tc>
          <w:tcPr>
            <w:tcW w:w="2159" w:type="dxa"/>
            <w:vAlign w:val="center"/>
          </w:tcPr>
          <w:p w14:paraId="14B38BBB" w14:textId="77777777" w:rsidR="00441407" w:rsidRPr="00594646" w:rsidRDefault="00441407" w:rsidP="00E70A59">
            <w:pPr>
              <w:jc w:val="center"/>
              <w:rPr>
                <w:b/>
                <w:bCs/>
              </w:rPr>
            </w:pPr>
            <w:r>
              <w:rPr>
                <w:b/>
                <w:lang w:val="es-ES" w:bidi="es-ES"/>
              </w:rPr>
              <w:t>Elevado</w:t>
            </w:r>
          </w:p>
        </w:tc>
      </w:tr>
      <w:tr w:rsidR="00E7009B" w:rsidRPr="00EA7B28" w14:paraId="455F7F34" w14:textId="77777777" w:rsidTr="00E70A59">
        <w:tc>
          <w:tcPr>
            <w:tcW w:w="2158" w:type="dxa"/>
          </w:tcPr>
          <w:p w14:paraId="21893934" w14:textId="2C6F8BB5" w:rsidR="00E7009B" w:rsidRDefault="002077BB" w:rsidP="00E7009B">
            <w:r>
              <w:rPr>
                <w:lang w:val="es-ES" w:bidi="es-ES"/>
              </w:rPr>
              <w:t>1. Social y ambiental</w:t>
            </w:r>
          </w:p>
        </w:tc>
        <w:tc>
          <w:tcPr>
            <w:tcW w:w="2158" w:type="dxa"/>
          </w:tcPr>
          <w:p w14:paraId="2864316C" w14:textId="3948B47B" w:rsidR="00E7009B" w:rsidRPr="009D6B32" w:rsidRDefault="00E7009B" w:rsidP="00E7009B">
            <w:pPr>
              <w:rPr>
                <w:lang w:val="es-ES"/>
              </w:rPr>
            </w:pPr>
            <w:r>
              <w:rPr>
                <w:lang w:val="es-ES" w:bidi="es-ES"/>
              </w:rPr>
              <w:t>No se hace daño —ni siquiera insignificante— en favor del bien supremo</w:t>
            </w:r>
          </w:p>
        </w:tc>
        <w:tc>
          <w:tcPr>
            <w:tcW w:w="2158" w:type="dxa"/>
            <w:shd w:val="clear" w:color="auto" w:fill="F2F2F2" w:themeFill="background1" w:themeFillShade="F2"/>
          </w:tcPr>
          <w:p w14:paraId="26C8B22F" w14:textId="1233918D" w:rsidR="00E7009B" w:rsidRPr="009D6B32" w:rsidRDefault="00E7009B" w:rsidP="00E7009B">
            <w:pPr>
              <w:rPr>
                <w:lang w:val="es-ES"/>
              </w:rPr>
            </w:pPr>
            <w:r>
              <w:rPr>
                <w:lang w:val="es-ES" w:bidi="es-ES"/>
              </w:rPr>
              <w:t>Se procura no hacer daño, pero está permitido hacer daño levemente en favor del bien supremo</w:t>
            </w:r>
          </w:p>
        </w:tc>
        <w:tc>
          <w:tcPr>
            <w:tcW w:w="2158" w:type="dxa"/>
          </w:tcPr>
          <w:p w14:paraId="7C688685" w14:textId="2BFD8B1E" w:rsidR="00E7009B" w:rsidRPr="009D6B32" w:rsidRDefault="00E7009B" w:rsidP="00E7009B">
            <w:pPr>
              <w:rPr>
                <w:lang w:val="es-ES"/>
              </w:rPr>
            </w:pPr>
            <w:r>
              <w:rPr>
                <w:lang w:val="es-ES" w:bidi="es-ES"/>
              </w:rPr>
              <w:t>Se procura no hacer daño, pero hay disposición a correr riesgos de nivel bajo con tal de estudiar ideas innovadoras</w:t>
            </w:r>
          </w:p>
        </w:tc>
        <w:tc>
          <w:tcPr>
            <w:tcW w:w="2159" w:type="dxa"/>
          </w:tcPr>
          <w:p w14:paraId="50FD872A" w14:textId="2F57BE5D" w:rsidR="00E7009B" w:rsidRPr="009D6B32" w:rsidRDefault="00E7009B" w:rsidP="00E7009B">
            <w:pPr>
              <w:rPr>
                <w:lang w:val="es-ES"/>
              </w:rPr>
            </w:pPr>
            <w:r>
              <w:rPr>
                <w:lang w:val="es-ES" w:bidi="es-ES"/>
              </w:rPr>
              <w:t>Se procura no hacer daño, pero hay disposición a correr riesgos de nivel moderado con tal de estudiar ideas innovadoras</w:t>
            </w:r>
          </w:p>
        </w:tc>
        <w:tc>
          <w:tcPr>
            <w:tcW w:w="2159" w:type="dxa"/>
          </w:tcPr>
          <w:p w14:paraId="293730FF" w14:textId="53994720" w:rsidR="00E7009B" w:rsidRPr="009D6B32" w:rsidRDefault="00E7009B" w:rsidP="00E7009B">
            <w:pPr>
              <w:rPr>
                <w:lang w:val="es-ES"/>
              </w:rPr>
            </w:pPr>
            <w:r>
              <w:rPr>
                <w:lang w:val="es-ES" w:bidi="es-ES"/>
              </w:rPr>
              <w:t>Se procura no hacer daño, pero hay disposición a correr riesgos considerables si los posibles beneficios son lo suficientemente grandes</w:t>
            </w:r>
          </w:p>
        </w:tc>
      </w:tr>
      <w:tr w:rsidR="00E7009B" w:rsidRPr="00EA7B28" w14:paraId="4E63C197" w14:textId="77777777" w:rsidTr="00E70A59">
        <w:tc>
          <w:tcPr>
            <w:tcW w:w="2158" w:type="dxa"/>
          </w:tcPr>
          <w:p w14:paraId="7B9FBC30" w14:textId="2309665B" w:rsidR="00E7009B" w:rsidRDefault="002077BB" w:rsidP="00E7009B">
            <w:r>
              <w:rPr>
                <w:lang w:val="es-ES" w:bidi="es-ES"/>
              </w:rPr>
              <w:t xml:space="preserve">2. Financiero </w:t>
            </w:r>
          </w:p>
        </w:tc>
        <w:tc>
          <w:tcPr>
            <w:tcW w:w="2158" w:type="dxa"/>
            <w:shd w:val="clear" w:color="auto" w:fill="F2F2F2" w:themeFill="background1" w:themeFillShade="F2"/>
          </w:tcPr>
          <w:p w14:paraId="52301613" w14:textId="77777777" w:rsidR="00E7009B" w:rsidRPr="009D6B32" w:rsidRDefault="00E7009B" w:rsidP="00E7009B">
            <w:pPr>
              <w:rPr>
                <w:lang w:val="es-ES"/>
              </w:rPr>
            </w:pPr>
            <w:r>
              <w:rPr>
                <w:lang w:val="es-ES" w:bidi="es-ES"/>
              </w:rPr>
              <w:t>Desviación de hasta el 5% del presupuesto</w:t>
            </w:r>
          </w:p>
          <w:p w14:paraId="11AC26F7" w14:textId="77777777" w:rsidR="00E7009B" w:rsidRPr="009D6B32" w:rsidRDefault="00E7009B" w:rsidP="00E7009B">
            <w:pPr>
              <w:rPr>
                <w:lang w:val="es-ES"/>
              </w:rPr>
            </w:pPr>
            <w:r>
              <w:rPr>
                <w:lang w:val="es-ES" w:bidi="es-ES"/>
              </w:rPr>
              <w:t>Hincapié en la seguridad financiera</w:t>
            </w:r>
          </w:p>
          <w:p w14:paraId="3A037686" w14:textId="3C9E2EA4" w:rsidR="00E7009B" w:rsidRPr="009D6B32" w:rsidRDefault="00E7009B" w:rsidP="00E7009B">
            <w:pPr>
              <w:rPr>
                <w:lang w:val="es-ES"/>
              </w:rPr>
            </w:pPr>
            <w:r>
              <w:rPr>
                <w:lang w:val="es-ES" w:bidi="es-ES"/>
              </w:rPr>
              <w:t>No se tolera el fraude ni la corrupción</w:t>
            </w:r>
          </w:p>
        </w:tc>
        <w:tc>
          <w:tcPr>
            <w:tcW w:w="2158" w:type="dxa"/>
            <w:shd w:val="clear" w:color="auto" w:fill="F2F2F2" w:themeFill="background1" w:themeFillShade="F2"/>
          </w:tcPr>
          <w:p w14:paraId="0440EA79" w14:textId="77777777" w:rsidR="00E7009B" w:rsidRPr="009D6B32" w:rsidRDefault="00E7009B" w:rsidP="00E7009B">
            <w:pPr>
              <w:rPr>
                <w:lang w:val="es-ES"/>
              </w:rPr>
            </w:pPr>
            <w:r>
              <w:rPr>
                <w:lang w:val="es-ES" w:bidi="es-ES"/>
              </w:rPr>
              <w:t>Desviación de hasta el 20% del presupuesto</w:t>
            </w:r>
          </w:p>
          <w:p w14:paraId="3CA80BC3" w14:textId="77777777" w:rsidR="00E7009B" w:rsidRPr="009D6B32" w:rsidRDefault="00E7009B" w:rsidP="00E7009B">
            <w:pPr>
              <w:rPr>
                <w:lang w:val="es-ES"/>
              </w:rPr>
            </w:pPr>
            <w:r>
              <w:rPr>
                <w:lang w:val="es-ES" w:bidi="es-ES"/>
              </w:rPr>
              <w:t>Equilibrio entre la seguridad financiera y la relación entre calidad y precio</w:t>
            </w:r>
          </w:p>
          <w:p w14:paraId="31E6BA89" w14:textId="15D80312" w:rsidR="00E7009B" w:rsidRPr="009D6B32" w:rsidRDefault="00E7009B" w:rsidP="00E7009B">
            <w:pPr>
              <w:rPr>
                <w:lang w:val="es-ES"/>
              </w:rPr>
            </w:pPr>
            <w:r>
              <w:rPr>
                <w:lang w:val="es-ES" w:bidi="es-ES"/>
              </w:rPr>
              <w:t>No se tolera el fraude ni la corrupción</w:t>
            </w:r>
          </w:p>
        </w:tc>
        <w:tc>
          <w:tcPr>
            <w:tcW w:w="2158" w:type="dxa"/>
          </w:tcPr>
          <w:p w14:paraId="31F75FD6" w14:textId="77777777" w:rsidR="00E7009B" w:rsidRPr="009D6B32" w:rsidRDefault="00E7009B" w:rsidP="00E7009B">
            <w:pPr>
              <w:rPr>
                <w:lang w:val="es-ES"/>
              </w:rPr>
            </w:pPr>
            <w:r>
              <w:rPr>
                <w:lang w:val="es-ES" w:bidi="es-ES"/>
              </w:rPr>
              <w:t>Desviación de hasta el 30% del presupuesto</w:t>
            </w:r>
          </w:p>
          <w:p w14:paraId="18B73BD0" w14:textId="77777777" w:rsidR="00E7009B" w:rsidRPr="009D6B32" w:rsidRDefault="00E7009B" w:rsidP="00E7009B">
            <w:pPr>
              <w:rPr>
                <w:lang w:val="es-ES"/>
              </w:rPr>
            </w:pPr>
            <w:r>
              <w:rPr>
                <w:lang w:val="es-ES" w:bidi="es-ES"/>
              </w:rPr>
              <w:t>Hincapié en la relación entre calidad y precio</w:t>
            </w:r>
          </w:p>
          <w:p w14:paraId="7B8EFB06" w14:textId="54496C47" w:rsidR="00E7009B" w:rsidRPr="009D6B32" w:rsidRDefault="00E7009B" w:rsidP="00E7009B">
            <w:pPr>
              <w:rPr>
                <w:lang w:val="es-ES"/>
              </w:rPr>
            </w:pPr>
            <w:r>
              <w:rPr>
                <w:lang w:val="es-ES" w:bidi="es-ES"/>
              </w:rPr>
              <w:t>En general no se tolera el fraude ni la corrupción</w:t>
            </w:r>
          </w:p>
        </w:tc>
        <w:tc>
          <w:tcPr>
            <w:tcW w:w="2159" w:type="dxa"/>
          </w:tcPr>
          <w:p w14:paraId="6146B4F6" w14:textId="77777777" w:rsidR="00E7009B" w:rsidRPr="009D6B32" w:rsidRDefault="00E7009B" w:rsidP="00E7009B">
            <w:pPr>
              <w:rPr>
                <w:lang w:val="es-ES"/>
              </w:rPr>
            </w:pPr>
            <w:r>
              <w:rPr>
                <w:lang w:val="es-ES" w:bidi="es-ES"/>
              </w:rPr>
              <w:t>Desviación de hasta el 50% del presupuesto</w:t>
            </w:r>
          </w:p>
          <w:p w14:paraId="25B7EAAA" w14:textId="77777777" w:rsidR="00E7009B" w:rsidRPr="009D6B32" w:rsidRDefault="00E7009B" w:rsidP="00E7009B">
            <w:pPr>
              <w:rPr>
                <w:lang w:val="es-ES"/>
              </w:rPr>
            </w:pPr>
            <w:r>
              <w:rPr>
                <w:lang w:val="es-ES" w:bidi="es-ES"/>
              </w:rPr>
              <w:t>Hincapié en la relación entre calidad y precio a través de nuevos enfoques financieros</w:t>
            </w:r>
          </w:p>
          <w:p w14:paraId="37410C8B" w14:textId="58BD2D33" w:rsidR="00E7009B" w:rsidRPr="009D6B32" w:rsidRDefault="00E7009B" w:rsidP="00E7009B">
            <w:pPr>
              <w:rPr>
                <w:lang w:val="es-ES"/>
              </w:rPr>
            </w:pPr>
            <w:r>
              <w:rPr>
                <w:lang w:val="es-ES" w:bidi="es-ES"/>
              </w:rPr>
              <w:t>En general no se tolera el fraude ni la corrupción</w:t>
            </w:r>
          </w:p>
        </w:tc>
        <w:tc>
          <w:tcPr>
            <w:tcW w:w="2159" w:type="dxa"/>
          </w:tcPr>
          <w:p w14:paraId="4AD193EC" w14:textId="77777777" w:rsidR="00E7009B" w:rsidRPr="009D6B32" w:rsidRDefault="00E7009B" w:rsidP="00E7009B">
            <w:pPr>
              <w:rPr>
                <w:lang w:val="es-ES"/>
              </w:rPr>
            </w:pPr>
            <w:r>
              <w:rPr>
                <w:lang w:val="es-ES" w:bidi="es-ES"/>
              </w:rPr>
              <w:t>Desviación superior al 50% del presupuesto</w:t>
            </w:r>
          </w:p>
          <w:p w14:paraId="4585AEDD" w14:textId="77777777" w:rsidR="00E7009B" w:rsidRPr="009D6B32" w:rsidRDefault="00E7009B" w:rsidP="00E7009B">
            <w:pPr>
              <w:rPr>
                <w:lang w:val="es-ES"/>
              </w:rPr>
            </w:pPr>
            <w:r>
              <w:rPr>
                <w:lang w:val="es-ES" w:bidi="es-ES"/>
              </w:rPr>
              <w:t>Búsqueda de nuevos enfoques financieros</w:t>
            </w:r>
          </w:p>
          <w:p w14:paraId="558AF19C" w14:textId="2EB2AFD8" w:rsidR="00E7009B" w:rsidRPr="009D6B32" w:rsidRDefault="00E7009B" w:rsidP="00E7009B">
            <w:pPr>
              <w:rPr>
                <w:lang w:val="es-ES"/>
              </w:rPr>
            </w:pPr>
            <w:r>
              <w:rPr>
                <w:lang w:val="es-ES" w:bidi="es-ES"/>
              </w:rPr>
              <w:t>Se evita el fraude y la corrupción</w:t>
            </w:r>
          </w:p>
        </w:tc>
      </w:tr>
      <w:tr w:rsidR="002B15D1" w:rsidRPr="00EA7B28" w14:paraId="3FBA9245" w14:textId="77777777" w:rsidTr="00B74D2C">
        <w:tc>
          <w:tcPr>
            <w:tcW w:w="2158" w:type="dxa"/>
          </w:tcPr>
          <w:p w14:paraId="20157FF7" w14:textId="77777777" w:rsidR="002B15D1" w:rsidRDefault="002B15D1" w:rsidP="00B74D2C">
            <w:r>
              <w:rPr>
                <w:lang w:val="es-ES" w:bidi="es-ES"/>
              </w:rPr>
              <w:t>3. Operacional</w:t>
            </w:r>
          </w:p>
        </w:tc>
        <w:tc>
          <w:tcPr>
            <w:tcW w:w="2158" w:type="dxa"/>
          </w:tcPr>
          <w:p w14:paraId="73DAF8A0" w14:textId="77777777" w:rsidR="002B15D1" w:rsidRPr="009D6B32" w:rsidRDefault="002B15D1" w:rsidP="00B74D2C">
            <w:pPr>
              <w:rPr>
                <w:lang w:val="es-ES"/>
              </w:rPr>
            </w:pPr>
            <w:r>
              <w:rPr>
                <w:lang w:val="es-ES" w:bidi="es-ES"/>
              </w:rPr>
              <w:t>Solo se emplean métodos de implantación de eficacia probada</w:t>
            </w:r>
          </w:p>
          <w:p w14:paraId="3281006C" w14:textId="77777777" w:rsidR="002B15D1" w:rsidRPr="009D6B32" w:rsidRDefault="002B15D1" w:rsidP="00B74D2C">
            <w:pPr>
              <w:rPr>
                <w:lang w:val="es-ES"/>
              </w:rPr>
            </w:pPr>
            <w:r>
              <w:rPr>
                <w:lang w:val="es-ES" w:bidi="es-ES"/>
              </w:rPr>
              <w:t>No se innova</w:t>
            </w:r>
          </w:p>
          <w:p w14:paraId="19F9F119" w14:textId="77777777" w:rsidR="002B15D1" w:rsidRPr="009D6B32" w:rsidRDefault="002B15D1" w:rsidP="00B74D2C">
            <w:pPr>
              <w:rPr>
                <w:lang w:val="es-ES"/>
              </w:rPr>
            </w:pPr>
            <w:r>
              <w:rPr>
                <w:lang w:val="es-ES" w:bidi="es-ES"/>
              </w:rPr>
              <w:t>Solo se colabora con asociados acreditados</w:t>
            </w:r>
          </w:p>
        </w:tc>
        <w:tc>
          <w:tcPr>
            <w:tcW w:w="2158" w:type="dxa"/>
          </w:tcPr>
          <w:p w14:paraId="24A318F6" w14:textId="77777777" w:rsidR="002B15D1" w:rsidRPr="009D6B32" w:rsidRDefault="002B15D1" w:rsidP="00B74D2C">
            <w:pPr>
              <w:rPr>
                <w:lang w:val="es-ES"/>
              </w:rPr>
            </w:pPr>
            <w:r>
              <w:rPr>
                <w:lang w:val="es-ES" w:bidi="es-ES"/>
              </w:rPr>
              <w:t xml:space="preserve">Se intenta cumplir las expectativas, pero está permitido desviarse levemente </w:t>
            </w:r>
          </w:p>
          <w:p w14:paraId="200156C8" w14:textId="77777777" w:rsidR="002B15D1" w:rsidRPr="009D6B32" w:rsidRDefault="002B15D1" w:rsidP="00B74D2C">
            <w:pPr>
              <w:rPr>
                <w:lang w:val="es-ES"/>
              </w:rPr>
            </w:pPr>
            <w:r>
              <w:rPr>
                <w:lang w:val="es-ES" w:bidi="es-ES"/>
              </w:rPr>
              <w:t>Riesgo de nivel bajo/innovación controlada</w:t>
            </w:r>
          </w:p>
        </w:tc>
        <w:tc>
          <w:tcPr>
            <w:tcW w:w="2158" w:type="dxa"/>
            <w:shd w:val="clear" w:color="auto" w:fill="F2F2F2" w:themeFill="background1" w:themeFillShade="F2"/>
          </w:tcPr>
          <w:p w14:paraId="6E6B0015" w14:textId="77777777" w:rsidR="002B15D1" w:rsidRPr="009D6B32" w:rsidRDefault="002B15D1" w:rsidP="00B74D2C">
            <w:pPr>
              <w:rPr>
                <w:lang w:val="es-ES"/>
              </w:rPr>
            </w:pPr>
            <w:r>
              <w:rPr>
                <w:lang w:val="es-ES" w:bidi="es-ES"/>
              </w:rPr>
              <w:t>Está permitido desviarse en la ejecución operativa y la calidad para innovar</w:t>
            </w:r>
          </w:p>
          <w:p w14:paraId="19EF2622" w14:textId="77777777" w:rsidR="002B15D1" w:rsidRPr="009D6B32" w:rsidRDefault="002B15D1" w:rsidP="00B74D2C">
            <w:pPr>
              <w:rPr>
                <w:lang w:val="es-ES"/>
              </w:rPr>
            </w:pPr>
            <w:r>
              <w:rPr>
                <w:lang w:val="es-ES" w:bidi="es-ES"/>
              </w:rPr>
              <w:t>Se toleran los pequeños errores</w:t>
            </w:r>
          </w:p>
        </w:tc>
        <w:tc>
          <w:tcPr>
            <w:tcW w:w="2159" w:type="dxa"/>
            <w:shd w:val="clear" w:color="auto" w:fill="F2F2F2" w:themeFill="background1" w:themeFillShade="F2"/>
          </w:tcPr>
          <w:p w14:paraId="0696AD9D" w14:textId="77777777" w:rsidR="002B15D1" w:rsidRPr="009D6B32" w:rsidRDefault="002B15D1" w:rsidP="00B74D2C">
            <w:pPr>
              <w:rPr>
                <w:lang w:val="es-ES"/>
              </w:rPr>
            </w:pPr>
            <w:r>
              <w:rPr>
                <w:lang w:val="es-ES" w:bidi="es-ES"/>
              </w:rPr>
              <w:t>Se fomenta desviarse en la ejecución operativa y la calidad para innovar</w:t>
            </w:r>
          </w:p>
          <w:p w14:paraId="5D8F098B" w14:textId="77777777" w:rsidR="002B15D1" w:rsidRPr="009D6B32" w:rsidRDefault="002B15D1" w:rsidP="00B74D2C">
            <w:pPr>
              <w:rPr>
                <w:lang w:val="es-ES"/>
              </w:rPr>
            </w:pPr>
            <w:r>
              <w:rPr>
                <w:lang w:val="es-ES" w:bidi="es-ES"/>
              </w:rPr>
              <w:t>Los errores son una oportunidad de aprendizaje</w:t>
            </w:r>
          </w:p>
        </w:tc>
        <w:tc>
          <w:tcPr>
            <w:tcW w:w="2159" w:type="dxa"/>
          </w:tcPr>
          <w:p w14:paraId="536E0B76" w14:textId="77777777" w:rsidR="002B15D1" w:rsidRPr="009D6B32" w:rsidRDefault="002B15D1" w:rsidP="00B74D2C">
            <w:pPr>
              <w:rPr>
                <w:lang w:val="es-ES"/>
              </w:rPr>
            </w:pPr>
            <w:r>
              <w:rPr>
                <w:lang w:val="es-ES" w:bidi="es-ES"/>
              </w:rPr>
              <w:t>Hincapié en encontrar enfoques nuevos e innovadores, probar ideas novedosas y apoyarse en los errores</w:t>
            </w:r>
          </w:p>
        </w:tc>
      </w:tr>
      <w:tr w:rsidR="002B15D1" w:rsidRPr="00EA7B28" w14:paraId="0FA0A499" w14:textId="77777777" w:rsidTr="00B74D2C">
        <w:tc>
          <w:tcPr>
            <w:tcW w:w="2158" w:type="dxa"/>
          </w:tcPr>
          <w:p w14:paraId="738A4A30" w14:textId="77777777" w:rsidR="002B15D1" w:rsidRDefault="002B15D1" w:rsidP="00B74D2C">
            <w:r>
              <w:rPr>
                <w:lang w:val="es-ES" w:bidi="es-ES"/>
              </w:rPr>
              <w:t>4. Organizacional</w:t>
            </w:r>
          </w:p>
        </w:tc>
        <w:tc>
          <w:tcPr>
            <w:tcW w:w="2158" w:type="dxa"/>
          </w:tcPr>
          <w:p w14:paraId="1B4D0D93" w14:textId="77777777" w:rsidR="002B15D1" w:rsidRPr="009D6B32" w:rsidRDefault="002B15D1" w:rsidP="00B74D2C">
            <w:pPr>
              <w:rPr>
                <w:lang w:val="es-ES"/>
              </w:rPr>
            </w:pPr>
            <w:r>
              <w:rPr>
                <w:lang w:val="es-ES" w:bidi="es-ES"/>
              </w:rPr>
              <w:t xml:space="preserve">Solo se emplean métodos de </w:t>
            </w:r>
            <w:r>
              <w:rPr>
                <w:lang w:val="es-ES" w:bidi="es-ES"/>
              </w:rPr>
              <w:lastRenderedPageBreak/>
              <w:t>implantación de eficacia probada</w:t>
            </w:r>
          </w:p>
          <w:p w14:paraId="760E76DF" w14:textId="77777777" w:rsidR="002B15D1" w:rsidRPr="009D6B32" w:rsidRDefault="002B15D1" w:rsidP="00B74D2C">
            <w:pPr>
              <w:rPr>
                <w:lang w:val="es-ES"/>
              </w:rPr>
            </w:pPr>
            <w:r>
              <w:rPr>
                <w:lang w:val="es-ES" w:bidi="es-ES"/>
              </w:rPr>
              <w:t>Entorno de control interno inflexible</w:t>
            </w:r>
          </w:p>
        </w:tc>
        <w:tc>
          <w:tcPr>
            <w:tcW w:w="2158" w:type="dxa"/>
          </w:tcPr>
          <w:p w14:paraId="23F34B3D" w14:textId="77777777" w:rsidR="002B15D1" w:rsidRPr="009D6B32" w:rsidRDefault="002B15D1" w:rsidP="00B74D2C">
            <w:pPr>
              <w:rPr>
                <w:lang w:val="es-ES"/>
              </w:rPr>
            </w:pPr>
            <w:r>
              <w:rPr>
                <w:lang w:val="es-ES" w:bidi="es-ES"/>
              </w:rPr>
              <w:lastRenderedPageBreak/>
              <w:t xml:space="preserve">Se intenta cumplir las expectativas, pero </w:t>
            </w:r>
            <w:r>
              <w:rPr>
                <w:lang w:val="es-ES" w:bidi="es-ES"/>
              </w:rPr>
              <w:lastRenderedPageBreak/>
              <w:t xml:space="preserve">está permitido desviarse levemente </w:t>
            </w:r>
          </w:p>
          <w:p w14:paraId="479A314F" w14:textId="77777777" w:rsidR="002B15D1" w:rsidRPr="009D6B32" w:rsidRDefault="002B15D1" w:rsidP="00B74D2C">
            <w:pPr>
              <w:rPr>
                <w:lang w:val="es-ES"/>
              </w:rPr>
            </w:pPr>
            <w:r>
              <w:rPr>
                <w:lang w:val="es-ES" w:bidi="es-ES"/>
              </w:rPr>
              <w:t>Entorno de control interno riguroso</w:t>
            </w:r>
          </w:p>
        </w:tc>
        <w:tc>
          <w:tcPr>
            <w:tcW w:w="2158" w:type="dxa"/>
            <w:shd w:val="clear" w:color="auto" w:fill="F2F2F2" w:themeFill="background1" w:themeFillShade="F2"/>
          </w:tcPr>
          <w:p w14:paraId="01628EDA" w14:textId="77777777" w:rsidR="002B15D1" w:rsidRPr="009D6B32" w:rsidRDefault="002B15D1" w:rsidP="00B74D2C">
            <w:pPr>
              <w:rPr>
                <w:lang w:val="es-ES"/>
              </w:rPr>
            </w:pPr>
            <w:r>
              <w:rPr>
                <w:lang w:val="es-ES" w:bidi="es-ES"/>
              </w:rPr>
              <w:lastRenderedPageBreak/>
              <w:t xml:space="preserve">Está permitido desviarse en la </w:t>
            </w:r>
            <w:r>
              <w:rPr>
                <w:lang w:val="es-ES" w:bidi="es-ES"/>
              </w:rPr>
              <w:lastRenderedPageBreak/>
              <w:t>ejecución operativa y la calidad para innovar</w:t>
            </w:r>
          </w:p>
          <w:p w14:paraId="3D0EEAEE" w14:textId="77777777" w:rsidR="002B15D1" w:rsidRPr="009D6B32" w:rsidRDefault="002B15D1" w:rsidP="00B74D2C">
            <w:pPr>
              <w:rPr>
                <w:lang w:val="es-ES"/>
              </w:rPr>
            </w:pPr>
            <w:r>
              <w:rPr>
                <w:lang w:val="es-ES" w:bidi="es-ES"/>
              </w:rPr>
              <w:t>Introducción prudente de controles relacionados con el riesgo</w:t>
            </w:r>
          </w:p>
        </w:tc>
        <w:tc>
          <w:tcPr>
            <w:tcW w:w="2159" w:type="dxa"/>
            <w:shd w:val="clear" w:color="auto" w:fill="F2F2F2" w:themeFill="background1" w:themeFillShade="F2"/>
          </w:tcPr>
          <w:p w14:paraId="00578CF9" w14:textId="77777777" w:rsidR="002B15D1" w:rsidRPr="009D6B32" w:rsidRDefault="002B15D1" w:rsidP="00B74D2C">
            <w:pPr>
              <w:rPr>
                <w:lang w:val="es-ES"/>
              </w:rPr>
            </w:pPr>
            <w:r>
              <w:rPr>
                <w:lang w:val="es-ES" w:bidi="es-ES"/>
              </w:rPr>
              <w:lastRenderedPageBreak/>
              <w:t xml:space="preserve">Se fomenta desviarse en la ejecución </w:t>
            </w:r>
            <w:r>
              <w:rPr>
                <w:lang w:val="es-ES" w:bidi="es-ES"/>
              </w:rPr>
              <w:lastRenderedPageBreak/>
              <w:t>operativa y la calidad para innovar</w:t>
            </w:r>
          </w:p>
          <w:p w14:paraId="39C7E999" w14:textId="77777777" w:rsidR="002B15D1" w:rsidRPr="009D6B32" w:rsidRDefault="002B15D1" w:rsidP="00B74D2C">
            <w:pPr>
              <w:rPr>
                <w:lang w:val="es-ES"/>
              </w:rPr>
            </w:pPr>
            <w:r>
              <w:rPr>
                <w:lang w:val="es-ES" w:bidi="es-ES"/>
              </w:rPr>
              <w:t>Entorno de control motivado por el riesgo</w:t>
            </w:r>
          </w:p>
        </w:tc>
        <w:tc>
          <w:tcPr>
            <w:tcW w:w="2159" w:type="dxa"/>
          </w:tcPr>
          <w:p w14:paraId="455974D1" w14:textId="77777777" w:rsidR="002B15D1" w:rsidRPr="009D6B32" w:rsidRDefault="002B15D1" w:rsidP="00B74D2C">
            <w:pPr>
              <w:rPr>
                <w:lang w:val="es-ES"/>
              </w:rPr>
            </w:pPr>
            <w:r>
              <w:rPr>
                <w:lang w:val="es-ES" w:bidi="es-ES"/>
              </w:rPr>
              <w:lastRenderedPageBreak/>
              <w:t xml:space="preserve">Hincapié en encontrar enfoques </w:t>
            </w:r>
            <w:r>
              <w:rPr>
                <w:lang w:val="es-ES" w:bidi="es-ES"/>
              </w:rPr>
              <w:lastRenderedPageBreak/>
              <w:t>nuevos e innovadores, probar ideas novedosas y apoyarse en los errores</w:t>
            </w:r>
          </w:p>
          <w:p w14:paraId="13E33CD0" w14:textId="77777777" w:rsidR="002B15D1" w:rsidRPr="009D6B32" w:rsidRDefault="002B15D1" w:rsidP="00B74D2C">
            <w:pPr>
              <w:rPr>
                <w:lang w:val="es-ES"/>
              </w:rPr>
            </w:pPr>
            <w:r>
              <w:rPr>
                <w:lang w:val="es-ES" w:bidi="es-ES"/>
              </w:rPr>
              <w:t>Entorno de control motivado por el equilibro entre el riesgo y los gastos</w:t>
            </w:r>
          </w:p>
        </w:tc>
      </w:tr>
      <w:tr w:rsidR="002B15D1" w:rsidRPr="00EA7B28" w14:paraId="6ABA0FD9" w14:textId="77777777" w:rsidTr="002B15D1">
        <w:tc>
          <w:tcPr>
            <w:tcW w:w="2158" w:type="dxa"/>
          </w:tcPr>
          <w:p w14:paraId="0C9CB706" w14:textId="77777777" w:rsidR="002B15D1" w:rsidRDefault="002B15D1" w:rsidP="00B74D2C">
            <w:r>
              <w:rPr>
                <w:lang w:val="es-ES" w:bidi="es-ES"/>
              </w:rPr>
              <w:lastRenderedPageBreak/>
              <w:t>5. Reputacional</w:t>
            </w:r>
          </w:p>
        </w:tc>
        <w:tc>
          <w:tcPr>
            <w:tcW w:w="2158" w:type="dxa"/>
          </w:tcPr>
          <w:p w14:paraId="73261208" w14:textId="77777777" w:rsidR="002B15D1" w:rsidRPr="009D6B32" w:rsidRDefault="002B15D1" w:rsidP="00B74D2C">
            <w:pPr>
              <w:rPr>
                <w:lang w:val="es-ES"/>
              </w:rPr>
            </w:pPr>
            <w:r>
              <w:rPr>
                <w:lang w:val="es-ES" w:bidi="es-ES"/>
              </w:rPr>
              <w:t>No se perjudica la reputación del PNUD</w:t>
            </w:r>
          </w:p>
        </w:tc>
        <w:tc>
          <w:tcPr>
            <w:tcW w:w="2158" w:type="dxa"/>
          </w:tcPr>
          <w:p w14:paraId="168EA73B" w14:textId="77777777" w:rsidR="002B15D1" w:rsidRPr="009D6B32" w:rsidRDefault="002B15D1" w:rsidP="00B74D2C">
            <w:pPr>
              <w:rPr>
                <w:lang w:val="es-ES"/>
              </w:rPr>
            </w:pPr>
            <w:r>
              <w:rPr>
                <w:lang w:val="es-ES" w:bidi="es-ES"/>
              </w:rPr>
              <w:t>No se ponen en riesgo los valores del PNUD, pero se tolera un leve daño reputacional con tal de llevar a cabo sus planes</w:t>
            </w:r>
          </w:p>
        </w:tc>
        <w:tc>
          <w:tcPr>
            <w:tcW w:w="2158" w:type="dxa"/>
          </w:tcPr>
          <w:p w14:paraId="79B252AE" w14:textId="77777777" w:rsidR="002B15D1" w:rsidRPr="009D6B32" w:rsidRDefault="002B15D1" w:rsidP="00B74D2C">
            <w:pPr>
              <w:rPr>
                <w:lang w:val="es-ES"/>
              </w:rPr>
            </w:pPr>
            <w:r>
              <w:rPr>
                <w:lang w:val="es-ES" w:bidi="es-ES"/>
              </w:rPr>
              <w:t>No se ponen en riesgo los valores del PNUD</w:t>
            </w:r>
          </w:p>
          <w:p w14:paraId="491ACBA8" w14:textId="77777777" w:rsidR="002B15D1" w:rsidRPr="009D6B32" w:rsidRDefault="002B15D1" w:rsidP="00B74D2C">
            <w:pPr>
              <w:rPr>
                <w:lang w:val="es-ES"/>
              </w:rPr>
            </w:pPr>
            <w:r>
              <w:rPr>
                <w:lang w:val="es-ES" w:bidi="es-ES"/>
              </w:rPr>
              <w:t>Los compromisos se cumplen mediante la gestión de las expectativas</w:t>
            </w:r>
          </w:p>
          <w:p w14:paraId="2403BBFB" w14:textId="77777777" w:rsidR="002B15D1" w:rsidRPr="009D6B32" w:rsidRDefault="002B15D1" w:rsidP="00B74D2C">
            <w:pPr>
              <w:rPr>
                <w:lang w:val="es-ES"/>
              </w:rPr>
            </w:pPr>
            <w:r>
              <w:rPr>
                <w:lang w:val="es-ES" w:bidi="es-ES"/>
              </w:rPr>
              <w:t>Aprendizaje a partir de nuevos enfoques</w:t>
            </w:r>
          </w:p>
        </w:tc>
        <w:tc>
          <w:tcPr>
            <w:tcW w:w="2159" w:type="dxa"/>
          </w:tcPr>
          <w:p w14:paraId="3E4F5EC1" w14:textId="77777777" w:rsidR="002B15D1" w:rsidRPr="009D6B32" w:rsidRDefault="002B15D1" w:rsidP="00B74D2C">
            <w:pPr>
              <w:rPr>
                <w:lang w:val="es-ES"/>
              </w:rPr>
            </w:pPr>
            <w:r>
              <w:rPr>
                <w:lang w:val="es-ES" w:bidi="es-ES"/>
              </w:rPr>
              <w:t>No se ponen en riesgo los valores éticos del PNUD</w:t>
            </w:r>
          </w:p>
          <w:p w14:paraId="05F2F266" w14:textId="77777777" w:rsidR="002B15D1" w:rsidRPr="009D6B32" w:rsidRDefault="002B15D1" w:rsidP="00B74D2C">
            <w:pPr>
              <w:rPr>
                <w:lang w:val="es-ES"/>
              </w:rPr>
            </w:pPr>
            <w:r>
              <w:rPr>
                <w:lang w:val="es-ES" w:bidi="es-ES"/>
              </w:rPr>
              <w:t>La credibilidad se protege mediante la gestión de las partes interesadas principales</w:t>
            </w:r>
          </w:p>
          <w:p w14:paraId="5449F631" w14:textId="77777777" w:rsidR="002B15D1" w:rsidRPr="009D6B32" w:rsidRDefault="002B15D1" w:rsidP="00B74D2C">
            <w:pPr>
              <w:rPr>
                <w:lang w:val="es-ES"/>
              </w:rPr>
            </w:pPr>
            <w:r>
              <w:rPr>
                <w:lang w:val="es-ES" w:bidi="es-ES"/>
              </w:rPr>
              <w:t>Hay disposición a perjudicar la reputación con las partes interesadas de menor envergadura</w:t>
            </w:r>
          </w:p>
        </w:tc>
        <w:tc>
          <w:tcPr>
            <w:tcW w:w="2159" w:type="dxa"/>
          </w:tcPr>
          <w:p w14:paraId="3476860D" w14:textId="77777777" w:rsidR="002B15D1" w:rsidRPr="009D6B32" w:rsidRDefault="002B15D1" w:rsidP="00B74D2C">
            <w:pPr>
              <w:rPr>
                <w:lang w:val="es-ES"/>
              </w:rPr>
            </w:pPr>
            <w:r>
              <w:rPr>
                <w:lang w:val="es-ES" w:bidi="es-ES"/>
              </w:rPr>
              <w:t>No se ponen en riesgo los valores éticos del PNUD</w:t>
            </w:r>
          </w:p>
          <w:p w14:paraId="420168CE" w14:textId="77777777" w:rsidR="002B15D1" w:rsidRPr="009D6B32" w:rsidRDefault="002B15D1" w:rsidP="00B74D2C">
            <w:pPr>
              <w:rPr>
                <w:lang w:val="es-ES"/>
              </w:rPr>
            </w:pPr>
            <w:r>
              <w:rPr>
                <w:lang w:val="es-ES" w:bidi="es-ES"/>
              </w:rPr>
              <w:t>Hay disposición a perjudicar la reputación con todas las partes interesadas salvo las más importantes</w:t>
            </w:r>
          </w:p>
          <w:p w14:paraId="4B1E76A2" w14:textId="77777777" w:rsidR="002B15D1" w:rsidRPr="009D6B32" w:rsidRDefault="002B15D1" w:rsidP="00B74D2C">
            <w:pPr>
              <w:rPr>
                <w:lang w:val="es-ES"/>
              </w:rPr>
            </w:pPr>
          </w:p>
        </w:tc>
      </w:tr>
      <w:tr w:rsidR="00E7009B" w:rsidRPr="00EA7B28" w14:paraId="28A6EB6E" w14:textId="77777777" w:rsidTr="001703F8">
        <w:tc>
          <w:tcPr>
            <w:tcW w:w="2158" w:type="dxa"/>
          </w:tcPr>
          <w:p w14:paraId="6406A87A" w14:textId="6F742619" w:rsidR="00E7009B" w:rsidRDefault="0088254C" w:rsidP="00E7009B">
            <w:r>
              <w:rPr>
                <w:lang w:val="es-ES" w:bidi="es-ES"/>
              </w:rPr>
              <w:t>6. Regulatorio</w:t>
            </w:r>
          </w:p>
        </w:tc>
        <w:tc>
          <w:tcPr>
            <w:tcW w:w="2158" w:type="dxa"/>
            <w:shd w:val="clear" w:color="auto" w:fill="auto"/>
          </w:tcPr>
          <w:p w14:paraId="6E7A3C5D" w14:textId="54E02632" w:rsidR="00E7009B" w:rsidRPr="009D6B32" w:rsidRDefault="00E7009B" w:rsidP="00E7009B">
            <w:pPr>
              <w:rPr>
                <w:lang w:val="es-ES"/>
              </w:rPr>
            </w:pPr>
            <w:r>
              <w:rPr>
                <w:lang w:val="es-ES" w:bidi="es-ES"/>
              </w:rPr>
              <w:t>No se toleran las operaciones que van más allá del marco regulatorio establecido</w:t>
            </w:r>
          </w:p>
        </w:tc>
        <w:tc>
          <w:tcPr>
            <w:tcW w:w="2158" w:type="dxa"/>
            <w:shd w:val="clear" w:color="auto" w:fill="F2F2F2" w:themeFill="background1" w:themeFillShade="F2"/>
          </w:tcPr>
          <w:p w14:paraId="626AB923" w14:textId="38F32F3E" w:rsidR="00E7009B" w:rsidRPr="009D6B32" w:rsidRDefault="00E7009B" w:rsidP="00E7009B">
            <w:pPr>
              <w:rPr>
                <w:lang w:val="es-ES"/>
              </w:rPr>
            </w:pPr>
            <w:r>
              <w:rPr>
                <w:lang w:val="es-ES" w:bidi="es-ES"/>
              </w:rPr>
              <w:t>Se buscarán formas legítimas de alcanzar los objetivos</w:t>
            </w:r>
          </w:p>
        </w:tc>
        <w:tc>
          <w:tcPr>
            <w:tcW w:w="2158" w:type="dxa"/>
          </w:tcPr>
          <w:p w14:paraId="334D6F93" w14:textId="61ACDA8B" w:rsidR="00E7009B" w:rsidRPr="009D6B32" w:rsidRDefault="00E7009B" w:rsidP="00E7009B">
            <w:pPr>
              <w:rPr>
                <w:lang w:val="es-ES"/>
              </w:rPr>
            </w:pPr>
            <w:r>
              <w:rPr>
                <w:lang w:val="es-ES" w:bidi="es-ES"/>
              </w:rPr>
              <w:t>Se estudiará la introducción de pequeños cambios en los reglamentos para facilitar la ejecución</w:t>
            </w:r>
          </w:p>
        </w:tc>
        <w:tc>
          <w:tcPr>
            <w:tcW w:w="2159" w:type="dxa"/>
          </w:tcPr>
          <w:p w14:paraId="3CBE178B" w14:textId="5AAB1F3B" w:rsidR="00E7009B" w:rsidRPr="009D6B32" w:rsidRDefault="00E7009B" w:rsidP="00E7009B">
            <w:pPr>
              <w:rPr>
                <w:lang w:val="es-ES"/>
              </w:rPr>
            </w:pPr>
            <w:r>
              <w:rPr>
                <w:lang w:val="es-ES" w:bidi="es-ES"/>
              </w:rPr>
              <w:t>Se pondrán en tela de juicio los reglamentos para facilitar la ejecución si es probable obtener buenos resultados</w:t>
            </w:r>
          </w:p>
        </w:tc>
        <w:tc>
          <w:tcPr>
            <w:tcW w:w="2159" w:type="dxa"/>
          </w:tcPr>
          <w:p w14:paraId="639A11BA" w14:textId="5AB4F35A" w:rsidR="00E7009B" w:rsidRPr="009D6B32" w:rsidRDefault="00E7009B" w:rsidP="00E7009B">
            <w:pPr>
              <w:rPr>
                <w:lang w:val="es-ES"/>
              </w:rPr>
            </w:pPr>
            <w:r>
              <w:rPr>
                <w:lang w:val="es-ES" w:bidi="es-ES"/>
              </w:rPr>
              <w:t>Se pondrán en tela de juicio los reglamentos para facilitar la ejecución si es posible obtener buenos resultados</w:t>
            </w:r>
          </w:p>
        </w:tc>
      </w:tr>
      <w:tr w:rsidR="00E740C1" w:rsidRPr="00EA7B28" w14:paraId="5F996D97" w14:textId="77777777" w:rsidTr="00B74D2C">
        <w:tc>
          <w:tcPr>
            <w:tcW w:w="2158" w:type="dxa"/>
          </w:tcPr>
          <w:p w14:paraId="359BE537" w14:textId="77777777" w:rsidR="00E740C1" w:rsidRDefault="00E740C1" w:rsidP="00B74D2C">
            <w:r>
              <w:rPr>
                <w:lang w:val="es-ES" w:bidi="es-ES"/>
              </w:rPr>
              <w:t>7. Estratégico</w:t>
            </w:r>
          </w:p>
        </w:tc>
        <w:tc>
          <w:tcPr>
            <w:tcW w:w="2158" w:type="dxa"/>
          </w:tcPr>
          <w:p w14:paraId="38B538DC" w14:textId="77777777" w:rsidR="00E740C1" w:rsidRPr="009D6B32" w:rsidRDefault="00E740C1" w:rsidP="00B74D2C">
            <w:pPr>
              <w:rPr>
                <w:lang w:val="es-ES"/>
              </w:rPr>
            </w:pPr>
            <w:r>
              <w:rPr>
                <w:lang w:val="es-ES" w:bidi="es-ES"/>
              </w:rPr>
              <w:t>Solo se emplean métodos de implantación de eficacia probada</w:t>
            </w:r>
          </w:p>
          <w:p w14:paraId="1B532D83" w14:textId="77777777" w:rsidR="00E740C1" w:rsidRPr="009D6B32" w:rsidRDefault="00E740C1" w:rsidP="00B74D2C">
            <w:pPr>
              <w:rPr>
                <w:lang w:val="es-ES"/>
              </w:rPr>
            </w:pPr>
            <w:r>
              <w:rPr>
                <w:lang w:val="es-ES" w:bidi="es-ES"/>
              </w:rPr>
              <w:lastRenderedPageBreak/>
              <w:t>No se innova</w:t>
            </w:r>
          </w:p>
          <w:p w14:paraId="6105A90B" w14:textId="77777777" w:rsidR="00E740C1" w:rsidRPr="009D6B32" w:rsidRDefault="00E740C1" w:rsidP="00B74D2C">
            <w:pPr>
              <w:rPr>
                <w:lang w:val="es-ES"/>
              </w:rPr>
            </w:pPr>
            <w:r>
              <w:rPr>
                <w:lang w:val="es-ES" w:bidi="es-ES"/>
              </w:rPr>
              <w:t>Solo se colabora con asociados acreditados</w:t>
            </w:r>
          </w:p>
        </w:tc>
        <w:tc>
          <w:tcPr>
            <w:tcW w:w="2158" w:type="dxa"/>
          </w:tcPr>
          <w:p w14:paraId="3132FC84" w14:textId="77777777" w:rsidR="00E740C1" w:rsidRPr="009D6B32" w:rsidRDefault="00E740C1" w:rsidP="00B74D2C">
            <w:pPr>
              <w:rPr>
                <w:lang w:val="es-ES"/>
              </w:rPr>
            </w:pPr>
            <w:r>
              <w:rPr>
                <w:lang w:val="es-ES" w:bidi="es-ES"/>
              </w:rPr>
              <w:lastRenderedPageBreak/>
              <w:t>Se prefieren los métodos de implantación de eficacia probada</w:t>
            </w:r>
          </w:p>
          <w:p w14:paraId="0C0E0E8D" w14:textId="77777777" w:rsidR="00E740C1" w:rsidRPr="009D6B32" w:rsidRDefault="00E740C1" w:rsidP="00B74D2C">
            <w:pPr>
              <w:rPr>
                <w:lang w:val="es-ES"/>
              </w:rPr>
            </w:pPr>
            <w:r>
              <w:rPr>
                <w:lang w:val="es-ES" w:bidi="es-ES"/>
              </w:rPr>
              <w:lastRenderedPageBreak/>
              <w:t>Riesgo de nivel bajo/innovación controlada</w:t>
            </w:r>
          </w:p>
          <w:p w14:paraId="1250EC5A" w14:textId="77777777" w:rsidR="00E740C1" w:rsidRPr="009D6B32" w:rsidRDefault="00E740C1" w:rsidP="00B74D2C">
            <w:pPr>
              <w:rPr>
                <w:lang w:val="es-ES"/>
              </w:rPr>
            </w:pPr>
            <w:r>
              <w:rPr>
                <w:lang w:val="es-ES" w:bidi="es-ES"/>
              </w:rPr>
              <w:t>Se entablarán relaciones con asociados que conlleven un riesgo de nivel bajo en caso necesario</w:t>
            </w:r>
          </w:p>
        </w:tc>
        <w:tc>
          <w:tcPr>
            <w:tcW w:w="2158" w:type="dxa"/>
          </w:tcPr>
          <w:p w14:paraId="4587E3DB" w14:textId="77777777" w:rsidR="00E740C1" w:rsidRPr="009D6B32" w:rsidRDefault="00E740C1" w:rsidP="00B74D2C">
            <w:pPr>
              <w:rPr>
                <w:lang w:val="es-ES"/>
              </w:rPr>
            </w:pPr>
            <w:r>
              <w:rPr>
                <w:lang w:val="es-ES" w:bidi="es-ES"/>
              </w:rPr>
              <w:lastRenderedPageBreak/>
              <w:t xml:space="preserve">Se adaptarán métodos de implantación de eficacia probada y se </w:t>
            </w:r>
            <w:r>
              <w:rPr>
                <w:lang w:val="es-ES" w:bidi="es-ES"/>
              </w:rPr>
              <w:lastRenderedPageBreak/>
              <w:t>estudiarán nuevas ideas</w:t>
            </w:r>
          </w:p>
          <w:p w14:paraId="093D1404" w14:textId="77777777" w:rsidR="00E740C1" w:rsidRPr="009D6B32" w:rsidRDefault="00E740C1" w:rsidP="00B74D2C">
            <w:pPr>
              <w:rPr>
                <w:lang w:val="es-ES"/>
              </w:rPr>
            </w:pPr>
            <w:r>
              <w:rPr>
                <w:lang w:val="es-ES" w:bidi="es-ES"/>
              </w:rPr>
              <w:t>Se innovará si es probable obtener buenos resultados</w:t>
            </w:r>
          </w:p>
          <w:p w14:paraId="07358D90" w14:textId="77777777" w:rsidR="00E740C1" w:rsidRPr="009D6B32" w:rsidRDefault="00E740C1" w:rsidP="00B74D2C">
            <w:pPr>
              <w:rPr>
                <w:lang w:val="es-ES"/>
              </w:rPr>
            </w:pPr>
            <w:r>
              <w:rPr>
                <w:lang w:val="es-ES" w:bidi="es-ES"/>
              </w:rPr>
              <w:t>Se entablarán relaciones con nuevos asociados si pueden suponer una ventaja</w:t>
            </w:r>
          </w:p>
        </w:tc>
        <w:tc>
          <w:tcPr>
            <w:tcW w:w="2159" w:type="dxa"/>
            <w:shd w:val="clear" w:color="auto" w:fill="F2F2F2" w:themeFill="background1" w:themeFillShade="F2"/>
          </w:tcPr>
          <w:p w14:paraId="2C8471F4" w14:textId="77777777" w:rsidR="00E740C1" w:rsidRPr="009D6B32" w:rsidRDefault="00E740C1" w:rsidP="00B74D2C">
            <w:pPr>
              <w:rPr>
                <w:lang w:val="es-ES"/>
              </w:rPr>
            </w:pPr>
            <w:r>
              <w:rPr>
                <w:lang w:val="es-ES" w:bidi="es-ES"/>
              </w:rPr>
              <w:lastRenderedPageBreak/>
              <w:t>Hay disposición a probar nuevos métodos e ideas</w:t>
            </w:r>
          </w:p>
          <w:p w14:paraId="701470A9" w14:textId="77777777" w:rsidR="00E740C1" w:rsidRPr="009D6B32" w:rsidRDefault="00E740C1" w:rsidP="00B74D2C">
            <w:pPr>
              <w:rPr>
                <w:lang w:val="es-ES"/>
              </w:rPr>
            </w:pPr>
            <w:r>
              <w:rPr>
                <w:lang w:val="es-ES" w:bidi="es-ES"/>
              </w:rPr>
              <w:lastRenderedPageBreak/>
              <w:t>Se fomenta la innovación en aras de los buenos resultados y se toleran los errores</w:t>
            </w:r>
          </w:p>
          <w:p w14:paraId="5B32E71F" w14:textId="77777777" w:rsidR="00E740C1" w:rsidRPr="009D6B32" w:rsidRDefault="00E740C1" w:rsidP="00B74D2C">
            <w:pPr>
              <w:rPr>
                <w:lang w:val="es-ES"/>
              </w:rPr>
            </w:pPr>
            <w:r>
              <w:rPr>
                <w:lang w:val="es-ES" w:bidi="es-ES"/>
              </w:rPr>
              <w:t>Hay disposición a probar métodos de nuevos asociados que no se ajustan al modelo habitual</w:t>
            </w:r>
          </w:p>
        </w:tc>
        <w:tc>
          <w:tcPr>
            <w:tcW w:w="2159" w:type="dxa"/>
            <w:shd w:val="clear" w:color="auto" w:fill="F2F2F2" w:themeFill="background1" w:themeFillShade="F2"/>
          </w:tcPr>
          <w:p w14:paraId="4AD98779" w14:textId="77777777" w:rsidR="00E740C1" w:rsidRPr="009D6B32" w:rsidRDefault="00E740C1" w:rsidP="00B74D2C">
            <w:pPr>
              <w:rPr>
                <w:lang w:val="es-ES"/>
              </w:rPr>
            </w:pPr>
            <w:r>
              <w:rPr>
                <w:lang w:val="es-ES" w:bidi="es-ES"/>
              </w:rPr>
              <w:lastRenderedPageBreak/>
              <w:t>Búsqueda constante de nuevas formas de hacer las cosas</w:t>
            </w:r>
          </w:p>
          <w:p w14:paraId="162F066D" w14:textId="77777777" w:rsidR="00E740C1" w:rsidRPr="009D6B32" w:rsidRDefault="00E740C1" w:rsidP="00B74D2C">
            <w:pPr>
              <w:rPr>
                <w:lang w:val="es-ES"/>
              </w:rPr>
            </w:pPr>
            <w:r>
              <w:rPr>
                <w:lang w:val="es-ES" w:bidi="es-ES"/>
              </w:rPr>
              <w:lastRenderedPageBreak/>
              <w:t>Se fomenta la innovación en aras del aprendizaje y los errores son útiles</w:t>
            </w:r>
          </w:p>
          <w:p w14:paraId="2516326E" w14:textId="77777777" w:rsidR="00E740C1" w:rsidRPr="009D6B32" w:rsidRDefault="00E740C1" w:rsidP="00B74D2C">
            <w:pPr>
              <w:rPr>
                <w:lang w:val="es-ES"/>
              </w:rPr>
            </w:pPr>
            <w:r>
              <w:rPr>
                <w:lang w:val="es-ES" w:bidi="es-ES"/>
              </w:rPr>
              <w:t>Búsqueda de nuevos asociados en nuevas esferas que quedan fuera del modelo habitual</w:t>
            </w:r>
          </w:p>
        </w:tc>
      </w:tr>
      <w:tr w:rsidR="00E7009B" w:rsidRPr="00EA7B28" w14:paraId="5B55BCDE" w14:textId="77777777" w:rsidTr="001703F8">
        <w:tc>
          <w:tcPr>
            <w:tcW w:w="2158" w:type="dxa"/>
          </w:tcPr>
          <w:p w14:paraId="26A2B327" w14:textId="1C8C38C2" w:rsidR="00E7009B" w:rsidRDefault="0088254C" w:rsidP="00E7009B">
            <w:r>
              <w:rPr>
                <w:lang w:val="es-ES" w:bidi="es-ES"/>
              </w:rPr>
              <w:lastRenderedPageBreak/>
              <w:t>8. Protección y seguridad</w:t>
            </w:r>
          </w:p>
        </w:tc>
        <w:tc>
          <w:tcPr>
            <w:tcW w:w="2158" w:type="dxa"/>
          </w:tcPr>
          <w:p w14:paraId="4ABFB0FD" w14:textId="040F94E7" w:rsidR="00E7009B" w:rsidRPr="009D6B32" w:rsidRDefault="00E7009B" w:rsidP="00E7009B">
            <w:pPr>
              <w:spacing w:line="259" w:lineRule="auto"/>
              <w:rPr>
                <w:lang w:val="es-ES"/>
              </w:rPr>
            </w:pPr>
            <w:r>
              <w:rPr>
                <w:lang w:val="es-ES" w:bidi="es-ES"/>
              </w:rPr>
              <w:t>Se instauran controles para garantizar que no se perjudican los recursos del PNUD</w:t>
            </w:r>
          </w:p>
        </w:tc>
        <w:tc>
          <w:tcPr>
            <w:tcW w:w="2158" w:type="dxa"/>
            <w:shd w:val="clear" w:color="auto" w:fill="F2F2F2" w:themeFill="background1" w:themeFillShade="F2"/>
          </w:tcPr>
          <w:p w14:paraId="36F5C13D" w14:textId="64D021AE" w:rsidR="00E7009B" w:rsidRPr="009D6B32" w:rsidRDefault="00E7009B" w:rsidP="00E7009B">
            <w:pPr>
              <w:spacing w:line="259" w:lineRule="auto"/>
              <w:rPr>
                <w:lang w:val="es-ES"/>
              </w:rPr>
            </w:pPr>
            <w:r>
              <w:rPr>
                <w:lang w:val="es-ES" w:bidi="es-ES"/>
              </w:rPr>
              <w:t>Se instauran controles para reducir al mínimo el perjuicio a los recursos del PNUD, pero hay disposición a aceptar un riesgo de nivel bajo</w:t>
            </w:r>
          </w:p>
        </w:tc>
        <w:tc>
          <w:tcPr>
            <w:tcW w:w="2158" w:type="dxa"/>
          </w:tcPr>
          <w:p w14:paraId="0D030726" w14:textId="1FA90028" w:rsidR="00E7009B" w:rsidRPr="009D6B32" w:rsidRDefault="00E7009B" w:rsidP="00E7009B">
            <w:pPr>
              <w:spacing w:line="259" w:lineRule="auto"/>
              <w:rPr>
                <w:lang w:val="es-ES"/>
              </w:rPr>
            </w:pPr>
            <w:r>
              <w:rPr>
                <w:lang w:val="es-ES" w:bidi="es-ES"/>
              </w:rPr>
              <w:t xml:space="preserve">Se instauran controles para reducir al mínimo el perjuicio a los recursos del PNUD, pero hay disposición a aceptar un riesgo de nivel moderado </w:t>
            </w:r>
          </w:p>
        </w:tc>
        <w:tc>
          <w:tcPr>
            <w:tcW w:w="2159" w:type="dxa"/>
            <w:shd w:val="clear" w:color="auto" w:fill="auto"/>
          </w:tcPr>
          <w:p w14:paraId="4835E2F1" w14:textId="3177C03F" w:rsidR="00E7009B" w:rsidRPr="009D6B32" w:rsidRDefault="00E7009B" w:rsidP="00E7009B">
            <w:pPr>
              <w:spacing w:line="259" w:lineRule="auto"/>
              <w:rPr>
                <w:lang w:val="es-ES"/>
              </w:rPr>
            </w:pPr>
            <w:r>
              <w:rPr>
                <w:lang w:val="es-ES" w:bidi="es-ES"/>
              </w:rPr>
              <w:t>Se instauran controles para reducir al mínimo el perjuicio a los recursos del PNUD a la vez que se prioriza la ejecución, pero hay disposición a aceptar un riesgo de nivel alto</w:t>
            </w:r>
          </w:p>
        </w:tc>
        <w:tc>
          <w:tcPr>
            <w:tcW w:w="2159" w:type="dxa"/>
          </w:tcPr>
          <w:p w14:paraId="565022D9" w14:textId="12DECC2B" w:rsidR="00E7009B" w:rsidRPr="009D6B32" w:rsidRDefault="00E7009B" w:rsidP="00E7009B">
            <w:pPr>
              <w:spacing w:line="259" w:lineRule="auto"/>
              <w:rPr>
                <w:lang w:val="es-ES"/>
              </w:rPr>
            </w:pPr>
            <w:r>
              <w:rPr>
                <w:lang w:val="es-ES" w:bidi="es-ES"/>
              </w:rPr>
              <w:t>Se instauran controles para reducir al mínimo el perjuicio a los recursos del PNUD a la vez que se prioriza la ejecución, pero hay disposición a aceptar un riesgo de nivel muy alto</w:t>
            </w:r>
          </w:p>
        </w:tc>
      </w:tr>
    </w:tbl>
    <w:p w14:paraId="43605F50" w14:textId="1595C252" w:rsidR="00441407" w:rsidRPr="009D6B32" w:rsidRDefault="00441407" w:rsidP="001E7406">
      <w:pPr>
        <w:rPr>
          <w:lang w:val="es-ES"/>
        </w:rPr>
      </w:pPr>
    </w:p>
    <w:p w14:paraId="1934B1CD" w14:textId="77777777" w:rsidR="00441407" w:rsidRDefault="00441407" w:rsidP="001E7406">
      <w:pPr>
        <w:rPr>
          <w:lang w:val="es-ES"/>
        </w:rPr>
      </w:pPr>
    </w:p>
    <w:p w14:paraId="6A1ACBA7" w14:textId="77777777" w:rsidR="00206C66" w:rsidRPr="00C00B49" w:rsidRDefault="00206C66" w:rsidP="00206C66">
      <w:pPr>
        <w:rPr>
          <w:i/>
          <w:iCs/>
          <w:lang w:val="en-GB"/>
        </w:rPr>
      </w:pPr>
      <w:r w:rsidRPr="00C00B49">
        <w:rPr>
          <w:b/>
          <w:bCs/>
          <w:i/>
          <w:iCs/>
          <w:lang w:val="en-GB"/>
        </w:rPr>
        <w:t>Disclaimer</w:t>
      </w:r>
      <w:r w:rsidRPr="00C00B49">
        <w:rPr>
          <w:i/>
          <w:iCs/>
          <w:lang w:val="en-GB"/>
        </w:rPr>
        <w:t>: This document was translated from English into Spanish. In the event of any discrepancy between this translation and the original English document, the original English document shall prevail.</w:t>
      </w:r>
    </w:p>
    <w:p w14:paraId="2103C1E7" w14:textId="77777777" w:rsidR="00206C66" w:rsidRPr="00C00B49" w:rsidRDefault="00206C66" w:rsidP="00206C66">
      <w:pPr>
        <w:rPr>
          <w:i/>
          <w:iCs/>
          <w:lang w:val="en-GB"/>
        </w:rPr>
      </w:pPr>
    </w:p>
    <w:p w14:paraId="2832748A" w14:textId="77777777" w:rsidR="00206C66" w:rsidRPr="00206C66" w:rsidRDefault="00206C66" w:rsidP="00206C66">
      <w:pPr>
        <w:rPr>
          <w:i/>
          <w:iCs/>
          <w:lang w:val="es-ES"/>
        </w:rPr>
      </w:pPr>
      <w:r w:rsidRPr="00206C66">
        <w:rPr>
          <w:b/>
          <w:bCs/>
          <w:i/>
          <w:iCs/>
          <w:lang w:val="es-ES"/>
        </w:rPr>
        <w:t>Descargo de responsabilidad</w:t>
      </w:r>
      <w:r w:rsidRPr="00206C66">
        <w:rPr>
          <w:i/>
          <w:iCs/>
          <w:lang w:val="es-ES"/>
        </w:rPr>
        <w:t>: esta es una traducción de un documento original en Inglés. En caso de discrepancias entre esta traducción y el documento original en inglés, prevalecerá el documento original en inglés.</w:t>
      </w:r>
    </w:p>
    <w:p w14:paraId="2EF78E4C" w14:textId="77777777" w:rsidR="00206C66" w:rsidRPr="009D6B32" w:rsidRDefault="00206C66" w:rsidP="001E7406">
      <w:pPr>
        <w:rPr>
          <w:lang w:val="es-ES"/>
        </w:rPr>
      </w:pPr>
    </w:p>
    <w:sectPr w:rsidR="00206C66" w:rsidRPr="009D6B32" w:rsidSect="00A331F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650CE" w14:textId="77777777" w:rsidR="00A331F7" w:rsidRDefault="00A331F7" w:rsidP="00117AC3">
      <w:pPr>
        <w:spacing w:after="0" w:line="240" w:lineRule="auto"/>
      </w:pPr>
      <w:r>
        <w:separator/>
      </w:r>
    </w:p>
  </w:endnote>
  <w:endnote w:type="continuationSeparator" w:id="0">
    <w:p w14:paraId="7C4C4E8D" w14:textId="77777777" w:rsidR="00A331F7" w:rsidRDefault="00A331F7" w:rsidP="00117AC3">
      <w:pPr>
        <w:spacing w:after="0" w:line="240" w:lineRule="auto"/>
      </w:pPr>
      <w:r>
        <w:continuationSeparator/>
      </w:r>
    </w:p>
  </w:endnote>
  <w:endnote w:type="continuationNotice" w:id="1">
    <w:p w14:paraId="25E2CE0A" w14:textId="77777777" w:rsidR="00A331F7" w:rsidRDefault="00A331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251637"/>
      <w:docPartObj>
        <w:docPartGallery w:val="Page Numbers (Bottom of Page)"/>
        <w:docPartUnique/>
      </w:docPartObj>
    </w:sdtPr>
    <w:sdtEndPr>
      <w:rPr>
        <w:noProof/>
      </w:rPr>
    </w:sdtEndPr>
    <w:sdtContent>
      <w:p w14:paraId="52AEED37" w14:textId="78B2E163" w:rsidR="001703F8" w:rsidRDefault="001703F8">
        <w:pPr>
          <w:pStyle w:val="Footer"/>
          <w:jc w:val="right"/>
        </w:pPr>
        <w:r>
          <w:rPr>
            <w:lang w:val="es-ES" w:bidi="es-ES"/>
          </w:rPr>
          <w:fldChar w:fldCharType="begin"/>
        </w:r>
        <w:r>
          <w:rPr>
            <w:lang w:val="es-ES" w:bidi="es-ES"/>
          </w:rPr>
          <w:instrText xml:space="preserve"> PAGE   \* MERGEFORMAT </w:instrText>
        </w:r>
        <w:r>
          <w:rPr>
            <w:lang w:val="es-ES" w:bidi="es-ES"/>
          </w:rPr>
          <w:fldChar w:fldCharType="separate"/>
        </w:r>
        <w:r>
          <w:rPr>
            <w:noProof/>
            <w:lang w:val="es-ES" w:bidi="es-ES"/>
          </w:rPr>
          <w:t>2</w:t>
        </w:r>
        <w:r>
          <w:rPr>
            <w:noProof/>
            <w:lang w:val="es-ES" w:bidi="es-ES"/>
          </w:rPr>
          <w:fldChar w:fldCharType="end"/>
        </w:r>
      </w:p>
    </w:sdtContent>
  </w:sdt>
  <w:p w14:paraId="48F5F879" w14:textId="77777777" w:rsidR="001703F8" w:rsidRDefault="00170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461DD" w14:textId="77777777" w:rsidR="00A331F7" w:rsidRDefault="00A331F7" w:rsidP="00117AC3">
      <w:pPr>
        <w:spacing w:after="0" w:line="240" w:lineRule="auto"/>
      </w:pPr>
      <w:r>
        <w:separator/>
      </w:r>
    </w:p>
  </w:footnote>
  <w:footnote w:type="continuationSeparator" w:id="0">
    <w:p w14:paraId="1701892E" w14:textId="77777777" w:rsidR="00A331F7" w:rsidRDefault="00A331F7" w:rsidP="00117AC3">
      <w:pPr>
        <w:spacing w:after="0" w:line="240" w:lineRule="auto"/>
      </w:pPr>
      <w:r>
        <w:continuationSeparator/>
      </w:r>
    </w:p>
  </w:footnote>
  <w:footnote w:type="continuationNotice" w:id="1">
    <w:p w14:paraId="442CDFD3" w14:textId="77777777" w:rsidR="00A331F7" w:rsidRDefault="00A331F7">
      <w:pPr>
        <w:spacing w:after="0" w:line="240" w:lineRule="auto"/>
      </w:pPr>
    </w:p>
  </w:footnote>
  <w:footnote w:id="2">
    <w:p w14:paraId="7F7D556B" w14:textId="77777777" w:rsidR="001703F8" w:rsidRPr="009D6B32" w:rsidRDefault="001703F8" w:rsidP="0041558F">
      <w:pPr>
        <w:pStyle w:val="FootnoteText"/>
        <w:rPr>
          <w:sz w:val="18"/>
          <w:szCs w:val="18"/>
          <w:lang w:val="es-ES"/>
        </w:rPr>
      </w:pPr>
      <w:r w:rsidRPr="00AB231B">
        <w:rPr>
          <w:rStyle w:val="FootnoteReference"/>
          <w:sz w:val="18"/>
          <w:lang w:val="es-ES" w:bidi="es-ES"/>
        </w:rPr>
        <w:footnoteRef/>
      </w:r>
      <w:r w:rsidRPr="00AB231B">
        <w:rPr>
          <w:sz w:val="18"/>
          <w:lang w:val="es-ES" w:bidi="es-ES"/>
        </w:rPr>
        <w:t xml:space="preserve"> La Política de Gestión de los Riegos para la Seguridad del SGSNU ha recibido el respaldo de la Junta de los Jefes Ejecutivos para la Coordinación (JJE) y traza las líneas generales del modelo de riesgo aceptable, en el que se mantiene un equilibrio entre los riesgos de seguridad y las ventajas para los programas. Según este modelo, los riesgos se aceptan cuando las ventajas los sobrepasan. </w:t>
      </w:r>
    </w:p>
  </w:footnote>
  <w:footnote w:id="3">
    <w:p w14:paraId="0642DD1D" w14:textId="77777777" w:rsidR="001703F8" w:rsidRPr="009D6B32" w:rsidRDefault="001703F8" w:rsidP="0041558F">
      <w:pPr>
        <w:pStyle w:val="FootnoteText"/>
        <w:rPr>
          <w:sz w:val="18"/>
          <w:szCs w:val="18"/>
          <w:lang w:val="es-ES"/>
        </w:rPr>
      </w:pPr>
      <w:r w:rsidRPr="001811F8">
        <w:rPr>
          <w:rStyle w:val="FootnoteReference"/>
          <w:sz w:val="18"/>
          <w:lang w:val="es-ES" w:bidi="es-ES"/>
        </w:rPr>
        <w:footnoteRef/>
      </w:r>
      <w:r w:rsidRPr="001811F8">
        <w:rPr>
          <w:sz w:val="18"/>
          <w:lang w:val="es-ES" w:bidi="es-ES"/>
        </w:rPr>
        <w:t xml:space="preserve"> La ciberseguridad no forma parte de la Política de Gestión de los Riegos para la Seguridad del SGSNU y el PNUD se encarga de gestionar los riesgos conexos.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2B6C"/>
    <w:multiLevelType w:val="multilevel"/>
    <w:tmpl w:val="53BE104C"/>
    <w:lvl w:ilvl="0">
      <w:start w:val="6"/>
      <w:numFmt w:val="decimal"/>
      <w:lvlText w:val="%1"/>
      <w:lvlJc w:val="left"/>
      <w:pPr>
        <w:ind w:left="135" w:hanging="317"/>
      </w:pPr>
    </w:lvl>
    <w:lvl w:ilvl="1">
      <w:start w:val="9"/>
      <w:numFmt w:val="decimal"/>
      <w:lvlText w:val="%1-%2"/>
      <w:lvlJc w:val="left"/>
      <w:pPr>
        <w:ind w:left="135" w:hanging="317"/>
      </w:pPr>
      <w:rPr>
        <w:rFonts w:ascii="Times New Roman" w:eastAsia="Times New Roman" w:hAnsi="Times New Roman" w:cs="Times New Roman" w:hint="default"/>
        <w:spacing w:val="1"/>
        <w:w w:val="99"/>
        <w:sz w:val="20"/>
        <w:szCs w:val="20"/>
      </w:rPr>
    </w:lvl>
    <w:lvl w:ilvl="2">
      <w:start w:val="1"/>
      <w:numFmt w:val="upperRoman"/>
      <w:lvlText w:val="%3."/>
      <w:lvlJc w:val="left"/>
      <w:pPr>
        <w:ind w:left="860" w:hanging="269"/>
      </w:pPr>
      <w:rPr>
        <w:rFonts w:ascii="Times New Roman" w:eastAsia="Times New Roman" w:hAnsi="Times New Roman" w:cs="Times New Roman" w:hint="default"/>
        <w:b/>
        <w:bCs/>
        <w:sz w:val="24"/>
        <w:szCs w:val="24"/>
      </w:rPr>
    </w:lvl>
    <w:lvl w:ilvl="3">
      <w:start w:val="1"/>
      <w:numFmt w:val="decimal"/>
      <w:lvlText w:val="%4."/>
      <w:lvlJc w:val="left"/>
      <w:pPr>
        <w:ind w:left="859" w:hanging="360"/>
      </w:pPr>
      <w:rPr>
        <w:rFonts w:ascii="Times New Roman" w:eastAsia="Times New Roman" w:hAnsi="Times New Roman" w:cs="Times New Roman" w:hint="default"/>
        <w:spacing w:val="1"/>
        <w:w w:val="99"/>
        <w:sz w:val="20"/>
        <w:szCs w:val="20"/>
      </w:rPr>
    </w:lvl>
    <w:lvl w:ilvl="4">
      <w:start w:val="1"/>
      <w:numFmt w:val="bullet"/>
      <w:lvlText w:val="•"/>
      <w:lvlJc w:val="left"/>
      <w:pPr>
        <w:ind w:left="2643" w:hanging="360"/>
      </w:pPr>
    </w:lvl>
    <w:lvl w:ilvl="5">
      <w:start w:val="1"/>
      <w:numFmt w:val="bullet"/>
      <w:lvlText w:val="•"/>
      <w:lvlJc w:val="left"/>
      <w:pPr>
        <w:ind w:left="3856" w:hanging="360"/>
      </w:pPr>
    </w:lvl>
    <w:lvl w:ilvl="6">
      <w:start w:val="1"/>
      <w:numFmt w:val="bullet"/>
      <w:lvlText w:val="•"/>
      <w:lvlJc w:val="left"/>
      <w:pPr>
        <w:ind w:left="5069" w:hanging="360"/>
      </w:pPr>
    </w:lvl>
    <w:lvl w:ilvl="7">
      <w:start w:val="1"/>
      <w:numFmt w:val="bullet"/>
      <w:lvlText w:val="•"/>
      <w:lvlJc w:val="left"/>
      <w:pPr>
        <w:ind w:left="6281" w:hanging="360"/>
      </w:pPr>
    </w:lvl>
    <w:lvl w:ilvl="8">
      <w:start w:val="1"/>
      <w:numFmt w:val="bullet"/>
      <w:lvlText w:val="•"/>
      <w:lvlJc w:val="left"/>
      <w:pPr>
        <w:ind w:left="7494" w:hanging="360"/>
      </w:pPr>
    </w:lvl>
  </w:abstractNum>
  <w:abstractNum w:abstractNumId="1" w15:restartNumberingAfterBreak="0">
    <w:nsid w:val="068F4D85"/>
    <w:multiLevelType w:val="hybridMultilevel"/>
    <w:tmpl w:val="9468FE48"/>
    <w:lvl w:ilvl="0" w:tplc="2B72FF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1C6B43"/>
    <w:multiLevelType w:val="hybridMultilevel"/>
    <w:tmpl w:val="76FE90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AD2568"/>
    <w:multiLevelType w:val="hybridMultilevel"/>
    <w:tmpl w:val="846486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BC0EAF"/>
    <w:multiLevelType w:val="hybridMultilevel"/>
    <w:tmpl w:val="45FA024C"/>
    <w:lvl w:ilvl="0" w:tplc="1FD45D0E">
      <w:start w:val="1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16024"/>
    <w:multiLevelType w:val="hybridMultilevel"/>
    <w:tmpl w:val="FFC6EBC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 w15:restartNumberingAfterBreak="0">
    <w:nsid w:val="19994A1E"/>
    <w:multiLevelType w:val="hybridMultilevel"/>
    <w:tmpl w:val="67D02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E226FB"/>
    <w:multiLevelType w:val="hybridMultilevel"/>
    <w:tmpl w:val="35DA35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FC4987"/>
    <w:multiLevelType w:val="multilevel"/>
    <w:tmpl w:val="EAD20CA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89378E"/>
    <w:multiLevelType w:val="hybridMultilevel"/>
    <w:tmpl w:val="DE1E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CF6347"/>
    <w:multiLevelType w:val="multilevel"/>
    <w:tmpl w:val="AA4CD554"/>
    <w:lvl w:ilvl="0">
      <w:start w:val="1"/>
      <w:numFmt w:val="decimal"/>
      <w:lvlText w:val="%1."/>
      <w:lvlJc w:val="left"/>
      <w:pPr>
        <w:ind w:left="360" w:hanging="360"/>
      </w:pPr>
      <w:rPr>
        <w:rFonts w:hint="default"/>
      </w:rPr>
    </w:lvl>
    <w:lvl w:ilvl="1">
      <w:start w:val="1"/>
      <w:numFmt w:val="decimal"/>
      <w:lvlText w:val="3.%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0E2418D"/>
    <w:multiLevelType w:val="multilevel"/>
    <w:tmpl w:val="8738D778"/>
    <w:lvl w:ilvl="0">
      <w:start w:val="1"/>
      <w:numFmt w:val="decimal"/>
      <w:lvlText w:val="%1."/>
      <w:lvlJc w:val="left"/>
      <w:pPr>
        <w:ind w:left="720" w:hanging="360"/>
      </w:pPr>
      <w:rPr>
        <w:rFonts w:hint="default"/>
      </w:rPr>
    </w:lvl>
    <w:lvl w:ilvl="1">
      <w:start w:val="5"/>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25D93570"/>
    <w:multiLevelType w:val="hybridMultilevel"/>
    <w:tmpl w:val="6B26F6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2417EF"/>
    <w:multiLevelType w:val="multilevel"/>
    <w:tmpl w:val="AA72456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EA4BA9"/>
    <w:multiLevelType w:val="multilevel"/>
    <w:tmpl w:val="C9A6A420"/>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B464E4"/>
    <w:multiLevelType w:val="hybridMultilevel"/>
    <w:tmpl w:val="8168E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1B29D2"/>
    <w:multiLevelType w:val="multilevel"/>
    <w:tmpl w:val="D95C35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5A117AB"/>
    <w:multiLevelType w:val="hybridMultilevel"/>
    <w:tmpl w:val="498A92E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DA0541"/>
    <w:multiLevelType w:val="hybridMultilevel"/>
    <w:tmpl w:val="71B8F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8E3D19"/>
    <w:multiLevelType w:val="multilevel"/>
    <w:tmpl w:val="95069C44"/>
    <w:lvl w:ilvl="0">
      <w:start w:val="1"/>
      <w:numFmt w:val="decimal"/>
      <w:lvlText w:val="%1."/>
      <w:lvlJc w:val="left"/>
      <w:pPr>
        <w:ind w:left="360" w:hanging="360"/>
      </w:pPr>
      <w:rPr>
        <w:rFonts w:hint="default"/>
      </w:rPr>
    </w:lvl>
    <w:lvl w:ilvl="1">
      <w:start w:val="1"/>
      <w:numFmt w:val="none"/>
      <w:lvlText w:val="4.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4C163AB6"/>
    <w:multiLevelType w:val="hybridMultilevel"/>
    <w:tmpl w:val="530C639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1" w15:restartNumberingAfterBreak="0">
    <w:nsid w:val="4E624CB6"/>
    <w:multiLevelType w:val="hybridMultilevel"/>
    <w:tmpl w:val="2DB28B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875587"/>
    <w:multiLevelType w:val="hybridMultilevel"/>
    <w:tmpl w:val="A18E5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3B1A5C"/>
    <w:multiLevelType w:val="hybridMultilevel"/>
    <w:tmpl w:val="FE8CC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8734CA"/>
    <w:multiLevelType w:val="multilevel"/>
    <w:tmpl w:val="BBAA1B9C"/>
    <w:lvl w:ilvl="0">
      <w:start w:val="5"/>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7F004D"/>
    <w:multiLevelType w:val="multilevel"/>
    <w:tmpl w:val="6A107C96"/>
    <w:lvl w:ilvl="0">
      <w:start w:val="5"/>
      <w:numFmt w:val="decimal"/>
      <w:lvlText w:val="%1."/>
      <w:lvlJc w:val="left"/>
      <w:pPr>
        <w:ind w:left="360" w:hanging="360"/>
      </w:pPr>
      <w:rPr>
        <w:rFonts w:hint="default"/>
      </w:rPr>
    </w:lvl>
    <w:lvl w:ilvl="1">
      <w:start w:val="1"/>
      <w:numFmt w:val="decimal"/>
      <w:lvlText w:val="4.%2)"/>
      <w:lvlJc w:val="left"/>
      <w:pPr>
        <w:ind w:left="720" w:hanging="720"/>
      </w:pPr>
      <w:rPr>
        <w:rFonts w:hint="default"/>
      </w:rPr>
    </w:lvl>
    <w:lvl w:ilvl="2">
      <w:start w:val="5"/>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111117"/>
    <w:multiLevelType w:val="multilevel"/>
    <w:tmpl w:val="CA0CCF9C"/>
    <w:lvl w:ilvl="0">
      <w:start w:val="6"/>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4D76561"/>
    <w:multiLevelType w:val="hybridMultilevel"/>
    <w:tmpl w:val="1BC6DC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5D6732"/>
    <w:multiLevelType w:val="hybridMultilevel"/>
    <w:tmpl w:val="666A574C"/>
    <w:lvl w:ilvl="0" w:tplc="4DA42164">
      <w:start w:val="1"/>
      <w:numFmt w:val="decimal"/>
      <w:lvlText w:val="%1-"/>
      <w:lvlJc w:val="left"/>
      <w:pPr>
        <w:ind w:left="720" w:hanging="360"/>
      </w:pPr>
      <w:rPr>
        <w:rFonts w:asciiTheme="minorHAnsi" w:eastAsia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E33566"/>
    <w:multiLevelType w:val="multilevel"/>
    <w:tmpl w:val="A2C4B60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F742E3"/>
    <w:multiLevelType w:val="multilevel"/>
    <w:tmpl w:val="D36A12F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D6101EC"/>
    <w:multiLevelType w:val="hybridMultilevel"/>
    <w:tmpl w:val="55168A0C"/>
    <w:lvl w:ilvl="0" w:tplc="08090011">
      <w:start w:val="1"/>
      <w:numFmt w:val="decimal"/>
      <w:lvlText w:val="%1)"/>
      <w:lvlJc w:val="left"/>
      <w:pPr>
        <w:ind w:left="2345" w:hanging="360"/>
      </w:pPr>
      <w:rPr>
        <w:rFonts w:hint="default"/>
      </w:rPr>
    </w:lvl>
    <w:lvl w:ilvl="1" w:tplc="08090019" w:tentative="1">
      <w:start w:val="1"/>
      <w:numFmt w:val="lowerLetter"/>
      <w:lvlText w:val="%2."/>
      <w:lvlJc w:val="left"/>
      <w:pPr>
        <w:ind w:left="1440" w:hanging="360"/>
      </w:pPr>
    </w:lvl>
    <w:lvl w:ilvl="2" w:tplc="96E65976">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2D1C01"/>
    <w:multiLevelType w:val="hybridMultilevel"/>
    <w:tmpl w:val="2B76A038"/>
    <w:lvl w:ilvl="0" w:tplc="2BF4B154">
      <w:start w:val="1"/>
      <w:numFmt w:val="bullet"/>
      <w:lvlText w:val="•"/>
      <w:lvlJc w:val="left"/>
      <w:pPr>
        <w:tabs>
          <w:tab w:val="num" w:pos="720"/>
        </w:tabs>
        <w:ind w:left="720" w:hanging="360"/>
      </w:pPr>
      <w:rPr>
        <w:rFonts w:ascii="Arial" w:hAnsi="Arial" w:hint="default"/>
      </w:rPr>
    </w:lvl>
    <w:lvl w:ilvl="1" w:tplc="73E0B134" w:tentative="1">
      <w:start w:val="1"/>
      <w:numFmt w:val="bullet"/>
      <w:lvlText w:val="•"/>
      <w:lvlJc w:val="left"/>
      <w:pPr>
        <w:tabs>
          <w:tab w:val="num" w:pos="1440"/>
        </w:tabs>
        <w:ind w:left="1440" w:hanging="360"/>
      </w:pPr>
      <w:rPr>
        <w:rFonts w:ascii="Arial" w:hAnsi="Arial" w:hint="default"/>
      </w:rPr>
    </w:lvl>
    <w:lvl w:ilvl="2" w:tplc="B9FC68E6" w:tentative="1">
      <w:start w:val="1"/>
      <w:numFmt w:val="bullet"/>
      <w:lvlText w:val="•"/>
      <w:lvlJc w:val="left"/>
      <w:pPr>
        <w:tabs>
          <w:tab w:val="num" w:pos="2160"/>
        </w:tabs>
        <w:ind w:left="2160" w:hanging="360"/>
      </w:pPr>
      <w:rPr>
        <w:rFonts w:ascii="Arial" w:hAnsi="Arial" w:hint="default"/>
      </w:rPr>
    </w:lvl>
    <w:lvl w:ilvl="3" w:tplc="A5286A8A" w:tentative="1">
      <w:start w:val="1"/>
      <w:numFmt w:val="bullet"/>
      <w:lvlText w:val="•"/>
      <w:lvlJc w:val="left"/>
      <w:pPr>
        <w:tabs>
          <w:tab w:val="num" w:pos="2880"/>
        </w:tabs>
        <w:ind w:left="2880" w:hanging="360"/>
      </w:pPr>
      <w:rPr>
        <w:rFonts w:ascii="Arial" w:hAnsi="Arial" w:hint="default"/>
      </w:rPr>
    </w:lvl>
    <w:lvl w:ilvl="4" w:tplc="8D74FD7E" w:tentative="1">
      <w:start w:val="1"/>
      <w:numFmt w:val="bullet"/>
      <w:lvlText w:val="•"/>
      <w:lvlJc w:val="left"/>
      <w:pPr>
        <w:tabs>
          <w:tab w:val="num" w:pos="3600"/>
        </w:tabs>
        <w:ind w:left="3600" w:hanging="360"/>
      </w:pPr>
      <w:rPr>
        <w:rFonts w:ascii="Arial" w:hAnsi="Arial" w:hint="default"/>
      </w:rPr>
    </w:lvl>
    <w:lvl w:ilvl="5" w:tplc="6A0A8AF0" w:tentative="1">
      <w:start w:val="1"/>
      <w:numFmt w:val="bullet"/>
      <w:lvlText w:val="•"/>
      <w:lvlJc w:val="left"/>
      <w:pPr>
        <w:tabs>
          <w:tab w:val="num" w:pos="4320"/>
        </w:tabs>
        <w:ind w:left="4320" w:hanging="360"/>
      </w:pPr>
      <w:rPr>
        <w:rFonts w:ascii="Arial" w:hAnsi="Arial" w:hint="default"/>
      </w:rPr>
    </w:lvl>
    <w:lvl w:ilvl="6" w:tplc="A516D952" w:tentative="1">
      <w:start w:val="1"/>
      <w:numFmt w:val="bullet"/>
      <w:lvlText w:val="•"/>
      <w:lvlJc w:val="left"/>
      <w:pPr>
        <w:tabs>
          <w:tab w:val="num" w:pos="5040"/>
        </w:tabs>
        <w:ind w:left="5040" w:hanging="360"/>
      </w:pPr>
      <w:rPr>
        <w:rFonts w:ascii="Arial" w:hAnsi="Arial" w:hint="default"/>
      </w:rPr>
    </w:lvl>
    <w:lvl w:ilvl="7" w:tplc="CC602A10" w:tentative="1">
      <w:start w:val="1"/>
      <w:numFmt w:val="bullet"/>
      <w:lvlText w:val="•"/>
      <w:lvlJc w:val="left"/>
      <w:pPr>
        <w:tabs>
          <w:tab w:val="num" w:pos="5760"/>
        </w:tabs>
        <w:ind w:left="5760" w:hanging="360"/>
      </w:pPr>
      <w:rPr>
        <w:rFonts w:ascii="Arial" w:hAnsi="Arial" w:hint="default"/>
      </w:rPr>
    </w:lvl>
    <w:lvl w:ilvl="8" w:tplc="02DCFE4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B7173C0"/>
    <w:multiLevelType w:val="hybridMultilevel"/>
    <w:tmpl w:val="A7502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343E9C"/>
    <w:multiLevelType w:val="multilevel"/>
    <w:tmpl w:val="EAD4612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04528997">
    <w:abstractNumId w:val="1"/>
  </w:num>
  <w:num w:numId="2" w16cid:durableId="1244678542">
    <w:abstractNumId w:val="34"/>
  </w:num>
  <w:num w:numId="3" w16cid:durableId="357587423">
    <w:abstractNumId w:val="21"/>
  </w:num>
  <w:num w:numId="4" w16cid:durableId="663977235">
    <w:abstractNumId w:val="2"/>
  </w:num>
  <w:num w:numId="5" w16cid:durableId="1348292776">
    <w:abstractNumId w:val="17"/>
  </w:num>
  <w:num w:numId="6" w16cid:durableId="1550989587">
    <w:abstractNumId w:val="32"/>
  </w:num>
  <w:num w:numId="7" w16cid:durableId="1755083990">
    <w:abstractNumId w:val="31"/>
  </w:num>
  <w:num w:numId="8" w16cid:durableId="1785686897">
    <w:abstractNumId w:val="25"/>
  </w:num>
  <w:num w:numId="9" w16cid:durableId="2023624219">
    <w:abstractNumId w:val="19"/>
  </w:num>
  <w:num w:numId="10" w16cid:durableId="1788043180">
    <w:abstractNumId w:val="33"/>
  </w:num>
  <w:num w:numId="11" w16cid:durableId="1027565013">
    <w:abstractNumId w:val="15"/>
  </w:num>
  <w:num w:numId="12" w16cid:durableId="1865240343">
    <w:abstractNumId w:val="22"/>
  </w:num>
  <w:num w:numId="13" w16cid:durableId="772896916">
    <w:abstractNumId w:val="23"/>
  </w:num>
  <w:num w:numId="14" w16cid:durableId="389578644">
    <w:abstractNumId w:val="11"/>
  </w:num>
  <w:num w:numId="15" w16cid:durableId="33889598">
    <w:abstractNumId w:val="24"/>
  </w:num>
  <w:num w:numId="16" w16cid:durableId="281768096">
    <w:abstractNumId w:val="6"/>
  </w:num>
  <w:num w:numId="17" w16cid:durableId="1531722987">
    <w:abstractNumId w:val="5"/>
  </w:num>
  <w:num w:numId="18" w16cid:durableId="859511412">
    <w:abstractNumId w:val="26"/>
  </w:num>
  <w:num w:numId="19" w16cid:durableId="1430617626">
    <w:abstractNumId w:val="20"/>
  </w:num>
  <w:num w:numId="20" w16cid:durableId="741022811">
    <w:abstractNumId w:val="27"/>
  </w:num>
  <w:num w:numId="21" w16cid:durableId="632097136">
    <w:abstractNumId w:val="18"/>
  </w:num>
  <w:num w:numId="22" w16cid:durableId="1765301975">
    <w:abstractNumId w:val="9"/>
  </w:num>
  <w:num w:numId="23" w16cid:durableId="1999989930">
    <w:abstractNumId w:val="4"/>
  </w:num>
  <w:num w:numId="24" w16cid:durableId="458837562">
    <w:abstractNumId w:val="14"/>
  </w:num>
  <w:num w:numId="25" w16cid:durableId="927159248">
    <w:abstractNumId w:val="13"/>
  </w:num>
  <w:num w:numId="26" w16cid:durableId="1474101756">
    <w:abstractNumId w:val="10"/>
  </w:num>
  <w:num w:numId="27" w16cid:durableId="919370591">
    <w:abstractNumId w:val="16"/>
  </w:num>
  <w:num w:numId="28" w16cid:durableId="1584608933">
    <w:abstractNumId w:val="8"/>
  </w:num>
  <w:num w:numId="29" w16cid:durableId="1998193331">
    <w:abstractNumId w:val="29"/>
  </w:num>
  <w:num w:numId="30" w16cid:durableId="1806117432">
    <w:abstractNumId w:val="30"/>
  </w:num>
  <w:num w:numId="31" w16cid:durableId="1716194507">
    <w:abstractNumId w:val="0"/>
    <w:lvlOverride w:ilvl="0">
      <w:startOverride w:val="6"/>
    </w:lvlOverride>
    <w:lvlOverride w:ilvl="1">
      <w:startOverride w:val="9"/>
    </w:lvlOverride>
    <w:lvlOverride w:ilvl="2">
      <w:startOverride w:val="1"/>
    </w:lvlOverride>
    <w:lvlOverride w:ilvl="3">
      <w:startOverride w:val="1"/>
    </w:lvlOverride>
    <w:lvlOverride w:ilvl="4"/>
    <w:lvlOverride w:ilvl="5"/>
    <w:lvlOverride w:ilvl="6"/>
    <w:lvlOverride w:ilvl="7"/>
    <w:lvlOverride w:ilvl="8"/>
  </w:num>
  <w:num w:numId="32" w16cid:durableId="936474873">
    <w:abstractNumId w:val="28"/>
  </w:num>
  <w:num w:numId="33" w16cid:durableId="341707476">
    <w:abstractNumId w:val="3"/>
  </w:num>
  <w:num w:numId="34" w16cid:durableId="1975258603">
    <w:abstractNumId w:val="7"/>
  </w:num>
  <w:num w:numId="35" w16cid:durableId="19771026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0NDM3sjQ0MjMzMjJU0lEKTi0uzszPAykwrAUA4u1PYSwAAAA="/>
  </w:docVars>
  <w:rsids>
    <w:rsidRoot w:val="004B6624"/>
    <w:rsid w:val="00003469"/>
    <w:rsid w:val="00006458"/>
    <w:rsid w:val="00007A81"/>
    <w:rsid w:val="00015491"/>
    <w:rsid w:val="00015B69"/>
    <w:rsid w:val="000167EA"/>
    <w:rsid w:val="00026558"/>
    <w:rsid w:val="000269B6"/>
    <w:rsid w:val="00030646"/>
    <w:rsid w:val="00032B57"/>
    <w:rsid w:val="0003535E"/>
    <w:rsid w:val="00051D44"/>
    <w:rsid w:val="00053A9C"/>
    <w:rsid w:val="00066277"/>
    <w:rsid w:val="00066FDE"/>
    <w:rsid w:val="00070748"/>
    <w:rsid w:val="000764A4"/>
    <w:rsid w:val="0008044B"/>
    <w:rsid w:val="000877F0"/>
    <w:rsid w:val="00091390"/>
    <w:rsid w:val="00093595"/>
    <w:rsid w:val="000941F0"/>
    <w:rsid w:val="000B13BA"/>
    <w:rsid w:val="000B6AD3"/>
    <w:rsid w:val="000C1C75"/>
    <w:rsid w:val="000C2EC8"/>
    <w:rsid w:val="000C4828"/>
    <w:rsid w:val="000C6910"/>
    <w:rsid w:val="000C70A0"/>
    <w:rsid w:val="000D2EB0"/>
    <w:rsid w:val="000D3695"/>
    <w:rsid w:val="000D3A72"/>
    <w:rsid w:val="000D3EF9"/>
    <w:rsid w:val="000D50E7"/>
    <w:rsid w:val="000D58FA"/>
    <w:rsid w:val="000D7BEA"/>
    <w:rsid w:val="000F24CD"/>
    <w:rsid w:val="000F5E4A"/>
    <w:rsid w:val="000F7FA3"/>
    <w:rsid w:val="00101290"/>
    <w:rsid w:val="0011077C"/>
    <w:rsid w:val="00114BF8"/>
    <w:rsid w:val="00115B3A"/>
    <w:rsid w:val="00116115"/>
    <w:rsid w:val="00117AC3"/>
    <w:rsid w:val="00120164"/>
    <w:rsid w:val="00126050"/>
    <w:rsid w:val="00141B12"/>
    <w:rsid w:val="00147A3F"/>
    <w:rsid w:val="00154764"/>
    <w:rsid w:val="00155B92"/>
    <w:rsid w:val="001674CC"/>
    <w:rsid w:val="001703F8"/>
    <w:rsid w:val="00172B83"/>
    <w:rsid w:val="00180A08"/>
    <w:rsid w:val="00194D25"/>
    <w:rsid w:val="00197C90"/>
    <w:rsid w:val="001A187F"/>
    <w:rsid w:val="001A4B8D"/>
    <w:rsid w:val="001D1406"/>
    <w:rsid w:val="001D16AB"/>
    <w:rsid w:val="001E53AB"/>
    <w:rsid w:val="001E7406"/>
    <w:rsid w:val="001E7ADE"/>
    <w:rsid w:val="001F3AF6"/>
    <w:rsid w:val="001F697B"/>
    <w:rsid w:val="00206C66"/>
    <w:rsid w:val="002077BB"/>
    <w:rsid w:val="00212921"/>
    <w:rsid w:val="00225841"/>
    <w:rsid w:val="00231DB7"/>
    <w:rsid w:val="00232D8F"/>
    <w:rsid w:val="002348F9"/>
    <w:rsid w:val="002430C5"/>
    <w:rsid w:val="00243CF3"/>
    <w:rsid w:val="00250636"/>
    <w:rsid w:val="002533C4"/>
    <w:rsid w:val="00264694"/>
    <w:rsid w:val="0027133B"/>
    <w:rsid w:val="002730F0"/>
    <w:rsid w:val="002741FC"/>
    <w:rsid w:val="0027744E"/>
    <w:rsid w:val="00291A93"/>
    <w:rsid w:val="002933A2"/>
    <w:rsid w:val="00294D53"/>
    <w:rsid w:val="002A1E1D"/>
    <w:rsid w:val="002B15D1"/>
    <w:rsid w:val="002B16B3"/>
    <w:rsid w:val="002B16D0"/>
    <w:rsid w:val="002B2C3B"/>
    <w:rsid w:val="002B544B"/>
    <w:rsid w:val="002B7B64"/>
    <w:rsid w:val="002B7C7E"/>
    <w:rsid w:val="002C07F6"/>
    <w:rsid w:val="002C4EFE"/>
    <w:rsid w:val="002C522A"/>
    <w:rsid w:val="002D3891"/>
    <w:rsid w:val="002D5746"/>
    <w:rsid w:val="002E3526"/>
    <w:rsid w:val="002F1E25"/>
    <w:rsid w:val="00301691"/>
    <w:rsid w:val="00302B2D"/>
    <w:rsid w:val="0030514D"/>
    <w:rsid w:val="00306CC0"/>
    <w:rsid w:val="00314DF8"/>
    <w:rsid w:val="0031527C"/>
    <w:rsid w:val="003226B6"/>
    <w:rsid w:val="0032383F"/>
    <w:rsid w:val="003239F2"/>
    <w:rsid w:val="003245DD"/>
    <w:rsid w:val="00334CEB"/>
    <w:rsid w:val="00337442"/>
    <w:rsid w:val="00337C19"/>
    <w:rsid w:val="0034633F"/>
    <w:rsid w:val="003466CB"/>
    <w:rsid w:val="00354DF1"/>
    <w:rsid w:val="003612F7"/>
    <w:rsid w:val="00373223"/>
    <w:rsid w:val="0037418A"/>
    <w:rsid w:val="00383C62"/>
    <w:rsid w:val="00383F02"/>
    <w:rsid w:val="00392A6F"/>
    <w:rsid w:val="003976F7"/>
    <w:rsid w:val="003A3D48"/>
    <w:rsid w:val="003B39AC"/>
    <w:rsid w:val="003B3EA2"/>
    <w:rsid w:val="003B42A7"/>
    <w:rsid w:val="003B4AD9"/>
    <w:rsid w:val="003B60EF"/>
    <w:rsid w:val="003C4D56"/>
    <w:rsid w:val="003C7122"/>
    <w:rsid w:val="003D17E5"/>
    <w:rsid w:val="003D2CB4"/>
    <w:rsid w:val="003D4641"/>
    <w:rsid w:val="003D55CB"/>
    <w:rsid w:val="003D6B38"/>
    <w:rsid w:val="003E1C75"/>
    <w:rsid w:val="003E5915"/>
    <w:rsid w:val="003E7EF1"/>
    <w:rsid w:val="003F0B20"/>
    <w:rsid w:val="003F22EC"/>
    <w:rsid w:val="003F4BBE"/>
    <w:rsid w:val="003F5D53"/>
    <w:rsid w:val="0040672E"/>
    <w:rsid w:val="004068DE"/>
    <w:rsid w:val="004079DF"/>
    <w:rsid w:val="0041558F"/>
    <w:rsid w:val="0041642C"/>
    <w:rsid w:val="00424E84"/>
    <w:rsid w:val="00425502"/>
    <w:rsid w:val="00425F4C"/>
    <w:rsid w:val="00426989"/>
    <w:rsid w:val="00432D4C"/>
    <w:rsid w:val="00435190"/>
    <w:rsid w:val="00441407"/>
    <w:rsid w:val="0044183C"/>
    <w:rsid w:val="00446936"/>
    <w:rsid w:val="00447F1B"/>
    <w:rsid w:val="0045047C"/>
    <w:rsid w:val="0045164D"/>
    <w:rsid w:val="00465506"/>
    <w:rsid w:val="00467AA0"/>
    <w:rsid w:val="00467D55"/>
    <w:rsid w:val="00470A33"/>
    <w:rsid w:val="004751D8"/>
    <w:rsid w:val="004816E8"/>
    <w:rsid w:val="00495605"/>
    <w:rsid w:val="00495768"/>
    <w:rsid w:val="00497C70"/>
    <w:rsid w:val="004B2B7B"/>
    <w:rsid w:val="004B6624"/>
    <w:rsid w:val="004C0ADA"/>
    <w:rsid w:val="004C5060"/>
    <w:rsid w:val="004C50FC"/>
    <w:rsid w:val="004C636A"/>
    <w:rsid w:val="004D0966"/>
    <w:rsid w:val="004E5A52"/>
    <w:rsid w:val="004F3A7B"/>
    <w:rsid w:val="004F5419"/>
    <w:rsid w:val="00503675"/>
    <w:rsid w:val="00513FC1"/>
    <w:rsid w:val="00526443"/>
    <w:rsid w:val="0052794F"/>
    <w:rsid w:val="005317F2"/>
    <w:rsid w:val="00537D6A"/>
    <w:rsid w:val="005518C2"/>
    <w:rsid w:val="00553340"/>
    <w:rsid w:val="0056254E"/>
    <w:rsid w:val="00567E72"/>
    <w:rsid w:val="005720CD"/>
    <w:rsid w:val="00573252"/>
    <w:rsid w:val="00580327"/>
    <w:rsid w:val="005824AC"/>
    <w:rsid w:val="005864E1"/>
    <w:rsid w:val="00590382"/>
    <w:rsid w:val="005910D5"/>
    <w:rsid w:val="005927C0"/>
    <w:rsid w:val="00596C2B"/>
    <w:rsid w:val="005B1C47"/>
    <w:rsid w:val="005B27CF"/>
    <w:rsid w:val="005B7093"/>
    <w:rsid w:val="005B768A"/>
    <w:rsid w:val="005B7B03"/>
    <w:rsid w:val="005C00C2"/>
    <w:rsid w:val="005C3078"/>
    <w:rsid w:val="005C7551"/>
    <w:rsid w:val="005D03BF"/>
    <w:rsid w:val="005D2757"/>
    <w:rsid w:val="005D4722"/>
    <w:rsid w:val="005D65C3"/>
    <w:rsid w:val="005E2430"/>
    <w:rsid w:val="005E3758"/>
    <w:rsid w:val="005E47C8"/>
    <w:rsid w:val="005F3369"/>
    <w:rsid w:val="00604E08"/>
    <w:rsid w:val="0060719C"/>
    <w:rsid w:val="00612FDA"/>
    <w:rsid w:val="006234E8"/>
    <w:rsid w:val="006239D8"/>
    <w:rsid w:val="00626401"/>
    <w:rsid w:val="0063171C"/>
    <w:rsid w:val="006332BC"/>
    <w:rsid w:val="00636721"/>
    <w:rsid w:val="00650529"/>
    <w:rsid w:val="00672D45"/>
    <w:rsid w:val="00673F45"/>
    <w:rsid w:val="0067467C"/>
    <w:rsid w:val="00675E47"/>
    <w:rsid w:val="00683013"/>
    <w:rsid w:val="00685840"/>
    <w:rsid w:val="006918C9"/>
    <w:rsid w:val="006979EB"/>
    <w:rsid w:val="006A742B"/>
    <w:rsid w:val="006A790C"/>
    <w:rsid w:val="006B17F0"/>
    <w:rsid w:val="006B43EC"/>
    <w:rsid w:val="006C3AE0"/>
    <w:rsid w:val="006C7235"/>
    <w:rsid w:val="006D6330"/>
    <w:rsid w:val="006F06A7"/>
    <w:rsid w:val="006F3142"/>
    <w:rsid w:val="00701300"/>
    <w:rsid w:val="007031E1"/>
    <w:rsid w:val="00707727"/>
    <w:rsid w:val="00713796"/>
    <w:rsid w:val="00713CFD"/>
    <w:rsid w:val="00716ACC"/>
    <w:rsid w:val="0072578C"/>
    <w:rsid w:val="00737D57"/>
    <w:rsid w:val="00745451"/>
    <w:rsid w:val="00747976"/>
    <w:rsid w:val="007562AC"/>
    <w:rsid w:val="00757EB6"/>
    <w:rsid w:val="00761C08"/>
    <w:rsid w:val="00774358"/>
    <w:rsid w:val="00774F85"/>
    <w:rsid w:val="00782E03"/>
    <w:rsid w:val="00786B18"/>
    <w:rsid w:val="00790125"/>
    <w:rsid w:val="00790F10"/>
    <w:rsid w:val="0079491E"/>
    <w:rsid w:val="007A4F17"/>
    <w:rsid w:val="007A5F30"/>
    <w:rsid w:val="007B1E6F"/>
    <w:rsid w:val="007C5302"/>
    <w:rsid w:val="007D0C60"/>
    <w:rsid w:val="007E04DC"/>
    <w:rsid w:val="00800842"/>
    <w:rsid w:val="00802A2E"/>
    <w:rsid w:val="00811B27"/>
    <w:rsid w:val="008125FF"/>
    <w:rsid w:val="00831099"/>
    <w:rsid w:val="00832ECB"/>
    <w:rsid w:val="00835C9D"/>
    <w:rsid w:val="00840E84"/>
    <w:rsid w:val="00843C08"/>
    <w:rsid w:val="00844865"/>
    <w:rsid w:val="00846BA7"/>
    <w:rsid w:val="00860B97"/>
    <w:rsid w:val="00863F9F"/>
    <w:rsid w:val="008746CF"/>
    <w:rsid w:val="00880EF2"/>
    <w:rsid w:val="0088254C"/>
    <w:rsid w:val="0089132A"/>
    <w:rsid w:val="00891773"/>
    <w:rsid w:val="008948D9"/>
    <w:rsid w:val="008A13BD"/>
    <w:rsid w:val="008B12BA"/>
    <w:rsid w:val="008B1678"/>
    <w:rsid w:val="008B2554"/>
    <w:rsid w:val="008C112D"/>
    <w:rsid w:val="008C2E7F"/>
    <w:rsid w:val="008D45C9"/>
    <w:rsid w:val="008D6A76"/>
    <w:rsid w:val="008D6F00"/>
    <w:rsid w:val="008E0F97"/>
    <w:rsid w:val="008E3973"/>
    <w:rsid w:val="008E565F"/>
    <w:rsid w:val="008F1111"/>
    <w:rsid w:val="008F1BD8"/>
    <w:rsid w:val="008F2319"/>
    <w:rsid w:val="0091626C"/>
    <w:rsid w:val="009203B7"/>
    <w:rsid w:val="00923552"/>
    <w:rsid w:val="009244F7"/>
    <w:rsid w:val="00937E3A"/>
    <w:rsid w:val="00940657"/>
    <w:rsid w:val="009476AA"/>
    <w:rsid w:val="0095069C"/>
    <w:rsid w:val="009543F0"/>
    <w:rsid w:val="00960EA8"/>
    <w:rsid w:val="00961F05"/>
    <w:rsid w:val="00962DB1"/>
    <w:rsid w:val="00971669"/>
    <w:rsid w:val="00974948"/>
    <w:rsid w:val="00975680"/>
    <w:rsid w:val="00981293"/>
    <w:rsid w:val="00991D43"/>
    <w:rsid w:val="00993F66"/>
    <w:rsid w:val="00996C74"/>
    <w:rsid w:val="009973F4"/>
    <w:rsid w:val="009A40F0"/>
    <w:rsid w:val="009B193B"/>
    <w:rsid w:val="009D6B32"/>
    <w:rsid w:val="009E3C0E"/>
    <w:rsid w:val="009F305D"/>
    <w:rsid w:val="009F37E2"/>
    <w:rsid w:val="009F52CE"/>
    <w:rsid w:val="009F7B76"/>
    <w:rsid w:val="00A14202"/>
    <w:rsid w:val="00A235B6"/>
    <w:rsid w:val="00A25DB1"/>
    <w:rsid w:val="00A331F7"/>
    <w:rsid w:val="00A346A8"/>
    <w:rsid w:val="00A41D96"/>
    <w:rsid w:val="00A56B5F"/>
    <w:rsid w:val="00A61225"/>
    <w:rsid w:val="00A809A1"/>
    <w:rsid w:val="00A825F5"/>
    <w:rsid w:val="00A8410B"/>
    <w:rsid w:val="00A86120"/>
    <w:rsid w:val="00A87C28"/>
    <w:rsid w:val="00A928A0"/>
    <w:rsid w:val="00A9454D"/>
    <w:rsid w:val="00A947B4"/>
    <w:rsid w:val="00A94B32"/>
    <w:rsid w:val="00AA1676"/>
    <w:rsid w:val="00AA51BC"/>
    <w:rsid w:val="00AB300E"/>
    <w:rsid w:val="00AB36CC"/>
    <w:rsid w:val="00AB75AD"/>
    <w:rsid w:val="00AC3195"/>
    <w:rsid w:val="00AE2897"/>
    <w:rsid w:val="00AE4757"/>
    <w:rsid w:val="00AE7753"/>
    <w:rsid w:val="00AF3AA7"/>
    <w:rsid w:val="00B003D8"/>
    <w:rsid w:val="00B0318D"/>
    <w:rsid w:val="00B0384A"/>
    <w:rsid w:val="00B05D63"/>
    <w:rsid w:val="00B2023F"/>
    <w:rsid w:val="00B23094"/>
    <w:rsid w:val="00B35AC2"/>
    <w:rsid w:val="00B4076C"/>
    <w:rsid w:val="00B47A56"/>
    <w:rsid w:val="00B51064"/>
    <w:rsid w:val="00B51998"/>
    <w:rsid w:val="00B55096"/>
    <w:rsid w:val="00B55137"/>
    <w:rsid w:val="00B57407"/>
    <w:rsid w:val="00B57F91"/>
    <w:rsid w:val="00B63A9D"/>
    <w:rsid w:val="00B64AAA"/>
    <w:rsid w:val="00B81820"/>
    <w:rsid w:val="00B843E9"/>
    <w:rsid w:val="00B86337"/>
    <w:rsid w:val="00B86A02"/>
    <w:rsid w:val="00B91451"/>
    <w:rsid w:val="00B972CC"/>
    <w:rsid w:val="00BA0B5A"/>
    <w:rsid w:val="00BA48E6"/>
    <w:rsid w:val="00BA6A85"/>
    <w:rsid w:val="00BB425C"/>
    <w:rsid w:val="00BB7E15"/>
    <w:rsid w:val="00BC043B"/>
    <w:rsid w:val="00BC3BAB"/>
    <w:rsid w:val="00BC57B0"/>
    <w:rsid w:val="00BC7364"/>
    <w:rsid w:val="00BD1888"/>
    <w:rsid w:val="00BD467C"/>
    <w:rsid w:val="00BE405F"/>
    <w:rsid w:val="00BE4BFA"/>
    <w:rsid w:val="00BF1BF3"/>
    <w:rsid w:val="00BF1FA2"/>
    <w:rsid w:val="00BF2E2C"/>
    <w:rsid w:val="00BF7D88"/>
    <w:rsid w:val="00C02631"/>
    <w:rsid w:val="00C04122"/>
    <w:rsid w:val="00C1312D"/>
    <w:rsid w:val="00C204F2"/>
    <w:rsid w:val="00C27BD7"/>
    <w:rsid w:val="00C3117C"/>
    <w:rsid w:val="00C406BC"/>
    <w:rsid w:val="00C40DEE"/>
    <w:rsid w:val="00C455AC"/>
    <w:rsid w:val="00C4587F"/>
    <w:rsid w:val="00C51829"/>
    <w:rsid w:val="00C54C59"/>
    <w:rsid w:val="00C570EB"/>
    <w:rsid w:val="00C7395A"/>
    <w:rsid w:val="00C74078"/>
    <w:rsid w:val="00C75CBA"/>
    <w:rsid w:val="00C84DEE"/>
    <w:rsid w:val="00C945C9"/>
    <w:rsid w:val="00C959F3"/>
    <w:rsid w:val="00C95BF4"/>
    <w:rsid w:val="00CA132A"/>
    <w:rsid w:val="00CB3178"/>
    <w:rsid w:val="00CB7A29"/>
    <w:rsid w:val="00CB7F79"/>
    <w:rsid w:val="00CC2AD1"/>
    <w:rsid w:val="00CC4AE5"/>
    <w:rsid w:val="00CC5741"/>
    <w:rsid w:val="00CC5E97"/>
    <w:rsid w:val="00CC7766"/>
    <w:rsid w:val="00CD761C"/>
    <w:rsid w:val="00CD766A"/>
    <w:rsid w:val="00CE2E8D"/>
    <w:rsid w:val="00CE4B30"/>
    <w:rsid w:val="00CE4C79"/>
    <w:rsid w:val="00CF112A"/>
    <w:rsid w:val="00CF17BF"/>
    <w:rsid w:val="00CF2736"/>
    <w:rsid w:val="00CF3AFC"/>
    <w:rsid w:val="00D07AC9"/>
    <w:rsid w:val="00D120E2"/>
    <w:rsid w:val="00D124AC"/>
    <w:rsid w:val="00D1778C"/>
    <w:rsid w:val="00D27823"/>
    <w:rsid w:val="00D33444"/>
    <w:rsid w:val="00D33786"/>
    <w:rsid w:val="00D36041"/>
    <w:rsid w:val="00D37D10"/>
    <w:rsid w:val="00D37F88"/>
    <w:rsid w:val="00D4492B"/>
    <w:rsid w:val="00D46BDB"/>
    <w:rsid w:val="00D53E73"/>
    <w:rsid w:val="00D603FF"/>
    <w:rsid w:val="00D65D32"/>
    <w:rsid w:val="00D74DD9"/>
    <w:rsid w:val="00D83DBE"/>
    <w:rsid w:val="00D84073"/>
    <w:rsid w:val="00D87CAF"/>
    <w:rsid w:val="00D904F5"/>
    <w:rsid w:val="00D90F05"/>
    <w:rsid w:val="00D94F49"/>
    <w:rsid w:val="00D9516F"/>
    <w:rsid w:val="00DB0F35"/>
    <w:rsid w:val="00DB545C"/>
    <w:rsid w:val="00DB56DC"/>
    <w:rsid w:val="00DB7251"/>
    <w:rsid w:val="00DB7628"/>
    <w:rsid w:val="00DB7F6B"/>
    <w:rsid w:val="00DC19EA"/>
    <w:rsid w:val="00DC62B0"/>
    <w:rsid w:val="00DD5783"/>
    <w:rsid w:val="00DD5E07"/>
    <w:rsid w:val="00DF6A2D"/>
    <w:rsid w:val="00E017C7"/>
    <w:rsid w:val="00E01962"/>
    <w:rsid w:val="00E03BCF"/>
    <w:rsid w:val="00E06E76"/>
    <w:rsid w:val="00E073D4"/>
    <w:rsid w:val="00E07E5E"/>
    <w:rsid w:val="00E25098"/>
    <w:rsid w:val="00E270C4"/>
    <w:rsid w:val="00E427EE"/>
    <w:rsid w:val="00E474A7"/>
    <w:rsid w:val="00E525A8"/>
    <w:rsid w:val="00E66BD2"/>
    <w:rsid w:val="00E7009B"/>
    <w:rsid w:val="00E7043D"/>
    <w:rsid w:val="00E70A59"/>
    <w:rsid w:val="00E72FA2"/>
    <w:rsid w:val="00E740C1"/>
    <w:rsid w:val="00E74914"/>
    <w:rsid w:val="00E81591"/>
    <w:rsid w:val="00E817BA"/>
    <w:rsid w:val="00E90385"/>
    <w:rsid w:val="00E9060A"/>
    <w:rsid w:val="00EA2E65"/>
    <w:rsid w:val="00EA4DC9"/>
    <w:rsid w:val="00EA50CD"/>
    <w:rsid w:val="00EA7B28"/>
    <w:rsid w:val="00EB3DED"/>
    <w:rsid w:val="00EC06B2"/>
    <w:rsid w:val="00ED19C0"/>
    <w:rsid w:val="00ED3BD9"/>
    <w:rsid w:val="00EE0F50"/>
    <w:rsid w:val="00EE189A"/>
    <w:rsid w:val="00EF44BF"/>
    <w:rsid w:val="00EF7677"/>
    <w:rsid w:val="00F02580"/>
    <w:rsid w:val="00F03769"/>
    <w:rsid w:val="00F03D1B"/>
    <w:rsid w:val="00F07B1F"/>
    <w:rsid w:val="00F14F81"/>
    <w:rsid w:val="00F16307"/>
    <w:rsid w:val="00F20C34"/>
    <w:rsid w:val="00F22BD6"/>
    <w:rsid w:val="00F339FD"/>
    <w:rsid w:val="00F42356"/>
    <w:rsid w:val="00F50BCF"/>
    <w:rsid w:val="00F51EB3"/>
    <w:rsid w:val="00F56E3E"/>
    <w:rsid w:val="00F577B4"/>
    <w:rsid w:val="00F640BB"/>
    <w:rsid w:val="00F65C4A"/>
    <w:rsid w:val="00F74263"/>
    <w:rsid w:val="00F850CC"/>
    <w:rsid w:val="00F92B1C"/>
    <w:rsid w:val="00F95E57"/>
    <w:rsid w:val="00FA4FAA"/>
    <w:rsid w:val="00FA5C40"/>
    <w:rsid w:val="00FB2438"/>
    <w:rsid w:val="00FB44B5"/>
    <w:rsid w:val="00FB7C5E"/>
    <w:rsid w:val="00FC09D5"/>
    <w:rsid w:val="00FC18E5"/>
    <w:rsid w:val="00FC729A"/>
    <w:rsid w:val="00FC7BCA"/>
    <w:rsid w:val="00FD56CE"/>
    <w:rsid w:val="00FD646F"/>
    <w:rsid w:val="00FE3B6B"/>
    <w:rsid w:val="00FF39BF"/>
    <w:rsid w:val="09A5B9FF"/>
    <w:rsid w:val="14296875"/>
    <w:rsid w:val="14DF867E"/>
    <w:rsid w:val="177F29C2"/>
    <w:rsid w:val="1E710316"/>
    <w:rsid w:val="2489EA54"/>
    <w:rsid w:val="2AB05178"/>
    <w:rsid w:val="2E5981E1"/>
    <w:rsid w:val="2FF7A041"/>
    <w:rsid w:val="30099D0E"/>
    <w:rsid w:val="31A56D6F"/>
    <w:rsid w:val="3653A67F"/>
    <w:rsid w:val="39F9EFE9"/>
    <w:rsid w:val="3DF04FA6"/>
    <w:rsid w:val="4166C039"/>
    <w:rsid w:val="42174C2C"/>
    <w:rsid w:val="43ADDD22"/>
    <w:rsid w:val="4715839F"/>
    <w:rsid w:val="573810DB"/>
    <w:rsid w:val="6042ECF1"/>
    <w:rsid w:val="651B1483"/>
    <w:rsid w:val="6589DD2D"/>
    <w:rsid w:val="68747EED"/>
    <w:rsid w:val="6A13439E"/>
    <w:rsid w:val="6C581AD2"/>
    <w:rsid w:val="737220A5"/>
    <w:rsid w:val="742C7C42"/>
    <w:rsid w:val="7CE7891B"/>
    <w:rsid w:val="7D3376F4"/>
    <w:rsid w:val="7DF9F8AA"/>
    <w:rsid w:val="7F1162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547CA9"/>
  <w15:chartTrackingRefBased/>
  <w15:docId w15:val="{F865280E-BCB5-4257-B28B-F1B7BA925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AC3"/>
    <w:rPr>
      <w:lang w:val="en-US"/>
    </w:rPr>
  </w:style>
  <w:style w:type="paragraph" w:styleId="Heading1">
    <w:name w:val="heading 1"/>
    <w:basedOn w:val="Normal"/>
    <w:next w:val="Normal"/>
    <w:link w:val="Heading1Char"/>
    <w:uiPriority w:val="9"/>
    <w:qFormat/>
    <w:rsid w:val="00117A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24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17A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17AC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66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624"/>
    <w:rPr>
      <w:rFonts w:ascii="Segoe UI" w:hAnsi="Segoe UI" w:cs="Segoe UI"/>
      <w:sz w:val="18"/>
      <w:szCs w:val="18"/>
    </w:rPr>
  </w:style>
  <w:style w:type="character" w:customStyle="1" w:styleId="Heading1Char">
    <w:name w:val="Heading 1 Char"/>
    <w:basedOn w:val="DefaultParagraphFont"/>
    <w:link w:val="Heading1"/>
    <w:uiPriority w:val="9"/>
    <w:rsid w:val="00117AC3"/>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rsid w:val="00117AC3"/>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rsid w:val="00117AC3"/>
    <w:rPr>
      <w:rFonts w:asciiTheme="majorHAnsi" w:eastAsiaTheme="majorEastAsia" w:hAnsiTheme="majorHAnsi" w:cstheme="majorBidi"/>
      <w:i/>
      <w:iCs/>
      <w:color w:val="2F5496" w:themeColor="accent1" w:themeShade="BF"/>
      <w:lang w:val="en-US"/>
    </w:rPr>
  </w:style>
  <w:style w:type="paragraph" w:styleId="NormalWeb">
    <w:name w:val="Normal (Web)"/>
    <w:basedOn w:val="Normal"/>
    <w:uiPriority w:val="99"/>
    <w:unhideWhenUsed/>
    <w:rsid w:val="00117AC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17AC3"/>
    <w:rPr>
      <w:sz w:val="16"/>
      <w:szCs w:val="16"/>
    </w:rPr>
  </w:style>
  <w:style w:type="paragraph" w:styleId="CommentText">
    <w:name w:val="annotation text"/>
    <w:basedOn w:val="Normal"/>
    <w:link w:val="CommentTextChar"/>
    <w:uiPriority w:val="99"/>
    <w:unhideWhenUsed/>
    <w:rsid w:val="00117AC3"/>
    <w:pPr>
      <w:spacing w:line="240" w:lineRule="auto"/>
    </w:pPr>
    <w:rPr>
      <w:sz w:val="20"/>
      <w:szCs w:val="20"/>
    </w:rPr>
  </w:style>
  <w:style w:type="character" w:customStyle="1" w:styleId="CommentTextChar">
    <w:name w:val="Comment Text Char"/>
    <w:basedOn w:val="DefaultParagraphFont"/>
    <w:link w:val="CommentText"/>
    <w:uiPriority w:val="99"/>
    <w:rsid w:val="00117AC3"/>
    <w:rPr>
      <w:sz w:val="20"/>
      <w:szCs w:val="20"/>
      <w:lang w:val="en-US"/>
    </w:rPr>
  </w:style>
  <w:style w:type="paragraph" w:styleId="ListParagraph">
    <w:name w:val="List Paragraph"/>
    <w:basedOn w:val="Normal"/>
    <w:uiPriority w:val="34"/>
    <w:qFormat/>
    <w:rsid w:val="00117AC3"/>
    <w:pPr>
      <w:ind w:left="720"/>
      <w:contextualSpacing/>
    </w:pPr>
  </w:style>
  <w:style w:type="paragraph" w:styleId="FootnoteText">
    <w:name w:val="footnote text"/>
    <w:basedOn w:val="Normal"/>
    <w:link w:val="FootnoteTextChar"/>
    <w:uiPriority w:val="99"/>
    <w:semiHidden/>
    <w:unhideWhenUsed/>
    <w:rsid w:val="00117A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7AC3"/>
    <w:rPr>
      <w:sz w:val="20"/>
      <w:szCs w:val="20"/>
      <w:lang w:val="en-US"/>
    </w:rPr>
  </w:style>
  <w:style w:type="character" w:styleId="FootnoteReference">
    <w:name w:val="footnote reference"/>
    <w:basedOn w:val="DefaultParagraphFont"/>
    <w:uiPriority w:val="99"/>
    <w:semiHidden/>
    <w:unhideWhenUsed/>
    <w:rsid w:val="00117AC3"/>
    <w:rPr>
      <w:vertAlign w:val="superscript"/>
    </w:rPr>
  </w:style>
  <w:style w:type="paragraph" w:styleId="TOCHeading">
    <w:name w:val="TOC Heading"/>
    <w:basedOn w:val="Heading1"/>
    <w:next w:val="Normal"/>
    <w:uiPriority w:val="39"/>
    <w:unhideWhenUsed/>
    <w:qFormat/>
    <w:rsid w:val="00117AC3"/>
    <w:pPr>
      <w:outlineLvl w:val="9"/>
    </w:pPr>
  </w:style>
  <w:style w:type="paragraph" w:styleId="TOC1">
    <w:name w:val="toc 1"/>
    <w:basedOn w:val="Normal"/>
    <w:next w:val="Normal"/>
    <w:autoRedefine/>
    <w:uiPriority w:val="39"/>
    <w:unhideWhenUsed/>
    <w:rsid w:val="00117AC3"/>
    <w:pPr>
      <w:spacing w:after="100"/>
    </w:pPr>
  </w:style>
  <w:style w:type="paragraph" w:styleId="TOC3">
    <w:name w:val="toc 3"/>
    <w:basedOn w:val="Normal"/>
    <w:next w:val="Normal"/>
    <w:autoRedefine/>
    <w:uiPriority w:val="39"/>
    <w:unhideWhenUsed/>
    <w:rsid w:val="00117AC3"/>
    <w:pPr>
      <w:spacing w:after="100"/>
      <w:ind w:left="440"/>
    </w:pPr>
  </w:style>
  <w:style w:type="character" w:styleId="Hyperlink">
    <w:name w:val="Hyperlink"/>
    <w:basedOn w:val="DefaultParagraphFont"/>
    <w:uiPriority w:val="99"/>
    <w:unhideWhenUsed/>
    <w:rsid w:val="00117AC3"/>
    <w:rPr>
      <w:color w:val="0563C1" w:themeColor="hyperlink"/>
      <w:u w:val="single"/>
    </w:rPr>
  </w:style>
  <w:style w:type="character" w:customStyle="1" w:styleId="Heading2Char">
    <w:name w:val="Heading 2 Char"/>
    <w:basedOn w:val="DefaultParagraphFont"/>
    <w:link w:val="Heading2"/>
    <w:uiPriority w:val="9"/>
    <w:rsid w:val="000F24CD"/>
    <w:rPr>
      <w:rFonts w:asciiTheme="majorHAnsi" w:eastAsiaTheme="majorEastAsia" w:hAnsiTheme="majorHAnsi" w:cstheme="majorBidi"/>
      <w:color w:val="2F5496" w:themeColor="accent1" w:themeShade="BF"/>
      <w:sz w:val="26"/>
      <w:szCs w:val="26"/>
      <w:lang w:val="en-US"/>
    </w:rPr>
  </w:style>
  <w:style w:type="paragraph" w:customStyle="1" w:styleId="Default">
    <w:name w:val="Default"/>
    <w:rsid w:val="00BB7E15"/>
    <w:pPr>
      <w:autoSpaceDE w:val="0"/>
      <w:autoSpaceDN w:val="0"/>
      <w:adjustRightInd w:val="0"/>
      <w:spacing w:after="0" w:line="240" w:lineRule="auto"/>
    </w:pPr>
    <w:rPr>
      <w:rFonts w:ascii="Gill Sans MT" w:hAnsi="Gill Sans MT" w:cs="Gill Sans MT"/>
      <w:color w:val="000000"/>
      <w:sz w:val="24"/>
      <w:szCs w:val="24"/>
      <w:lang w:val="en-US"/>
    </w:rPr>
  </w:style>
  <w:style w:type="paragraph" w:styleId="TOC2">
    <w:name w:val="toc 2"/>
    <w:basedOn w:val="Normal"/>
    <w:next w:val="Normal"/>
    <w:autoRedefine/>
    <w:uiPriority w:val="39"/>
    <w:unhideWhenUsed/>
    <w:rsid w:val="00573252"/>
    <w:pPr>
      <w:spacing w:after="100"/>
      <w:ind w:left="220"/>
    </w:pPr>
  </w:style>
  <w:style w:type="paragraph" w:styleId="CommentSubject">
    <w:name w:val="annotation subject"/>
    <w:basedOn w:val="CommentText"/>
    <w:next w:val="CommentText"/>
    <w:link w:val="CommentSubjectChar"/>
    <w:uiPriority w:val="99"/>
    <w:semiHidden/>
    <w:unhideWhenUsed/>
    <w:rsid w:val="00AA51BC"/>
    <w:rPr>
      <w:b/>
      <w:bCs/>
    </w:rPr>
  </w:style>
  <w:style w:type="character" w:customStyle="1" w:styleId="CommentSubjectChar">
    <w:name w:val="Comment Subject Char"/>
    <w:basedOn w:val="CommentTextChar"/>
    <w:link w:val="CommentSubject"/>
    <w:uiPriority w:val="99"/>
    <w:semiHidden/>
    <w:rsid w:val="00AA51BC"/>
    <w:rPr>
      <w:b/>
      <w:bCs/>
      <w:sz w:val="20"/>
      <w:szCs w:val="20"/>
      <w:lang w:val="en-US"/>
    </w:rPr>
  </w:style>
  <w:style w:type="character" w:styleId="FollowedHyperlink">
    <w:name w:val="FollowedHyperlink"/>
    <w:basedOn w:val="DefaultParagraphFont"/>
    <w:uiPriority w:val="99"/>
    <w:semiHidden/>
    <w:unhideWhenUsed/>
    <w:rsid w:val="000F7FA3"/>
    <w:rPr>
      <w:color w:val="954F72" w:themeColor="followedHyperlink"/>
      <w:u w:val="single"/>
    </w:rPr>
  </w:style>
  <w:style w:type="table" w:styleId="ListTable3">
    <w:name w:val="List Table 3"/>
    <w:basedOn w:val="TableNormal"/>
    <w:uiPriority w:val="48"/>
    <w:rsid w:val="001E7406"/>
    <w:pPr>
      <w:spacing w:after="0" w:line="240" w:lineRule="auto"/>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Revision">
    <w:name w:val="Revision"/>
    <w:hidden/>
    <w:uiPriority w:val="99"/>
    <w:semiHidden/>
    <w:rsid w:val="00800842"/>
    <w:pPr>
      <w:spacing w:after="0" w:line="240" w:lineRule="auto"/>
    </w:pPr>
    <w:rPr>
      <w:lang w:val="en-US"/>
    </w:rPr>
  </w:style>
  <w:style w:type="table" w:styleId="TableGrid">
    <w:name w:val="Table Grid"/>
    <w:basedOn w:val="TableNormal"/>
    <w:uiPriority w:val="39"/>
    <w:rsid w:val="00441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46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67C"/>
    <w:rPr>
      <w:lang w:val="en-US"/>
    </w:rPr>
  </w:style>
  <w:style w:type="paragraph" w:styleId="Footer">
    <w:name w:val="footer"/>
    <w:basedOn w:val="Normal"/>
    <w:link w:val="FooterChar"/>
    <w:uiPriority w:val="99"/>
    <w:unhideWhenUsed/>
    <w:rsid w:val="00BD46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67C"/>
    <w:rPr>
      <w:lang w:val="en-US"/>
    </w:rPr>
  </w:style>
  <w:style w:type="character" w:styleId="UnresolvedMention">
    <w:name w:val="Unresolved Mention"/>
    <w:basedOn w:val="DefaultParagraphFont"/>
    <w:uiPriority w:val="99"/>
    <w:semiHidden/>
    <w:unhideWhenUsed/>
    <w:rsid w:val="005720CD"/>
    <w:rPr>
      <w:color w:val="605E5C"/>
      <w:shd w:val="clear" w:color="auto" w:fill="E1DFDD"/>
    </w:rPr>
  </w:style>
  <w:style w:type="paragraph" w:styleId="BodyText">
    <w:name w:val="Body Text"/>
    <w:basedOn w:val="Normal"/>
    <w:link w:val="BodyTextChar"/>
    <w:uiPriority w:val="1"/>
    <w:semiHidden/>
    <w:unhideWhenUsed/>
    <w:qFormat/>
    <w:rsid w:val="00302B2D"/>
    <w:pPr>
      <w:widowControl w:val="0"/>
      <w:spacing w:before="120" w:after="0" w:line="240" w:lineRule="auto"/>
      <w:ind w:left="859"/>
    </w:pPr>
    <w:rPr>
      <w:rFonts w:ascii="Times New Roman" w:eastAsia="Times New Roman" w:hAnsi="Times New Roman"/>
      <w:sz w:val="20"/>
      <w:szCs w:val="20"/>
    </w:rPr>
  </w:style>
  <w:style w:type="character" w:customStyle="1" w:styleId="BodyTextChar">
    <w:name w:val="Body Text Char"/>
    <w:basedOn w:val="DefaultParagraphFont"/>
    <w:link w:val="BodyText"/>
    <w:uiPriority w:val="1"/>
    <w:semiHidden/>
    <w:rsid w:val="00302B2D"/>
    <w:rPr>
      <w:rFonts w:ascii="Times New Roman" w:eastAsia="Times New Roman" w:hAnsi="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755066">
      <w:bodyDiv w:val="1"/>
      <w:marLeft w:val="0"/>
      <w:marRight w:val="0"/>
      <w:marTop w:val="0"/>
      <w:marBottom w:val="0"/>
      <w:divBdr>
        <w:top w:val="none" w:sz="0" w:space="0" w:color="auto"/>
        <w:left w:val="none" w:sz="0" w:space="0" w:color="auto"/>
        <w:bottom w:val="none" w:sz="0" w:space="0" w:color="auto"/>
        <w:right w:val="none" w:sz="0" w:space="0" w:color="auto"/>
      </w:divBdr>
    </w:div>
    <w:div w:id="1204906005">
      <w:bodyDiv w:val="1"/>
      <w:marLeft w:val="0"/>
      <w:marRight w:val="0"/>
      <w:marTop w:val="0"/>
      <w:marBottom w:val="0"/>
      <w:divBdr>
        <w:top w:val="none" w:sz="0" w:space="0" w:color="auto"/>
        <w:left w:val="none" w:sz="0" w:space="0" w:color="auto"/>
        <w:bottom w:val="none" w:sz="0" w:space="0" w:color="auto"/>
        <w:right w:val="none" w:sz="0" w:space="0" w:color="auto"/>
      </w:divBdr>
    </w:div>
    <w:div w:id="203850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es/node/20906"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 xsi:nil="true"/>
    <Location xmlns="e560140e-7b2f-4392-90df-e7567e3021a3">Public</Location>
    <DLCPolicyLabelLock xmlns="e560140e-7b2f-4392-90df-e7567e3021a3" xsi:nil="true"/>
    <POPPIsArchived xmlns="e560140e-7b2f-4392-90df-e7567e3021a3">false</POPPIsArchived>
    <UNDP_POPP_NOTE xmlns="8264c5cc-ec60-4b56-8111-ce635d3d139a" xsi:nil="true"/>
    <TaxCatchAll xmlns="8264c5cc-ec60-4b56-8111-ce635d3d139a">
      <Value>356</Value>
    </TaxCatchAll>
    <DLCPolicyLabelClientValue xmlns="e560140e-7b2f-4392-90df-e7567e3021a3">Effective Date: 10/28/2021                                                Version #: {POPPRefItemVersion}</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2021-10-28T22:00:00+00:00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UNDP Risk Appetite Statement Guidance </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 xsi:nil="true"/>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Accountability</TermName>
          <TermId xmlns="http://schemas.microsoft.com/office/infopath/2007/PartnerControls">5b42d95a-f181-4192-a566-012e3d461a46</TermId>
        </TermInfo>
      </Terms>
    </l0e6ef0c43e74560bd7f3acd1f5e8571>
    <_dlc_DocId xmlns="8264c5cc-ec60-4b56-8111-ce635d3d139a">POPP-11-3633</_dlc_DocId>
    <_dlc_DocIdUrl xmlns="8264c5cc-ec60-4b56-8111-ce635d3d139a">
      <Url>https://popp.undp.org/_layouts/15/DocIdRedir.aspx?ID=POPP-11-3633</Url>
      <Description>POPP-11-3633</Description>
    </_dlc_DocIdUrl>
    <DLCPolicyLabelValue xmlns="e560140e-7b2f-4392-90df-e7567e3021a3">Effective Date: 10/28/2021                                                Version #: {POPPRefItemVersion}</DLCPolicyLabelValue>
  </documentManagement>
</p:propertie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55E67-A8A2-4592-8027-DE42EDEDB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90B978-C656-4738-A9C4-44AFCB931717}">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9BC24721-D4C3-4F3C-9743-DD78CD394B50}">
  <ds:schemaRefs>
    <ds:schemaRef ds:uri="office.server.policy"/>
  </ds:schemaRefs>
</ds:datastoreItem>
</file>

<file path=customXml/itemProps4.xml><?xml version="1.0" encoding="utf-8"?>
<ds:datastoreItem xmlns:ds="http://schemas.openxmlformats.org/officeDocument/2006/customXml" ds:itemID="{D56A3C9F-E3A4-47FC-B882-930E901F522F}">
  <ds:schemaRefs>
    <ds:schemaRef ds:uri="http://schemas.microsoft.com/sharepoint/v3/contenttype/forms"/>
  </ds:schemaRefs>
</ds:datastoreItem>
</file>

<file path=customXml/itemProps5.xml><?xml version="1.0" encoding="utf-8"?>
<ds:datastoreItem xmlns:ds="http://schemas.openxmlformats.org/officeDocument/2006/customXml" ds:itemID="{08B857D0-9139-4D45-8F2C-449766CD9498}">
  <ds:schemaRefs>
    <ds:schemaRef ds:uri="http://schemas.microsoft.com/sharepoint/events"/>
  </ds:schemaRefs>
</ds:datastoreItem>
</file>

<file path=customXml/itemProps6.xml><?xml version="1.0" encoding="utf-8"?>
<ds:datastoreItem xmlns:ds="http://schemas.openxmlformats.org/officeDocument/2006/customXml" ds:itemID="{83AAB9E0-78C4-4659-8F35-7CFD25F46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5749</Words>
  <Characters>32774</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38447</CharactersWithSpaces>
  <SharedDoc>false</SharedDoc>
  <HLinks>
    <vt:vector size="66" baseType="variant">
      <vt:variant>
        <vt:i4>2490447</vt:i4>
      </vt:variant>
      <vt:variant>
        <vt:i4>63</vt:i4>
      </vt:variant>
      <vt:variant>
        <vt:i4>0</vt:i4>
      </vt:variant>
      <vt:variant>
        <vt:i4>5</vt:i4>
      </vt:variant>
      <vt:variant>
        <vt:lpwstr>https://info.undp.org/sites/ERM/Shared Documents/UNDP ERM Guide_Sept2019.pdf</vt:lpwstr>
      </vt:variant>
      <vt:variant>
        <vt:lpwstr/>
      </vt:variant>
      <vt:variant>
        <vt:i4>1179710</vt:i4>
      </vt:variant>
      <vt:variant>
        <vt:i4>56</vt:i4>
      </vt:variant>
      <vt:variant>
        <vt:i4>0</vt:i4>
      </vt:variant>
      <vt:variant>
        <vt:i4>5</vt:i4>
      </vt:variant>
      <vt:variant>
        <vt:lpwstr/>
      </vt:variant>
      <vt:variant>
        <vt:lpwstr>_Toc65688860</vt:lpwstr>
      </vt:variant>
      <vt:variant>
        <vt:i4>1769533</vt:i4>
      </vt:variant>
      <vt:variant>
        <vt:i4>50</vt:i4>
      </vt:variant>
      <vt:variant>
        <vt:i4>0</vt:i4>
      </vt:variant>
      <vt:variant>
        <vt:i4>5</vt:i4>
      </vt:variant>
      <vt:variant>
        <vt:lpwstr/>
      </vt:variant>
      <vt:variant>
        <vt:lpwstr>_Toc65688859</vt:lpwstr>
      </vt:variant>
      <vt:variant>
        <vt:i4>1703997</vt:i4>
      </vt:variant>
      <vt:variant>
        <vt:i4>44</vt:i4>
      </vt:variant>
      <vt:variant>
        <vt:i4>0</vt:i4>
      </vt:variant>
      <vt:variant>
        <vt:i4>5</vt:i4>
      </vt:variant>
      <vt:variant>
        <vt:lpwstr/>
      </vt:variant>
      <vt:variant>
        <vt:lpwstr>_Toc65688858</vt:lpwstr>
      </vt:variant>
      <vt:variant>
        <vt:i4>1376317</vt:i4>
      </vt:variant>
      <vt:variant>
        <vt:i4>38</vt:i4>
      </vt:variant>
      <vt:variant>
        <vt:i4>0</vt:i4>
      </vt:variant>
      <vt:variant>
        <vt:i4>5</vt:i4>
      </vt:variant>
      <vt:variant>
        <vt:lpwstr/>
      </vt:variant>
      <vt:variant>
        <vt:lpwstr>_Toc65688857</vt:lpwstr>
      </vt:variant>
      <vt:variant>
        <vt:i4>1310781</vt:i4>
      </vt:variant>
      <vt:variant>
        <vt:i4>32</vt:i4>
      </vt:variant>
      <vt:variant>
        <vt:i4>0</vt:i4>
      </vt:variant>
      <vt:variant>
        <vt:i4>5</vt:i4>
      </vt:variant>
      <vt:variant>
        <vt:lpwstr/>
      </vt:variant>
      <vt:variant>
        <vt:lpwstr>_Toc65688856</vt:lpwstr>
      </vt:variant>
      <vt:variant>
        <vt:i4>1507389</vt:i4>
      </vt:variant>
      <vt:variant>
        <vt:i4>26</vt:i4>
      </vt:variant>
      <vt:variant>
        <vt:i4>0</vt:i4>
      </vt:variant>
      <vt:variant>
        <vt:i4>5</vt:i4>
      </vt:variant>
      <vt:variant>
        <vt:lpwstr/>
      </vt:variant>
      <vt:variant>
        <vt:lpwstr>_Toc65688855</vt:lpwstr>
      </vt:variant>
      <vt:variant>
        <vt:i4>1441853</vt:i4>
      </vt:variant>
      <vt:variant>
        <vt:i4>20</vt:i4>
      </vt:variant>
      <vt:variant>
        <vt:i4>0</vt:i4>
      </vt:variant>
      <vt:variant>
        <vt:i4>5</vt:i4>
      </vt:variant>
      <vt:variant>
        <vt:lpwstr/>
      </vt:variant>
      <vt:variant>
        <vt:lpwstr>_Toc65688854</vt:lpwstr>
      </vt:variant>
      <vt:variant>
        <vt:i4>1114173</vt:i4>
      </vt:variant>
      <vt:variant>
        <vt:i4>14</vt:i4>
      </vt:variant>
      <vt:variant>
        <vt:i4>0</vt:i4>
      </vt:variant>
      <vt:variant>
        <vt:i4>5</vt:i4>
      </vt:variant>
      <vt:variant>
        <vt:lpwstr/>
      </vt:variant>
      <vt:variant>
        <vt:lpwstr>_Toc65688853</vt:lpwstr>
      </vt:variant>
      <vt:variant>
        <vt:i4>1048637</vt:i4>
      </vt:variant>
      <vt:variant>
        <vt:i4>8</vt:i4>
      </vt:variant>
      <vt:variant>
        <vt:i4>0</vt:i4>
      </vt:variant>
      <vt:variant>
        <vt:i4>5</vt:i4>
      </vt:variant>
      <vt:variant>
        <vt:lpwstr/>
      </vt:variant>
      <vt:variant>
        <vt:lpwstr>_Toc65688852</vt:lpwstr>
      </vt:variant>
      <vt:variant>
        <vt:i4>1245245</vt:i4>
      </vt:variant>
      <vt:variant>
        <vt:i4>2</vt:i4>
      </vt:variant>
      <vt:variant>
        <vt:i4>0</vt:i4>
      </vt:variant>
      <vt:variant>
        <vt:i4>5</vt:i4>
      </vt:variant>
      <vt:variant>
        <vt:lpwstr/>
      </vt:variant>
      <vt:variant>
        <vt:lpwstr>_Toc65688851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Humphrey</dc:creator>
  <cp:keywords/>
  <dc:description/>
  <cp:lastModifiedBy>Emiliana Zhivkova</cp:lastModifiedBy>
  <cp:revision>6</cp:revision>
  <dcterms:created xsi:type="dcterms:W3CDTF">2024-02-15T22:39:00Z</dcterms:created>
  <dcterms:modified xsi:type="dcterms:W3CDTF">2024-02-15T22:47:00Z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Location">
    <vt:lpwstr>Public</vt:lpwstr>
  </property>
  <property fmtid="{D5CDD505-2E9C-101B-9397-08002B2CF9AE}" pid="4" name="UNDP_POPP_BUSINESSUNIT">
    <vt:lpwstr>356;#Accountability|5b42d95a-f181-4192-a566-012e3d461a46</vt:lpwstr>
  </property>
  <property fmtid="{D5CDD505-2E9C-101B-9397-08002B2CF9AE}" pid="5" name="POPPBusinessProcess">
    <vt:lpwstr/>
  </property>
  <property fmtid="{D5CDD505-2E9C-101B-9397-08002B2CF9AE}" pid="6" name="_dlc_DocIdItemGuid">
    <vt:lpwstr>727080e2-c70a-4445-ac43-776d651f3b1e</vt:lpwstr>
  </property>
</Properties>
</file>