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8FF71" w14:textId="3658448D" w:rsidR="00117AC3" w:rsidRDefault="00117AC3" w:rsidP="00117AC3">
      <w:pPr>
        <w:pStyle w:val="Heading1"/>
        <w:rPr>
          <w:lang w:val="en-GB"/>
        </w:rPr>
      </w:pPr>
      <w:bookmarkStart w:id="0" w:name="_Toc54364204"/>
      <w:bookmarkStart w:id="1" w:name="_Toc54966109"/>
      <w:bookmarkStart w:id="2" w:name="_Toc55828835"/>
      <w:bookmarkStart w:id="3" w:name="_Toc57373855"/>
      <w:bookmarkStart w:id="4" w:name="_Toc58409799"/>
      <w:bookmarkStart w:id="5" w:name="_Toc58410975"/>
      <w:bookmarkStart w:id="6" w:name="_Toc58937589"/>
      <w:bookmarkStart w:id="7" w:name="_Toc58937887"/>
      <w:bookmarkStart w:id="8" w:name="_Toc62809717"/>
      <w:bookmarkStart w:id="9" w:name="_Toc63344383"/>
      <w:bookmarkStart w:id="10" w:name="_Toc63690656"/>
      <w:bookmarkStart w:id="11" w:name="_Toc64369955"/>
      <w:bookmarkStart w:id="12" w:name="_Toc65688807"/>
      <w:bookmarkStart w:id="13" w:name="_Toc65688848"/>
      <w:bookmarkStart w:id="14" w:name="_Toc54966148"/>
      <w:r>
        <w:rPr>
          <w:lang w:val="en-GB"/>
        </w:rPr>
        <w:t>UNDP Risk Appetite Statement</w:t>
      </w:r>
      <w:bookmarkEnd w:id="0"/>
      <w:bookmarkEnd w:id="1"/>
      <w:r>
        <w:rPr>
          <w:lang w:val="en-GB"/>
        </w:rPr>
        <w:t xml:space="preserve"> Guidance</w:t>
      </w:r>
      <w:bookmarkEnd w:id="2"/>
      <w:bookmarkEnd w:id="3"/>
      <w:bookmarkEnd w:id="4"/>
      <w:bookmarkEnd w:id="5"/>
      <w:bookmarkEnd w:id="6"/>
      <w:bookmarkEnd w:id="7"/>
      <w:bookmarkEnd w:id="8"/>
      <w:bookmarkEnd w:id="9"/>
      <w:bookmarkEnd w:id="10"/>
      <w:bookmarkEnd w:id="11"/>
      <w:bookmarkEnd w:id="12"/>
      <w:bookmarkEnd w:id="13"/>
    </w:p>
    <w:p w14:paraId="515C6C0A" w14:textId="77777777" w:rsidR="00117AC3" w:rsidRDefault="00117AC3" w:rsidP="00117AC3">
      <w:pPr>
        <w:pStyle w:val="Heading1"/>
        <w:rPr>
          <w:lang w:val="en-GB"/>
        </w:rPr>
      </w:pPr>
    </w:p>
    <w:p w14:paraId="61A99B3D" w14:textId="40285D10" w:rsidR="00117AC3" w:rsidRPr="00E96B1B" w:rsidRDefault="7D3376F4" w:rsidP="00117AC3">
      <w:pPr>
        <w:pStyle w:val="Heading1"/>
      </w:pPr>
      <w:bookmarkStart w:id="15" w:name="_Toc54364205"/>
      <w:bookmarkStart w:id="16" w:name="_Toc54966110"/>
      <w:bookmarkStart w:id="17" w:name="_Toc55828836"/>
      <w:bookmarkStart w:id="18" w:name="_Toc57373856"/>
      <w:bookmarkStart w:id="19" w:name="_Toc58409800"/>
      <w:bookmarkStart w:id="20" w:name="_Toc58410976"/>
      <w:bookmarkStart w:id="21" w:name="_Toc58937590"/>
      <w:bookmarkStart w:id="22" w:name="_Toc58937888"/>
      <w:bookmarkStart w:id="23" w:name="_Toc62809718"/>
      <w:bookmarkStart w:id="24" w:name="_Toc63344384"/>
      <w:bookmarkStart w:id="25" w:name="_Toc63690657"/>
      <w:bookmarkStart w:id="26" w:name="_Toc64369956"/>
      <w:bookmarkStart w:id="27" w:name="_Toc65688808"/>
      <w:bookmarkStart w:id="28" w:name="_Toc65688849"/>
      <w:r w:rsidRPr="43ADDD22">
        <w:rPr>
          <w:lang w:val="en-GB"/>
        </w:rPr>
        <w:t>D</w:t>
      </w:r>
      <w:r w:rsidR="00117AC3" w:rsidRPr="43ADDD22">
        <w:rPr>
          <w:lang w:val="en-GB"/>
        </w:rPr>
        <w:t>etailed risk appetite statement guidance</w:t>
      </w:r>
      <w:r w:rsidR="00D83DBE" w:rsidRPr="43ADDD22">
        <w:rPr>
          <w:lang w:val="en-GB"/>
        </w:rPr>
        <w:t xml:space="preserve"> </w:t>
      </w:r>
      <w:bookmarkEnd w:id="15"/>
      <w:bookmarkEnd w:id="16"/>
      <w:bookmarkEnd w:id="17"/>
      <w:bookmarkEnd w:id="18"/>
      <w:bookmarkEnd w:id="19"/>
      <w:bookmarkEnd w:id="20"/>
      <w:bookmarkEnd w:id="21"/>
      <w:bookmarkEnd w:id="22"/>
      <w:bookmarkEnd w:id="23"/>
      <w:bookmarkEnd w:id="24"/>
      <w:bookmarkEnd w:id="25"/>
      <w:bookmarkEnd w:id="26"/>
      <w:bookmarkEnd w:id="27"/>
      <w:bookmarkEnd w:id="28"/>
      <w:r w:rsidR="000167EA" w:rsidRPr="43ADDD22">
        <w:rPr>
          <w:lang w:val="en-GB"/>
        </w:rPr>
        <w:t xml:space="preserve"> </w:t>
      </w:r>
    </w:p>
    <w:p w14:paraId="42B56AAC" w14:textId="6E976D44" w:rsidR="00117AC3" w:rsidRDefault="00DB0F35" w:rsidP="00117AC3">
      <w:pPr>
        <w:pStyle w:val="Heading1"/>
        <w:rPr>
          <w:lang w:val="en-GB"/>
        </w:rPr>
      </w:pPr>
      <w:bookmarkStart w:id="29" w:name="_Toc62809719"/>
      <w:bookmarkStart w:id="30" w:name="_Toc63344385"/>
      <w:bookmarkStart w:id="31" w:name="_Toc63690658"/>
      <w:bookmarkStart w:id="32" w:name="_Toc64369957"/>
      <w:bookmarkStart w:id="33" w:name="_Toc65688809"/>
      <w:bookmarkStart w:id="34" w:name="_Toc65688850"/>
      <w:r>
        <w:rPr>
          <w:lang w:val="en-GB"/>
        </w:rPr>
        <w:t>October</w:t>
      </w:r>
      <w:r w:rsidR="00D83DBE">
        <w:rPr>
          <w:lang w:val="en-GB"/>
        </w:rPr>
        <w:t xml:space="preserve"> </w:t>
      </w:r>
      <w:r w:rsidR="00612FDA">
        <w:rPr>
          <w:lang w:val="en-GB"/>
        </w:rPr>
        <w:t>2021</w:t>
      </w:r>
      <w:bookmarkEnd w:id="29"/>
      <w:bookmarkEnd w:id="30"/>
      <w:bookmarkEnd w:id="31"/>
      <w:bookmarkEnd w:id="32"/>
      <w:bookmarkEnd w:id="33"/>
      <w:bookmarkEnd w:id="34"/>
    </w:p>
    <w:p w14:paraId="012148D0" w14:textId="77777777" w:rsidR="00117AC3" w:rsidRDefault="00117AC3">
      <w:pPr>
        <w:rPr>
          <w:lang w:val="en-GB"/>
        </w:rPr>
      </w:pPr>
      <w:r>
        <w:rPr>
          <w:lang w:val="en-GB"/>
        </w:rPr>
        <w:br w:type="page"/>
      </w:r>
    </w:p>
    <w:sdt>
      <w:sdtPr>
        <w:rPr>
          <w:rFonts w:asciiTheme="minorHAnsi" w:eastAsiaTheme="minorHAnsi" w:hAnsiTheme="minorHAnsi" w:cstheme="minorBidi"/>
          <w:color w:val="auto"/>
          <w:sz w:val="22"/>
          <w:szCs w:val="22"/>
        </w:rPr>
        <w:id w:val="-1518692366"/>
        <w:docPartObj>
          <w:docPartGallery w:val="Table of Contents"/>
          <w:docPartUnique/>
        </w:docPartObj>
      </w:sdtPr>
      <w:sdtEndPr>
        <w:rPr>
          <w:b/>
          <w:bCs/>
          <w:noProof/>
        </w:rPr>
      </w:sdtEndPr>
      <w:sdtContent>
        <w:p w14:paraId="7C96CDDA" w14:textId="77777777" w:rsidR="00962DB1" w:rsidRDefault="00117AC3" w:rsidP="003245DD">
          <w:pPr>
            <w:pStyle w:val="TOCHeading"/>
            <w:rPr>
              <w:noProof/>
            </w:rPr>
          </w:pPr>
          <w:r>
            <w:t>Contents</w:t>
          </w:r>
          <w:r>
            <w:fldChar w:fldCharType="begin"/>
          </w:r>
          <w:r>
            <w:instrText xml:space="preserve"> TOC \o "1-3" \h \z \u </w:instrText>
          </w:r>
          <w:r>
            <w:fldChar w:fldCharType="separate"/>
          </w:r>
        </w:p>
        <w:p w14:paraId="55143BCE" w14:textId="38C5BD67" w:rsidR="00962DB1" w:rsidRDefault="00B55CDB">
          <w:pPr>
            <w:pStyle w:val="TOC1"/>
            <w:tabs>
              <w:tab w:val="left" w:pos="440"/>
              <w:tab w:val="right" w:leader="dot" w:pos="9350"/>
            </w:tabs>
            <w:rPr>
              <w:rFonts w:eastAsiaTheme="minorEastAsia"/>
              <w:noProof/>
              <w:lang w:val="en-GB" w:eastAsia="en-GB"/>
            </w:rPr>
          </w:pPr>
          <w:hyperlink w:anchor="_Toc65688851" w:history="1">
            <w:r w:rsidR="00962DB1" w:rsidRPr="00930580">
              <w:rPr>
                <w:rStyle w:val="Hyperlink"/>
                <w:noProof/>
              </w:rPr>
              <w:t>1)</w:t>
            </w:r>
            <w:r w:rsidR="00962DB1">
              <w:rPr>
                <w:rFonts w:eastAsiaTheme="minorEastAsia"/>
                <w:noProof/>
                <w:lang w:val="en-GB" w:eastAsia="en-GB"/>
              </w:rPr>
              <w:tab/>
            </w:r>
            <w:r w:rsidR="00962DB1" w:rsidRPr="00930580">
              <w:rPr>
                <w:rStyle w:val="Hyperlink"/>
                <w:noProof/>
              </w:rPr>
              <w:t>Introduction</w:t>
            </w:r>
            <w:r w:rsidR="00962DB1">
              <w:rPr>
                <w:noProof/>
                <w:webHidden/>
              </w:rPr>
              <w:tab/>
            </w:r>
            <w:r w:rsidR="00962DB1">
              <w:rPr>
                <w:noProof/>
                <w:webHidden/>
              </w:rPr>
              <w:fldChar w:fldCharType="begin"/>
            </w:r>
            <w:r w:rsidR="00962DB1">
              <w:rPr>
                <w:noProof/>
                <w:webHidden/>
              </w:rPr>
              <w:instrText xml:space="preserve"> PAGEREF _Toc65688851 \h </w:instrText>
            </w:r>
            <w:r w:rsidR="00962DB1">
              <w:rPr>
                <w:noProof/>
                <w:webHidden/>
              </w:rPr>
            </w:r>
            <w:r w:rsidR="00962DB1">
              <w:rPr>
                <w:noProof/>
                <w:webHidden/>
              </w:rPr>
              <w:fldChar w:fldCharType="separate"/>
            </w:r>
            <w:r>
              <w:rPr>
                <w:noProof/>
                <w:webHidden/>
              </w:rPr>
              <w:t>3</w:t>
            </w:r>
            <w:r w:rsidR="00962DB1">
              <w:rPr>
                <w:noProof/>
                <w:webHidden/>
              </w:rPr>
              <w:fldChar w:fldCharType="end"/>
            </w:r>
          </w:hyperlink>
        </w:p>
        <w:p w14:paraId="044739BD" w14:textId="1BDD894E" w:rsidR="00962DB1" w:rsidRDefault="00B55CDB">
          <w:pPr>
            <w:pStyle w:val="TOC1"/>
            <w:tabs>
              <w:tab w:val="left" w:pos="440"/>
              <w:tab w:val="right" w:leader="dot" w:pos="9350"/>
            </w:tabs>
            <w:rPr>
              <w:rFonts w:eastAsiaTheme="minorEastAsia"/>
              <w:noProof/>
              <w:lang w:val="en-GB" w:eastAsia="en-GB"/>
            </w:rPr>
          </w:pPr>
          <w:hyperlink w:anchor="_Toc65688852" w:history="1">
            <w:r w:rsidR="00962DB1" w:rsidRPr="00930580">
              <w:rPr>
                <w:rStyle w:val="Hyperlink"/>
                <w:noProof/>
              </w:rPr>
              <w:t>2)</w:t>
            </w:r>
            <w:r w:rsidR="00962DB1">
              <w:rPr>
                <w:rFonts w:eastAsiaTheme="minorEastAsia"/>
                <w:noProof/>
                <w:lang w:val="en-GB" w:eastAsia="en-GB"/>
              </w:rPr>
              <w:tab/>
            </w:r>
            <w:r w:rsidR="00962DB1" w:rsidRPr="00930580">
              <w:rPr>
                <w:rStyle w:val="Hyperlink"/>
                <w:noProof/>
              </w:rPr>
              <w:t>Understanding the risk appetite statement</w:t>
            </w:r>
            <w:r w:rsidR="00962DB1">
              <w:rPr>
                <w:noProof/>
                <w:webHidden/>
              </w:rPr>
              <w:tab/>
            </w:r>
            <w:r w:rsidR="00962DB1">
              <w:rPr>
                <w:noProof/>
                <w:webHidden/>
              </w:rPr>
              <w:fldChar w:fldCharType="begin"/>
            </w:r>
            <w:r w:rsidR="00962DB1">
              <w:rPr>
                <w:noProof/>
                <w:webHidden/>
              </w:rPr>
              <w:instrText xml:space="preserve"> PAGEREF _Toc65688852 \h </w:instrText>
            </w:r>
            <w:r w:rsidR="00962DB1">
              <w:rPr>
                <w:noProof/>
                <w:webHidden/>
              </w:rPr>
            </w:r>
            <w:r w:rsidR="00962DB1">
              <w:rPr>
                <w:noProof/>
                <w:webHidden/>
              </w:rPr>
              <w:fldChar w:fldCharType="separate"/>
            </w:r>
            <w:r>
              <w:rPr>
                <w:noProof/>
                <w:webHidden/>
              </w:rPr>
              <w:t>3</w:t>
            </w:r>
            <w:r w:rsidR="00962DB1">
              <w:rPr>
                <w:noProof/>
                <w:webHidden/>
              </w:rPr>
              <w:fldChar w:fldCharType="end"/>
            </w:r>
          </w:hyperlink>
        </w:p>
        <w:p w14:paraId="3B7EAA5A" w14:textId="1FE3792D" w:rsidR="00962DB1" w:rsidRDefault="00B55CDB">
          <w:pPr>
            <w:pStyle w:val="TOC1"/>
            <w:tabs>
              <w:tab w:val="left" w:pos="440"/>
              <w:tab w:val="right" w:leader="dot" w:pos="9350"/>
            </w:tabs>
            <w:rPr>
              <w:rFonts w:eastAsiaTheme="minorEastAsia"/>
              <w:noProof/>
              <w:lang w:val="en-GB" w:eastAsia="en-GB"/>
            </w:rPr>
          </w:pPr>
          <w:hyperlink w:anchor="_Toc65688853" w:history="1">
            <w:r w:rsidR="00962DB1" w:rsidRPr="00930580">
              <w:rPr>
                <w:rStyle w:val="Hyperlink"/>
                <w:noProof/>
              </w:rPr>
              <w:t>3)</w:t>
            </w:r>
            <w:r w:rsidR="00962DB1">
              <w:rPr>
                <w:rFonts w:eastAsiaTheme="minorEastAsia"/>
                <w:noProof/>
                <w:lang w:val="en-GB" w:eastAsia="en-GB"/>
              </w:rPr>
              <w:tab/>
            </w:r>
            <w:r w:rsidR="00962DB1" w:rsidRPr="00930580">
              <w:rPr>
                <w:rStyle w:val="Hyperlink"/>
                <w:noProof/>
              </w:rPr>
              <w:t>How and when do I use the risk appetite statements?</w:t>
            </w:r>
            <w:r w:rsidR="00962DB1">
              <w:rPr>
                <w:noProof/>
                <w:webHidden/>
              </w:rPr>
              <w:tab/>
            </w:r>
            <w:r w:rsidR="00962DB1">
              <w:rPr>
                <w:noProof/>
                <w:webHidden/>
              </w:rPr>
              <w:fldChar w:fldCharType="begin"/>
            </w:r>
            <w:r w:rsidR="00962DB1">
              <w:rPr>
                <w:noProof/>
                <w:webHidden/>
              </w:rPr>
              <w:instrText xml:space="preserve"> PAGEREF _Toc65688853 \h </w:instrText>
            </w:r>
            <w:r w:rsidR="00962DB1">
              <w:rPr>
                <w:noProof/>
                <w:webHidden/>
              </w:rPr>
            </w:r>
            <w:r w:rsidR="00962DB1">
              <w:rPr>
                <w:noProof/>
                <w:webHidden/>
              </w:rPr>
              <w:fldChar w:fldCharType="separate"/>
            </w:r>
            <w:r>
              <w:rPr>
                <w:noProof/>
                <w:webHidden/>
              </w:rPr>
              <w:t>3</w:t>
            </w:r>
            <w:r w:rsidR="00962DB1">
              <w:rPr>
                <w:noProof/>
                <w:webHidden/>
              </w:rPr>
              <w:fldChar w:fldCharType="end"/>
            </w:r>
          </w:hyperlink>
        </w:p>
        <w:p w14:paraId="055A1C5C" w14:textId="4346418E" w:rsidR="00962DB1" w:rsidRDefault="00B55CDB">
          <w:pPr>
            <w:pStyle w:val="TOC1"/>
            <w:tabs>
              <w:tab w:val="left" w:pos="440"/>
              <w:tab w:val="right" w:leader="dot" w:pos="9350"/>
            </w:tabs>
            <w:rPr>
              <w:rFonts w:eastAsiaTheme="minorEastAsia"/>
              <w:noProof/>
              <w:lang w:val="en-GB" w:eastAsia="en-GB"/>
            </w:rPr>
          </w:pPr>
          <w:hyperlink w:anchor="_Toc65688854" w:history="1">
            <w:r w:rsidR="00962DB1" w:rsidRPr="00930580">
              <w:rPr>
                <w:rStyle w:val="Hyperlink"/>
                <w:noProof/>
              </w:rPr>
              <w:t>4)</w:t>
            </w:r>
            <w:r w:rsidR="00962DB1">
              <w:rPr>
                <w:rFonts w:eastAsiaTheme="minorEastAsia"/>
                <w:noProof/>
                <w:lang w:val="en-GB" w:eastAsia="en-GB"/>
              </w:rPr>
              <w:tab/>
            </w:r>
            <w:r w:rsidR="00962DB1" w:rsidRPr="00930580">
              <w:rPr>
                <w:rStyle w:val="Hyperlink"/>
                <w:noProof/>
              </w:rPr>
              <w:t>Applying the risk appetite statement</w:t>
            </w:r>
            <w:r w:rsidR="00962DB1">
              <w:rPr>
                <w:noProof/>
                <w:webHidden/>
              </w:rPr>
              <w:tab/>
            </w:r>
            <w:r w:rsidR="00962DB1">
              <w:rPr>
                <w:noProof/>
                <w:webHidden/>
              </w:rPr>
              <w:fldChar w:fldCharType="begin"/>
            </w:r>
            <w:r w:rsidR="00962DB1">
              <w:rPr>
                <w:noProof/>
                <w:webHidden/>
              </w:rPr>
              <w:instrText xml:space="preserve"> PAGEREF _Toc65688854 \h </w:instrText>
            </w:r>
            <w:r w:rsidR="00962DB1">
              <w:rPr>
                <w:noProof/>
                <w:webHidden/>
              </w:rPr>
            </w:r>
            <w:r w:rsidR="00962DB1">
              <w:rPr>
                <w:noProof/>
                <w:webHidden/>
              </w:rPr>
              <w:fldChar w:fldCharType="separate"/>
            </w:r>
            <w:r>
              <w:rPr>
                <w:noProof/>
                <w:webHidden/>
              </w:rPr>
              <w:t>4</w:t>
            </w:r>
            <w:r w:rsidR="00962DB1">
              <w:rPr>
                <w:noProof/>
                <w:webHidden/>
              </w:rPr>
              <w:fldChar w:fldCharType="end"/>
            </w:r>
          </w:hyperlink>
        </w:p>
        <w:p w14:paraId="6CFEAAD8" w14:textId="7D365AF4" w:rsidR="00962DB1" w:rsidRDefault="00B55CDB">
          <w:pPr>
            <w:pStyle w:val="TOC1"/>
            <w:tabs>
              <w:tab w:val="left" w:pos="440"/>
              <w:tab w:val="right" w:leader="dot" w:pos="9350"/>
            </w:tabs>
            <w:rPr>
              <w:rFonts w:eastAsiaTheme="minorEastAsia"/>
              <w:noProof/>
              <w:lang w:val="en-GB" w:eastAsia="en-GB"/>
            </w:rPr>
          </w:pPr>
          <w:hyperlink w:anchor="_Toc65688855" w:history="1">
            <w:r w:rsidR="00962DB1" w:rsidRPr="00930580">
              <w:rPr>
                <w:rStyle w:val="Hyperlink"/>
                <w:noProof/>
              </w:rPr>
              <w:t>5)</w:t>
            </w:r>
            <w:r w:rsidR="00962DB1">
              <w:rPr>
                <w:rFonts w:eastAsiaTheme="minorEastAsia"/>
                <w:noProof/>
                <w:lang w:val="en-GB" w:eastAsia="en-GB"/>
              </w:rPr>
              <w:tab/>
            </w:r>
            <w:r w:rsidR="00962DB1" w:rsidRPr="00930580">
              <w:rPr>
                <w:rStyle w:val="Hyperlink"/>
                <w:noProof/>
              </w:rPr>
              <w:t>Learning from the risk appetite</w:t>
            </w:r>
            <w:r w:rsidR="00962DB1">
              <w:rPr>
                <w:noProof/>
                <w:webHidden/>
              </w:rPr>
              <w:tab/>
            </w:r>
            <w:r w:rsidR="00962DB1">
              <w:rPr>
                <w:noProof/>
                <w:webHidden/>
              </w:rPr>
              <w:fldChar w:fldCharType="begin"/>
            </w:r>
            <w:r w:rsidR="00962DB1">
              <w:rPr>
                <w:noProof/>
                <w:webHidden/>
              </w:rPr>
              <w:instrText xml:space="preserve"> PAGEREF _Toc65688855 \h </w:instrText>
            </w:r>
            <w:r w:rsidR="00962DB1">
              <w:rPr>
                <w:noProof/>
                <w:webHidden/>
              </w:rPr>
            </w:r>
            <w:r w:rsidR="00962DB1">
              <w:rPr>
                <w:noProof/>
                <w:webHidden/>
              </w:rPr>
              <w:fldChar w:fldCharType="separate"/>
            </w:r>
            <w:r>
              <w:rPr>
                <w:noProof/>
                <w:webHidden/>
              </w:rPr>
              <w:t>8</w:t>
            </w:r>
            <w:r w:rsidR="00962DB1">
              <w:rPr>
                <w:noProof/>
                <w:webHidden/>
              </w:rPr>
              <w:fldChar w:fldCharType="end"/>
            </w:r>
          </w:hyperlink>
        </w:p>
        <w:p w14:paraId="00ED0DDE" w14:textId="0C48DF66" w:rsidR="00962DB1" w:rsidRDefault="00B55CDB">
          <w:pPr>
            <w:pStyle w:val="TOC1"/>
            <w:tabs>
              <w:tab w:val="left" w:pos="440"/>
              <w:tab w:val="right" w:leader="dot" w:pos="9350"/>
            </w:tabs>
            <w:rPr>
              <w:rFonts w:eastAsiaTheme="minorEastAsia"/>
              <w:noProof/>
              <w:lang w:val="en-GB" w:eastAsia="en-GB"/>
            </w:rPr>
          </w:pPr>
          <w:hyperlink w:anchor="_Toc65688856" w:history="1">
            <w:r w:rsidR="00962DB1" w:rsidRPr="00930580">
              <w:rPr>
                <w:rStyle w:val="Hyperlink"/>
                <w:noProof/>
              </w:rPr>
              <w:t>6)</w:t>
            </w:r>
            <w:r w:rsidR="00962DB1">
              <w:rPr>
                <w:rFonts w:eastAsiaTheme="minorEastAsia"/>
                <w:noProof/>
                <w:lang w:val="en-GB" w:eastAsia="en-GB"/>
              </w:rPr>
              <w:tab/>
            </w:r>
            <w:r w:rsidR="00962DB1" w:rsidRPr="00930580">
              <w:rPr>
                <w:rStyle w:val="Hyperlink"/>
                <w:noProof/>
              </w:rPr>
              <w:t>Varying from the stated risk appetite</w:t>
            </w:r>
            <w:r w:rsidR="00962DB1">
              <w:rPr>
                <w:noProof/>
                <w:webHidden/>
              </w:rPr>
              <w:tab/>
            </w:r>
            <w:r w:rsidR="00962DB1">
              <w:rPr>
                <w:noProof/>
                <w:webHidden/>
              </w:rPr>
              <w:fldChar w:fldCharType="begin"/>
            </w:r>
            <w:r w:rsidR="00962DB1">
              <w:rPr>
                <w:noProof/>
                <w:webHidden/>
              </w:rPr>
              <w:instrText xml:space="preserve"> PAGEREF _Toc65688856 \h </w:instrText>
            </w:r>
            <w:r w:rsidR="00962DB1">
              <w:rPr>
                <w:noProof/>
                <w:webHidden/>
              </w:rPr>
            </w:r>
            <w:r w:rsidR="00962DB1">
              <w:rPr>
                <w:noProof/>
                <w:webHidden/>
              </w:rPr>
              <w:fldChar w:fldCharType="separate"/>
            </w:r>
            <w:r>
              <w:rPr>
                <w:noProof/>
                <w:webHidden/>
              </w:rPr>
              <w:t>9</w:t>
            </w:r>
            <w:r w:rsidR="00962DB1">
              <w:rPr>
                <w:noProof/>
                <w:webHidden/>
              </w:rPr>
              <w:fldChar w:fldCharType="end"/>
            </w:r>
          </w:hyperlink>
        </w:p>
        <w:p w14:paraId="2139B89F" w14:textId="1F1ACB1F" w:rsidR="00962DB1" w:rsidRDefault="00B55CDB">
          <w:pPr>
            <w:pStyle w:val="TOC1"/>
            <w:tabs>
              <w:tab w:val="right" w:leader="dot" w:pos="9350"/>
            </w:tabs>
            <w:rPr>
              <w:rFonts w:eastAsiaTheme="minorEastAsia"/>
              <w:noProof/>
              <w:lang w:val="en-GB" w:eastAsia="en-GB"/>
            </w:rPr>
          </w:pPr>
          <w:hyperlink w:anchor="_Toc65688857" w:history="1">
            <w:r w:rsidR="00962DB1" w:rsidRPr="00930580">
              <w:rPr>
                <w:rStyle w:val="Hyperlink"/>
                <w:noProof/>
              </w:rPr>
              <w:t>Annex 1: ERM Risk Categories</w:t>
            </w:r>
            <w:r w:rsidR="00962DB1">
              <w:rPr>
                <w:noProof/>
                <w:webHidden/>
              </w:rPr>
              <w:tab/>
            </w:r>
            <w:r w:rsidR="00962DB1">
              <w:rPr>
                <w:noProof/>
                <w:webHidden/>
              </w:rPr>
              <w:fldChar w:fldCharType="begin"/>
            </w:r>
            <w:r w:rsidR="00962DB1">
              <w:rPr>
                <w:noProof/>
                <w:webHidden/>
              </w:rPr>
              <w:instrText xml:space="preserve"> PAGEREF _Toc65688857 \h </w:instrText>
            </w:r>
            <w:r w:rsidR="00962DB1">
              <w:rPr>
                <w:noProof/>
                <w:webHidden/>
              </w:rPr>
            </w:r>
            <w:r w:rsidR="00962DB1">
              <w:rPr>
                <w:noProof/>
                <w:webHidden/>
              </w:rPr>
              <w:fldChar w:fldCharType="separate"/>
            </w:r>
            <w:r>
              <w:rPr>
                <w:noProof/>
                <w:webHidden/>
              </w:rPr>
              <w:t>10</w:t>
            </w:r>
            <w:r w:rsidR="00962DB1">
              <w:rPr>
                <w:noProof/>
                <w:webHidden/>
              </w:rPr>
              <w:fldChar w:fldCharType="end"/>
            </w:r>
          </w:hyperlink>
        </w:p>
        <w:p w14:paraId="3E6C5D5E" w14:textId="765FE9B8" w:rsidR="00962DB1" w:rsidRDefault="00B55CDB">
          <w:pPr>
            <w:pStyle w:val="TOC1"/>
            <w:tabs>
              <w:tab w:val="right" w:leader="dot" w:pos="9350"/>
            </w:tabs>
            <w:rPr>
              <w:rFonts w:eastAsiaTheme="minorEastAsia"/>
              <w:noProof/>
              <w:lang w:val="en-GB" w:eastAsia="en-GB"/>
            </w:rPr>
          </w:pPr>
          <w:hyperlink w:anchor="_Toc65688858" w:history="1">
            <w:r w:rsidR="00962DB1" w:rsidRPr="00930580">
              <w:rPr>
                <w:rStyle w:val="Hyperlink"/>
                <w:noProof/>
              </w:rPr>
              <w:t>Annex 2: ERM Risk Appetite statement categories and level</w:t>
            </w:r>
            <w:r w:rsidR="00962DB1">
              <w:rPr>
                <w:noProof/>
                <w:webHidden/>
              </w:rPr>
              <w:tab/>
            </w:r>
            <w:r w:rsidR="00962DB1">
              <w:rPr>
                <w:noProof/>
                <w:webHidden/>
              </w:rPr>
              <w:fldChar w:fldCharType="begin"/>
            </w:r>
            <w:r w:rsidR="00962DB1">
              <w:rPr>
                <w:noProof/>
                <w:webHidden/>
              </w:rPr>
              <w:instrText xml:space="preserve"> PAGEREF _Toc65688858 \h </w:instrText>
            </w:r>
            <w:r w:rsidR="00962DB1">
              <w:rPr>
                <w:noProof/>
                <w:webHidden/>
              </w:rPr>
            </w:r>
            <w:r w:rsidR="00962DB1">
              <w:rPr>
                <w:noProof/>
                <w:webHidden/>
              </w:rPr>
              <w:fldChar w:fldCharType="separate"/>
            </w:r>
            <w:r>
              <w:rPr>
                <w:noProof/>
                <w:webHidden/>
              </w:rPr>
              <w:t>11</w:t>
            </w:r>
            <w:r w:rsidR="00962DB1">
              <w:rPr>
                <w:noProof/>
                <w:webHidden/>
              </w:rPr>
              <w:fldChar w:fldCharType="end"/>
            </w:r>
          </w:hyperlink>
        </w:p>
        <w:p w14:paraId="5E46A791" w14:textId="1D6AF9C6" w:rsidR="00962DB1" w:rsidRDefault="00B55CDB">
          <w:pPr>
            <w:pStyle w:val="TOC1"/>
            <w:tabs>
              <w:tab w:val="right" w:leader="dot" w:pos="9350"/>
            </w:tabs>
            <w:rPr>
              <w:rFonts w:eastAsiaTheme="minorEastAsia"/>
              <w:noProof/>
              <w:lang w:val="en-GB" w:eastAsia="en-GB"/>
            </w:rPr>
          </w:pPr>
          <w:hyperlink w:anchor="_Toc65688859" w:history="1">
            <w:r w:rsidR="00962DB1" w:rsidRPr="00930580">
              <w:rPr>
                <w:rStyle w:val="Hyperlink"/>
                <w:noProof/>
              </w:rPr>
              <w:t>Annex 3: Aligning the risk appetite to risk significance in the risk matrix</w:t>
            </w:r>
            <w:r w:rsidR="00962DB1">
              <w:rPr>
                <w:noProof/>
                <w:webHidden/>
              </w:rPr>
              <w:tab/>
            </w:r>
            <w:r w:rsidR="00962DB1">
              <w:rPr>
                <w:noProof/>
                <w:webHidden/>
              </w:rPr>
              <w:fldChar w:fldCharType="begin"/>
            </w:r>
            <w:r w:rsidR="00962DB1">
              <w:rPr>
                <w:noProof/>
                <w:webHidden/>
              </w:rPr>
              <w:instrText xml:space="preserve"> PAGEREF _Toc65688859 \h </w:instrText>
            </w:r>
            <w:r w:rsidR="00962DB1">
              <w:rPr>
                <w:noProof/>
                <w:webHidden/>
              </w:rPr>
            </w:r>
            <w:r w:rsidR="00962DB1">
              <w:rPr>
                <w:noProof/>
                <w:webHidden/>
              </w:rPr>
              <w:fldChar w:fldCharType="separate"/>
            </w:r>
            <w:r>
              <w:rPr>
                <w:noProof/>
                <w:webHidden/>
              </w:rPr>
              <w:t>14</w:t>
            </w:r>
            <w:r w:rsidR="00962DB1">
              <w:rPr>
                <w:noProof/>
                <w:webHidden/>
              </w:rPr>
              <w:fldChar w:fldCharType="end"/>
            </w:r>
          </w:hyperlink>
        </w:p>
        <w:p w14:paraId="579741B0" w14:textId="7757455A" w:rsidR="00962DB1" w:rsidRDefault="00B55CDB">
          <w:pPr>
            <w:pStyle w:val="TOC1"/>
            <w:tabs>
              <w:tab w:val="right" w:leader="dot" w:pos="9350"/>
            </w:tabs>
            <w:rPr>
              <w:rFonts w:eastAsiaTheme="minorEastAsia"/>
              <w:noProof/>
              <w:lang w:val="en-GB" w:eastAsia="en-GB"/>
            </w:rPr>
          </w:pPr>
          <w:hyperlink w:anchor="_Toc65688860" w:history="1">
            <w:r w:rsidR="00962DB1" w:rsidRPr="00930580">
              <w:rPr>
                <w:rStyle w:val="Hyperlink"/>
                <w:noProof/>
              </w:rPr>
              <w:t>Annex 4: Risk appetite summary</w:t>
            </w:r>
            <w:r w:rsidR="00962DB1">
              <w:rPr>
                <w:noProof/>
                <w:webHidden/>
              </w:rPr>
              <w:tab/>
            </w:r>
            <w:r w:rsidR="00962DB1">
              <w:rPr>
                <w:noProof/>
                <w:webHidden/>
              </w:rPr>
              <w:fldChar w:fldCharType="begin"/>
            </w:r>
            <w:r w:rsidR="00962DB1">
              <w:rPr>
                <w:noProof/>
                <w:webHidden/>
              </w:rPr>
              <w:instrText xml:space="preserve"> PAGEREF _Toc65688860 \h </w:instrText>
            </w:r>
            <w:r w:rsidR="00962DB1">
              <w:rPr>
                <w:noProof/>
                <w:webHidden/>
              </w:rPr>
            </w:r>
            <w:r w:rsidR="00962DB1">
              <w:rPr>
                <w:noProof/>
                <w:webHidden/>
              </w:rPr>
              <w:fldChar w:fldCharType="separate"/>
            </w:r>
            <w:r>
              <w:rPr>
                <w:noProof/>
                <w:webHidden/>
              </w:rPr>
              <w:t>15</w:t>
            </w:r>
            <w:r w:rsidR="00962DB1">
              <w:rPr>
                <w:noProof/>
                <w:webHidden/>
              </w:rPr>
              <w:fldChar w:fldCharType="end"/>
            </w:r>
          </w:hyperlink>
        </w:p>
        <w:p w14:paraId="16D5F206" w14:textId="79728AAB" w:rsidR="00117AC3" w:rsidRDefault="00117AC3">
          <w:r>
            <w:rPr>
              <w:b/>
              <w:bCs/>
              <w:noProof/>
            </w:rPr>
            <w:fldChar w:fldCharType="end"/>
          </w:r>
        </w:p>
      </w:sdtContent>
    </w:sdt>
    <w:p w14:paraId="17A4FBF4" w14:textId="2F628DF1" w:rsidR="00BC57B0" w:rsidRDefault="00BC57B0">
      <w:pPr>
        <w:rPr>
          <w:rFonts w:asciiTheme="majorHAnsi" w:eastAsiaTheme="majorEastAsia" w:hAnsiTheme="majorHAnsi" w:cstheme="majorBidi"/>
          <w:color w:val="2F5496" w:themeColor="accent1" w:themeShade="BF"/>
          <w:sz w:val="32"/>
          <w:szCs w:val="32"/>
        </w:rPr>
      </w:pPr>
      <w:r>
        <w:br w:type="page"/>
      </w:r>
    </w:p>
    <w:p w14:paraId="3A55EA28" w14:textId="472954BF" w:rsidR="00BB7E15" w:rsidRDefault="00BB7E15" w:rsidP="003F0B20">
      <w:pPr>
        <w:pStyle w:val="Heading1"/>
        <w:numPr>
          <w:ilvl w:val="0"/>
          <w:numId w:val="7"/>
        </w:numPr>
        <w:ind w:left="357" w:hanging="357"/>
      </w:pPr>
      <w:bookmarkStart w:id="35" w:name="_Toc65688851"/>
      <w:r>
        <w:lastRenderedPageBreak/>
        <w:t>Introduction</w:t>
      </w:r>
      <w:bookmarkEnd w:id="35"/>
    </w:p>
    <w:p w14:paraId="3517AC41" w14:textId="00CAB67F" w:rsidR="00701300" w:rsidRDefault="00BB7E15" w:rsidP="00BB7E15">
      <w:r>
        <w:t>This guidance has been developed to support the</w:t>
      </w:r>
      <w:r w:rsidR="001E53AB">
        <w:t xml:space="preserve"> consistent application of the</w:t>
      </w:r>
      <w:r>
        <w:t xml:space="preserve"> Risk Appetite Statement</w:t>
      </w:r>
      <w:r w:rsidR="00306CC0">
        <w:t xml:space="preserve"> (RAS)</w:t>
      </w:r>
      <w:r w:rsidR="001E53AB">
        <w:t xml:space="preserve"> across UNDP</w:t>
      </w:r>
      <w:r w:rsidR="6589DD2D">
        <w:t>.</w:t>
      </w:r>
      <w:r w:rsidR="00CB7A29">
        <w:t xml:space="preserve"> It has been written for all UNDP </w:t>
      </w:r>
      <w:r w:rsidR="001E53AB">
        <w:t>Personnel</w:t>
      </w:r>
      <w:r w:rsidR="00CB7A29">
        <w:t xml:space="preserve">, partners and others who work with UNDP to help it deliver its </w:t>
      </w:r>
      <w:r w:rsidR="00761C08">
        <w:t>S</w:t>
      </w:r>
      <w:r w:rsidR="00CB7A29">
        <w:t xml:space="preserve">trategic </w:t>
      </w:r>
      <w:r w:rsidR="00761C08">
        <w:t>Plan</w:t>
      </w:r>
      <w:r w:rsidR="00CB7A29">
        <w:t>.</w:t>
      </w:r>
      <w:r w:rsidR="00DC19EA">
        <w:t xml:space="preserve"> </w:t>
      </w:r>
      <w:r w:rsidR="00701300">
        <w:t xml:space="preserve">The RAS and this guidance </w:t>
      </w:r>
      <w:r w:rsidR="00675E47">
        <w:t>are</w:t>
      </w:r>
      <w:r w:rsidR="00701300">
        <w:t xml:space="preserve"> part of </w:t>
      </w:r>
      <w:r w:rsidR="001E53AB">
        <w:t xml:space="preserve">UNDP’s </w:t>
      </w:r>
      <w:r w:rsidR="00701300">
        <w:t>E</w:t>
      </w:r>
      <w:r w:rsidR="001E53AB">
        <w:t xml:space="preserve">nterprise </w:t>
      </w:r>
      <w:r w:rsidR="00701300">
        <w:t>R</w:t>
      </w:r>
      <w:r w:rsidR="001E53AB">
        <w:t xml:space="preserve">isk </w:t>
      </w:r>
      <w:r w:rsidR="00701300">
        <w:t>M</w:t>
      </w:r>
      <w:r w:rsidR="001E53AB">
        <w:t>anagement (ERM)</w:t>
      </w:r>
      <w:r w:rsidR="00701300">
        <w:t xml:space="preserve"> framework and </w:t>
      </w:r>
      <w:r w:rsidR="00306CC0">
        <w:t>is</w:t>
      </w:r>
      <w:r w:rsidR="00701300">
        <w:t xml:space="preserve"> </w:t>
      </w:r>
      <w:r w:rsidR="00264694">
        <w:t xml:space="preserve">aligned to </w:t>
      </w:r>
      <w:r w:rsidR="00701300">
        <w:t>ERM methodology</w:t>
      </w:r>
      <w:r w:rsidR="00264694">
        <w:t xml:space="preserve"> and risk assessment process. </w:t>
      </w:r>
    </w:p>
    <w:p w14:paraId="400E397B" w14:textId="43A191EC" w:rsidR="00306CC0" w:rsidRDefault="000D50E7" w:rsidP="00BB7E15">
      <w:r>
        <w:t xml:space="preserve">Risk management enables the transformation of resources and ideas into high-impact results, delivered in uncertain conditions. </w:t>
      </w:r>
      <w:r w:rsidR="00DC19EA">
        <w:t xml:space="preserve">The purpose of setting out a risk appetite is to support </w:t>
      </w:r>
      <w:r w:rsidR="00306CC0">
        <w:t xml:space="preserve">the </w:t>
      </w:r>
      <w:r w:rsidR="00264694">
        <w:t>effective management of</w:t>
      </w:r>
      <w:r>
        <w:t xml:space="preserve"> these</w:t>
      </w:r>
      <w:r w:rsidR="00264694">
        <w:t xml:space="preserve"> risks (threats and opportunities) </w:t>
      </w:r>
      <w:r w:rsidR="00306CC0">
        <w:t xml:space="preserve">through </w:t>
      </w:r>
      <w:r w:rsidR="00DC19EA">
        <w:t>open discussions about the level of risk that UNDP is and is not prepared to take and to ensure that everyone takes a consistent approach to risk throughout the organi</w:t>
      </w:r>
      <w:r w:rsidR="00264694">
        <w:t>z</w:t>
      </w:r>
      <w:r w:rsidR="00DC19EA">
        <w:t>ation</w:t>
      </w:r>
      <w:r w:rsidR="00761C08">
        <w:t xml:space="preserve">. </w:t>
      </w:r>
      <w:r w:rsidR="00306CC0">
        <w:t>T</w:t>
      </w:r>
      <w:r w:rsidR="00761C08">
        <w:t xml:space="preserve">his guidance </w:t>
      </w:r>
      <w:r w:rsidR="00264694">
        <w:t xml:space="preserve">should be used </w:t>
      </w:r>
      <w:r w:rsidR="00701300">
        <w:t>as part of your</w:t>
      </w:r>
      <w:r w:rsidR="00F51EB3">
        <w:t xml:space="preserve"> office</w:t>
      </w:r>
      <w:r w:rsidR="00306CC0">
        <w:t xml:space="preserve">, </w:t>
      </w:r>
      <w:proofErr w:type="gramStart"/>
      <w:r w:rsidR="00F51EB3">
        <w:t>BU</w:t>
      </w:r>
      <w:proofErr w:type="gramEnd"/>
      <w:r w:rsidR="00306CC0">
        <w:t xml:space="preserve"> or </w:t>
      </w:r>
      <w:r w:rsidR="00BA0B5A">
        <w:t>project</w:t>
      </w:r>
      <w:r w:rsidR="00701300">
        <w:t xml:space="preserve"> general ERM </w:t>
      </w:r>
      <w:r w:rsidR="00264694">
        <w:t>assessment</w:t>
      </w:r>
      <w:r w:rsidR="00701300">
        <w:t xml:space="preserve"> </w:t>
      </w:r>
      <w:r w:rsidR="00761C08">
        <w:t xml:space="preserve">to enable the effective delivery of all UNDP </w:t>
      </w:r>
      <w:r w:rsidR="00264694">
        <w:t>plans and objectives</w:t>
      </w:r>
      <w:r w:rsidR="00761C08">
        <w:t>.</w:t>
      </w:r>
    </w:p>
    <w:p w14:paraId="6AEAA300" w14:textId="77777777" w:rsidR="004F3A7B" w:rsidRDefault="004F3A7B" w:rsidP="004F3A7B">
      <w:pPr>
        <w:pStyle w:val="Heading1"/>
        <w:numPr>
          <w:ilvl w:val="0"/>
          <w:numId w:val="7"/>
        </w:numPr>
        <w:ind w:left="357" w:hanging="357"/>
      </w:pPr>
      <w:bookmarkStart w:id="36" w:name="_Toc65688852"/>
      <w:r>
        <w:t>Understanding the risk appetite statement</w:t>
      </w:r>
      <w:bookmarkEnd w:id="36"/>
    </w:p>
    <w:p w14:paraId="3A6C3C78" w14:textId="72DD29E1" w:rsidR="00761C08" w:rsidRDefault="004F3A7B" w:rsidP="004F3A7B">
      <w:r>
        <w:t xml:space="preserve">In any </w:t>
      </w:r>
      <w:r w:rsidR="00626401">
        <w:t>situation</w:t>
      </w:r>
      <w:r>
        <w:t xml:space="preserve">, be it a project, </w:t>
      </w:r>
      <w:proofErr w:type="gramStart"/>
      <w:r>
        <w:t>programme</w:t>
      </w:r>
      <w:proofErr w:type="gramEnd"/>
      <w:r>
        <w:t xml:space="preserve"> or </w:t>
      </w:r>
      <w:r w:rsidR="00F51EB3">
        <w:t xml:space="preserve">operational process </w:t>
      </w:r>
      <w:r w:rsidR="002B544B">
        <w:t>to support delivery of UNDP’s objectives</w:t>
      </w:r>
      <w:r>
        <w:t xml:space="preserve">, you </w:t>
      </w:r>
      <w:r w:rsidR="00DC19EA">
        <w:t>will need to carry out a risk assessment</w:t>
      </w:r>
      <w:r w:rsidR="00701300">
        <w:t xml:space="preserve"> using </w:t>
      </w:r>
      <w:r w:rsidR="00F51EB3">
        <w:t xml:space="preserve">UNDP’s </w:t>
      </w:r>
      <w:r w:rsidR="00701300">
        <w:t xml:space="preserve">ERM </w:t>
      </w:r>
      <w:r w:rsidR="00F51EB3">
        <w:t>methodology</w:t>
      </w:r>
      <w:r w:rsidR="00DC19EA">
        <w:t>, covering a variety of risk</w:t>
      </w:r>
      <w:r w:rsidR="00F51EB3">
        <w:t>s</w:t>
      </w:r>
      <w:r w:rsidR="00DC19EA">
        <w:t xml:space="preserve"> and so a variety of areas of risk appetite. We have </w:t>
      </w:r>
      <w:r w:rsidR="00701300">
        <w:t>used the</w:t>
      </w:r>
      <w:r w:rsidR="00DC19EA">
        <w:t xml:space="preserve"> </w:t>
      </w:r>
      <w:r w:rsidR="00E270C4">
        <w:t>example</w:t>
      </w:r>
      <w:r w:rsidR="00701300">
        <w:t xml:space="preserve"> of developing a new UNDP office to help you understand how to apply the appetite statements</w:t>
      </w:r>
      <w:r w:rsidR="00306CC0">
        <w:t xml:space="preserve"> as part of your risk </w:t>
      </w:r>
      <w:r w:rsidR="009973F4">
        <w:t>evaluation</w:t>
      </w:r>
      <w:r w:rsidR="00DC19EA">
        <w:t>.</w:t>
      </w:r>
      <w:r w:rsidR="00761C08">
        <w:t xml:space="preserve"> </w:t>
      </w:r>
      <w:r w:rsidR="00701300">
        <w:t>The guidance is</w:t>
      </w:r>
      <w:r w:rsidR="00761C08">
        <w:t xml:space="preserve"> a starting point </w:t>
      </w:r>
      <w:r w:rsidR="651B1483">
        <w:t>and</w:t>
      </w:r>
      <w:r w:rsidR="00761C08">
        <w:t xml:space="preserve"> not </w:t>
      </w:r>
      <w:r w:rsidR="00701300">
        <w:t>a definitive statement regarding the RAS implementation</w:t>
      </w:r>
      <w:r w:rsidR="00761C08">
        <w:t xml:space="preserve"> and you will need to apply </w:t>
      </w:r>
      <w:r w:rsidR="00701300">
        <w:t>judgement, in discussion with others,</w:t>
      </w:r>
      <w:r w:rsidR="00761C08">
        <w:t xml:space="preserve"> </w:t>
      </w:r>
      <w:r w:rsidR="00675E47">
        <w:t>when</w:t>
      </w:r>
      <w:r w:rsidR="00C51829">
        <w:t xml:space="preserve"> you use the RAS</w:t>
      </w:r>
      <w:r w:rsidR="00761C08">
        <w:t>.</w:t>
      </w:r>
    </w:p>
    <w:p w14:paraId="59329103" w14:textId="081BD131" w:rsidR="00CF17BF" w:rsidRDefault="00CF17BF" w:rsidP="00CF17BF">
      <w:pPr>
        <w:pStyle w:val="Heading1"/>
        <w:numPr>
          <w:ilvl w:val="0"/>
          <w:numId w:val="7"/>
        </w:numPr>
        <w:ind w:left="357" w:hanging="357"/>
      </w:pPr>
      <w:bookmarkStart w:id="37" w:name="_Toc65688853"/>
      <w:r>
        <w:t xml:space="preserve">How </w:t>
      </w:r>
      <w:r w:rsidR="000C1C75">
        <w:t xml:space="preserve">and when </w:t>
      </w:r>
      <w:r>
        <w:t>do I use the risk appetite statements?</w:t>
      </w:r>
      <w:bookmarkEnd w:id="37"/>
    </w:p>
    <w:p w14:paraId="3FB2BE26" w14:textId="725202F5" w:rsidR="000C1C75" w:rsidRDefault="00D603FF" w:rsidP="00626401">
      <w:r>
        <w:t>T</w:t>
      </w:r>
      <w:r w:rsidR="000C1C75">
        <w:t>he risk appetite statements</w:t>
      </w:r>
      <w:r>
        <w:t xml:space="preserve"> are used</w:t>
      </w:r>
      <w:r w:rsidR="000C1C75">
        <w:t xml:space="preserve"> </w:t>
      </w:r>
      <w:r w:rsidR="00BA0B5A">
        <w:t xml:space="preserve">as part of the risk assessment exercise </w:t>
      </w:r>
      <w:r w:rsidR="00DB56DC">
        <w:t xml:space="preserve">carried out by risk owners </w:t>
      </w:r>
      <w:r w:rsidR="00BA0B5A">
        <w:t>(Integrated work plan, new project</w:t>
      </w:r>
      <w:r w:rsidR="00006458">
        <w:t>/programme)</w:t>
      </w:r>
      <w:r w:rsidR="004C636A">
        <w:t xml:space="preserve"> to support risk-</w:t>
      </w:r>
      <w:r w:rsidR="00294D53">
        <w:t>informed</w:t>
      </w:r>
      <w:r w:rsidR="004C636A">
        <w:t xml:space="preserve"> decision making</w:t>
      </w:r>
      <w:r>
        <w:t>;</w:t>
      </w:r>
      <w:r w:rsidR="005720CD">
        <w:t xml:space="preserve"> you </w:t>
      </w:r>
      <w:r w:rsidR="00D904F5">
        <w:t xml:space="preserve">should </w:t>
      </w:r>
      <w:r w:rsidR="005720CD">
        <w:t xml:space="preserve">refer to the </w:t>
      </w:r>
      <w:hyperlink r:id="rId13" w:history="1">
        <w:r w:rsidR="005720CD" w:rsidRPr="005720CD">
          <w:rPr>
            <w:rStyle w:val="Hyperlink"/>
          </w:rPr>
          <w:t>ERM Guidance</w:t>
        </w:r>
      </w:hyperlink>
      <w:r w:rsidR="005720CD">
        <w:t xml:space="preserve"> for a detailed explanation on the ERM methodology. </w:t>
      </w:r>
      <w:r w:rsidR="00383C62">
        <w:t xml:space="preserve">The risk appetite </w:t>
      </w:r>
      <w:r w:rsidR="005720CD">
        <w:t xml:space="preserve">process </w:t>
      </w:r>
      <w:r w:rsidR="00006458">
        <w:t xml:space="preserve">should be </w:t>
      </w:r>
      <w:r w:rsidR="005720CD">
        <w:t>integrated (not a separate process)</w:t>
      </w:r>
      <w:r w:rsidR="000C1C75">
        <w:t xml:space="preserve"> into </w:t>
      </w:r>
      <w:r w:rsidR="00006458">
        <w:t>the office</w:t>
      </w:r>
      <w:r>
        <w:t xml:space="preserve"> and </w:t>
      </w:r>
      <w:r w:rsidR="00006458">
        <w:t>BU risk</w:t>
      </w:r>
      <w:r w:rsidR="000C1C75">
        <w:t xml:space="preserve"> assessment activities</w:t>
      </w:r>
      <w:r w:rsidR="004C5060">
        <w:t xml:space="preserve"> as follows: </w:t>
      </w:r>
      <w:r w:rsidR="00C51829">
        <w:t xml:space="preserve"> </w:t>
      </w:r>
    </w:p>
    <w:p w14:paraId="0292375E" w14:textId="587C0B63" w:rsidR="00CF17BF" w:rsidRDefault="00CF17BF" w:rsidP="00CF17BF">
      <w:pPr>
        <w:pStyle w:val="ListParagraph"/>
        <w:numPr>
          <w:ilvl w:val="2"/>
          <w:numId w:val="7"/>
        </w:numPr>
        <w:ind w:left="709"/>
      </w:pPr>
      <w:r>
        <w:t xml:space="preserve">Start by carrying out a risk assessment to </w:t>
      </w:r>
      <w:r w:rsidR="004C5060">
        <w:t xml:space="preserve">identify </w:t>
      </w:r>
      <w:r>
        <w:t>what risks you are facing</w:t>
      </w:r>
      <w:r w:rsidR="000C1C75">
        <w:t>, describe your risks clearly and score them</w:t>
      </w:r>
      <w:r w:rsidR="004C5060">
        <w:t xml:space="preserve"> (likelihood and Impact)</w:t>
      </w:r>
      <w:r w:rsidR="00761C08">
        <w:t xml:space="preserve">, following </w:t>
      </w:r>
      <w:r w:rsidR="005E3758">
        <w:t>UNDP</w:t>
      </w:r>
      <w:r w:rsidR="00761C08">
        <w:t xml:space="preserve"> standard ERM </w:t>
      </w:r>
      <w:r w:rsidR="005E3758">
        <w:t>methodology</w:t>
      </w:r>
      <w:r w:rsidR="006C7235">
        <w:t>.</w:t>
      </w:r>
    </w:p>
    <w:p w14:paraId="276D987F" w14:textId="03FE04EA" w:rsidR="00B0384A" w:rsidRDefault="000C1C75" w:rsidP="00CF17BF">
      <w:pPr>
        <w:pStyle w:val="ListParagraph"/>
        <w:numPr>
          <w:ilvl w:val="2"/>
          <w:numId w:val="7"/>
        </w:numPr>
        <w:ind w:left="709"/>
      </w:pPr>
      <w:r>
        <w:t>Identify which categories</w:t>
      </w:r>
      <w:r w:rsidR="005E3758">
        <w:t>/</w:t>
      </w:r>
      <w:proofErr w:type="gramStart"/>
      <w:r w:rsidR="005E3758">
        <w:t xml:space="preserve">sub </w:t>
      </w:r>
      <w:r w:rsidR="00B51064">
        <w:t>category</w:t>
      </w:r>
      <w:proofErr w:type="gramEnd"/>
      <w:r>
        <w:t xml:space="preserve"> of risk you have (</w:t>
      </w:r>
      <w:r w:rsidR="000F5E4A" w:rsidRPr="000F5E4A">
        <w:t>Social and Environmental, Financial, Operational, Organizational, Reputational, Regulatory, Strategic, Safety and Security</w:t>
      </w:r>
      <w:r w:rsidR="006C7235">
        <w:t xml:space="preserve">) </w:t>
      </w:r>
      <w:r w:rsidR="00761C08">
        <w:t>using the</w:t>
      </w:r>
      <w:r w:rsidR="00B51064">
        <w:t xml:space="preserve"> ERM Risk Categories </w:t>
      </w:r>
      <w:r w:rsidR="005720CD">
        <w:t>(see Annex 1)</w:t>
      </w:r>
      <w:r w:rsidR="00761C08">
        <w:t xml:space="preserve"> </w:t>
      </w:r>
    </w:p>
    <w:p w14:paraId="131848A3" w14:textId="430F4838" w:rsidR="00B0384A" w:rsidRDefault="00B0384A" w:rsidP="00CF17BF">
      <w:pPr>
        <w:pStyle w:val="ListParagraph"/>
        <w:numPr>
          <w:ilvl w:val="2"/>
          <w:numId w:val="7"/>
        </w:numPr>
        <w:ind w:left="709"/>
      </w:pPr>
      <w:r>
        <w:t>C</w:t>
      </w:r>
      <w:r w:rsidR="006C7235">
        <w:t xml:space="preserve">ompare the </w:t>
      </w:r>
      <w:r w:rsidR="00B64AAA">
        <w:t>risk significance</w:t>
      </w:r>
      <w:r w:rsidR="006C7235">
        <w:t xml:space="preserve"> to the risk appetite</w:t>
      </w:r>
      <w:r w:rsidR="00C1312D">
        <w:t xml:space="preserve"> level </w:t>
      </w:r>
      <w:r w:rsidR="006C7235">
        <w:t xml:space="preserve">for that </w:t>
      </w:r>
      <w:r>
        <w:t>risk category</w:t>
      </w:r>
      <w:r w:rsidR="00626401">
        <w:t xml:space="preserve"> </w:t>
      </w:r>
      <w:r>
        <w:t>(see Annex 2)</w:t>
      </w:r>
    </w:p>
    <w:p w14:paraId="2F6BB54B" w14:textId="506A4C42" w:rsidR="006C7235" w:rsidRDefault="00ED19C0" w:rsidP="00CF17BF">
      <w:pPr>
        <w:pStyle w:val="ListParagraph"/>
        <w:numPr>
          <w:ilvl w:val="2"/>
          <w:numId w:val="7"/>
        </w:numPr>
        <w:ind w:left="709"/>
      </w:pPr>
      <w:r>
        <w:t>Look</w:t>
      </w:r>
      <w:r w:rsidR="00EA4DC9">
        <w:t xml:space="preserve"> at the Risk Matrix (see Annex 3), </w:t>
      </w:r>
      <w:r w:rsidR="006C7235">
        <w:t xml:space="preserve">If the score </w:t>
      </w:r>
      <w:r w:rsidR="006C7235">
        <w:rPr>
          <w:b/>
          <w:bCs/>
        </w:rPr>
        <w:t>exceeds</w:t>
      </w:r>
      <w:r w:rsidR="006C7235">
        <w:t xml:space="preserve"> the risk appetite, </w:t>
      </w:r>
      <w:r w:rsidR="00383C62">
        <w:t xml:space="preserve">you will need to take a risk-informed decision to </w:t>
      </w:r>
      <w:r w:rsidR="006C7235">
        <w:t xml:space="preserve">consider what more you could do to </w:t>
      </w:r>
      <w:r w:rsidR="00E270C4">
        <w:t>manage</w:t>
      </w:r>
      <w:r w:rsidR="006C7235">
        <w:t xml:space="preserve"> the risk </w:t>
      </w:r>
      <w:r w:rsidR="00E270C4">
        <w:t>so that it is</w:t>
      </w:r>
      <w:r w:rsidR="006C7235">
        <w:t xml:space="preserve"> acceptable. </w:t>
      </w:r>
      <w:r w:rsidR="00E270C4">
        <w:t>This includes accepting the risk i</w:t>
      </w:r>
      <w:r w:rsidR="006C7235">
        <w:t>f there is nothing that can be done,</w:t>
      </w:r>
      <w:r w:rsidR="00626401">
        <w:t xml:space="preserve"> or you cannot reduce the risk sufficiently in an economic</w:t>
      </w:r>
      <w:r w:rsidR="4715839F">
        <w:t>al, timely</w:t>
      </w:r>
      <w:r w:rsidR="00626401">
        <w:t xml:space="preserve"> and effective fashion</w:t>
      </w:r>
      <w:r w:rsidR="00A86120">
        <w:t xml:space="preserve"> or avoiding the risk by redefining the objective and/or the activity</w:t>
      </w:r>
      <w:r w:rsidR="00E270C4">
        <w:t xml:space="preserve">. </w:t>
      </w:r>
      <w:r w:rsidR="00383C62">
        <w:t xml:space="preserve">Risk owners are responsible for making the resources needed to manage risks available and for putting </w:t>
      </w:r>
      <w:r w:rsidR="004C636A">
        <w:t>the agreed controls</w:t>
      </w:r>
      <w:r w:rsidR="00383C62">
        <w:t xml:space="preserve"> in place.</w:t>
      </w:r>
    </w:p>
    <w:p w14:paraId="3164F802" w14:textId="3DF7A427" w:rsidR="000C1C75" w:rsidRDefault="006C7235" w:rsidP="00CF17BF">
      <w:pPr>
        <w:pStyle w:val="ListParagraph"/>
        <w:numPr>
          <w:ilvl w:val="2"/>
          <w:numId w:val="7"/>
        </w:numPr>
        <w:ind w:left="709"/>
      </w:pPr>
      <w:r>
        <w:t xml:space="preserve">If the score is </w:t>
      </w:r>
      <w:r w:rsidR="00B64AAA">
        <w:rPr>
          <w:b/>
          <w:bCs/>
        </w:rPr>
        <w:t>within</w:t>
      </w:r>
      <w:r>
        <w:t xml:space="preserve"> the risk appetite, </w:t>
      </w:r>
      <w:r w:rsidR="004F3A7B">
        <w:t xml:space="preserve">consider if all the controls that you have in place are necessary. It may be possible and appropriate to </w:t>
      </w:r>
      <w:r w:rsidR="00E270C4">
        <w:t>relax the control environment, b</w:t>
      </w:r>
      <w:r w:rsidR="004F3A7B">
        <w:t xml:space="preserve">ut </w:t>
      </w:r>
      <w:r w:rsidR="00626401">
        <w:t>you should always seek to control risks if it is economic</w:t>
      </w:r>
      <w:r w:rsidR="2489EA54">
        <w:t>ally viable</w:t>
      </w:r>
      <w:r w:rsidR="00626401">
        <w:t xml:space="preserve"> and effective to do so.</w:t>
      </w:r>
    </w:p>
    <w:p w14:paraId="60A71E10" w14:textId="17F21805" w:rsidR="00467AA0" w:rsidRDefault="00E66BD2" w:rsidP="00CF17BF">
      <w:pPr>
        <w:pStyle w:val="ListParagraph"/>
        <w:numPr>
          <w:ilvl w:val="2"/>
          <w:numId w:val="7"/>
        </w:numPr>
        <w:ind w:left="709"/>
      </w:pPr>
      <w:r>
        <w:lastRenderedPageBreak/>
        <w:t>Follow the usual ERM practices</w:t>
      </w:r>
      <w:r w:rsidR="00383C62">
        <w:t>, document the process and your decisions clearly</w:t>
      </w:r>
      <w:r>
        <w:t xml:space="preserve"> and k</w:t>
      </w:r>
      <w:r w:rsidR="00467AA0">
        <w:t>eep the risks and their sc</w:t>
      </w:r>
      <w:r w:rsidR="004E5A52">
        <w:t>o</w:t>
      </w:r>
      <w:r w:rsidR="00467AA0">
        <w:t>res under review</w:t>
      </w:r>
      <w:r>
        <w:t xml:space="preserve">. They </w:t>
      </w:r>
      <w:r w:rsidR="00467AA0">
        <w:t>may change and so the level agains</w:t>
      </w:r>
      <w:r>
        <w:t>t</w:t>
      </w:r>
      <w:r w:rsidR="00467AA0">
        <w:t xml:space="preserve"> the appetite may change</w:t>
      </w:r>
      <w:r>
        <w:t xml:space="preserve"> and your risk controls may need to change</w:t>
      </w:r>
      <w:r w:rsidR="00467AA0">
        <w:t>.</w:t>
      </w:r>
      <w:r w:rsidR="00383C62">
        <w:t xml:space="preserve"> The reasons for these changes should also be documented to explain your decisions and for transparency.</w:t>
      </w:r>
    </w:p>
    <w:p w14:paraId="7DCD6550" w14:textId="3AEE9E60" w:rsidR="004C5060" w:rsidRDefault="004C5060" w:rsidP="004C5060">
      <w:r>
        <w:t>The process is summarized in the flow chart below.</w:t>
      </w:r>
    </w:p>
    <w:p w14:paraId="6F3EA4E2" w14:textId="2B5CE1CF" w:rsidR="0079491E" w:rsidRDefault="0079491E" w:rsidP="004C5060">
      <w:r>
        <w:rPr>
          <w:noProof/>
        </w:rPr>
        <w:drawing>
          <wp:inline distT="0" distB="0" distL="0" distR="0" wp14:anchorId="056DA90B" wp14:editId="29D108F1">
            <wp:extent cx="6039630" cy="3512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39630" cy="3512820"/>
                    </a:xfrm>
                    <a:prstGeom prst="rect">
                      <a:avLst/>
                    </a:prstGeom>
                  </pic:spPr>
                </pic:pic>
              </a:graphicData>
            </a:graphic>
          </wp:inline>
        </w:drawing>
      </w:r>
    </w:p>
    <w:p w14:paraId="47DEEF1D" w14:textId="2424D5EA" w:rsidR="00790125" w:rsidRDefault="000C4828" w:rsidP="003F0B20">
      <w:pPr>
        <w:pStyle w:val="Heading1"/>
        <w:numPr>
          <w:ilvl w:val="0"/>
          <w:numId w:val="7"/>
        </w:numPr>
        <w:ind w:left="357" w:hanging="357"/>
      </w:pPr>
      <w:bookmarkStart w:id="38" w:name="_Toc65688854"/>
      <w:r>
        <w:t xml:space="preserve">Applying </w:t>
      </w:r>
      <w:r w:rsidR="00962DB1">
        <w:t>the r</w:t>
      </w:r>
      <w:r w:rsidR="00117AC3" w:rsidRPr="00051D44">
        <w:t>isk appetite statement</w:t>
      </w:r>
      <w:bookmarkEnd w:id="14"/>
      <w:bookmarkEnd w:id="38"/>
    </w:p>
    <w:p w14:paraId="18B57B85" w14:textId="5E0B6E5D" w:rsidR="003226B6" w:rsidRDefault="000C6910" w:rsidP="00AE7753">
      <w:r>
        <w:t xml:space="preserve">As illustrated in </w:t>
      </w:r>
      <w:r w:rsidR="00940657">
        <w:t>the Risk Appetite Statement, UNDP has</w:t>
      </w:r>
      <w:r w:rsidR="00790125">
        <w:t xml:space="preserve"> set out eight areas </w:t>
      </w:r>
      <w:r w:rsidR="00AE7753">
        <w:t>over which</w:t>
      </w:r>
      <w:r w:rsidR="00790125">
        <w:t xml:space="preserve"> the </w:t>
      </w:r>
      <w:r w:rsidR="00AE7753">
        <w:t>risk appetite</w:t>
      </w:r>
      <w:r w:rsidR="00790125">
        <w:t xml:space="preserve"> has been defined</w:t>
      </w:r>
      <w:r w:rsidR="00940657">
        <w:t xml:space="preserve"> (Annex 2)</w:t>
      </w:r>
      <w:r w:rsidR="00AE7753">
        <w:t xml:space="preserve">. </w:t>
      </w:r>
      <w:r w:rsidR="00ED19C0">
        <w:t>T</w:t>
      </w:r>
      <w:r w:rsidR="00BF2E2C">
        <w:t xml:space="preserve">o help you </w:t>
      </w:r>
      <w:r w:rsidR="000C4828">
        <w:t xml:space="preserve">understand and </w:t>
      </w:r>
      <w:r w:rsidR="00BF2E2C">
        <w:t>apply the RAS</w:t>
      </w:r>
      <w:r w:rsidR="000C4828">
        <w:t xml:space="preserve"> in practice, in this section, we will </w:t>
      </w:r>
      <w:r w:rsidR="008B12BA">
        <w:t xml:space="preserve">use </w:t>
      </w:r>
      <w:r w:rsidR="008948D9">
        <w:t xml:space="preserve">two </w:t>
      </w:r>
      <w:r w:rsidR="008B12BA">
        <w:t>example</w:t>
      </w:r>
      <w:r w:rsidR="008948D9">
        <w:t>s</w:t>
      </w:r>
      <w:r w:rsidR="004079DF">
        <w:t>.</w:t>
      </w:r>
    </w:p>
    <w:p w14:paraId="486D5C7B" w14:textId="77777777" w:rsidR="008948D9" w:rsidRPr="00513FC1" w:rsidRDefault="008948D9" w:rsidP="00ED19C0">
      <w:pPr>
        <w:rPr>
          <w:b/>
          <w:u w:val="single"/>
        </w:rPr>
      </w:pPr>
      <w:r w:rsidRPr="00513FC1">
        <w:rPr>
          <w:b/>
          <w:u w:val="single"/>
        </w:rPr>
        <w:t>Example 1:</w:t>
      </w:r>
    </w:p>
    <w:p w14:paraId="05FA568C" w14:textId="76B85E8C" w:rsidR="00302B2D" w:rsidRDefault="00526443" w:rsidP="00ED19C0">
      <w:r>
        <w:t xml:space="preserve">UNDP </w:t>
      </w:r>
      <w:r w:rsidR="008948D9">
        <w:t xml:space="preserve">Oceania CO </w:t>
      </w:r>
      <w:r w:rsidR="00B47A56">
        <w:t>wants</w:t>
      </w:r>
      <w:r>
        <w:t xml:space="preserve"> to open </w:t>
      </w:r>
      <w:r w:rsidR="008948D9">
        <w:t xml:space="preserve">a project </w:t>
      </w:r>
      <w:r w:rsidR="004079DF">
        <w:t>presence</w:t>
      </w:r>
      <w:r w:rsidR="008948D9">
        <w:t xml:space="preserve"> in a post-conflict mountainous region called Terra</w:t>
      </w:r>
      <w:r w:rsidR="00ED19C0">
        <w:t>.</w:t>
      </w:r>
      <w:r w:rsidR="00302B2D">
        <w:t xml:space="preserve"> Despite Oceania’s remarkable achievements, development challenges remain, including persistent disparities of ethnicity, </w:t>
      </w:r>
      <w:proofErr w:type="gramStart"/>
      <w:r w:rsidR="00302B2D">
        <w:t>gender</w:t>
      </w:r>
      <w:proofErr w:type="gramEnd"/>
      <w:r w:rsidR="00302B2D">
        <w:rPr>
          <w:w w:val="99"/>
        </w:rPr>
        <w:t xml:space="preserve"> </w:t>
      </w:r>
      <w:r w:rsidR="00302B2D">
        <w:t xml:space="preserve">and locality. </w:t>
      </w:r>
      <w:r w:rsidR="00B47A56">
        <w:t>Th</w:t>
      </w:r>
      <w:r w:rsidR="00302B2D">
        <w:t>ree quarters of the population are near poor lacking resilience to shocks.</w:t>
      </w:r>
      <w:r w:rsidR="00302B2D">
        <w:rPr>
          <w:position w:val="9"/>
          <w:sz w:val="13"/>
        </w:rPr>
        <w:t xml:space="preserve"> </w:t>
      </w:r>
      <w:r w:rsidR="00302B2D">
        <w:t xml:space="preserve">New forms of social, </w:t>
      </w:r>
      <w:proofErr w:type="gramStart"/>
      <w:r w:rsidR="00302B2D">
        <w:t>economic</w:t>
      </w:r>
      <w:proofErr w:type="gramEnd"/>
      <w:r w:rsidR="00302B2D">
        <w:t xml:space="preserve"> and environmental</w:t>
      </w:r>
      <w:r w:rsidR="00302B2D">
        <w:rPr>
          <w:w w:val="99"/>
        </w:rPr>
        <w:t xml:space="preserve"> </w:t>
      </w:r>
      <w:r w:rsidR="00302B2D">
        <w:t xml:space="preserve">deprivation have emerged </w:t>
      </w:r>
      <w:r w:rsidR="003B60EF">
        <w:t>due to the civil war</w:t>
      </w:r>
      <w:r w:rsidR="00302B2D">
        <w:t xml:space="preserve">, affecting </w:t>
      </w:r>
      <w:r w:rsidR="00334CEB">
        <w:t>labor</w:t>
      </w:r>
      <w:r w:rsidR="00302B2D">
        <w:t xml:space="preserve"> migrants and informal sector workers,</w:t>
      </w:r>
      <w:r w:rsidR="00302B2D">
        <w:rPr>
          <w:w w:val="99"/>
        </w:rPr>
        <w:t xml:space="preserve"> </w:t>
      </w:r>
      <w:r w:rsidR="00302B2D">
        <w:t>particularly women.</w:t>
      </w:r>
    </w:p>
    <w:p w14:paraId="373C1727" w14:textId="42F9470A" w:rsidR="009973F4" w:rsidRPr="009973F4" w:rsidRDefault="002430C5" w:rsidP="009973F4">
      <w:pPr>
        <w:spacing w:before="4"/>
      </w:pPr>
      <w:r>
        <w:t>Y</w:t>
      </w:r>
      <w:r w:rsidR="001D1406">
        <w:t>ou have been assigned as the</w:t>
      </w:r>
      <w:r w:rsidR="004079DF">
        <w:t xml:space="preserve"> Programme Officer/CO</w:t>
      </w:r>
      <w:r w:rsidR="001D1406">
        <w:t xml:space="preserve"> focal point to lead this process. </w:t>
      </w:r>
      <w:proofErr w:type="gramStart"/>
      <w:r w:rsidR="001D1406">
        <w:t xml:space="preserve">Before establishing </w:t>
      </w:r>
      <w:r w:rsidR="004079DF">
        <w:t>the project office</w:t>
      </w:r>
      <w:r w:rsidR="001D1406">
        <w:t>, t</w:t>
      </w:r>
      <w:r w:rsidR="00526443">
        <w:t>here</w:t>
      </w:r>
      <w:proofErr w:type="gramEnd"/>
      <w:r w:rsidR="00526443">
        <w:t xml:space="preserve"> are many </w:t>
      </w:r>
      <w:r w:rsidR="00302B2D">
        <w:t>aspects that</w:t>
      </w:r>
      <w:r w:rsidR="00526443">
        <w:t xml:space="preserve"> need to be </w:t>
      </w:r>
      <w:r w:rsidR="00302B2D">
        <w:t>considered</w:t>
      </w:r>
      <w:r w:rsidR="00526443">
        <w:t>, all of which bring both opportunities and risks</w:t>
      </w:r>
      <w:r w:rsidR="00526443" w:rsidRPr="009973F4">
        <w:t>.</w:t>
      </w:r>
      <w:r w:rsidR="009973F4" w:rsidRPr="009973F4">
        <w:t xml:space="preserve"> These could </w:t>
      </w:r>
      <w:r w:rsidR="009973F4" w:rsidRPr="6042ECF1">
        <w:t xml:space="preserve">include </w:t>
      </w:r>
      <w:r w:rsidR="009973F4" w:rsidRPr="6042ECF1">
        <w:rPr>
          <w:rFonts w:eastAsia="Times New Roman"/>
        </w:rPr>
        <w:t>Government support and agreement to establish an office, key</w:t>
      </w:r>
      <w:r w:rsidR="004079DF">
        <w:rPr>
          <w:rFonts w:eastAsia="Times New Roman"/>
        </w:rPr>
        <w:t xml:space="preserve"> </w:t>
      </w:r>
      <w:proofErr w:type="gramStart"/>
      <w:r w:rsidR="004079DF">
        <w:rPr>
          <w:rFonts w:eastAsia="Times New Roman"/>
        </w:rPr>
        <w:t>stakeholders</w:t>
      </w:r>
      <w:proofErr w:type="gramEnd"/>
      <w:r w:rsidR="004079DF">
        <w:rPr>
          <w:rFonts w:eastAsia="Times New Roman"/>
        </w:rPr>
        <w:t xml:space="preserve"> and</w:t>
      </w:r>
      <w:r w:rsidR="009973F4" w:rsidRPr="6042ECF1">
        <w:rPr>
          <w:rFonts w:eastAsia="Times New Roman"/>
        </w:rPr>
        <w:t xml:space="preserve"> donors buy-in for the </w:t>
      </w:r>
      <w:r w:rsidR="004079DF">
        <w:rPr>
          <w:rFonts w:eastAsia="Times New Roman"/>
        </w:rPr>
        <w:t>project presence</w:t>
      </w:r>
      <w:r w:rsidR="004079DF" w:rsidRPr="6042ECF1">
        <w:rPr>
          <w:rFonts w:eastAsia="Times New Roman"/>
        </w:rPr>
        <w:t xml:space="preserve"> </w:t>
      </w:r>
      <w:r w:rsidR="009973F4" w:rsidRPr="6042ECF1">
        <w:rPr>
          <w:rFonts w:eastAsia="Times New Roman"/>
        </w:rPr>
        <w:t xml:space="preserve">establishment, </w:t>
      </w:r>
      <w:r w:rsidR="009973F4">
        <w:t>s</w:t>
      </w:r>
      <w:r w:rsidR="009973F4" w:rsidRPr="009973F4">
        <w:t xml:space="preserve">ecurity </w:t>
      </w:r>
      <w:r w:rsidR="7DF9F8AA">
        <w:t>and safety concerns</w:t>
      </w:r>
      <w:r w:rsidR="009973F4" w:rsidRPr="6042ECF1">
        <w:rPr>
          <w:rFonts w:eastAsia="Times New Roman"/>
        </w:rPr>
        <w:t xml:space="preserve">, office setup and operational requirements (procurement, legal, HR, </w:t>
      </w:r>
      <w:r w:rsidR="00E01962" w:rsidRPr="6042ECF1">
        <w:rPr>
          <w:rFonts w:eastAsia="Times New Roman"/>
        </w:rPr>
        <w:t>etc.</w:t>
      </w:r>
      <w:r w:rsidR="009973F4" w:rsidRPr="6042ECF1">
        <w:rPr>
          <w:rFonts w:eastAsia="Times New Roman"/>
        </w:rPr>
        <w:t>)</w:t>
      </w:r>
      <w:r w:rsidR="009973F4" w:rsidRPr="6042ECF1">
        <w:t xml:space="preserve">, </w:t>
      </w:r>
      <w:r w:rsidR="009973F4" w:rsidRPr="6042ECF1">
        <w:rPr>
          <w:rFonts w:eastAsia="Times New Roman"/>
        </w:rPr>
        <w:t>financial investments, implications, and sustainability</w:t>
      </w:r>
      <w:r w:rsidR="009973F4" w:rsidRPr="6042ECF1">
        <w:t xml:space="preserve">, </w:t>
      </w:r>
      <w:r w:rsidR="009973F4" w:rsidRPr="009973F4">
        <w:t xml:space="preserve">UNDP’s programmatic offer and </w:t>
      </w:r>
      <w:r w:rsidR="009973F4">
        <w:t>r</w:t>
      </w:r>
      <w:r w:rsidR="009973F4" w:rsidRPr="009973F4">
        <w:t xml:space="preserve">esource </w:t>
      </w:r>
      <w:r w:rsidR="009973F4">
        <w:t>m</w:t>
      </w:r>
      <w:r w:rsidR="009973F4" w:rsidRPr="009973F4">
        <w:t>obilization</w:t>
      </w:r>
      <w:r w:rsidR="009973F4" w:rsidRPr="6042ECF1">
        <w:t xml:space="preserve">, </w:t>
      </w:r>
      <w:r w:rsidR="009973F4" w:rsidRPr="009973F4">
        <w:rPr>
          <w:rFonts w:ascii="Times New Roman" w:eastAsia="Times New Roman" w:hAnsi="Times New Roman" w:cs="Times New Roman"/>
          <w:b/>
          <w:bCs/>
        </w:rPr>
        <w:lastRenderedPageBreak/>
        <w:t>c</w:t>
      </w:r>
      <w:r w:rsidR="009973F4" w:rsidRPr="009973F4">
        <w:t>ompetition and UNDP’s competitive edge</w:t>
      </w:r>
      <w:r w:rsidR="009973F4" w:rsidRPr="6042ECF1">
        <w:t>, p</w:t>
      </w:r>
      <w:r w:rsidR="009973F4" w:rsidRPr="6042ECF1">
        <w:rPr>
          <w:rFonts w:eastAsia="Times New Roman"/>
        </w:rPr>
        <w:t>artnerships and implementation modalities including social and environmental concerns.</w:t>
      </w:r>
      <w:r w:rsidR="009973F4" w:rsidRPr="009973F4">
        <w:t xml:space="preserve"> </w:t>
      </w:r>
    </w:p>
    <w:p w14:paraId="22218F1C" w14:textId="24D7ECB2" w:rsidR="002430C5" w:rsidRDefault="00567E72" w:rsidP="00567E72">
      <w:r>
        <w:t xml:space="preserve">Looking at these aspects, what are the possible risks associated with the </w:t>
      </w:r>
      <w:r w:rsidR="004079DF">
        <w:t>establishment of a project presence</w:t>
      </w:r>
      <w:r>
        <w:t xml:space="preserve">? What are the threats that may impact on your objectives and what are the opportunities that you can capitalize on to establish </w:t>
      </w:r>
      <w:r w:rsidR="004079DF">
        <w:t>UNDP’s presence</w:t>
      </w:r>
      <w:r>
        <w:t xml:space="preserve"> in </w:t>
      </w:r>
      <w:r w:rsidR="004079DF">
        <w:t>Terra</w:t>
      </w:r>
      <w:r>
        <w:t xml:space="preserve">? To support you in this, we will select few risks, </w:t>
      </w:r>
      <w:proofErr w:type="gramStart"/>
      <w:r>
        <w:t>assess</w:t>
      </w:r>
      <w:proofErr w:type="gramEnd"/>
      <w:r>
        <w:t xml:space="preserve"> and match them against the risk appetite for the relevant category to evaluate whether the current level of risk is within the risk appetite or exceeds it and what it is then appropriate and cost effective to do to manage the risk. W</w:t>
      </w:r>
      <w:r w:rsidR="002430C5">
        <w:t>e are going to concentrate on financial, reputational</w:t>
      </w:r>
      <w:r w:rsidR="00E427EE">
        <w:t>,</w:t>
      </w:r>
      <w:r w:rsidR="00FC09D5">
        <w:t xml:space="preserve"> </w:t>
      </w:r>
      <w:r w:rsidR="00FC18E5">
        <w:t>o</w:t>
      </w:r>
      <w:r w:rsidR="00FC09D5">
        <w:t>perational,</w:t>
      </w:r>
      <w:r w:rsidR="00FC18E5">
        <w:t xml:space="preserve"> </w:t>
      </w:r>
      <w:r w:rsidR="002430C5">
        <w:t xml:space="preserve">and </w:t>
      </w:r>
      <w:r w:rsidRPr="00E427EE">
        <w:t>social and environmental</w:t>
      </w:r>
      <w:r w:rsidR="002430C5">
        <w:t xml:space="preserve"> risks</w:t>
      </w:r>
      <w:r>
        <w:t>.</w:t>
      </w:r>
    </w:p>
    <w:p w14:paraId="0B6C2228" w14:textId="1F810228" w:rsidR="002430C5" w:rsidRDefault="00843C08" w:rsidP="00AE7753">
      <w:r>
        <w:t xml:space="preserve">The </w:t>
      </w:r>
      <w:r w:rsidR="00567E72">
        <w:t xml:space="preserve">budget to establish </w:t>
      </w:r>
      <w:r w:rsidR="004079DF">
        <w:t xml:space="preserve">a project </w:t>
      </w:r>
      <w:r w:rsidR="00C959F3">
        <w:t>presence</w:t>
      </w:r>
      <w:r>
        <w:t xml:space="preserve"> based on </w:t>
      </w:r>
      <w:r w:rsidR="00567E72">
        <w:t>an initial cost estimate</w:t>
      </w:r>
      <w:r w:rsidR="00C959F3">
        <w:t xml:space="preserve"> when the proposal was prepared</w:t>
      </w:r>
      <w:r w:rsidR="00567E72">
        <w:t xml:space="preserve">. You </w:t>
      </w:r>
      <w:r>
        <w:t xml:space="preserve">are now </w:t>
      </w:r>
      <w:r w:rsidR="00567E72">
        <w:t xml:space="preserve">on the ground and have carried out in-depth market research and analysis and </w:t>
      </w:r>
      <w:r>
        <w:t>the level of uncertainty around the</w:t>
      </w:r>
      <w:r w:rsidR="00567E72">
        <w:t xml:space="preserve"> actual costs of the </w:t>
      </w:r>
      <w:r w:rsidR="00C959F3">
        <w:t xml:space="preserve">project presence </w:t>
      </w:r>
      <w:r w:rsidR="00567E72">
        <w:t>establishment</w:t>
      </w:r>
      <w:r>
        <w:t xml:space="preserve"> is becoming clear.</w:t>
      </w:r>
      <w:r w:rsidR="00C455AC">
        <w:t xml:space="preserve"> </w:t>
      </w:r>
      <w:r w:rsidR="00A8410B">
        <w:t xml:space="preserve">You are particularly concerned </w:t>
      </w:r>
      <w:r w:rsidR="00567E72">
        <w:t>that rental</w:t>
      </w:r>
      <w:r w:rsidR="00C570EB">
        <w:t>, office</w:t>
      </w:r>
      <w:r w:rsidR="00567E72">
        <w:t xml:space="preserve"> renovation</w:t>
      </w:r>
      <w:r w:rsidR="00C570EB">
        <w:t xml:space="preserve"> and ICT infrastructure</w:t>
      </w:r>
      <w:r w:rsidR="00567E72">
        <w:t xml:space="preserve"> and security mitigation </w:t>
      </w:r>
      <w:r w:rsidR="00C570EB">
        <w:t xml:space="preserve">measures </w:t>
      </w:r>
      <w:r w:rsidR="00567E72">
        <w:t>costs may exceed the assigned budget.</w:t>
      </w:r>
      <w:r w:rsidR="00A8410B">
        <w:t xml:space="preserve"> You have summarized the risk as follows</w:t>
      </w:r>
      <w:r w:rsidR="00C455AC">
        <w:t>:</w:t>
      </w:r>
    </w:p>
    <w:tbl>
      <w:tblPr>
        <w:tblStyle w:val="TableGrid"/>
        <w:tblW w:w="9355" w:type="dxa"/>
        <w:tblLook w:val="04A0" w:firstRow="1" w:lastRow="0" w:firstColumn="1" w:lastColumn="0" w:noHBand="0" w:noVBand="1"/>
      </w:tblPr>
      <w:tblGrid>
        <w:gridCol w:w="3118"/>
        <w:gridCol w:w="3118"/>
        <w:gridCol w:w="3119"/>
      </w:tblGrid>
      <w:tr w:rsidR="00301691" w14:paraId="36A9DA6C" w14:textId="77777777" w:rsidTr="00301691">
        <w:tc>
          <w:tcPr>
            <w:tcW w:w="3118" w:type="dxa"/>
          </w:tcPr>
          <w:p w14:paraId="068ACE28" w14:textId="56B84468" w:rsidR="00301691" w:rsidRDefault="00301691" w:rsidP="00301691">
            <w:pPr>
              <w:rPr>
                <w:b/>
                <w:bCs/>
              </w:rPr>
            </w:pPr>
            <w:r>
              <w:rPr>
                <w:b/>
                <w:bCs/>
              </w:rPr>
              <w:t>Event</w:t>
            </w:r>
          </w:p>
          <w:p w14:paraId="024E8406" w14:textId="104C866D" w:rsidR="00301691" w:rsidRPr="00843C08" w:rsidRDefault="00B55137" w:rsidP="00301691">
            <w:r>
              <w:t>The funds/budget to establish the project presence may be insufficient</w:t>
            </w:r>
          </w:p>
        </w:tc>
        <w:tc>
          <w:tcPr>
            <w:tcW w:w="3118" w:type="dxa"/>
          </w:tcPr>
          <w:p w14:paraId="09FE1FAA" w14:textId="77777777" w:rsidR="00301691" w:rsidRDefault="00301691" w:rsidP="00301691">
            <w:pPr>
              <w:rPr>
                <w:b/>
                <w:bCs/>
              </w:rPr>
            </w:pPr>
            <w:r>
              <w:rPr>
                <w:b/>
                <w:bCs/>
              </w:rPr>
              <w:t>Cause</w:t>
            </w:r>
          </w:p>
          <w:p w14:paraId="7F80AC38" w14:textId="77777777" w:rsidR="00BA48E6" w:rsidRDefault="00BA48E6" w:rsidP="00BA48E6">
            <w:r>
              <w:t>Variance on building rental, renovation and security and running costs</w:t>
            </w:r>
          </w:p>
          <w:p w14:paraId="694259D3" w14:textId="77777777" w:rsidR="00301691" w:rsidRDefault="00301691" w:rsidP="00301691"/>
          <w:p w14:paraId="5BF5B00B" w14:textId="317CF5E1" w:rsidR="00301691" w:rsidRDefault="00301691" w:rsidP="00301691">
            <w:pPr>
              <w:rPr>
                <w:b/>
                <w:bCs/>
              </w:rPr>
            </w:pPr>
            <w:r w:rsidRPr="00971669">
              <w:rPr>
                <w:b/>
                <w:bCs/>
              </w:rPr>
              <w:t>Likelihood</w:t>
            </w:r>
            <w:r>
              <w:rPr>
                <w:b/>
                <w:bCs/>
              </w:rPr>
              <w:t>:</w:t>
            </w:r>
            <w:r>
              <w:t xml:space="preserve"> 3 – Moderately likely</w:t>
            </w:r>
          </w:p>
        </w:tc>
        <w:tc>
          <w:tcPr>
            <w:tcW w:w="3119" w:type="dxa"/>
          </w:tcPr>
          <w:p w14:paraId="7E1CD309" w14:textId="76253D78" w:rsidR="00301691" w:rsidRDefault="00301691" w:rsidP="00301691">
            <w:pPr>
              <w:rPr>
                <w:b/>
                <w:bCs/>
              </w:rPr>
            </w:pPr>
            <w:r>
              <w:rPr>
                <w:b/>
                <w:bCs/>
              </w:rPr>
              <w:t xml:space="preserve">Impact </w:t>
            </w:r>
          </w:p>
          <w:p w14:paraId="4D93C6C8" w14:textId="77777777" w:rsidR="005518C2" w:rsidRDefault="005518C2" w:rsidP="005518C2">
            <w:pPr>
              <w:pStyle w:val="ListParagraph"/>
              <w:numPr>
                <w:ilvl w:val="0"/>
                <w:numId w:val="35"/>
              </w:numPr>
            </w:pPr>
            <w:r>
              <w:t>Potential budget increase of up to 25%</w:t>
            </w:r>
          </w:p>
          <w:p w14:paraId="393DBE40" w14:textId="77777777" w:rsidR="005518C2" w:rsidRDefault="005518C2" w:rsidP="005518C2">
            <w:pPr>
              <w:pStyle w:val="ListParagraph"/>
              <w:numPr>
                <w:ilvl w:val="0"/>
                <w:numId w:val="35"/>
              </w:numPr>
            </w:pPr>
            <w:r>
              <w:t>Cannot set up the project presence in the agreed time</w:t>
            </w:r>
          </w:p>
          <w:p w14:paraId="4D16E85F" w14:textId="77777777" w:rsidR="00301691" w:rsidRDefault="00301691" w:rsidP="00301691"/>
          <w:p w14:paraId="192B8C16" w14:textId="38E26DF9" w:rsidR="00301691" w:rsidRPr="00A41D96" w:rsidRDefault="00301691" w:rsidP="00301691">
            <w:pPr>
              <w:tabs>
                <w:tab w:val="left" w:pos="357"/>
              </w:tabs>
            </w:pPr>
            <w:r w:rsidRPr="00971669">
              <w:rPr>
                <w:b/>
                <w:bCs/>
              </w:rPr>
              <w:t>Impact</w:t>
            </w:r>
            <w:r>
              <w:rPr>
                <w:b/>
                <w:bCs/>
              </w:rPr>
              <w:t>:</w:t>
            </w:r>
            <w:r>
              <w:t xml:space="preserve"> 3 - Intermediate</w:t>
            </w:r>
          </w:p>
        </w:tc>
      </w:tr>
      <w:tr w:rsidR="00301691" w14:paraId="37D2C952" w14:textId="77777777" w:rsidTr="00301691">
        <w:tc>
          <w:tcPr>
            <w:tcW w:w="3118" w:type="dxa"/>
          </w:tcPr>
          <w:p w14:paraId="5A93EC84" w14:textId="576BBFB6" w:rsidR="00301691" w:rsidRDefault="00301691" w:rsidP="00301691">
            <w:pPr>
              <w:rPr>
                <w:b/>
                <w:bCs/>
              </w:rPr>
            </w:pPr>
            <w:r>
              <w:rPr>
                <w:b/>
                <w:bCs/>
              </w:rPr>
              <w:t xml:space="preserve">Risk appetite (financial): </w:t>
            </w:r>
            <w:r>
              <w:t>Minimal to cautious</w:t>
            </w:r>
          </w:p>
        </w:tc>
        <w:tc>
          <w:tcPr>
            <w:tcW w:w="3118" w:type="dxa"/>
          </w:tcPr>
          <w:p w14:paraId="21F186BE" w14:textId="1D934755" w:rsidR="00301691" w:rsidRDefault="00301691" w:rsidP="00301691">
            <w:pPr>
              <w:rPr>
                <w:b/>
                <w:bCs/>
              </w:rPr>
            </w:pPr>
            <w:r w:rsidRPr="00A8410B">
              <w:rPr>
                <w:b/>
                <w:bCs/>
              </w:rPr>
              <w:t xml:space="preserve">Risk </w:t>
            </w:r>
            <w:r>
              <w:rPr>
                <w:b/>
                <w:bCs/>
              </w:rPr>
              <w:t>level</w:t>
            </w:r>
            <w:r w:rsidRPr="00A8410B">
              <w:rPr>
                <w:b/>
                <w:bCs/>
              </w:rPr>
              <w:t xml:space="preserve">: </w:t>
            </w:r>
          </w:p>
          <w:p w14:paraId="178F0AAC" w14:textId="49CADDDF" w:rsidR="00301691" w:rsidRDefault="00301691" w:rsidP="00301691">
            <w:pPr>
              <w:rPr>
                <w:b/>
                <w:bCs/>
              </w:rPr>
            </w:pPr>
            <w:r>
              <w:t>Moderate</w:t>
            </w:r>
          </w:p>
        </w:tc>
        <w:tc>
          <w:tcPr>
            <w:tcW w:w="3119" w:type="dxa"/>
          </w:tcPr>
          <w:p w14:paraId="63496E66" w14:textId="4D1705AE" w:rsidR="00301691" w:rsidRDefault="00301691" w:rsidP="00301691">
            <w:pPr>
              <w:rPr>
                <w:b/>
                <w:bCs/>
              </w:rPr>
            </w:pPr>
            <w:r>
              <w:rPr>
                <w:b/>
                <w:bCs/>
              </w:rPr>
              <w:t>Risk category and sub-category:</w:t>
            </w:r>
          </w:p>
          <w:p w14:paraId="30B92AAB" w14:textId="78CFDDE0" w:rsidR="00301691" w:rsidRDefault="00301691" w:rsidP="00301691">
            <w:r>
              <w:t>2. Financial</w:t>
            </w:r>
          </w:p>
          <w:p w14:paraId="77E56EA6" w14:textId="526144A2" w:rsidR="00301691" w:rsidRPr="004C636A" w:rsidRDefault="00301691" w:rsidP="00301691">
            <w:r>
              <w:t>2.5. Delivery</w:t>
            </w:r>
          </w:p>
        </w:tc>
      </w:tr>
    </w:tbl>
    <w:p w14:paraId="71B7EACB" w14:textId="5FBFFFEB" w:rsidR="00843C08" w:rsidRDefault="00843C08" w:rsidP="00AE7753"/>
    <w:p w14:paraId="63C9BA6D" w14:textId="5477826F" w:rsidR="00C455AC" w:rsidRDefault="00A8410B" w:rsidP="00AE7753">
      <w:r>
        <w:t>Y</w:t>
      </w:r>
      <w:r w:rsidR="00C455AC">
        <w:t xml:space="preserve">ou have </w:t>
      </w:r>
      <w:r>
        <w:t>used the ERM m</w:t>
      </w:r>
      <w:r w:rsidR="00C455AC">
        <w:t>e</w:t>
      </w:r>
      <w:r>
        <w:t>thodology to calculate the risk scores and have both an impact and likelihood score of 3. This gives</w:t>
      </w:r>
      <w:r w:rsidR="005C7551">
        <w:t xml:space="preserve"> an overall risk significance of ‘moderate’ (Annex </w:t>
      </w:r>
      <w:r w:rsidR="00A14202">
        <w:t>3</w:t>
      </w:r>
      <w:r w:rsidR="005C7551">
        <w:t>)</w:t>
      </w:r>
      <w:r>
        <w:t>,</w:t>
      </w:r>
      <w:r w:rsidR="005C7551">
        <w:t xml:space="preserve"> which equates to a risk appetite of ‘exploratory’. </w:t>
      </w:r>
      <w:r w:rsidR="00891773">
        <w:t>You have also determined that the risk category (from the risk column) is financial</w:t>
      </w:r>
      <w:r w:rsidR="00F14F81">
        <w:t xml:space="preserve"> (Annex 1)</w:t>
      </w:r>
      <w:r w:rsidR="00891773">
        <w:t>; t</w:t>
      </w:r>
      <w:r w:rsidR="005C7551">
        <w:t xml:space="preserve">he risk appetite for financial risks is minimal to cautious (Annex </w:t>
      </w:r>
      <w:r w:rsidR="00E06E76">
        <w:t>2</w:t>
      </w:r>
      <w:r w:rsidR="005C7551">
        <w:t xml:space="preserve">) and so </w:t>
      </w:r>
      <w:proofErr w:type="gramStart"/>
      <w:r w:rsidR="005C7551">
        <w:t>it is clear that your</w:t>
      </w:r>
      <w:proofErr w:type="gramEnd"/>
      <w:r w:rsidR="005C7551">
        <w:t xml:space="preserve"> financial risks currently exceed UNDP’s risk appetite.</w:t>
      </w:r>
    </w:p>
    <w:p w14:paraId="5A81A6F3" w14:textId="76D2AC81" w:rsidR="005C7551" w:rsidRDefault="005C7551" w:rsidP="00AE7753">
      <w:r>
        <w:t>You now need to decide how to manage this risk to bring it within acceptable levels</w:t>
      </w:r>
      <w:r w:rsidR="004F5419">
        <w:t xml:space="preserve"> (reduce the likelihood to 1 and/or reduce the impact to a maximum of 2)</w:t>
      </w:r>
      <w:r>
        <w:t xml:space="preserve"> </w:t>
      </w:r>
      <w:r w:rsidR="00971669">
        <w:t xml:space="preserve">by changing your plans slightly, revisiting the office and renovation specifications </w:t>
      </w:r>
      <w:r>
        <w:t xml:space="preserve">OR </w:t>
      </w:r>
      <w:r w:rsidR="00C959F3">
        <w:t>increasing the initial budget</w:t>
      </w:r>
      <w:r w:rsidR="00863F9F">
        <w:t xml:space="preserve"> in</w:t>
      </w:r>
      <w:r w:rsidR="00C959F3">
        <w:t xml:space="preserve"> </w:t>
      </w:r>
      <w:r w:rsidR="00015491">
        <w:t xml:space="preserve">consultation with </w:t>
      </w:r>
      <w:r w:rsidR="00C959F3">
        <w:t>the CO</w:t>
      </w:r>
      <w:r w:rsidR="00015491">
        <w:t xml:space="preserve"> and key stakeholders</w:t>
      </w:r>
      <w:r w:rsidR="00863F9F">
        <w:t>/donors</w:t>
      </w:r>
      <w:r w:rsidR="00015491">
        <w:t xml:space="preserve"> because deviating from the original plan may cause reputational consequences for UNDP as they have committed to opening the </w:t>
      </w:r>
      <w:r w:rsidR="00C959F3">
        <w:t>project presence</w:t>
      </w:r>
      <w:r w:rsidR="00015491">
        <w:t xml:space="preserve"> within a fixed time-frame, shared with the government of Oceania</w:t>
      </w:r>
      <w:r w:rsidR="00C959F3">
        <w:t xml:space="preserve"> and</w:t>
      </w:r>
      <w:r w:rsidR="00863F9F">
        <w:t>, donors,</w:t>
      </w:r>
      <w:r w:rsidR="00C959F3">
        <w:t xml:space="preserve"> stakeholders</w:t>
      </w:r>
      <w:r w:rsidR="004F5419">
        <w:t xml:space="preserve">. Once you have put these </w:t>
      </w:r>
      <w:r w:rsidR="00C959F3">
        <w:t xml:space="preserve">treatment measures </w:t>
      </w:r>
      <w:r w:rsidR="004F5419">
        <w:t>in place, you will then need to keep monitoring the situation to ensure that the controls are working as expected and the risks are being kept at an acceptable level</w:t>
      </w:r>
      <w:r w:rsidR="00EA2E65">
        <w:t>, as you would for any risk</w:t>
      </w:r>
      <w:r w:rsidR="004F5419">
        <w:t>.</w:t>
      </w:r>
    </w:p>
    <w:p w14:paraId="1D554883" w14:textId="07D3B531" w:rsidR="004C50FC" w:rsidRDefault="00015491" w:rsidP="00AE7753">
      <w:r>
        <w:t xml:space="preserve">The government of </w:t>
      </w:r>
      <w:r w:rsidR="004F5419">
        <w:t>Oceania</w:t>
      </w:r>
      <w:r w:rsidR="00863F9F">
        <w:t xml:space="preserve"> and key stakeholders</w:t>
      </w:r>
      <w:r w:rsidR="004F5419">
        <w:t xml:space="preserve"> is delighted that UNDP has decided to have a </w:t>
      </w:r>
      <w:r w:rsidR="00863F9F">
        <w:t xml:space="preserve">project presence </w:t>
      </w:r>
      <w:r w:rsidR="004F5419">
        <w:t>in</w:t>
      </w:r>
      <w:r w:rsidR="00863F9F">
        <w:t xml:space="preserve"> Terra</w:t>
      </w:r>
      <w:r w:rsidR="006332BC">
        <w:t xml:space="preserve">; </w:t>
      </w:r>
      <w:r>
        <w:t>it</w:t>
      </w:r>
      <w:r w:rsidR="006332BC">
        <w:t xml:space="preserve"> </w:t>
      </w:r>
      <w:r w:rsidR="00FB2438">
        <w:t>believes</w:t>
      </w:r>
      <w:r w:rsidR="006332BC">
        <w:t xml:space="preserve"> that this reflects</w:t>
      </w:r>
      <w:r>
        <w:t xml:space="preserve"> UNDP’s continuous commitment to support Oceania in achieving its development goals. However, as UNDP is perceived as new player in the development arena in </w:t>
      </w:r>
      <w:r w:rsidR="00863F9F">
        <w:t>Terra region</w:t>
      </w:r>
      <w:r>
        <w:t xml:space="preserve">, it is thought that implementing partners, CSOs and local actors may challenge </w:t>
      </w:r>
      <w:r>
        <w:lastRenderedPageBreak/>
        <w:t xml:space="preserve">UNDP’s </w:t>
      </w:r>
      <w:r w:rsidR="00C570EB">
        <w:t xml:space="preserve">inclusive </w:t>
      </w:r>
      <w:r>
        <w:t>approach in implementing it programmatic activities and interventions</w:t>
      </w:r>
      <w:r w:rsidR="00C570EB">
        <w:t xml:space="preserve"> specially that there are several minority ethnic groups that live there, with little trust between them and the majority population of Oceania (Oceanics) </w:t>
      </w:r>
      <w:proofErr w:type="gramStart"/>
      <w:r w:rsidR="00C570EB">
        <w:t>in light of</w:t>
      </w:r>
      <w:proofErr w:type="gramEnd"/>
      <w:r w:rsidR="00C570EB">
        <w:t xml:space="preserve"> the civil war</w:t>
      </w:r>
      <w:r>
        <w:t xml:space="preserve">. </w:t>
      </w:r>
      <w:r w:rsidR="00C570EB">
        <w:t xml:space="preserve"> The different stakeholders and beneficiaries </w:t>
      </w:r>
      <w:r>
        <w:t>may not be fully engaged with UNDP, hindering our p</w:t>
      </w:r>
      <w:r w:rsidR="00115B3A">
        <w:t xml:space="preserve">rojects’ activities </w:t>
      </w:r>
      <w:r>
        <w:t>and delivery of our commitments to the Oceania Government and donors</w:t>
      </w:r>
      <w:r w:rsidR="000D3EF9">
        <w:t xml:space="preserve">. </w:t>
      </w:r>
    </w:p>
    <w:tbl>
      <w:tblPr>
        <w:tblStyle w:val="TableGrid"/>
        <w:tblW w:w="0" w:type="auto"/>
        <w:tblLook w:val="04A0" w:firstRow="1" w:lastRow="0" w:firstColumn="1" w:lastColumn="0" w:noHBand="0" w:noVBand="1"/>
      </w:tblPr>
      <w:tblGrid>
        <w:gridCol w:w="3116"/>
        <w:gridCol w:w="3116"/>
        <w:gridCol w:w="3117"/>
      </w:tblGrid>
      <w:tr w:rsidR="00B843E9" w14:paraId="34A7482A" w14:textId="77777777" w:rsidTr="00A56B5F">
        <w:tc>
          <w:tcPr>
            <w:tcW w:w="3116" w:type="dxa"/>
          </w:tcPr>
          <w:p w14:paraId="6878F39B" w14:textId="77777777" w:rsidR="00B843E9" w:rsidRDefault="00B843E9" w:rsidP="00B843E9">
            <w:pPr>
              <w:rPr>
                <w:b/>
                <w:bCs/>
              </w:rPr>
            </w:pPr>
            <w:r>
              <w:rPr>
                <w:b/>
                <w:bCs/>
              </w:rPr>
              <w:t>Event</w:t>
            </w:r>
          </w:p>
          <w:p w14:paraId="7B66F2B6" w14:textId="03267287" w:rsidR="00B843E9" w:rsidRDefault="00B843E9" w:rsidP="00B843E9">
            <w:pPr>
              <w:rPr>
                <w:b/>
                <w:bCs/>
              </w:rPr>
            </w:pPr>
            <w:r>
              <w:t>Implementing partners and local actors resistant to working with and accepting UNDP as a trusted development partner</w:t>
            </w:r>
          </w:p>
        </w:tc>
        <w:tc>
          <w:tcPr>
            <w:tcW w:w="3116" w:type="dxa"/>
          </w:tcPr>
          <w:p w14:paraId="31DC6B92" w14:textId="508AE458" w:rsidR="00B843E9" w:rsidRDefault="00B843E9" w:rsidP="00B843E9">
            <w:pPr>
              <w:rPr>
                <w:b/>
                <w:bCs/>
              </w:rPr>
            </w:pPr>
            <w:r>
              <w:rPr>
                <w:b/>
                <w:bCs/>
              </w:rPr>
              <w:t>Cause</w:t>
            </w:r>
          </w:p>
          <w:p w14:paraId="701781F9" w14:textId="53A5B3B7" w:rsidR="00B843E9" w:rsidRDefault="00B843E9" w:rsidP="00B843E9">
            <w:pPr>
              <w:pStyle w:val="ListParagraph"/>
              <w:numPr>
                <w:ilvl w:val="0"/>
                <w:numId w:val="34"/>
              </w:numPr>
            </w:pPr>
            <w:r>
              <w:t xml:space="preserve">UNDP is perceived as new development player in the Terra region and is seen as not well-versed with the local context and political tension in between the different beneficiaries </w:t>
            </w:r>
          </w:p>
          <w:p w14:paraId="50E227AA" w14:textId="77777777" w:rsidR="00B843E9" w:rsidRDefault="00B843E9" w:rsidP="00B843E9"/>
          <w:p w14:paraId="3B38F42F" w14:textId="62DDBB4A" w:rsidR="00B843E9" w:rsidRPr="00843C08" w:rsidRDefault="00B843E9" w:rsidP="00B843E9">
            <w:pPr>
              <w:tabs>
                <w:tab w:val="left" w:pos="357"/>
              </w:tabs>
            </w:pPr>
            <w:r w:rsidRPr="00C27BD7">
              <w:rPr>
                <w:b/>
                <w:bCs/>
              </w:rPr>
              <w:t>Likelihood</w:t>
            </w:r>
            <w:r>
              <w:rPr>
                <w:b/>
                <w:bCs/>
              </w:rPr>
              <w:t>:</w:t>
            </w:r>
            <w:r>
              <w:t xml:space="preserve"> 3 – Moderately likely</w:t>
            </w:r>
          </w:p>
        </w:tc>
        <w:tc>
          <w:tcPr>
            <w:tcW w:w="3117" w:type="dxa"/>
          </w:tcPr>
          <w:p w14:paraId="30D24551" w14:textId="2E152E21" w:rsidR="00B843E9" w:rsidRDefault="00B843E9" w:rsidP="00B843E9">
            <w:pPr>
              <w:rPr>
                <w:b/>
                <w:bCs/>
              </w:rPr>
            </w:pPr>
            <w:r>
              <w:rPr>
                <w:b/>
                <w:bCs/>
              </w:rPr>
              <w:t>Impact</w:t>
            </w:r>
          </w:p>
          <w:p w14:paraId="0DBA0461" w14:textId="065A6F0F" w:rsidR="00B843E9" w:rsidRDefault="00B843E9" w:rsidP="00B843E9">
            <w:pPr>
              <w:pStyle w:val="ListParagraph"/>
              <w:numPr>
                <w:ilvl w:val="0"/>
                <w:numId w:val="35"/>
              </w:numPr>
            </w:pPr>
            <w:r>
              <w:t>Stakeholder engagement is reduced, and project activities and implementation are hindered</w:t>
            </w:r>
          </w:p>
          <w:p w14:paraId="5F0A20DF" w14:textId="45D8887A" w:rsidR="00B843E9" w:rsidRDefault="00B843E9" w:rsidP="00B843E9">
            <w:pPr>
              <w:pStyle w:val="ListParagraph"/>
              <w:numPr>
                <w:ilvl w:val="0"/>
                <w:numId w:val="35"/>
              </w:numPr>
            </w:pPr>
            <w:r>
              <w:t>Inability to meet delivery targets and commitments to the government and donors</w:t>
            </w:r>
          </w:p>
          <w:p w14:paraId="3446A972" w14:textId="77777777" w:rsidR="00B843E9" w:rsidRDefault="00B843E9" w:rsidP="00B843E9"/>
          <w:p w14:paraId="15DF5AB3" w14:textId="4683592E" w:rsidR="00B843E9" w:rsidRPr="00A41D96" w:rsidRDefault="00B843E9" w:rsidP="00B843E9">
            <w:pPr>
              <w:tabs>
                <w:tab w:val="left" w:pos="357"/>
              </w:tabs>
            </w:pPr>
            <w:r w:rsidRPr="00C27BD7">
              <w:rPr>
                <w:b/>
                <w:bCs/>
              </w:rPr>
              <w:t>Impact</w:t>
            </w:r>
            <w:r>
              <w:rPr>
                <w:b/>
                <w:bCs/>
              </w:rPr>
              <w:t>:</w:t>
            </w:r>
            <w:r>
              <w:t xml:space="preserve"> 3 - Intermediate</w:t>
            </w:r>
          </w:p>
        </w:tc>
      </w:tr>
      <w:tr w:rsidR="00B843E9" w14:paraId="36852B23" w14:textId="77777777" w:rsidTr="00A56B5F">
        <w:tc>
          <w:tcPr>
            <w:tcW w:w="3116" w:type="dxa"/>
          </w:tcPr>
          <w:p w14:paraId="737ECF88" w14:textId="52B94CDA" w:rsidR="00B843E9" w:rsidRPr="00A8410B" w:rsidRDefault="00B843E9" w:rsidP="00B843E9">
            <w:pPr>
              <w:rPr>
                <w:b/>
                <w:bCs/>
              </w:rPr>
            </w:pPr>
            <w:r>
              <w:rPr>
                <w:b/>
                <w:bCs/>
              </w:rPr>
              <w:t xml:space="preserve">Risk appetite (reputational): </w:t>
            </w:r>
            <w:r>
              <w:t>Cautious</w:t>
            </w:r>
          </w:p>
        </w:tc>
        <w:tc>
          <w:tcPr>
            <w:tcW w:w="3116" w:type="dxa"/>
          </w:tcPr>
          <w:p w14:paraId="7E958CEB" w14:textId="2FCBD501" w:rsidR="00B843E9" w:rsidRDefault="00B843E9" w:rsidP="00B843E9">
            <w:pPr>
              <w:rPr>
                <w:b/>
                <w:bCs/>
              </w:rPr>
            </w:pPr>
            <w:r w:rsidRPr="00A8410B">
              <w:rPr>
                <w:b/>
                <w:bCs/>
              </w:rPr>
              <w:t xml:space="preserve">Risk </w:t>
            </w:r>
            <w:r>
              <w:rPr>
                <w:b/>
                <w:bCs/>
              </w:rPr>
              <w:t>level</w:t>
            </w:r>
            <w:r w:rsidRPr="00A8410B">
              <w:rPr>
                <w:b/>
                <w:bCs/>
              </w:rPr>
              <w:t xml:space="preserve">: </w:t>
            </w:r>
          </w:p>
          <w:p w14:paraId="10884382" w14:textId="65132F13" w:rsidR="00B843E9" w:rsidRPr="00A8410B" w:rsidRDefault="00B843E9" w:rsidP="00B843E9">
            <w:r>
              <w:t>Moderate</w:t>
            </w:r>
          </w:p>
        </w:tc>
        <w:tc>
          <w:tcPr>
            <w:tcW w:w="3117" w:type="dxa"/>
          </w:tcPr>
          <w:p w14:paraId="295DF929" w14:textId="39B75AFC" w:rsidR="00B843E9" w:rsidRDefault="00B843E9" w:rsidP="00B843E9">
            <w:r w:rsidRPr="00383C62">
              <w:rPr>
                <w:b/>
                <w:bCs/>
              </w:rPr>
              <w:t>Risk category and sub-category:</w:t>
            </w:r>
            <w:r>
              <w:rPr>
                <w:b/>
                <w:bCs/>
              </w:rPr>
              <w:t xml:space="preserve"> </w:t>
            </w:r>
          </w:p>
          <w:p w14:paraId="09C73C92" w14:textId="77777777" w:rsidR="00B843E9" w:rsidRDefault="00B843E9" w:rsidP="00B843E9">
            <w:r>
              <w:t>5</w:t>
            </w:r>
            <w:r w:rsidRPr="004751D8">
              <w:t xml:space="preserve">. </w:t>
            </w:r>
            <w:r>
              <w:t>Reputational</w:t>
            </w:r>
          </w:p>
          <w:p w14:paraId="5136987F" w14:textId="2FC81DFF" w:rsidR="00B843E9" w:rsidRPr="00513FC1" w:rsidRDefault="00B843E9" w:rsidP="00B843E9">
            <w:pPr>
              <w:rPr>
                <w:b/>
              </w:rPr>
            </w:pPr>
            <w:r>
              <w:t>5.1. Public opinion and media</w:t>
            </w:r>
          </w:p>
        </w:tc>
      </w:tr>
    </w:tbl>
    <w:p w14:paraId="78BAA4A5" w14:textId="77777777" w:rsidR="004C50FC" w:rsidRDefault="004C50FC" w:rsidP="00AE7753"/>
    <w:p w14:paraId="4AC8D0BB" w14:textId="0180C287" w:rsidR="004F5419" w:rsidRDefault="000D3EF9" w:rsidP="00AE7753">
      <w:r>
        <w:t>T</w:t>
      </w:r>
      <w:r w:rsidR="002D5746">
        <w:t>h</w:t>
      </w:r>
      <w:r>
        <w:t>i</w:t>
      </w:r>
      <w:r w:rsidR="002D5746">
        <w:t>s risk ha</w:t>
      </w:r>
      <w:r>
        <w:t>s</w:t>
      </w:r>
      <w:r w:rsidR="002D5746">
        <w:t xml:space="preserve"> been </w:t>
      </w:r>
      <w:r w:rsidR="00E01962">
        <w:t>analyzed</w:t>
      </w:r>
      <w:r w:rsidR="002D5746">
        <w:t xml:space="preserve"> </w:t>
      </w:r>
      <w:r w:rsidR="00891773">
        <w:t xml:space="preserve">using the ERM methodology: </w:t>
      </w:r>
      <w:r w:rsidR="00EC06B2">
        <w:t>it is</w:t>
      </w:r>
      <w:r w:rsidR="002D5746">
        <w:t xml:space="preserve"> thought that</w:t>
      </w:r>
      <w:r>
        <w:t xml:space="preserve"> most stakeholders can be kept engaged and</w:t>
      </w:r>
      <w:r w:rsidR="002D5746">
        <w:t xml:space="preserve"> </w:t>
      </w:r>
      <w:proofErr w:type="gramStart"/>
      <w:r w:rsidR="002D5746">
        <w:t>the majority of</w:t>
      </w:r>
      <w:proofErr w:type="gramEnd"/>
      <w:r w:rsidR="002D5746">
        <w:t xml:space="preserve"> the results can still be delivered (a deviation of </w:t>
      </w:r>
      <w:r w:rsidR="00C27BD7">
        <w:t xml:space="preserve">up to </w:t>
      </w:r>
      <w:r w:rsidR="002D5746">
        <w:t xml:space="preserve">30% with an impact score of </w:t>
      </w:r>
      <w:r w:rsidR="00C27BD7">
        <w:t>3</w:t>
      </w:r>
      <w:r w:rsidR="002D5746">
        <w:t>) and that there is a moderate</w:t>
      </w:r>
      <w:r w:rsidR="0040672E">
        <w:t xml:space="preserve"> likelihood (a score of 3) that this will happen</w:t>
      </w:r>
      <w:r w:rsidR="002D5746">
        <w:t>.</w:t>
      </w:r>
      <w:r w:rsidR="0040672E">
        <w:t xml:space="preserve"> This gives an overall risk significance of ‘moderate’ which equates to a risk appetite of ‘exploratory’. </w:t>
      </w:r>
      <w:r w:rsidR="00891773">
        <w:t>The risk category is determined to be reputational as it refers to working relationships with partners.</w:t>
      </w:r>
      <w:r w:rsidR="002C522A">
        <w:t xml:space="preserve"> The risk appetite for reputational risks is ‘cautious’</w:t>
      </w:r>
      <w:r w:rsidR="00D27823">
        <w:t>,</w:t>
      </w:r>
      <w:r w:rsidR="002C522A">
        <w:t xml:space="preserve"> so this level of risk is </w:t>
      </w:r>
      <w:r w:rsidR="002B16B3">
        <w:t>higher than UNDP’s risk appetite</w:t>
      </w:r>
      <w:r w:rsidR="00D27823">
        <w:t xml:space="preserve"> and </w:t>
      </w:r>
      <w:r w:rsidR="00D9516F">
        <w:t xml:space="preserve">need to </w:t>
      </w:r>
      <w:r w:rsidR="00D27823">
        <w:t>be managed</w:t>
      </w:r>
      <w:r w:rsidR="00D9516F">
        <w:t xml:space="preserve"> within acceptable levels</w:t>
      </w:r>
      <w:r w:rsidR="002C522A">
        <w:t>.</w:t>
      </w:r>
      <w:r w:rsidR="00891773">
        <w:t xml:space="preserve"> </w:t>
      </w:r>
    </w:p>
    <w:p w14:paraId="46B3D4A8" w14:textId="43B370E9" w:rsidR="00891773" w:rsidRDefault="00EC06B2" w:rsidP="00AE7753">
      <w:r>
        <w:t>You have also been making operational plans, including</w:t>
      </w:r>
      <w:r w:rsidR="0095069C">
        <w:t xml:space="preserve"> a</w:t>
      </w:r>
      <w:r>
        <w:t xml:space="preserve"> recruitment </w:t>
      </w:r>
      <w:r w:rsidR="00141B12">
        <w:t>strategy and</w:t>
      </w:r>
      <w:r>
        <w:t xml:space="preserve"> plan. </w:t>
      </w:r>
      <w:r w:rsidR="0095069C">
        <w:t>D</w:t>
      </w:r>
      <w:r w:rsidR="00141B12">
        <w:t>ue to</w:t>
      </w:r>
      <w:r w:rsidR="0040672E">
        <w:t xml:space="preserve"> </w:t>
      </w:r>
      <w:r w:rsidR="00141B12">
        <w:t xml:space="preserve">the </w:t>
      </w:r>
      <w:r w:rsidR="0040672E">
        <w:t xml:space="preserve">levels of deprivation </w:t>
      </w:r>
      <w:r w:rsidR="00115B3A">
        <w:t>and war i</w:t>
      </w:r>
      <w:r w:rsidR="0040672E">
        <w:t>n</w:t>
      </w:r>
      <w:r w:rsidR="00115B3A">
        <w:t xml:space="preserve"> Terra,</w:t>
      </w:r>
      <w:r w:rsidR="0040672E">
        <w:t xml:space="preserve"> education </w:t>
      </w:r>
      <w:r w:rsidR="00974948">
        <w:t>level</w:t>
      </w:r>
      <w:r w:rsidR="0040672E">
        <w:t xml:space="preserve"> is</w:t>
      </w:r>
      <w:r w:rsidR="00141B12">
        <w:t xml:space="preserve"> not</w:t>
      </w:r>
      <w:r w:rsidR="0095069C">
        <w:t xml:space="preserve"> </w:t>
      </w:r>
      <w:r w:rsidR="0040672E">
        <w:t>good</w:t>
      </w:r>
      <w:r w:rsidR="00141B12">
        <w:t xml:space="preserve"> and sourcing well-qualified candidates to join </w:t>
      </w:r>
      <w:r w:rsidR="0095069C">
        <w:t xml:space="preserve">the </w:t>
      </w:r>
      <w:r w:rsidR="00141B12">
        <w:t>UNDP</w:t>
      </w:r>
      <w:r w:rsidR="0044183C">
        <w:t xml:space="preserve"> </w:t>
      </w:r>
      <w:r w:rsidR="00974948">
        <w:t>project presence</w:t>
      </w:r>
      <w:r w:rsidR="00141B12">
        <w:t xml:space="preserve"> is challenging</w:t>
      </w:r>
      <w:r w:rsidR="0040672E">
        <w:t>.</w:t>
      </w:r>
      <w:r w:rsidR="00BC3BAB">
        <w:t xml:space="preserve"> The market has limited job opportunities and unemployment rates among </w:t>
      </w:r>
      <w:r w:rsidR="0095069C">
        <w:t>young people</w:t>
      </w:r>
      <w:r w:rsidR="00BC3BAB">
        <w:t xml:space="preserve"> and w</w:t>
      </w:r>
      <w:r w:rsidR="0044183C">
        <w:t xml:space="preserve">omen </w:t>
      </w:r>
      <w:r w:rsidR="00BC3BAB">
        <w:t>are even</w:t>
      </w:r>
      <w:r w:rsidR="0044183C">
        <w:t xml:space="preserve"> lower</w:t>
      </w:r>
      <w:r w:rsidR="00C945C9">
        <w:t>.</w:t>
      </w:r>
      <w:r w:rsidR="00BC3BAB">
        <w:t xml:space="preserve"> UNDP’s job fair is seen as a great opportunity for </w:t>
      </w:r>
      <w:r w:rsidR="00974948">
        <w:t xml:space="preserve">many locals </w:t>
      </w:r>
      <w:r w:rsidR="00BC3BAB">
        <w:t>but finding suitable and well-experience</w:t>
      </w:r>
      <w:r w:rsidR="0095069C">
        <w:t>d</w:t>
      </w:r>
      <w:r w:rsidR="00BC3BAB">
        <w:t xml:space="preserve"> applicants </w:t>
      </w:r>
      <w:r w:rsidR="0095069C">
        <w:t>that</w:t>
      </w:r>
      <w:r w:rsidR="00BC3BAB">
        <w:t xml:space="preserve"> meet </w:t>
      </w:r>
      <w:r w:rsidR="00C945C9">
        <w:t>job profiles and requirements</w:t>
      </w:r>
      <w:r w:rsidR="0095069C">
        <w:t>,</w:t>
      </w:r>
      <w:r w:rsidR="00C945C9">
        <w:t xml:space="preserve"> including gender balance</w:t>
      </w:r>
      <w:r w:rsidR="00BC3BAB">
        <w:t xml:space="preserve">, which </w:t>
      </w:r>
      <w:r w:rsidR="00C945C9">
        <w:t>were prepared in accordance with UNDP recruitment framework policy</w:t>
      </w:r>
      <w:r w:rsidR="00BC3BAB">
        <w:t xml:space="preserve">, may not be possible. </w:t>
      </w:r>
    </w:p>
    <w:tbl>
      <w:tblPr>
        <w:tblStyle w:val="TableGrid"/>
        <w:tblW w:w="0" w:type="auto"/>
        <w:tblLook w:val="04A0" w:firstRow="1" w:lastRow="0" w:firstColumn="1" w:lastColumn="0" w:noHBand="0" w:noVBand="1"/>
      </w:tblPr>
      <w:tblGrid>
        <w:gridCol w:w="3116"/>
        <w:gridCol w:w="3116"/>
        <w:gridCol w:w="3117"/>
      </w:tblGrid>
      <w:tr w:rsidR="00053A9C" w14:paraId="0EFF467A" w14:textId="77777777" w:rsidTr="00A56B5F">
        <w:tc>
          <w:tcPr>
            <w:tcW w:w="3116" w:type="dxa"/>
          </w:tcPr>
          <w:p w14:paraId="118CFA58" w14:textId="77777777" w:rsidR="00053A9C" w:rsidRDefault="00053A9C" w:rsidP="00053A9C">
            <w:pPr>
              <w:rPr>
                <w:b/>
                <w:bCs/>
              </w:rPr>
            </w:pPr>
            <w:r>
              <w:rPr>
                <w:b/>
                <w:bCs/>
              </w:rPr>
              <w:t>Event</w:t>
            </w:r>
          </w:p>
          <w:p w14:paraId="6998EC44" w14:textId="686CCD32" w:rsidR="00053A9C" w:rsidRDefault="00053A9C" w:rsidP="00053A9C">
            <w:pPr>
              <w:rPr>
                <w:b/>
                <w:bCs/>
              </w:rPr>
            </w:pPr>
            <w:r>
              <w:t>Failure to timely recruit enough well-trained staff and meeting recruitment strategy</w:t>
            </w:r>
          </w:p>
        </w:tc>
        <w:tc>
          <w:tcPr>
            <w:tcW w:w="3116" w:type="dxa"/>
          </w:tcPr>
          <w:p w14:paraId="68235112" w14:textId="2B835D24" w:rsidR="00053A9C" w:rsidRDefault="00053A9C" w:rsidP="00053A9C">
            <w:pPr>
              <w:rPr>
                <w:b/>
                <w:bCs/>
              </w:rPr>
            </w:pPr>
            <w:r>
              <w:rPr>
                <w:b/>
                <w:bCs/>
              </w:rPr>
              <w:t>Cause</w:t>
            </w:r>
          </w:p>
          <w:p w14:paraId="2DEA1E78" w14:textId="753C31A2" w:rsidR="00053A9C" w:rsidRDefault="00053A9C" w:rsidP="00053A9C">
            <w:pPr>
              <w:pStyle w:val="ListParagraph"/>
              <w:numPr>
                <w:ilvl w:val="0"/>
                <w:numId w:val="34"/>
              </w:numPr>
            </w:pPr>
            <w:r>
              <w:t xml:space="preserve">Unavailable/limited pool of qualified candidates </w:t>
            </w:r>
          </w:p>
          <w:p w14:paraId="099FAFE6" w14:textId="77777777" w:rsidR="00053A9C" w:rsidRDefault="00053A9C" w:rsidP="00053A9C"/>
          <w:p w14:paraId="244489FF" w14:textId="77777777" w:rsidR="00053A9C" w:rsidRDefault="00053A9C" w:rsidP="00053A9C">
            <w:pPr>
              <w:ind w:firstLine="28"/>
              <w:rPr>
                <w:b/>
                <w:bCs/>
              </w:rPr>
            </w:pPr>
          </w:p>
          <w:p w14:paraId="55ED3572" w14:textId="77777777" w:rsidR="00053A9C" w:rsidRDefault="00053A9C" w:rsidP="00053A9C">
            <w:pPr>
              <w:ind w:firstLine="28"/>
              <w:rPr>
                <w:b/>
                <w:bCs/>
              </w:rPr>
            </w:pPr>
          </w:p>
          <w:p w14:paraId="7E14F6DC" w14:textId="67E4A646" w:rsidR="00053A9C" w:rsidRPr="00843C08" w:rsidRDefault="00053A9C" w:rsidP="00053A9C">
            <w:pPr>
              <w:ind w:firstLine="28"/>
            </w:pPr>
            <w:r w:rsidRPr="00C7395A">
              <w:rPr>
                <w:b/>
                <w:bCs/>
              </w:rPr>
              <w:t>Likelihood</w:t>
            </w:r>
            <w:r>
              <w:rPr>
                <w:b/>
                <w:bCs/>
              </w:rPr>
              <w:t>:</w:t>
            </w:r>
            <w:r>
              <w:t xml:space="preserve"> 2 – Low likelihood</w:t>
            </w:r>
          </w:p>
        </w:tc>
        <w:tc>
          <w:tcPr>
            <w:tcW w:w="3117" w:type="dxa"/>
          </w:tcPr>
          <w:p w14:paraId="1AD57EEB" w14:textId="2636CDDE" w:rsidR="00053A9C" w:rsidRDefault="00053A9C" w:rsidP="00053A9C">
            <w:pPr>
              <w:rPr>
                <w:b/>
                <w:bCs/>
              </w:rPr>
            </w:pPr>
            <w:r>
              <w:rPr>
                <w:b/>
                <w:bCs/>
              </w:rPr>
              <w:t>Impact</w:t>
            </w:r>
          </w:p>
          <w:p w14:paraId="0B72C215" w14:textId="10E23469" w:rsidR="00053A9C" w:rsidRDefault="00053A9C" w:rsidP="00053A9C">
            <w:pPr>
              <w:pStyle w:val="ListParagraph"/>
              <w:numPr>
                <w:ilvl w:val="0"/>
                <w:numId w:val="35"/>
              </w:numPr>
            </w:pPr>
            <w:r>
              <w:t xml:space="preserve">Delays in programme and project implementations </w:t>
            </w:r>
          </w:p>
          <w:p w14:paraId="1C3FCC16" w14:textId="43F8A62D" w:rsidR="00053A9C" w:rsidRDefault="00053A9C" w:rsidP="00053A9C">
            <w:pPr>
              <w:pStyle w:val="ListParagraph"/>
              <w:numPr>
                <w:ilvl w:val="0"/>
                <w:numId w:val="35"/>
              </w:numPr>
            </w:pPr>
            <w:r>
              <w:t>Inability to be fully operational on time</w:t>
            </w:r>
          </w:p>
          <w:p w14:paraId="4C8C68C2" w14:textId="77777777" w:rsidR="00053A9C" w:rsidRDefault="00053A9C" w:rsidP="00053A9C"/>
          <w:p w14:paraId="419BBF1B" w14:textId="695C4AA8" w:rsidR="00053A9C" w:rsidRPr="00A41D96" w:rsidRDefault="00053A9C" w:rsidP="00053A9C">
            <w:pPr>
              <w:ind w:left="360" w:hanging="360"/>
            </w:pPr>
            <w:r w:rsidRPr="00C7395A">
              <w:rPr>
                <w:b/>
                <w:bCs/>
              </w:rPr>
              <w:t>Impact</w:t>
            </w:r>
            <w:r>
              <w:rPr>
                <w:b/>
                <w:bCs/>
              </w:rPr>
              <w:t>:</w:t>
            </w:r>
            <w:r>
              <w:t xml:space="preserve"> 4 – Highly likely</w:t>
            </w:r>
          </w:p>
        </w:tc>
      </w:tr>
      <w:tr w:rsidR="00053A9C" w14:paraId="4C810285" w14:textId="77777777" w:rsidTr="00A56B5F">
        <w:tc>
          <w:tcPr>
            <w:tcW w:w="3116" w:type="dxa"/>
          </w:tcPr>
          <w:p w14:paraId="3108DF17" w14:textId="70626F63" w:rsidR="00053A9C" w:rsidRDefault="00053A9C" w:rsidP="00053A9C">
            <w:pPr>
              <w:rPr>
                <w:b/>
                <w:bCs/>
              </w:rPr>
            </w:pPr>
            <w:r>
              <w:rPr>
                <w:b/>
                <w:bCs/>
              </w:rPr>
              <w:lastRenderedPageBreak/>
              <w:t xml:space="preserve">Risk appetite (organizational): </w:t>
            </w:r>
          </w:p>
          <w:p w14:paraId="557CE365" w14:textId="3C634CB9" w:rsidR="00053A9C" w:rsidRPr="00A8410B" w:rsidRDefault="00053A9C" w:rsidP="00053A9C">
            <w:pPr>
              <w:rPr>
                <w:b/>
                <w:bCs/>
              </w:rPr>
            </w:pPr>
            <w:r>
              <w:t>Exploratory to open</w:t>
            </w:r>
          </w:p>
        </w:tc>
        <w:tc>
          <w:tcPr>
            <w:tcW w:w="3116" w:type="dxa"/>
          </w:tcPr>
          <w:p w14:paraId="7B7249A9" w14:textId="4DC62419" w:rsidR="00053A9C" w:rsidRDefault="00053A9C" w:rsidP="00053A9C">
            <w:pPr>
              <w:rPr>
                <w:b/>
                <w:bCs/>
              </w:rPr>
            </w:pPr>
            <w:r w:rsidRPr="00A8410B">
              <w:rPr>
                <w:b/>
                <w:bCs/>
              </w:rPr>
              <w:t xml:space="preserve">Risk </w:t>
            </w:r>
            <w:r>
              <w:rPr>
                <w:b/>
                <w:bCs/>
              </w:rPr>
              <w:t>level</w:t>
            </w:r>
            <w:r w:rsidRPr="00A8410B">
              <w:rPr>
                <w:b/>
                <w:bCs/>
              </w:rPr>
              <w:t xml:space="preserve">: </w:t>
            </w:r>
          </w:p>
          <w:p w14:paraId="723F7DB9" w14:textId="2E72431A" w:rsidR="00053A9C" w:rsidRPr="00A8410B" w:rsidRDefault="00053A9C" w:rsidP="00053A9C">
            <w:r>
              <w:t>Moderate</w:t>
            </w:r>
          </w:p>
        </w:tc>
        <w:tc>
          <w:tcPr>
            <w:tcW w:w="3117" w:type="dxa"/>
          </w:tcPr>
          <w:p w14:paraId="2E7C2CC1" w14:textId="77777777" w:rsidR="00053A9C" w:rsidRDefault="00053A9C" w:rsidP="00053A9C">
            <w:pPr>
              <w:rPr>
                <w:b/>
                <w:bCs/>
              </w:rPr>
            </w:pPr>
            <w:r w:rsidRPr="00B33857">
              <w:rPr>
                <w:b/>
                <w:bCs/>
              </w:rPr>
              <w:t>Risk category and sub-category:</w:t>
            </w:r>
          </w:p>
          <w:p w14:paraId="20D5580D" w14:textId="337EFD57" w:rsidR="00053A9C" w:rsidRDefault="00053A9C" w:rsidP="00053A9C">
            <w:r>
              <w:t>4. Organizational</w:t>
            </w:r>
          </w:p>
          <w:p w14:paraId="5B1840F6" w14:textId="7679F3DD" w:rsidR="00053A9C" w:rsidRPr="00A8410B" w:rsidRDefault="00053A9C" w:rsidP="00053A9C">
            <w:r>
              <w:t>4.7. Human Resources</w:t>
            </w:r>
          </w:p>
        </w:tc>
      </w:tr>
    </w:tbl>
    <w:p w14:paraId="22AC3BFB" w14:textId="77777777" w:rsidR="00891773" w:rsidRDefault="00891773" w:rsidP="00AE7753"/>
    <w:p w14:paraId="093C2F99" w14:textId="004416DA" w:rsidR="0040672E" w:rsidRDefault="00757EB6" w:rsidP="00AE7753">
      <w:r>
        <w:t xml:space="preserve">Staffing risks fall into the </w:t>
      </w:r>
      <w:r w:rsidR="00D83DBE">
        <w:t xml:space="preserve">organizational </w:t>
      </w:r>
      <w:r>
        <w:t>category</w:t>
      </w:r>
      <w:r w:rsidR="00B81820">
        <w:t>, which has a ris</w:t>
      </w:r>
      <w:r w:rsidR="00EA2E65">
        <w:t xml:space="preserve">k appetite </w:t>
      </w:r>
      <w:r w:rsidR="00B81820">
        <w:t>of</w:t>
      </w:r>
      <w:r w:rsidR="00EA2E65">
        <w:t xml:space="preserve"> ‘exploratory’ to ‘open’</w:t>
      </w:r>
      <w:r w:rsidR="00B81820">
        <w:t>. W</w:t>
      </w:r>
      <w:r w:rsidR="00EA2E65">
        <w:t xml:space="preserve">hile the impact of failing to staff the office with enough capable staff is very high (score of </w:t>
      </w:r>
      <w:r>
        <w:t>4</w:t>
      </w:r>
      <w:r w:rsidR="00EA2E65">
        <w:t xml:space="preserve">), the likelihood of this happening is low (a score of 2), a risk significance of ‘moderate’, which is within the risk appetite. There could be some opportunities to take greater risks with staff recruitment, perhaps by taking on staff with potential rather than proven ability, while </w:t>
      </w:r>
      <w:r w:rsidR="00BC3BAB">
        <w:t xml:space="preserve">investing in building their capacities and </w:t>
      </w:r>
      <w:r w:rsidR="009543F0">
        <w:t>skills.</w:t>
      </w:r>
    </w:p>
    <w:p w14:paraId="45CA6A21" w14:textId="74F63064" w:rsidR="00FB2438" w:rsidRDefault="00FB2438" w:rsidP="00AE7753">
      <w:r>
        <w:t>As you can see from the above examples, it is important to evaluate and score risks following the ERM methodology before comparing them to the risk appetite for that area. In this way you will understand where more controls are needed but also where you might be able to do less and/or take greater risks.</w:t>
      </w:r>
    </w:p>
    <w:p w14:paraId="23AB57C7" w14:textId="51F97061" w:rsidR="003226B6" w:rsidRPr="007D0C60" w:rsidRDefault="00863F9F" w:rsidP="00AE7753">
      <w:pPr>
        <w:rPr>
          <w:b/>
          <w:bCs/>
          <w:u w:val="single"/>
        </w:rPr>
      </w:pPr>
      <w:r w:rsidRPr="007D0C60">
        <w:rPr>
          <w:b/>
          <w:bCs/>
          <w:u w:val="single"/>
        </w:rPr>
        <w:t xml:space="preserve">Example 2: </w:t>
      </w:r>
    </w:p>
    <w:p w14:paraId="0920B34C" w14:textId="436C9546" w:rsidR="003226B6" w:rsidRDefault="003226B6" w:rsidP="003226B6">
      <w:pPr>
        <w:spacing w:after="0" w:line="240" w:lineRule="auto"/>
      </w:pPr>
      <w:r>
        <w:t xml:space="preserve">You are overseeing the design of an area-based project in Terra. The project is building the capacity of the local government to be able to manage services, including registration of land titles and village courts to provide justice services for minor disputes. There are 12 minority ethnic groups that live in Terra, with little trust between them and the majority population of Oceania (Oceanics) </w:t>
      </w:r>
      <w:proofErr w:type="gramStart"/>
      <w:r>
        <w:t>in light of</w:t>
      </w:r>
      <w:proofErr w:type="gramEnd"/>
      <w:r>
        <w:t xml:space="preserve"> the civil war that ended 2 years ago.</w:t>
      </w:r>
    </w:p>
    <w:p w14:paraId="468B316B" w14:textId="77777777" w:rsidR="003226B6" w:rsidRDefault="003226B6" w:rsidP="003226B6">
      <w:pPr>
        <w:spacing w:after="0" w:line="240" w:lineRule="auto"/>
      </w:pPr>
    </w:p>
    <w:p w14:paraId="64F3A24C" w14:textId="77777777" w:rsidR="003226B6" w:rsidRDefault="003226B6" w:rsidP="003226B6">
      <w:pPr>
        <w:spacing w:after="0" w:line="240" w:lineRule="auto"/>
      </w:pPr>
      <w:r>
        <w:t xml:space="preserve">This project is critical for Oceania. The many disputes over land access in recent years have threatened to plunge the country back into civil war. Ethnic minority groups claim the Oceanics have stolen their land through state-run administrative processes in the capital to which minority groups have no access. By bringing the title process to the local government in the region, it should not only enable more equitable title management, but the new village access to justice program can help ensure land disputes are decided locally. </w:t>
      </w:r>
    </w:p>
    <w:p w14:paraId="71A621F0" w14:textId="77777777" w:rsidR="003226B6" w:rsidRDefault="003226B6" w:rsidP="003226B6">
      <w:pPr>
        <w:spacing w:after="0" w:line="240" w:lineRule="auto"/>
      </w:pPr>
    </w:p>
    <w:p w14:paraId="0D70D659" w14:textId="77777777" w:rsidR="003226B6" w:rsidRDefault="003226B6" w:rsidP="003226B6">
      <w:pPr>
        <w:spacing w:after="0" w:line="240" w:lineRule="auto"/>
      </w:pPr>
      <w:r>
        <w:t>The project has, however, significant risk. After applying the Social and Environmental Screening Procedure, the country office could see that local communities were concerned that the local government offices were staffed with Oceanics and minority groups did not have confidence that they would be treated fairly. Village leaders also expressed concern that their people would not have the ability to navigate the land management system and dispute process because they spoke a different language than the language the documents and proceedings were in. This could lead to discriminatory impacts on minority communities, which is likely to exacerbate the conflict. The likelihood of unfair changes to community-based property rights is high.</w:t>
      </w:r>
    </w:p>
    <w:p w14:paraId="3CDBC603" w14:textId="77777777" w:rsidR="003226B6" w:rsidRDefault="003226B6" w:rsidP="003226B6">
      <w:pPr>
        <w:spacing w:after="0" w:line="240" w:lineRule="auto"/>
      </w:pPr>
    </w:p>
    <w:p w14:paraId="564824F9" w14:textId="77777777" w:rsidR="003226B6" w:rsidRDefault="003226B6" w:rsidP="003226B6">
      <w:pPr>
        <w:spacing w:after="0" w:line="240" w:lineRule="auto"/>
      </w:pPr>
      <w:r>
        <w:t>You have summarized the risk as follows:</w:t>
      </w:r>
    </w:p>
    <w:p w14:paraId="28BF5407" w14:textId="77777777" w:rsidR="003226B6" w:rsidRDefault="003226B6" w:rsidP="003226B6">
      <w:pPr>
        <w:spacing w:after="0" w:line="240" w:lineRule="auto"/>
      </w:pPr>
    </w:p>
    <w:tbl>
      <w:tblPr>
        <w:tblStyle w:val="TableGrid"/>
        <w:tblW w:w="0" w:type="auto"/>
        <w:tblLook w:val="04A0" w:firstRow="1" w:lastRow="0" w:firstColumn="1" w:lastColumn="0" w:noHBand="0" w:noVBand="1"/>
      </w:tblPr>
      <w:tblGrid>
        <w:gridCol w:w="3116"/>
        <w:gridCol w:w="3116"/>
        <w:gridCol w:w="3117"/>
      </w:tblGrid>
      <w:tr w:rsidR="00FB44B5" w14:paraId="7FA0F0B0" w14:textId="77777777" w:rsidTr="00A56B5F">
        <w:tc>
          <w:tcPr>
            <w:tcW w:w="3116" w:type="dxa"/>
          </w:tcPr>
          <w:p w14:paraId="6742E31E" w14:textId="77777777" w:rsidR="00FB44B5" w:rsidRDefault="00FB44B5" w:rsidP="00FB44B5">
            <w:pPr>
              <w:rPr>
                <w:b/>
                <w:bCs/>
              </w:rPr>
            </w:pPr>
            <w:r>
              <w:rPr>
                <w:b/>
                <w:bCs/>
              </w:rPr>
              <w:t>Event</w:t>
            </w:r>
          </w:p>
          <w:p w14:paraId="4C76FDDA" w14:textId="0C0FDA75" w:rsidR="00FB44B5" w:rsidRDefault="00FB44B5" w:rsidP="00FB44B5">
            <w:pPr>
              <w:rPr>
                <w:b/>
                <w:bCs/>
              </w:rPr>
            </w:pPr>
            <w:r>
              <w:t>Unfair changes to community-based property rights that are discriminatory towards minority communities.</w:t>
            </w:r>
          </w:p>
        </w:tc>
        <w:tc>
          <w:tcPr>
            <w:tcW w:w="3116" w:type="dxa"/>
          </w:tcPr>
          <w:p w14:paraId="4F0755C7" w14:textId="29235B6C" w:rsidR="00FB44B5" w:rsidRDefault="00FB44B5" w:rsidP="00FB44B5">
            <w:pPr>
              <w:rPr>
                <w:b/>
                <w:bCs/>
              </w:rPr>
            </w:pPr>
            <w:r>
              <w:rPr>
                <w:b/>
                <w:bCs/>
              </w:rPr>
              <w:t>Cause</w:t>
            </w:r>
          </w:p>
          <w:p w14:paraId="51E03A30" w14:textId="77777777" w:rsidR="00FB44B5" w:rsidRDefault="00FB44B5" w:rsidP="00FB44B5">
            <w:pPr>
              <w:pStyle w:val="ListParagraph"/>
              <w:numPr>
                <w:ilvl w:val="0"/>
                <w:numId w:val="34"/>
              </w:numPr>
            </w:pPr>
            <w:r>
              <w:t xml:space="preserve">The land title process and </w:t>
            </w:r>
          </w:p>
          <w:p w14:paraId="677286D6" w14:textId="3AC926BF" w:rsidR="00FB44B5" w:rsidRDefault="00FB44B5" w:rsidP="00FB44B5">
            <w:pPr>
              <w:pStyle w:val="ListParagraph"/>
              <w:numPr>
                <w:ilvl w:val="0"/>
                <w:numId w:val="34"/>
              </w:numPr>
            </w:pPr>
            <w:r>
              <w:t xml:space="preserve">local dispute resolution process is not adapted to be </w:t>
            </w:r>
            <w:r>
              <w:lastRenderedPageBreak/>
              <w:t>accessible or fair to minority communities.</w:t>
            </w:r>
          </w:p>
          <w:p w14:paraId="2FABADE3" w14:textId="77777777" w:rsidR="00FB44B5" w:rsidRPr="00CA4FA7" w:rsidRDefault="00FB44B5" w:rsidP="00FB44B5">
            <w:pPr>
              <w:pStyle w:val="ListParagraph"/>
              <w:ind w:left="360"/>
            </w:pPr>
          </w:p>
          <w:p w14:paraId="683AB7C0" w14:textId="30F7F2AB" w:rsidR="00FB44B5" w:rsidRPr="00843C08" w:rsidRDefault="00FB44B5" w:rsidP="00FB44B5">
            <w:pPr>
              <w:tabs>
                <w:tab w:val="left" w:pos="357"/>
              </w:tabs>
            </w:pPr>
            <w:r w:rsidRPr="00971669">
              <w:rPr>
                <w:b/>
                <w:bCs/>
              </w:rPr>
              <w:t>Likelihood</w:t>
            </w:r>
            <w:r>
              <w:rPr>
                <w:b/>
                <w:bCs/>
              </w:rPr>
              <w:t>:</w:t>
            </w:r>
            <w:r>
              <w:t xml:space="preserve"> 4 – Highly likely</w:t>
            </w:r>
          </w:p>
        </w:tc>
        <w:tc>
          <w:tcPr>
            <w:tcW w:w="3117" w:type="dxa"/>
          </w:tcPr>
          <w:p w14:paraId="0F9BA158" w14:textId="19EC4E13" w:rsidR="00FB44B5" w:rsidRDefault="00FB44B5" w:rsidP="00FB44B5">
            <w:pPr>
              <w:rPr>
                <w:b/>
                <w:bCs/>
              </w:rPr>
            </w:pPr>
            <w:r>
              <w:rPr>
                <w:b/>
                <w:bCs/>
              </w:rPr>
              <w:lastRenderedPageBreak/>
              <w:t>Impact</w:t>
            </w:r>
          </w:p>
          <w:p w14:paraId="60896397" w14:textId="77777777" w:rsidR="00FB44B5" w:rsidRDefault="00FB44B5" w:rsidP="00FB44B5">
            <w:pPr>
              <w:pStyle w:val="ListParagraph"/>
              <w:numPr>
                <w:ilvl w:val="0"/>
                <w:numId w:val="35"/>
              </w:numPr>
            </w:pPr>
            <w:r>
              <w:t>Minority populations lose access to their land they have used for generations.</w:t>
            </w:r>
          </w:p>
          <w:p w14:paraId="11BE81A8" w14:textId="77777777" w:rsidR="00FB44B5" w:rsidRDefault="00FB44B5" w:rsidP="00FB44B5">
            <w:pPr>
              <w:pStyle w:val="ListParagraph"/>
              <w:numPr>
                <w:ilvl w:val="0"/>
                <w:numId w:val="35"/>
              </w:numPr>
            </w:pPr>
            <w:r>
              <w:lastRenderedPageBreak/>
              <w:t>Loss of livelihoods based on use of the land.</w:t>
            </w:r>
          </w:p>
          <w:p w14:paraId="5480CFCA" w14:textId="77777777" w:rsidR="00FB44B5" w:rsidRDefault="00FB44B5" w:rsidP="00FB44B5">
            <w:pPr>
              <w:pStyle w:val="ListParagraph"/>
              <w:numPr>
                <w:ilvl w:val="0"/>
                <w:numId w:val="35"/>
              </w:numPr>
            </w:pPr>
            <w:r>
              <w:t>Loss of homes and the break-up of minority communities.</w:t>
            </w:r>
          </w:p>
          <w:p w14:paraId="6CB05657" w14:textId="77777777" w:rsidR="00FB44B5" w:rsidRDefault="00FB44B5" w:rsidP="00FB44B5"/>
          <w:p w14:paraId="43ED3F44" w14:textId="28ACC049" w:rsidR="00FB44B5" w:rsidRPr="00A41D96" w:rsidRDefault="00FB44B5" w:rsidP="00FB44B5">
            <w:pPr>
              <w:tabs>
                <w:tab w:val="left" w:pos="357"/>
              </w:tabs>
            </w:pPr>
            <w:r w:rsidRPr="00971669">
              <w:rPr>
                <w:b/>
                <w:bCs/>
              </w:rPr>
              <w:t>Impact</w:t>
            </w:r>
            <w:r>
              <w:rPr>
                <w:b/>
                <w:bCs/>
              </w:rPr>
              <w:t>:</w:t>
            </w:r>
            <w:r>
              <w:t xml:space="preserve"> 4 – Extensive </w:t>
            </w:r>
          </w:p>
        </w:tc>
      </w:tr>
      <w:tr w:rsidR="00FB44B5" w14:paraId="540AECC2" w14:textId="77777777" w:rsidTr="00A56B5F">
        <w:tc>
          <w:tcPr>
            <w:tcW w:w="3116" w:type="dxa"/>
          </w:tcPr>
          <w:p w14:paraId="573C64D6" w14:textId="0226F1F0" w:rsidR="00FB44B5" w:rsidRDefault="00FB44B5" w:rsidP="00FB44B5">
            <w:pPr>
              <w:rPr>
                <w:b/>
                <w:bCs/>
              </w:rPr>
            </w:pPr>
            <w:r>
              <w:rPr>
                <w:b/>
                <w:bCs/>
              </w:rPr>
              <w:lastRenderedPageBreak/>
              <w:t xml:space="preserve">Risk appetite (Social and Environmental): </w:t>
            </w:r>
          </w:p>
          <w:p w14:paraId="30BC5650" w14:textId="42F557A2" w:rsidR="00FB44B5" w:rsidRPr="00A8410B" w:rsidRDefault="00FB44B5" w:rsidP="00FB44B5">
            <w:pPr>
              <w:rPr>
                <w:b/>
                <w:bCs/>
              </w:rPr>
            </w:pPr>
            <w:r w:rsidRPr="00C2589E">
              <w:t>Cautious</w:t>
            </w:r>
          </w:p>
        </w:tc>
        <w:tc>
          <w:tcPr>
            <w:tcW w:w="3116" w:type="dxa"/>
          </w:tcPr>
          <w:p w14:paraId="1A250A8D" w14:textId="5713E16F" w:rsidR="00FB44B5" w:rsidRDefault="00FB44B5" w:rsidP="00FB44B5">
            <w:r w:rsidRPr="00A8410B">
              <w:rPr>
                <w:b/>
                <w:bCs/>
              </w:rPr>
              <w:t>Risk significance:</w:t>
            </w:r>
            <w:r w:rsidRPr="002852AA">
              <w:t xml:space="preserve"> </w:t>
            </w:r>
          </w:p>
          <w:p w14:paraId="5C3E79BC" w14:textId="6B6844D2" w:rsidR="00FB44B5" w:rsidRPr="00A8410B" w:rsidRDefault="00FB44B5" w:rsidP="00FB44B5">
            <w:r w:rsidRPr="002852AA">
              <w:t>Substantial</w:t>
            </w:r>
          </w:p>
        </w:tc>
        <w:tc>
          <w:tcPr>
            <w:tcW w:w="3117" w:type="dxa"/>
          </w:tcPr>
          <w:p w14:paraId="427C26B4" w14:textId="75483E27" w:rsidR="00FB44B5" w:rsidRDefault="00FB44B5" w:rsidP="00FB44B5">
            <w:pPr>
              <w:rPr>
                <w:b/>
                <w:bCs/>
              </w:rPr>
            </w:pPr>
            <w:r>
              <w:rPr>
                <w:b/>
                <w:bCs/>
              </w:rPr>
              <w:t xml:space="preserve">Risk category and sub-category: </w:t>
            </w:r>
          </w:p>
          <w:p w14:paraId="33433350" w14:textId="77777777" w:rsidR="00FB44B5" w:rsidRDefault="00FB44B5" w:rsidP="00FB44B5">
            <w:r w:rsidRPr="00745451">
              <w:t xml:space="preserve">1. </w:t>
            </w:r>
            <w:r>
              <w:t>Social and Environmental</w:t>
            </w:r>
          </w:p>
          <w:p w14:paraId="278C7FAE" w14:textId="0D001D86" w:rsidR="00FB44B5" w:rsidRPr="004C636A" w:rsidRDefault="00FB44B5" w:rsidP="00FB44B5">
            <w:r>
              <w:t>1.1. Human Rights</w:t>
            </w:r>
          </w:p>
        </w:tc>
      </w:tr>
    </w:tbl>
    <w:p w14:paraId="4229B14F" w14:textId="77777777" w:rsidR="003226B6" w:rsidRDefault="003226B6" w:rsidP="003226B6">
      <w:pPr>
        <w:spacing w:after="0" w:line="240" w:lineRule="auto"/>
      </w:pPr>
    </w:p>
    <w:p w14:paraId="5483ED94" w14:textId="77777777" w:rsidR="003226B6" w:rsidRDefault="003226B6" w:rsidP="003226B6">
      <w:pPr>
        <w:spacing w:after="0" w:line="240" w:lineRule="auto"/>
      </w:pPr>
      <w:r>
        <w:t>In this case, the risk is higher than UNDP’s risk appetite. We must mitigate the risk to make it acceptable to UNDP’s risk appetite.</w:t>
      </w:r>
    </w:p>
    <w:p w14:paraId="643E2459" w14:textId="77777777" w:rsidR="003226B6" w:rsidRDefault="003226B6" w:rsidP="003226B6">
      <w:pPr>
        <w:spacing w:after="0" w:line="240" w:lineRule="auto"/>
      </w:pPr>
    </w:p>
    <w:p w14:paraId="3F056584" w14:textId="77777777" w:rsidR="003226B6" w:rsidRDefault="003226B6" w:rsidP="003226B6">
      <w:pPr>
        <w:spacing w:after="0" w:line="240" w:lineRule="auto"/>
      </w:pPr>
      <w:r>
        <w:t>In this case, the project obtained permission from the authorities to translate all land title paperwork into the local language so they would be accessible to minority ethnic groups and to train local lawyers from minority groups in land management law. The project also received a commitment that 60% of the staff in the local government office would be recruited from minority communities, to better represent the population of the Terra district. UNDP set aside resources to train these new staff and mentor them for the duration of the project, while setting up an internal mentoring system so existing staff could mentor new staff on an ongoing basis.</w:t>
      </w:r>
    </w:p>
    <w:p w14:paraId="4D14441B" w14:textId="77777777" w:rsidR="003226B6" w:rsidRDefault="003226B6" w:rsidP="003226B6">
      <w:pPr>
        <w:spacing w:after="0" w:line="240" w:lineRule="auto"/>
      </w:pPr>
    </w:p>
    <w:p w14:paraId="1D85A0C5" w14:textId="77777777" w:rsidR="003226B6" w:rsidRDefault="003226B6" w:rsidP="003226B6">
      <w:pPr>
        <w:spacing w:after="0" w:line="240" w:lineRule="auto"/>
      </w:pPr>
      <w:r>
        <w:t>These changes to the project changed the likelihood of the risk from 4 down to 1 (the impact remained unchanged), making the risk now acceptable to take with the mitigation measures in place.</w:t>
      </w:r>
    </w:p>
    <w:p w14:paraId="35DA57AF" w14:textId="77777777" w:rsidR="003226B6" w:rsidRDefault="003226B6" w:rsidP="00AE7753"/>
    <w:p w14:paraId="070B0E77" w14:textId="3C79F297" w:rsidR="00672D45" w:rsidRDefault="00672D45" w:rsidP="00672D45">
      <w:pPr>
        <w:pStyle w:val="Heading1"/>
        <w:numPr>
          <w:ilvl w:val="0"/>
          <w:numId w:val="7"/>
        </w:numPr>
        <w:ind w:left="357" w:hanging="357"/>
      </w:pPr>
      <w:bookmarkStart w:id="39" w:name="_Toc65688855"/>
      <w:bookmarkStart w:id="40" w:name="_Toc55828972"/>
      <w:r>
        <w:t>Learning from the risk appetite</w:t>
      </w:r>
      <w:bookmarkEnd w:id="39"/>
    </w:p>
    <w:p w14:paraId="1556BF4D" w14:textId="615C295E" w:rsidR="008125FF" w:rsidRDefault="00FA4FAA" w:rsidP="00FA4FAA">
      <w:r>
        <w:t>Th</w:t>
      </w:r>
      <w:r w:rsidR="008F1111">
        <w:t>e</w:t>
      </w:r>
      <w:r>
        <w:t xml:space="preserve"> risk appetite statement </w:t>
      </w:r>
      <w:r w:rsidR="008F1111">
        <w:t>and this guidance are</w:t>
      </w:r>
      <w:r>
        <w:t xml:space="preserve"> implemented in a spirit of learning and continuous improvement.</w:t>
      </w:r>
      <w:r w:rsidR="008125FF">
        <w:t xml:space="preserve"> </w:t>
      </w:r>
      <w:r w:rsidR="008F1111">
        <w:t>They are</w:t>
      </w:r>
      <w:r w:rsidR="008125FF">
        <w:t xml:space="preserve"> not static document</w:t>
      </w:r>
      <w:r w:rsidR="008F1111">
        <w:t>s</w:t>
      </w:r>
      <w:r w:rsidR="008125FF">
        <w:t xml:space="preserve"> and will change over time as UNDP’s risk </w:t>
      </w:r>
      <w:r w:rsidR="00F640BB">
        <w:t xml:space="preserve">culture </w:t>
      </w:r>
      <w:r w:rsidR="008125FF">
        <w:t>mature</w:t>
      </w:r>
      <w:r w:rsidR="002430C5">
        <w:t>s</w:t>
      </w:r>
      <w:r w:rsidR="008125FF">
        <w:t xml:space="preserve"> and as its understanding of its risk appetite improves. Your contribution to </w:t>
      </w:r>
      <w:r w:rsidR="00811B27">
        <w:t>learning and</w:t>
      </w:r>
      <w:r w:rsidR="008125FF">
        <w:t xml:space="preserve"> improvement is vital:</w:t>
      </w:r>
    </w:p>
    <w:p w14:paraId="4BC3BB85" w14:textId="6B05CE5C" w:rsidR="00FA4FAA" w:rsidRDefault="008125FF" w:rsidP="008125FF">
      <w:pPr>
        <w:pStyle w:val="ListParagraph"/>
        <w:numPr>
          <w:ilvl w:val="0"/>
          <w:numId w:val="21"/>
        </w:numPr>
      </w:pPr>
      <w:r>
        <w:t xml:space="preserve">By acknowledging and learning from failure in innovations, in projects and </w:t>
      </w:r>
      <w:proofErr w:type="spellStart"/>
      <w:r>
        <w:t>programmes</w:t>
      </w:r>
      <w:proofErr w:type="spellEnd"/>
      <w:r>
        <w:t xml:space="preserve"> and in implementing the RAS</w:t>
      </w:r>
    </w:p>
    <w:p w14:paraId="371FB354" w14:textId="2A5C3DA1" w:rsidR="008125FF" w:rsidRDefault="008125FF" w:rsidP="008125FF">
      <w:pPr>
        <w:pStyle w:val="ListParagraph"/>
        <w:numPr>
          <w:ilvl w:val="0"/>
          <w:numId w:val="21"/>
        </w:numPr>
      </w:pPr>
      <w:r>
        <w:t xml:space="preserve">By giving greater attention to those risks </w:t>
      </w:r>
      <w:proofErr w:type="gramStart"/>
      <w:r>
        <w:t>in excess of</w:t>
      </w:r>
      <w:proofErr w:type="gramEnd"/>
      <w:r>
        <w:t xml:space="preserve"> the RAS that have been accepted and following up on the outcome</w:t>
      </w:r>
    </w:p>
    <w:p w14:paraId="6F57F12C" w14:textId="587951E7" w:rsidR="008F1111" w:rsidRDefault="008125FF" w:rsidP="008125FF">
      <w:pPr>
        <w:pStyle w:val="ListParagraph"/>
        <w:numPr>
          <w:ilvl w:val="0"/>
          <w:numId w:val="21"/>
        </w:numPr>
      </w:pPr>
      <w:r>
        <w:t xml:space="preserve">By highlighting where </w:t>
      </w:r>
      <w:r w:rsidR="00811B27">
        <w:t xml:space="preserve">controls and the governance framework have not been properly applied and a risk has </w:t>
      </w:r>
      <w:r w:rsidR="00E01962">
        <w:t>materialized</w:t>
      </w:r>
      <w:r w:rsidR="00811B27">
        <w:t xml:space="preserve"> as a</w:t>
      </w:r>
      <w:r w:rsidR="00745451">
        <w:t>n impact</w:t>
      </w:r>
    </w:p>
    <w:p w14:paraId="2FB51F5C" w14:textId="6780BE07" w:rsidR="008125FF" w:rsidRDefault="008F1111" w:rsidP="008125FF">
      <w:pPr>
        <w:pStyle w:val="ListParagraph"/>
        <w:numPr>
          <w:ilvl w:val="0"/>
          <w:numId w:val="21"/>
        </w:numPr>
      </w:pPr>
      <w:r>
        <w:t>By identifying where further guidance is needed to support the consistent and useful implementation of the RAS</w:t>
      </w:r>
      <w:r w:rsidR="00811B27">
        <w:t>.</w:t>
      </w:r>
    </w:p>
    <w:p w14:paraId="053AA11E" w14:textId="3F05DA17" w:rsidR="00811B27" w:rsidRDefault="00811B27" w:rsidP="00811B27">
      <w:r>
        <w:t xml:space="preserve">In this way, the risk appetite will continue to develop to meet UNDP’s </w:t>
      </w:r>
      <w:r w:rsidR="00066277">
        <w:t xml:space="preserve">evolving </w:t>
      </w:r>
      <w:r>
        <w:t xml:space="preserve">needs and become embedded </w:t>
      </w:r>
      <w:r w:rsidR="00197C90">
        <w:t xml:space="preserve">within the ERM framework </w:t>
      </w:r>
      <w:r>
        <w:t xml:space="preserve">as a vital support to risk-based decision making and </w:t>
      </w:r>
      <w:r w:rsidR="00197C90">
        <w:t xml:space="preserve">the </w:t>
      </w:r>
      <w:r>
        <w:t>delivery of UNDP’s strategic plans.</w:t>
      </w:r>
    </w:p>
    <w:p w14:paraId="5E8C7D25" w14:textId="03E996EE" w:rsidR="001A187F" w:rsidRPr="00FA4FAA" w:rsidRDefault="001A187F" w:rsidP="00811B27">
      <w:r>
        <w:lastRenderedPageBreak/>
        <w:t xml:space="preserve">Annex 3 </w:t>
      </w:r>
      <w:r w:rsidR="00E01962">
        <w:t>summarizes</w:t>
      </w:r>
      <w:r>
        <w:t xml:space="preserve"> the different level of risk appetite across each risk category, showing what an increased or decreased risk appetite might look like.</w:t>
      </w:r>
    </w:p>
    <w:p w14:paraId="53F1A288" w14:textId="459C5C17" w:rsidR="00FE3B6B" w:rsidRPr="003F0B20" w:rsidRDefault="00FE3B6B" w:rsidP="00672D45">
      <w:pPr>
        <w:pStyle w:val="Heading1"/>
        <w:numPr>
          <w:ilvl w:val="0"/>
          <w:numId w:val="7"/>
        </w:numPr>
        <w:ind w:left="426"/>
      </w:pPr>
      <w:bookmarkStart w:id="41" w:name="_Toc65688856"/>
      <w:r w:rsidRPr="003F0B20">
        <w:t>Varying from the stated risk appetite</w:t>
      </w:r>
      <w:bookmarkEnd w:id="40"/>
      <w:bookmarkEnd w:id="41"/>
    </w:p>
    <w:p w14:paraId="4AA2B6BE" w14:textId="3FD7E569" w:rsidR="00CF3AFC" w:rsidRDefault="00FE3B6B" w:rsidP="00FE3B6B">
      <w:pPr>
        <w:rPr>
          <w:lang w:val="en-GB"/>
        </w:rPr>
      </w:pPr>
      <w:r w:rsidRPr="00073D44">
        <w:rPr>
          <w:lang w:val="en-GB"/>
        </w:rPr>
        <w:t xml:space="preserve">The aim of a RAS is to provide a consistent approach to risk management across an organisation by everyone in every circumstance. However, there are occasions when the UNDP </w:t>
      </w:r>
      <w:r w:rsidR="00066277">
        <w:rPr>
          <w:lang w:val="en-GB"/>
        </w:rPr>
        <w:t xml:space="preserve">will </w:t>
      </w:r>
      <w:r w:rsidR="00B51998">
        <w:rPr>
          <w:lang w:val="en-GB"/>
        </w:rPr>
        <w:t>decide to operate beyond its risk appetite</w:t>
      </w:r>
      <w:r w:rsidRPr="00073D44">
        <w:rPr>
          <w:lang w:val="en-GB"/>
        </w:rPr>
        <w:t xml:space="preserve">, for example in a high-risk environment when staff need to be enabled to ‘stay and deliver’. On such occasions, </w:t>
      </w:r>
      <w:r w:rsidR="00B51998">
        <w:rPr>
          <w:lang w:val="en-GB"/>
        </w:rPr>
        <w:t xml:space="preserve">where </w:t>
      </w:r>
      <w:r w:rsidRPr="00073D44">
        <w:rPr>
          <w:lang w:val="en-GB"/>
        </w:rPr>
        <w:t xml:space="preserve">the agreed RAS </w:t>
      </w:r>
      <w:r w:rsidR="00B51998">
        <w:rPr>
          <w:lang w:val="en-GB"/>
        </w:rPr>
        <w:t>is</w:t>
      </w:r>
      <w:r w:rsidRPr="00073D44">
        <w:rPr>
          <w:lang w:val="en-GB"/>
        </w:rPr>
        <w:t xml:space="preserve"> exceeded</w:t>
      </w:r>
      <w:r w:rsidR="00B51998">
        <w:rPr>
          <w:lang w:val="en-GB"/>
        </w:rPr>
        <w:t>,</w:t>
      </w:r>
      <w:r w:rsidRPr="00073D44">
        <w:rPr>
          <w:lang w:val="en-GB"/>
        </w:rPr>
        <w:t xml:space="preserve"> this should be done deliberately, consciously and by ‘working out loud’ through </w:t>
      </w:r>
      <w:r w:rsidR="0003535E">
        <w:rPr>
          <w:lang w:val="en-GB"/>
        </w:rPr>
        <w:t xml:space="preserve">well-documented </w:t>
      </w:r>
      <w:r w:rsidRPr="00073D44">
        <w:rPr>
          <w:lang w:val="en-GB"/>
        </w:rPr>
        <w:t>discussions with the risk management team and the Risk Committee. Such areas of risk must be kept under constant review and any opportunities to reduce them nearer to the risk appetite must be taken.</w:t>
      </w:r>
    </w:p>
    <w:p w14:paraId="5077ABC3" w14:textId="12EEC477" w:rsidR="001E7406" w:rsidRDefault="001E7406"/>
    <w:p w14:paraId="5A9F99C3" w14:textId="77777777" w:rsidR="00D603FF" w:rsidRDefault="00D603FF">
      <w:pPr>
        <w:sectPr w:rsidR="00D603FF" w:rsidSect="00083CE2">
          <w:headerReference w:type="default" r:id="rId15"/>
          <w:footerReference w:type="default" r:id="rId16"/>
          <w:pgSz w:w="12240" w:h="15840"/>
          <w:pgMar w:top="1440" w:right="1440" w:bottom="1440" w:left="1440" w:header="720" w:footer="720" w:gutter="0"/>
          <w:cols w:space="720"/>
          <w:docGrid w:linePitch="360"/>
        </w:sectPr>
      </w:pPr>
    </w:p>
    <w:p w14:paraId="0551CE2B" w14:textId="28B1552B" w:rsidR="002533C4" w:rsidRDefault="002533C4" w:rsidP="002533C4">
      <w:pPr>
        <w:pStyle w:val="Heading1"/>
      </w:pPr>
      <w:bookmarkStart w:id="42" w:name="_Toc520736627"/>
      <w:bookmarkStart w:id="43" w:name="_Toc65688857"/>
      <w:r>
        <w:lastRenderedPageBreak/>
        <w:t>Annex 1: ERM Risk Categories</w:t>
      </w:r>
      <w:bookmarkEnd w:id="42"/>
      <w:bookmarkEnd w:id="43"/>
    </w:p>
    <w:tbl>
      <w:tblPr>
        <w:tblStyle w:val="TableGrid"/>
        <w:tblpPr w:leftFromText="180" w:rightFromText="180" w:vertAnchor="text" w:horzAnchor="margin" w:tblpXSpec="center" w:tblpY="181"/>
        <w:tblW w:w="15295" w:type="dxa"/>
        <w:tblLayout w:type="fixed"/>
        <w:tblLook w:val="04A0" w:firstRow="1" w:lastRow="0" w:firstColumn="1" w:lastColumn="0" w:noHBand="0" w:noVBand="1"/>
      </w:tblPr>
      <w:tblGrid>
        <w:gridCol w:w="1911"/>
        <w:gridCol w:w="1912"/>
        <w:gridCol w:w="1912"/>
        <w:gridCol w:w="1912"/>
        <w:gridCol w:w="1912"/>
        <w:gridCol w:w="1912"/>
        <w:gridCol w:w="1912"/>
        <w:gridCol w:w="1912"/>
      </w:tblGrid>
      <w:tr w:rsidR="00745451" w:rsidRPr="00D55872" w14:paraId="306E794B" w14:textId="77777777" w:rsidTr="0089132A">
        <w:tc>
          <w:tcPr>
            <w:tcW w:w="1911"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6AD93A76" w14:textId="77777777" w:rsidR="0089132A" w:rsidRPr="00D55872" w:rsidRDefault="0089132A" w:rsidP="00E474A7">
            <w:pPr>
              <w:spacing w:before="60" w:after="60"/>
              <w:ind w:left="-113" w:right="-69"/>
              <w:jc w:val="center"/>
              <w:rPr>
                <w:b/>
                <w:bCs/>
                <w:color w:val="FFFFFF" w:themeColor="background1"/>
                <w:sz w:val="16"/>
                <w:szCs w:val="16"/>
              </w:rPr>
            </w:pPr>
            <w:r w:rsidRPr="00D55872">
              <w:rPr>
                <w:b/>
                <w:bCs/>
                <w:color w:val="FFFFFF" w:themeColor="background1"/>
                <w:sz w:val="16"/>
                <w:szCs w:val="16"/>
              </w:rPr>
              <w:t>1.Social and Environmental</w:t>
            </w:r>
          </w:p>
        </w:tc>
        <w:tc>
          <w:tcPr>
            <w:tcW w:w="1912"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2AA4BDC6" w14:textId="77777777" w:rsidR="0089132A" w:rsidRPr="00D55872" w:rsidRDefault="0089132A" w:rsidP="00E474A7">
            <w:pPr>
              <w:spacing w:before="60" w:after="60"/>
              <w:jc w:val="center"/>
              <w:rPr>
                <w:b/>
                <w:bCs/>
                <w:color w:val="FFFFFF" w:themeColor="background1"/>
                <w:sz w:val="16"/>
                <w:szCs w:val="16"/>
              </w:rPr>
            </w:pPr>
            <w:r w:rsidRPr="00D55872">
              <w:rPr>
                <w:b/>
                <w:bCs/>
                <w:color w:val="FFFFFF" w:themeColor="background1"/>
                <w:sz w:val="16"/>
                <w:szCs w:val="16"/>
              </w:rPr>
              <w:t>2. Financial</w:t>
            </w:r>
          </w:p>
        </w:tc>
        <w:tc>
          <w:tcPr>
            <w:tcW w:w="1912"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0D1126FB" w14:textId="77777777" w:rsidR="0089132A" w:rsidRPr="00D55872" w:rsidRDefault="0089132A" w:rsidP="00E474A7">
            <w:pPr>
              <w:spacing w:before="60" w:after="60"/>
              <w:jc w:val="center"/>
              <w:rPr>
                <w:b/>
                <w:bCs/>
                <w:color w:val="FFFFFF" w:themeColor="background1"/>
                <w:sz w:val="16"/>
                <w:szCs w:val="16"/>
              </w:rPr>
            </w:pPr>
            <w:r w:rsidRPr="00D55872">
              <w:rPr>
                <w:b/>
                <w:bCs/>
                <w:color w:val="FFFFFF" w:themeColor="background1"/>
                <w:sz w:val="16"/>
                <w:szCs w:val="16"/>
              </w:rPr>
              <w:t>3.Operational</w:t>
            </w:r>
          </w:p>
        </w:tc>
        <w:tc>
          <w:tcPr>
            <w:tcW w:w="1912"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66111AB0" w14:textId="77777777" w:rsidR="0089132A" w:rsidRPr="00D55872" w:rsidRDefault="0089132A" w:rsidP="00E474A7">
            <w:pPr>
              <w:spacing w:before="60" w:after="60"/>
              <w:jc w:val="center"/>
              <w:rPr>
                <w:b/>
                <w:bCs/>
                <w:color w:val="FFFFFF" w:themeColor="background1"/>
                <w:sz w:val="16"/>
                <w:szCs w:val="16"/>
              </w:rPr>
            </w:pPr>
            <w:r w:rsidRPr="00D55872">
              <w:rPr>
                <w:b/>
                <w:bCs/>
                <w:color w:val="FFFFFF" w:themeColor="background1"/>
                <w:sz w:val="16"/>
                <w:szCs w:val="16"/>
              </w:rPr>
              <w:t>4.Organizational</w:t>
            </w:r>
          </w:p>
        </w:tc>
        <w:tc>
          <w:tcPr>
            <w:tcW w:w="1912"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3939B1EC" w14:textId="77777777" w:rsidR="0089132A" w:rsidRPr="00D55872" w:rsidRDefault="0089132A" w:rsidP="00E474A7">
            <w:pPr>
              <w:spacing w:before="60" w:after="60"/>
              <w:jc w:val="center"/>
              <w:rPr>
                <w:b/>
                <w:bCs/>
                <w:color w:val="FFFFFF" w:themeColor="background1"/>
                <w:sz w:val="16"/>
                <w:szCs w:val="16"/>
              </w:rPr>
            </w:pPr>
            <w:r w:rsidRPr="00D55872">
              <w:rPr>
                <w:b/>
                <w:bCs/>
                <w:color w:val="FFFFFF" w:themeColor="background1"/>
                <w:sz w:val="16"/>
                <w:szCs w:val="16"/>
              </w:rPr>
              <w:t>5. Reputational</w:t>
            </w:r>
          </w:p>
        </w:tc>
        <w:tc>
          <w:tcPr>
            <w:tcW w:w="1912"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756B785B" w14:textId="77777777" w:rsidR="0089132A" w:rsidRPr="00D55872" w:rsidRDefault="0089132A" w:rsidP="00E474A7">
            <w:pPr>
              <w:spacing w:before="60" w:after="60"/>
              <w:jc w:val="center"/>
              <w:rPr>
                <w:b/>
                <w:bCs/>
                <w:color w:val="FFFFFF" w:themeColor="background1"/>
                <w:sz w:val="16"/>
                <w:szCs w:val="16"/>
              </w:rPr>
            </w:pPr>
            <w:r>
              <w:rPr>
                <w:b/>
                <w:bCs/>
                <w:color w:val="FFFFFF" w:themeColor="background1"/>
                <w:sz w:val="16"/>
                <w:szCs w:val="16"/>
              </w:rPr>
              <w:t>6</w:t>
            </w:r>
            <w:r w:rsidRPr="00D55872">
              <w:rPr>
                <w:b/>
                <w:bCs/>
                <w:color w:val="FFFFFF" w:themeColor="background1"/>
                <w:sz w:val="16"/>
                <w:szCs w:val="16"/>
              </w:rPr>
              <w:t>.</w:t>
            </w:r>
            <w:r>
              <w:rPr>
                <w:b/>
                <w:bCs/>
                <w:color w:val="FFFFFF" w:themeColor="background1"/>
                <w:sz w:val="16"/>
                <w:szCs w:val="16"/>
              </w:rPr>
              <w:t xml:space="preserve"> </w:t>
            </w:r>
            <w:r w:rsidRPr="00D55872">
              <w:rPr>
                <w:b/>
                <w:bCs/>
                <w:color w:val="FFFFFF" w:themeColor="background1"/>
                <w:sz w:val="16"/>
                <w:szCs w:val="16"/>
              </w:rPr>
              <w:t>Regulatory</w:t>
            </w:r>
          </w:p>
        </w:tc>
        <w:tc>
          <w:tcPr>
            <w:tcW w:w="1912"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36F54228" w14:textId="77777777" w:rsidR="0089132A" w:rsidRPr="00D55872" w:rsidRDefault="0089132A" w:rsidP="00E474A7">
            <w:pPr>
              <w:spacing w:before="60" w:after="60"/>
              <w:jc w:val="center"/>
              <w:rPr>
                <w:b/>
                <w:bCs/>
                <w:color w:val="FFFFFF" w:themeColor="background1"/>
                <w:sz w:val="16"/>
                <w:szCs w:val="16"/>
              </w:rPr>
            </w:pPr>
            <w:r w:rsidRPr="00D55872">
              <w:rPr>
                <w:b/>
                <w:bCs/>
                <w:color w:val="FFFFFF" w:themeColor="background1"/>
                <w:sz w:val="16"/>
                <w:szCs w:val="16"/>
              </w:rPr>
              <w:t>7. Strategic</w:t>
            </w:r>
          </w:p>
        </w:tc>
        <w:tc>
          <w:tcPr>
            <w:tcW w:w="1912"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79F7BF2F" w14:textId="77777777" w:rsidR="0089132A" w:rsidRPr="00D55872" w:rsidRDefault="0089132A" w:rsidP="00E474A7">
            <w:pPr>
              <w:spacing w:before="60" w:after="60"/>
              <w:jc w:val="center"/>
              <w:rPr>
                <w:b/>
                <w:bCs/>
                <w:color w:val="FFFFFF" w:themeColor="background1"/>
                <w:sz w:val="16"/>
                <w:szCs w:val="16"/>
              </w:rPr>
            </w:pPr>
            <w:r w:rsidRPr="00D55872">
              <w:rPr>
                <w:b/>
                <w:bCs/>
                <w:color w:val="FFFFFF" w:themeColor="background1"/>
                <w:sz w:val="16"/>
                <w:szCs w:val="16"/>
              </w:rPr>
              <w:t>8. Safety and Security</w:t>
            </w:r>
          </w:p>
        </w:tc>
      </w:tr>
      <w:tr w:rsidR="00745451" w:rsidRPr="00D53BC7" w14:paraId="0A62F45A" w14:textId="77777777" w:rsidTr="008A13BD">
        <w:trPr>
          <w:trHeight w:val="5601"/>
        </w:trPr>
        <w:tc>
          <w:tcPr>
            <w:tcW w:w="1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FF89B" w14:textId="77777777" w:rsidR="0089132A" w:rsidRPr="00525AD0" w:rsidRDefault="0089132A" w:rsidP="0089132A">
            <w:pPr>
              <w:pStyle w:val="ListParagraph"/>
              <w:numPr>
                <w:ilvl w:val="1"/>
                <w:numId w:val="24"/>
              </w:numPr>
              <w:tabs>
                <w:tab w:val="left" w:pos="338"/>
              </w:tabs>
              <w:spacing w:before="60" w:after="60"/>
              <w:ind w:left="-14" w:firstLine="0"/>
              <w:contextualSpacing w:val="0"/>
              <w:rPr>
                <w:rFonts w:cstheme="minorHAnsi"/>
                <w:sz w:val="16"/>
                <w:szCs w:val="16"/>
              </w:rPr>
            </w:pPr>
            <w:r w:rsidRPr="00525AD0">
              <w:rPr>
                <w:rFonts w:cstheme="minorHAnsi"/>
                <w:sz w:val="16"/>
                <w:szCs w:val="16"/>
              </w:rPr>
              <w:t xml:space="preserve">Human rights </w:t>
            </w:r>
          </w:p>
          <w:p w14:paraId="60611B49" w14:textId="77777777" w:rsidR="0089132A" w:rsidRPr="00525AD0" w:rsidRDefault="0089132A" w:rsidP="0089132A">
            <w:pPr>
              <w:pStyle w:val="ListParagraph"/>
              <w:numPr>
                <w:ilvl w:val="1"/>
                <w:numId w:val="24"/>
              </w:numPr>
              <w:tabs>
                <w:tab w:val="left" w:pos="338"/>
              </w:tabs>
              <w:spacing w:before="60" w:after="60"/>
              <w:ind w:left="-14" w:firstLine="0"/>
              <w:contextualSpacing w:val="0"/>
              <w:rPr>
                <w:rFonts w:cstheme="minorHAnsi"/>
                <w:sz w:val="16"/>
                <w:szCs w:val="16"/>
              </w:rPr>
            </w:pPr>
            <w:r w:rsidRPr="00525AD0">
              <w:rPr>
                <w:rFonts w:cstheme="minorHAnsi"/>
                <w:sz w:val="16"/>
                <w:szCs w:val="16"/>
              </w:rPr>
              <w:t>Gender equality and women’s empowerment</w:t>
            </w:r>
          </w:p>
          <w:p w14:paraId="0860BC94" w14:textId="77777777" w:rsidR="0089132A" w:rsidRPr="00525AD0" w:rsidRDefault="0089132A" w:rsidP="0089132A">
            <w:pPr>
              <w:pStyle w:val="ListParagraph"/>
              <w:numPr>
                <w:ilvl w:val="1"/>
                <w:numId w:val="24"/>
              </w:numPr>
              <w:tabs>
                <w:tab w:val="left" w:pos="338"/>
              </w:tabs>
              <w:spacing w:before="60" w:after="60"/>
              <w:ind w:left="-14" w:firstLine="0"/>
              <w:contextualSpacing w:val="0"/>
              <w:rPr>
                <w:rFonts w:cstheme="minorHAnsi"/>
                <w:sz w:val="16"/>
                <w:szCs w:val="16"/>
              </w:rPr>
            </w:pPr>
            <w:r>
              <w:rPr>
                <w:rFonts w:cstheme="minorHAnsi"/>
                <w:sz w:val="16"/>
                <w:szCs w:val="16"/>
              </w:rPr>
              <w:t>Grievances (</w:t>
            </w:r>
            <w:r w:rsidRPr="00525AD0">
              <w:rPr>
                <w:rFonts w:cstheme="minorHAnsi"/>
                <w:sz w:val="16"/>
                <w:szCs w:val="16"/>
              </w:rPr>
              <w:t>Accountability</w:t>
            </w:r>
            <w:r>
              <w:rPr>
                <w:rFonts w:cstheme="minorHAnsi"/>
                <w:sz w:val="16"/>
                <w:szCs w:val="16"/>
              </w:rPr>
              <w:t xml:space="preserve"> to stakeholders)</w:t>
            </w:r>
          </w:p>
          <w:p w14:paraId="022F3351" w14:textId="0C6BE1B8" w:rsidR="0089132A" w:rsidRPr="00525AD0" w:rsidRDefault="0089132A" w:rsidP="0089132A">
            <w:pPr>
              <w:pStyle w:val="ListParagraph"/>
              <w:numPr>
                <w:ilvl w:val="1"/>
                <w:numId w:val="24"/>
              </w:numPr>
              <w:tabs>
                <w:tab w:val="left" w:pos="338"/>
              </w:tabs>
              <w:spacing w:before="60" w:after="60"/>
              <w:ind w:left="-14" w:firstLine="0"/>
              <w:contextualSpacing w:val="0"/>
              <w:rPr>
                <w:rFonts w:cstheme="minorHAnsi"/>
                <w:sz w:val="16"/>
                <w:szCs w:val="16"/>
              </w:rPr>
            </w:pPr>
            <w:r w:rsidRPr="00525AD0">
              <w:rPr>
                <w:rFonts w:cstheme="minorHAnsi"/>
                <w:sz w:val="16"/>
                <w:szCs w:val="16"/>
              </w:rPr>
              <w:t xml:space="preserve">Biodiversity conservation and sustainable natural resource management </w:t>
            </w:r>
          </w:p>
          <w:p w14:paraId="67D04AB8" w14:textId="77777777" w:rsidR="0089132A" w:rsidRPr="00525AD0" w:rsidRDefault="0089132A" w:rsidP="0089132A">
            <w:pPr>
              <w:pStyle w:val="ListParagraph"/>
              <w:numPr>
                <w:ilvl w:val="1"/>
                <w:numId w:val="24"/>
              </w:numPr>
              <w:tabs>
                <w:tab w:val="left" w:pos="338"/>
              </w:tabs>
              <w:spacing w:before="60" w:after="60"/>
              <w:ind w:left="-14" w:firstLine="0"/>
              <w:contextualSpacing w:val="0"/>
              <w:rPr>
                <w:rFonts w:cstheme="minorHAnsi"/>
                <w:sz w:val="16"/>
                <w:szCs w:val="16"/>
              </w:rPr>
            </w:pPr>
            <w:r w:rsidRPr="00525AD0">
              <w:rPr>
                <w:rFonts w:cstheme="minorHAnsi"/>
                <w:sz w:val="16"/>
                <w:szCs w:val="16"/>
              </w:rPr>
              <w:t>Climate change and disaster risks</w:t>
            </w:r>
          </w:p>
          <w:p w14:paraId="3CCF59B3" w14:textId="21BEFF6D" w:rsidR="0089132A" w:rsidRPr="00525AD0" w:rsidRDefault="0089132A" w:rsidP="0089132A">
            <w:pPr>
              <w:pStyle w:val="ListParagraph"/>
              <w:numPr>
                <w:ilvl w:val="1"/>
                <w:numId w:val="24"/>
              </w:numPr>
              <w:tabs>
                <w:tab w:val="left" w:pos="338"/>
              </w:tabs>
              <w:spacing w:before="60" w:after="60"/>
              <w:ind w:left="-14" w:firstLine="0"/>
              <w:contextualSpacing w:val="0"/>
              <w:rPr>
                <w:rFonts w:cstheme="minorHAnsi"/>
                <w:sz w:val="16"/>
                <w:szCs w:val="16"/>
              </w:rPr>
            </w:pPr>
            <w:r w:rsidRPr="00525AD0">
              <w:rPr>
                <w:rFonts w:cstheme="minorHAnsi"/>
                <w:sz w:val="16"/>
                <w:szCs w:val="16"/>
              </w:rPr>
              <w:t xml:space="preserve">Community health, </w:t>
            </w:r>
            <w:proofErr w:type="gramStart"/>
            <w:r w:rsidRPr="00525AD0">
              <w:rPr>
                <w:rFonts w:cstheme="minorHAnsi"/>
                <w:sz w:val="16"/>
                <w:szCs w:val="16"/>
              </w:rPr>
              <w:t>safety</w:t>
            </w:r>
            <w:proofErr w:type="gramEnd"/>
            <w:r w:rsidRPr="00525AD0">
              <w:rPr>
                <w:rFonts w:cstheme="minorHAnsi"/>
                <w:sz w:val="16"/>
                <w:szCs w:val="16"/>
              </w:rPr>
              <w:t xml:space="preserve"> and security </w:t>
            </w:r>
          </w:p>
          <w:p w14:paraId="79B1053C" w14:textId="77777777" w:rsidR="0089132A" w:rsidRPr="00525AD0" w:rsidRDefault="0089132A" w:rsidP="0089132A">
            <w:pPr>
              <w:pStyle w:val="ListParagraph"/>
              <w:numPr>
                <w:ilvl w:val="1"/>
                <w:numId w:val="24"/>
              </w:numPr>
              <w:tabs>
                <w:tab w:val="left" w:pos="338"/>
              </w:tabs>
              <w:spacing w:before="60" w:after="60"/>
              <w:ind w:left="-14" w:firstLine="0"/>
              <w:contextualSpacing w:val="0"/>
              <w:rPr>
                <w:rFonts w:cstheme="minorHAnsi"/>
                <w:sz w:val="16"/>
                <w:szCs w:val="16"/>
              </w:rPr>
            </w:pPr>
            <w:r w:rsidRPr="00525AD0">
              <w:rPr>
                <w:rFonts w:cstheme="minorHAnsi"/>
                <w:sz w:val="16"/>
                <w:szCs w:val="16"/>
              </w:rPr>
              <w:t xml:space="preserve">Cultural heritage </w:t>
            </w:r>
          </w:p>
          <w:p w14:paraId="1722CD81" w14:textId="77777777" w:rsidR="0089132A" w:rsidRPr="00525AD0" w:rsidRDefault="0089132A" w:rsidP="0089132A">
            <w:pPr>
              <w:pStyle w:val="ListParagraph"/>
              <w:numPr>
                <w:ilvl w:val="1"/>
                <w:numId w:val="24"/>
              </w:numPr>
              <w:tabs>
                <w:tab w:val="left" w:pos="338"/>
              </w:tabs>
              <w:spacing w:before="60" w:after="60"/>
              <w:ind w:left="-14" w:firstLine="0"/>
              <w:contextualSpacing w:val="0"/>
              <w:rPr>
                <w:rFonts w:cstheme="minorHAnsi"/>
                <w:sz w:val="16"/>
                <w:szCs w:val="16"/>
              </w:rPr>
            </w:pPr>
            <w:r w:rsidRPr="00525AD0">
              <w:rPr>
                <w:rFonts w:cstheme="minorHAnsi"/>
                <w:sz w:val="16"/>
                <w:szCs w:val="16"/>
              </w:rPr>
              <w:t>Displacement and resettlement</w:t>
            </w:r>
          </w:p>
          <w:p w14:paraId="2D328756" w14:textId="77777777" w:rsidR="0089132A" w:rsidRPr="00525AD0" w:rsidRDefault="0089132A" w:rsidP="0089132A">
            <w:pPr>
              <w:pStyle w:val="ListParagraph"/>
              <w:numPr>
                <w:ilvl w:val="1"/>
                <w:numId w:val="24"/>
              </w:numPr>
              <w:tabs>
                <w:tab w:val="left" w:pos="338"/>
              </w:tabs>
              <w:spacing w:before="60" w:after="60"/>
              <w:ind w:left="-14" w:firstLine="0"/>
              <w:contextualSpacing w:val="0"/>
              <w:rPr>
                <w:rFonts w:cstheme="minorHAnsi"/>
                <w:sz w:val="16"/>
                <w:szCs w:val="16"/>
              </w:rPr>
            </w:pPr>
            <w:r w:rsidRPr="00525AD0">
              <w:rPr>
                <w:rFonts w:cstheme="minorHAnsi"/>
                <w:sz w:val="16"/>
                <w:szCs w:val="16"/>
              </w:rPr>
              <w:t>Indigenous peoples</w:t>
            </w:r>
          </w:p>
          <w:p w14:paraId="067EADEF" w14:textId="77777777" w:rsidR="0089132A" w:rsidRPr="00525AD0" w:rsidRDefault="0089132A" w:rsidP="0089132A">
            <w:pPr>
              <w:pStyle w:val="ListParagraph"/>
              <w:numPr>
                <w:ilvl w:val="1"/>
                <w:numId w:val="24"/>
              </w:numPr>
              <w:tabs>
                <w:tab w:val="left" w:pos="338"/>
              </w:tabs>
              <w:spacing w:before="60" w:after="60"/>
              <w:ind w:left="-14" w:firstLine="0"/>
              <w:contextualSpacing w:val="0"/>
              <w:rPr>
                <w:rFonts w:cstheme="minorHAnsi"/>
                <w:sz w:val="16"/>
                <w:szCs w:val="16"/>
              </w:rPr>
            </w:pPr>
            <w:proofErr w:type="spellStart"/>
            <w:r w:rsidRPr="00525AD0">
              <w:rPr>
                <w:rFonts w:cstheme="minorHAnsi"/>
                <w:sz w:val="16"/>
                <w:szCs w:val="16"/>
              </w:rPr>
              <w:t>Labour</w:t>
            </w:r>
            <w:proofErr w:type="spellEnd"/>
            <w:r w:rsidRPr="00525AD0">
              <w:rPr>
                <w:rFonts w:cstheme="minorHAnsi"/>
                <w:sz w:val="16"/>
                <w:szCs w:val="16"/>
              </w:rPr>
              <w:t xml:space="preserve"> and working conditions</w:t>
            </w:r>
          </w:p>
          <w:p w14:paraId="44E36C6F" w14:textId="3454BB66" w:rsidR="0089132A" w:rsidRPr="00525AD0" w:rsidRDefault="0089132A" w:rsidP="0089132A">
            <w:pPr>
              <w:pStyle w:val="ListParagraph"/>
              <w:numPr>
                <w:ilvl w:val="1"/>
                <w:numId w:val="24"/>
              </w:numPr>
              <w:tabs>
                <w:tab w:val="left" w:pos="338"/>
              </w:tabs>
              <w:spacing w:before="60" w:after="60"/>
              <w:ind w:left="-14" w:firstLine="0"/>
              <w:contextualSpacing w:val="0"/>
              <w:rPr>
                <w:rFonts w:cstheme="minorHAnsi"/>
                <w:sz w:val="16"/>
                <w:szCs w:val="16"/>
              </w:rPr>
            </w:pPr>
            <w:r w:rsidRPr="00525AD0">
              <w:rPr>
                <w:rFonts w:cstheme="minorHAnsi"/>
                <w:sz w:val="16"/>
                <w:szCs w:val="16"/>
              </w:rPr>
              <w:t xml:space="preserve">Pollution </w:t>
            </w:r>
            <w:r>
              <w:rPr>
                <w:rFonts w:cstheme="minorHAnsi"/>
                <w:sz w:val="16"/>
                <w:szCs w:val="16"/>
              </w:rPr>
              <w:t xml:space="preserve">prevention </w:t>
            </w:r>
            <w:r w:rsidRPr="00525AD0">
              <w:rPr>
                <w:rFonts w:cstheme="minorHAnsi"/>
                <w:sz w:val="16"/>
                <w:szCs w:val="16"/>
              </w:rPr>
              <w:t>and resource efficiency</w:t>
            </w:r>
          </w:p>
          <w:p w14:paraId="63C3CA85" w14:textId="77777777" w:rsidR="0089132A" w:rsidRPr="00525AD0" w:rsidRDefault="0089132A" w:rsidP="0089132A">
            <w:pPr>
              <w:pStyle w:val="ListParagraph"/>
              <w:numPr>
                <w:ilvl w:val="1"/>
                <w:numId w:val="24"/>
              </w:numPr>
              <w:tabs>
                <w:tab w:val="left" w:pos="338"/>
              </w:tabs>
              <w:spacing w:before="60" w:after="60"/>
              <w:ind w:left="-14" w:firstLine="0"/>
              <w:contextualSpacing w:val="0"/>
              <w:rPr>
                <w:rFonts w:cstheme="minorHAnsi"/>
                <w:sz w:val="16"/>
                <w:szCs w:val="16"/>
              </w:rPr>
            </w:pPr>
            <w:r w:rsidRPr="00525AD0">
              <w:rPr>
                <w:rFonts w:cstheme="minorHAnsi"/>
                <w:sz w:val="16"/>
                <w:szCs w:val="16"/>
              </w:rPr>
              <w:t>Stakeholder engagement</w:t>
            </w:r>
          </w:p>
          <w:p w14:paraId="693D353E" w14:textId="407B5A0A" w:rsidR="0089132A" w:rsidRPr="00195CB3" w:rsidRDefault="0089132A" w:rsidP="00513FC1">
            <w:pPr>
              <w:pStyle w:val="ListParagraph"/>
              <w:numPr>
                <w:ilvl w:val="1"/>
                <w:numId w:val="24"/>
              </w:numPr>
              <w:tabs>
                <w:tab w:val="left" w:pos="338"/>
              </w:tabs>
              <w:spacing w:before="60" w:after="60"/>
              <w:ind w:left="-14" w:firstLine="0"/>
              <w:contextualSpacing w:val="0"/>
              <w:rPr>
                <w:rFonts w:cstheme="minorHAnsi"/>
                <w:strike/>
                <w:sz w:val="16"/>
                <w:szCs w:val="16"/>
              </w:rPr>
            </w:pPr>
            <w:r w:rsidRPr="00525AD0">
              <w:rPr>
                <w:rFonts w:cstheme="minorHAnsi"/>
                <w:sz w:val="16"/>
                <w:szCs w:val="16"/>
              </w:rPr>
              <w:t>Sexual exploitation and abuse</w:t>
            </w:r>
          </w:p>
        </w:tc>
        <w:tc>
          <w:tcPr>
            <w:tcW w:w="1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307F0F" w14:textId="77777777" w:rsidR="0089132A" w:rsidRPr="00D53BC7" w:rsidRDefault="0089132A" w:rsidP="0089132A">
            <w:pPr>
              <w:pStyle w:val="ListParagraph"/>
              <w:numPr>
                <w:ilvl w:val="1"/>
                <w:numId w:val="25"/>
              </w:numPr>
              <w:tabs>
                <w:tab w:val="left" w:pos="351"/>
              </w:tabs>
              <w:spacing w:before="60" w:after="60"/>
              <w:ind w:left="-14" w:firstLine="0"/>
              <w:contextualSpacing w:val="0"/>
              <w:rPr>
                <w:rFonts w:cstheme="minorHAnsi"/>
                <w:sz w:val="16"/>
                <w:szCs w:val="16"/>
              </w:rPr>
            </w:pPr>
            <w:r w:rsidRPr="00D53BC7">
              <w:rPr>
                <w:rFonts w:cstheme="minorHAnsi"/>
                <w:sz w:val="16"/>
                <w:szCs w:val="16"/>
              </w:rPr>
              <w:t>Cost recovery</w:t>
            </w:r>
          </w:p>
          <w:p w14:paraId="1B87661A" w14:textId="77777777" w:rsidR="0089132A" w:rsidRPr="00D53BC7" w:rsidRDefault="0089132A" w:rsidP="0089132A">
            <w:pPr>
              <w:pStyle w:val="ListParagraph"/>
              <w:numPr>
                <w:ilvl w:val="1"/>
                <w:numId w:val="25"/>
              </w:numPr>
              <w:tabs>
                <w:tab w:val="left" w:pos="351"/>
              </w:tabs>
              <w:spacing w:before="60" w:after="60"/>
              <w:ind w:left="-14" w:firstLine="0"/>
              <w:contextualSpacing w:val="0"/>
              <w:rPr>
                <w:rFonts w:cstheme="minorHAnsi"/>
                <w:sz w:val="16"/>
                <w:szCs w:val="16"/>
              </w:rPr>
            </w:pPr>
            <w:r w:rsidRPr="00D53BC7">
              <w:rPr>
                <w:rFonts w:cstheme="minorHAnsi"/>
                <w:sz w:val="16"/>
                <w:szCs w:val="16"/>
              </w:rPr>
              <w:t>Value for money</w:t>
            </w:r>
          </w:p>
          <w:p w14:paraId="3464AC77" w14:textId="77777777" w:rsidR="0089132A" w:rsidRPr="00D53BC7" w:rsidRDefault="0089132A" w:rsidP="0089132A">
            <w:pPr>
              <w:pStyle w:val="ListParagraph"/>
              <w:numPr>
                <w:ilvl w:val="1"/>
                <w:numId w:val="25"/>
              </w:numPr>
              <w:tabs>
                <w:tab w:val="left" w:pos="351"/>
              </w:tabs>
              <w:spacing w:before="60" w:after="60"/>
              <w:ind w:left="-14" w:firstLine="0"/>
              <w:contextualSpacing w:val="0"/>
              <w:rPr>
                <w:rFonts w:cstheme="minorHAnsi"/>
                <w:sz w:val="16"/>
                <w:szCs w:val="16"/>
              </w:rPr>
            </w:pPr>
            <w:r w:rsidRPr="00D53BC7">
              <w:rPr>
                <w:rFonts w:cstheme="minorHAnsi"/>
                <w:sz w:val="16"/>
                <w:szCs w:val="16"/>
              </w:rPr>
              <w:t>Corruption and fraud</w:t>
            </w:r>
          </w:p>
          <w:p w14:paraId="153933D7" w14:textId="77777777" w:rsidR="0089132A" w:rsidRPr="00D53BC7" w:rsidRDefault="0089132A" w:rsidP="0089132A">
            <w:pPr>
              <w:pStyle w:val="ListParagraph"/>
              <w:numPr>
                <w:ilvl w:val="1"/>
                <w:numId w:val="25"/>
              </w:numPr>
              <w:tabs>
                <w:tab w:val="left" w:pos="351"/>
              </w:tabs>
              <w:spacing w:before="60" w:after="60"/>
              <w:ind w:left="-14" w:firstLine="0"/>
              <w:contextualSpacing w:val="0"/>
              <w:rPr>
                <w:rFonts w:cstheme="minorHAnsi"/>
                <w:sz w:val="16"/>
                <w:szCs w:val="16"/>
              </w:rPr>
            </w:pPr>
            <w:r w:rsidRPr="00D53BC7">
              <w:rPr>
                <w:rFonts w:cstheme="minorHAnsi"/>
                <w:sz w:val="16"/>
                <w:szCs w:val="16"/>
              </w:rPr>
              <w:t>Fluctuation in credit rate, market, currency</w:t>
            </w:r>
          </w:p>
          <w:p w14:paraId="4E867414" w14:textId="77777777" w:rsidR="0089132A" w:rsidRPr="00D53BC7" w:rsidRDefault="0089132A" w:rsidP="0089132A">
            <w:pPr>
              <w:pStyle w:val="ListParagraph"/>
              <w:numPr>
                <w:ilvl w:val="1"/>
                <w:numId w:val="25"/>
              </w:numPr>
              <w:tabs>
                <w:tab w:val="left" w:pos="351"/>
              </w:tabs>
              <w:spacing w:before="60" w:after="60"/>
              <w:ind w:left="-14" w:firstLine="0"/>
              <w:contextualSpacing w:val="0"/>
              <w:rPr>
                <w:rFonts w:cstheme="minorHAnsi"/>
                <w:sz w:val="16"/>
                <w:szCs w:val="16"/>
              </w:rPr>
            </w:pPr>
            <w:r w:rsidRPr="00D53BC7">
              <w:rPr>
                <w:rFonts w:cstheme="minorHAnsi"/>
                <w:sz w:val="16"/>
                <w:szCs w:val="16"/>
              </w:rPr>
              <w:t xml:space="preserve">Delivery </w:t>
            </w:r>
          </w:p>
          <w:p w14:paraId="17200D38" w14:textId="77777777" w:rsidR="0089132A" w:rsidRPr="00D53BC7" w:rsidRDefault="0089132A" w:rsidP="0089132A">
            <w:pPr>
              <w:pStyle w:val="ListParagraph"/>
              <w:numPr>
                <w:ilvl w:val="1"/>
                <w:numId w:val="25"/>
              </w:numPr>
              <w:tabs>
                <w:tab w:val="left" w:pos="351"/>
              </w:tabs>
              <w:spacing w:before="60" w:after="60"/>
              <w:ind w:left="-14" w:firstLine="0"/>
              <w:contextualSpacing w:val="0"/>
              <w:rPr>
                <w:rFonts w:cstheme="minorHAnsi"/>
                <w:sz w:val="16"/>
                <w:szCs w:val="16"/>
              </w:rPr>
            </w:pPr>
            <w:r w:rsidRPr="00D53BC7">
              <w:rPr>
                <w:rFonts w:cstheme="minorHAnsi"/>
                <w:sz w:val="16"/>
                <w:szCs w:val="16"/>
              </w:rPr>
              <w:t>Budget availability and cash flow</w:t>
            </w:r>
          </w:p>
          <w:p w14:paraId="43A7CAAD" w14:textId="77777777" w:rsidR="0089132A" w:rsidRPr="00D53BC7" w:rsidRDefault="0089132A" w:rsidP="00E474A7">
            <w:pPr>
              <w:tabs>
                <w:tab w:val="left" w:pos="351"/>
              </w:tabs>
              <w:spacing w:before="60" w:after="60"/>
              <w:ind w:left="-14"/>
              <w:rPr>
                <w:rFonts w:cstheme="minorHAnsi"/>
                <w:sz w:val="16"/>
                <w:szCs w:val="16"/>
              </w:rPr>
            </w:pPr>
          </w:p>
        </w:tc>
        <w:tc>
          <w:tcPr>
            <w:tcW w:w="1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72492" w14:textId="77777777" w:rsidR="0089132A" w:rsidRPr="00D53BC7" w:rsidRDefault="0089132A" w:rsidP="0089132A">
            <w:pPr>
              <w:pStyle w:val="ListParagraph"/>
              <w:numPr>
                <w:ilvl w:val="1"/>
                <w:numId w:val="26"/>
              </w:numPr>
              <w:tabs>
                <w:tab w:val="left" w:pos="335"/>
              </w:tabs>
              <w:spacing w:before="60" w:after="60"/>
              <w:ind w:left="-29" w:firstLine="0"/>
              <w:contextualSpacing w:val="0"/>
              <w:rPr>
                <w:rFonts w:cstheme="minorHAnsi"/>
                <w:sz w:val="16"/>
                <w:szCs w:val="16"/>
              </w:rPr>
            </w:pPr>
            <w:r>
              <w:rPr>
                <w:rFonts w:cstheme="minorHAnsi"/>
                <w:sz w:val="16"/>
                <w:szCs w:val="16"/>
              </w:rPr>
              <w:t>R</w:t>
            </w:r>
            <w:r w:rsidRPr="00D53BC7">
              <w:rPr>
                <w:rFonts w:cstheme="minorHAnsi"/>
                <w:sz w:val="16"/>
                <w:szCs w:val="16"/>
              </w:rPr>
              <w:t>esponsiveness to audit and evaluations</w:t>
            </w:r>
            <w:r>
              <w:rPr>
                <w:rFonts w:cstheme="minorHAnsi"/>
                <w:sz w:val="16"/>
                <w:szCs w:val="16"/>
              </w:rPr>
              <w:t xml:space="preserve"> (Delays in the conduct of and implementation of recommendations)</w:t>
            </w:r>
          </w:p>
          <w:p w14:paraId="6DE2A0B8" w14:textId="77777777" w:rsidR="0089132A" w:rsidRPr="00D53BC7" w:rsidRDefault="0089132A" w:rsidP="0089132A">
            <w:pPr>
              <w:pStyle w:val="ListParagraph"/>
              <w:numPr>
                <w:ilvl w:val="1"/>
                <w:numId w:val="26"/>
              </w:numPr>
              <w:tabs>
                <w:tab w:val="left" w:pos="335"/>
              </w:tabs>
              <w:spacing w:before="60" w:after="60"/>
              <w:ind w:left="-29" w:firstLine="0"/>
              <w:contextualSpacing w:val="0"/>
              <w:rPr>
                <w:rFonts w:cstheme="minorHAnsi"/>
                <w:sz w:val="16"/>
                <w:szCs w:val="16"/>
              </w:rPr>
            </w:pPr>
            <w:r w:rsidRPr="00D53BC7">
              <w:rPr>
                <w:rFonts w:cstheme="minorHAnsi"/>
                <w:sz w:val="16"/>
                <w:szCs w:val="16"/>
              </w:rPr>
              <w:t xml:space="preserve">Leadership </w:t>
            </w:r>
            <w:r>
              <w:rPr>
                <w:rFonts w:cstheme="minorHAnsi"/>
                <w:sz w:val="16"/>
                <w:szCs w:val="16"/>
              </w:rPr>
              <w:t>and</w:t>
            </w:r>
            <w:r w:rsidRPr="00D53BC7">
              <w:rPr>
                <w:rFonts w:cstheme="minorHAnsi"/>
                <w:sz w:val="16"/>
                <w:szCs w:val="16"/>
              </w:rPr>
              <w:t xml:space="preserve"> management </w:t>
            </w:r>
          </w:p>
          <w:p w14:paraId="2A3CAF14" w14:textId="77777777" w:rsidR="0089132A" w:rsidRPr="00D53BC7" w:rsidRDefault="0089132A" w:rsidP="0089132A">
            <w:pPr>
              <w:pStyle w:val="ListParagraph"/>
              <w:numPr>
                <w:ilvl w:val="1"/>
                <w:numId w:val="26"/>
              </w:numPr>
              <w:tabs>
                <w:tab w:val="left" w:pos="335"/>
              </w:tabs>
              <w:spacing w:before="60" w:after="60"/>
              <w:ind w:left="-29" w:firstLine="0"/>
              <w:contextualSpacing w:val="0"/>
              <w:rPr>
                <w:rFonts w:cstheme="minorHAnsi"/>
                <w:sz w:val="16"/>
                <w:szCs w:val="16"/>
              </w:rPr>
            </w:pPr>
            <w:r w:rsidRPr="00D53BC7">
              <w:rPr>
                <w:rFonts w:cstheme="minorHAnsi"/>
                <w:sz w:val="16"/>
                <w:szCs w:val="16"/>
              </w:rPr>
              <w:t>Flexibility and opportunity management</w:t>
            </w:r>
          </w:p>
          <w:p w14:paraId="75154C08" w14:textId="77777777" w:rsidR="0089132A" w:rsidRPr="00D53BC7" w:rsidRDefault="0089132A" w:rsidP="0089132A">
            <w:pPr>
              <w:pStyle w:val="ListParagraph"/>
              <w:numPr>
                <w:ilvl w:val="1"/>
                <w:numId w:val="26"/>
              </w:numPr>
              <w:tabs>
                <w:tab w:val="left" w:pos="335"/>
              </w:tabs>
              <w:spacing w:before="60" w:after="60"/>
              <w:ind w:left="-29" w:firstLine="0"/>
              <w:contextualSpacing w:val="0"/>
              <w:rPr>
                <w:rFonts w:cstheme="minorHAnsi"/>
                <w:sz w:val="16"/>
                <w:szCs w:val="16"/>
              </w:rPr>
            </w:pPr>
            <w:r w:rsidRPr="00D53BC7">
              <w:rPr>
                <w:rFonts w:cstheme="minorHAnsi"/>
                <w:sz w:val="16"/>
                <w:szCs w:val="16"/>
              </w:rPr>
              <w:t>Reporting and communication</w:t>
            </w:r>
          </w:p>
          <w:p w14:paraId="4D12D0D5" w14:textId="77777777" w:rsidR="0089132A" w:rsidRPr="00370CB7" w:rsidRDefault="0089132A" w:rsidP="0089132A">
            <w:pPr>
              <w:pStyle w:val="ListParagraph"/>
              <w:numPr>
                <w:ilvl w:val="1"/>
                <w:numId w:val="26"/>
              </w:numPr>
              <w:tabs>
                <w:tab w:val="left" w:pos="335"/>
              </w:tabs>
              <w:spacing w:before="60" w:after="60"/>
              <w:ind w:left="-29" w:firstLine="0"/>
              <w:contextualSpacing w:val="0"/>
              <w:rPr>
                <w:rFonts w:cstheme="minorHAnsi"/>
                <w:sz w:val="16"/>
                <w:szCs w:val="16"/>
              </w:rPr>
            </w:pPr>
            <w:r w:rsidRPr="00370CB7">
              <w:rPr>
                <w:rFonts w:cstheme="minorHAnsi"/>
                <w:sz w:val="16"/>
                <w:szCs w:val="16"/>
              </w:rPr>
              <w:t xml:space="preserve">Partners’ engagement </w:t>
            </w:r>
          </w:p>
          <w:p w14:paraId="65E25404" w14:textId="77777777" w:rsidR="0089132A" w:rsidRPr="00D53BC7" w:rsidRDefault="0089132A" w:rsidP="0089132A">
            <w:pPr>
              <w:pStyle w:val="ListParagraph"/>
              <w:numPr>
                <w:ilvl w:val="1"/>
                <w:numId w:val="26"/>
              </w:numPr>
              <w:tabs>
                <w:tab w:val="left" w:pos="335"/>
              </w:tabs>
              <w:spacing w:before="60" w:after="60"/>
              <w:ind w:left="-29" w:firstLine="0"/>
              <w:contextualSpacing w:val="0"/>
              <w:rPr>
                <w:rFonts w:cstheme="minorHAnsi"/>
                <w:sz w:val="16"/>
                <w:szCs w:val="16"/>
              </w:rPr>
            </w:pPr>
            <w:r w:rsidRPr="00D53BC7">
              <w:rPr>
                <w:rFonts w:cstheme="minorHAnsi"/>
                <w:sz w:val="16"/>
                <w:szCs w:val="16"/>
              </w:rPr>
              <w:t>Transition and exit strategy</w:t>
            </w:r>
          </w:p>
          <w:p w14:paraId="36BE1916" w14:textId="77777777" w:rsidR="0089132A" w:rsidRPr="00D53BC7" w:rsidRDefault="0089132A" w:rsidP="0089132A">
            <w:pPr>
              <w:pStyle w:val="ListParagraph"/>
              <w:numPr>
                <w:ilvl w:val="1"/>
                <w:numId w:val="26"/>
              </w:numPr>
              <w:tabs>
                <w:tab w:val="left" w:pos="335"/>
              </w:tabs>
              <w:spacing w:before="60" w:after="60"/>
              <w:ind w:left="-29" w:firstLine="0"/>
              <w:contextualSpacing w:val="0"/>
              <w:rPr>
                <w:rFonts w:cstheme="minorHAnsi"/>
                <w:sz w:val="16"/>
                <w:szCs w:val="16"/>
              </w:rPr>
            </w:pPr>
            <w:r w:rsidRPr="00D53BC7">
              <w:rPr>
                <w:rFonts w:cstheme="minorHAnsi"/>
                <w:sz w:val="16"/>
                <w:szCs w:val="16"/>
              </w:rPr>
              <w:t xml:space="preserve">Occupational safety, </w:t>
            </w:r>
            <w:proofErr w:type="gramStart"/>
            <w:r w:rsidRPr="00D53BC7">
              <w:rPr>
                <w:rFonts w:cstheme="minorHAnsi"/>
                <w:sz w:val="16"/>
                <w:szCs w:val="16"/>
              </w:rPr>
              <w:t>health</w:t>
            </w:r>
            <w:proofErr w:type="gramEnd"/>
            <w:r w:rsidRPr="00D53BC7">
              <w:rPr>
                <w:rFonts w:cstheme="minorHAnsi"/>
                <w:sz w:val="16"/>
                <w:szCs w:val="16"/>
              </w:rPr>
              <w:t xml:space="preserve"> and well-being </w:t>
            </w:r>
          </w:p>
          <w:p w14:paraId="35D52F98" w14:textId="77777777" w:rsidR="0089132A" w:rsidRPr="00D53BC7" w:rsidRDefault="0089132A" w:rsidP="0089132A">
            <w:pPr>
              <w:pStyle w:val="ListParagraph"/>
              <w:numPr>
                <w:ilvl w:val="1"/>
                <w:numId w:val="26"/>
              </w:numPr>
              <w:tabs>
                <w:tab w:val="left" w:pos="335"/>
              </w:tabs>
              <w:spacing w:before="60" w:after="60"/>
              <w:ind w:left="-29" w:firstLine="0"/>
              <w:contextualSpacing w:val="0"/>
              <w:rPr>
                <w:rFonts w:cstheme="minorHAnsi"/>
                <w:sz w:val="16"/>
                <w:szCs w:val="16"/>
              </w:rPr>
            </w:pPr>
            <w:r w:rsidRPr="00D53BC7">
              <w:rPr>
                <w:rFonts w:eastAsiaTheme="minorEastAsia" w:cstheme="minorHAnsi"/>
                <w:sz w:val="16"/>
                <w:szCs w:val="16"/>
              </w:rPr>
              <w:t>Capacities of the partners</w:t>
            </w:r>
          </w:p>
          <w:p w14:paraId="4E8FA273" w14:textId="77777777" w:rsidR="0089132A" w:rsidRPr="004A14CB" w:rsidRDefault="0089132A" w:rsidP="00E474A7">
            <w:pPr>
              <w:tabs>
                <w:tab w:val="left" w:pos="335"/>
              </w:tabs>
              <w:spacing w:before="60" w:after="60"/>
              <w:ind w:left="-29"/>
              <w:rPr>
                <w:rFonts w:cstheme="minorHAnsi"/>
                <w:sz w:val="16"/>
                <w:szCs w:val="16"/>
              </w:rPr>
            </w:pPr>
          </w:p>
        </w:tc>
        <w:tc>
          <w:tcPr>
            <w:tcW w:w="1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57F382" w14:textId="77777777" w:rsidR="0089132A" w:rsidRPr="00D53BC7" w:rsidRDefault="0089132A" w:rsidP="0089132A">
            <w:pPr>
              <w:pStyle w:val="ListParagraph"/>
              <w:numPr>
                <w:ilvl w:val="1"/>
                <w:numId w:val="27"/>
              </w:numPr>
              <w:tabs>
                <w:tab w:val="left" w:pos="285"/>
              </w:tabs>
              <w:spacing w:before="60" w:after="60"/>
              <w:ind w:left="-29" w:firstLine="0"/>
              <w:contextualSpacing w:val="0"/>
              <w:rPr>
                <w:rFonts w:cstheme="minorHAnsi"/>
                <w:sz w:val="16"/>
                <w:szCs w:val="16"/>
              </w:rPr>
            </w:pPr>
            <w:r w:rsidRPr="00D53BC7">
              <w:rPr>
                <w:rFonts w:cstheme="minorHAnsi"/>
                <w:sz w:val="16"/>
                <w:szCs w:val="16"/>
              </w:rPr>
              <w:t>Governance</w:t>
            </w:r>
          </w:p>
          <w:p w14:paraId="0425CB59" w14:textId="77777777" w:rsidR="0089132A" w:rsidRPr="00D53BC7" w:rsidRDefault="0089132A" w:rsidP="0089132A">
            <w:pPr>
              <w:pStyle w:val="ListParagraph"/>
              <w:numPr>
                <w:ilvl w:val="1"/>
                <w:numId w:val="27"/>
              </w:numPr>
              <w:tabs>
                <w:tab w:val="left" w:pos="285"/>
              </w:tabs>
              <w:spacing w:before="60" w:after="60"/>
              <w:ind w:left="-29" w:firstLine="0"/>
              <w:contextualSpacing w:val="0"/>
              <w:rPr>
                <w:rFonts w:cstheme="minorHAnsi"/>
                <w:sz w:val="16"/>
                <w:szCs w:val="16"/>
              </w:rPr>
            </w:pPr>
            <w:r w:rsidRPr="00D53BC7">
              <w:rPr>
                <w:rFonts w:cstheme="minorHAnsi"/>
                <w:sz w:val="16"/>
                <w:szCs w:val="16"/>
              </w:rPr>
              <w:t>Execution capacity</w:t>
            </w:r>
          </w:p>
          <w:p w14:paraId="38F6D865" w14:textId="77777777" w:rsidR="0089132A" w:rsidRPr="00D53BC7" w:rsidRDefault="0089132A" w:rsidP="0089132A">
            <w:pPr>
              <w:pStyle w:val="ListParagraph"/>
              <w:numPr>
                <w:ilvl w:val="1"/>
                <w:numId w:val="27"/>
              </w:numPr>
              <w:tabs>
                <w:tab w:val="left" w:pos="285"/>
              </w:tabs>
              <w:spacing w:before="60" w:after="60"/>
              <w:ind w:left="-29" w:firstLine="0"/>
              <w:contextualSpacing w:val="0"/>
              <w:rPr>
                <w:rFonts w:cstheme="minorHAnsi"/>
                <w:sz w:val="16"/>
                <w:szCs w:val="16"/>
              </w:rPr>
            </w:pPr>
            <w:r w:rsidRPr="00D53BC7">
              <w:rPr>
                <w:rFonts w:cstheme="minorHAnsi"/>
                <w:sz w:val="16"/>
                <w:szCs w:val="16"/>
              </w:rPr>
              <w:t>Implementation arrangements</w:t>
            </w:r>
          </w:p>
          <w:p w14:paraId="70D863F8" w14:textId="77777777" w:rsidR="0089132A" w:rsidRPr="00D53BC7" w:rsidRDefault="0089132A" w:rsidP="0089132A">
            <w:pPr>
              <w:pStyle w:val="ListParagraph"/>
              <w:numPr>
                <w:ilvl w:val="1"/>
                <w:numId w:val="27"/>
              </w:numPr>
              <w:tabs>
                <w:tab w:val="left" w:pos="285"/>
              </w:tabs>
              <w:spacing w:before="60" w:after="60"/>
              <w:ind w:left="-29" w:firstLine="0"/>
              <w:contextualSpacing w:val="0"/>
              <w:rPr>
                <w:rFonts w:cstheme="minorHAnsi"/>
                <w:sz w:val="16"/>
                <w:szCs w:val="16"/>
              </w:rPr>
            </w:pPr>
            <w:r w:rsidRPr="00D53BC7">
              <w:rPr>
                <w:rFonts w:cstheme="minorHAnsi"/>
                <w:sz w:val="16"/>
                <w:szCs w:val="16"/>
              </w:rPr>
              <w:t>Accountability</w:t>
            </w:r>
          </w:p>
          <w:p w14:paraId="388013A9" w14:textId="77777777" w:rsidR="0089132A" w:rsidRDefault="0089132A" w:rsidP="0089132A">
            <w:pPr>
              <w:pStyle w:val="ListParagraph"/>
              <w:numPr>
                <w:ilvl w:val="1"/>
                <w:numId w:val="27"/>
              </w:numPr>
              <w:tabs>
                <w:tab w:val="left" w:pos="285"/>
              </w:tabs>
              <w:spacing w:before="60" w:after="60"/>
              <w:ind w:left="-29" w:firstLine="0"/>
              <w:contextualSpacing w:val="0"/>
              <w:rPr>
                <w:rFonts w:cstheme="minorHAnsi"/>
                <w:sz w:val="16"/>
                <w:szCs w:val="16"/>
              </w:rPr>
            </w:pPr>
            <w:r w:rsidRPr="00D53BC7">
              <w:rPr>
                <w:rFonts w:cstheme="minorHAnsi"/>
                <w:sz w:val="16"/>
                <w:szCs w:val="16"/>
              </w:rPr>
              <w:t>Monitoring and oversight</w:t>
            </w:r>
          </w:p>
          <w:p w14:paraId="247F09E5" w14:textId="77777777" w:rsidR="0089132A" w:rsidRPr="00D53BC7" w:rsidRDefault="0089132A" w:rsidP="0089132A">
            <w:pPr>
              <w:pStyle w:val="ListParagraph"/>
              <w:numPr>
                <w:ilvl w:val="1"/>
                <w:numId w:val="27"/>
              </w:numPr>
              <w:tabs>
                <w:tab w:val="left" w:pos="285"/>
              </w:tabs>
              <w:spacing w:before="60" w:after="60"/>
              <w:ind w:left="-29" w:firstLine="0"/>
              <w:contextualSpacing w:val="0"/>
              <w:rPr>
                <w:rFonts w:cstheme="minorHAnsi"/>
                <w:sz w:val="16"/>
                <w:szCs w:val="16"/>
              </w:rPr>
            </w:pPr>
            <w:r w:rsidRPr="00D53BC7">
              <w:rPr>
                <w:rFonts w:cstheme="minorHAnsi"/>
                <w:sz w:val="16"/>
                <w:szCs w:val="16"/>
              </w:rPr>
              <w:t xml:space="preserve">Knowledge management </w:t>
            </w:r>
          </w:p>
          <w:p w14:paraId="38AB6551" w14:textId="77777777" w:rsidR="0089132A" w:rsidRPr="00D53BC7" w:rsidRDefault="0089132A" w:rsidP="0089132A">
            <w:pPr>
              <w:pStyle w:val="ListParagraph"/>
              <w:numPr>
                <w:ilvl w:val="1"/>
                <w:numId w:val="27"/>
              </w:numPr>
              <w:tabs>
                <w:tab w:val="left" w:pos="285"/>
              </w:tabs>
              <w:spacing w:before="60" w:after="60"/>
              <w:ind w:left="-29" w:firstLine="0"/>
              <w:contextualSpacing w:val="0"/>
              <w:rPr>
                <w:rFonts w:cstheme="minorHAnsi"/>
                <w:sz w:val="16"/>
                <w:szCs w:val="16"/>
              </w:rPr>
            </w:pPr>
            <w:r w:rsidRPr="00D53BC7">
              <w:rPr>
                <w:rFonts w:cstheme="minorHAnsi"/>
                <w:sz w:val="16"/>
                <w:szCs w:val="16"/>
              </w:rPr>
              <w:t>Human Resources</w:t>
            </w:r>
          </w:p>
          <w:p w14:paraId="225AA713" w14:textId="77777777" w:rsidR="0089132A" w:rsidRPr="00D53BC7" w:rsidRDefault="0089132A" w:rsidP="0089132A">
            <w:pPr>
              <w:pStyle w:val="ListParagraph"/>
              <w:numPr>
                <w:ilvl w:val="1"/>
                <w:numId w:val="27"/>
              </w:numPr>
              <w:tabs>
                <w:tab w:val="left" w:pos="285"/>
              </w:tabs>
              <w:spacing w:before="60" w:after="60"/>
              <w:ind w:left="-29" w:firstLine="0"/>
              <w:contextualSpacing w:val="0"/>
              <w:rPr>
                <w:rFonts w:cstheme="minorHAnsi"/>
                <w:sz w:val="16"/>
                <w:szCs w:val="16"/>
              </w:rPr>
            </w:pPr>
            <w:r w:rsidRPr="00D53BC7">
              <w:rPr>
                <w:rFonts w:cstheme="minorHAnsi"/>
                <w:sz w:val="16"/>
                <w:szCs w:val="16"/>
              </w:rPr>
              <w:t>Internal control</w:t>
            </w:r>
          </w:p>
          <w:p w14:paraId="0AC844CB" w14:textId="77777777" w:rsidR="0089132A" w:rsidRPr="00D53BC7" w:rsidRDefault="0089132A" w:rsidP="0089132A">
            <w:pPr>
              <w:pStyle w:val="ListParagraph"/>
              <w:numPr>
                <w:ilvl w:val="1"/>
                <w:numId w:val="27"/>
              </w:numPr>
              <w:tabs>
                <w:tab w:val="left" w:pos="285"/>
              </w:tabs>
              <w:spacing w:before="60" w:after="60"/>
              <w:ind w:left="-29" w:firstLine="0"/>
              <w:contextualSpacing w:val="0"/>
              <w:rPr>
                <w:rFonts w:cstheme="minorHAnsi"/>
                <w:sz w:val="16"/>
                <w:szCs w:val="16"/>
              </w:rPr>
            </w:pPr>
            <w:r w:rsidRPr="00D53BC7">
              <w:rPr>
                <w:rFonts w:cstheme="minorHAnsi"/>
                <w:sz w:val="16"/>
                <w:szCs w:val="16"/>
              </w:rPr>
              <w:t>Procurement</w:t>
            </w:r>
          </w:p>
          <w:p w14:paraId="4003DEC3" w14:textId="77777777" w:rsidR="0089132A" w:rsidRPr="00D53BC7" w:rsidRDefault="0089132A" w:rsidP="00E474A7">
            <w:pPr>
              <w:ind w:left="361"/>
              <w:rPr>
                <w:rFonts w:cstheme="minorHAnsi"/>
                <w:sz w:val="16"/>
                <w:szCs w:val="16"/>
              </w:rPr>
            </w:pPr>
          </w:p>
          <w:p w14:paraId="6F85AF76" w14:textId="77777777" w:rsidR="0089132A" w:rsidRPr="00D53BC7" w:rsidRDefault="0089132A" w:rsidP="00E474A7">
            <w:pPr>
              <w:rPr>
                <w:rFonts w:cstheme="minorHAnsi"/>
                <w:i/>
                <w:iCs/>
                <w:sz w:val="16"/>
                <w:szCs w:val="16"/>
              </w:rPr>
            </w:pPr>
          </w:p>
          <w:p w14:paraId="76A92CC9" w14:textId="77777777" w:rsidR="0089132A" w:rsidRPr="00D53BC7" w:rsidRDefault="0089132A" w:rsidP="00E474A7">
            <w:pPr>
              <w:rPr>
                <w:rFonts w:cstheme="minorHAnsi"/>
                <w:sz w:val="16"/>
                <w:szCs w:val="16"/>
              </w:rPr>
            </w:pPr>
          </w:p>
        </w:tc>
        <w:tc>
          <w:tcPr>
            <w:tcW w:w="1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282303" w14:textId="77777777" w:rsidR="0089132A" w:rsidRPr="00D53BC7" w:rsidRDefault="0089132A" w:rsidP="00E474A7">
            <w:pPr>
              <w:tabs>
                <w:tab w:val="left" w:pos="348"/>
              </w:tabs>
              <w:spacing w:before="60" w:after="60"/>
              <w:ind w:left="-14"/>
              <w:rPr>
                <w:rFonts w:eastAsiaTheme="minorEastAsia" w:cstheme="minorHAnsi"/>
                <w:sz w:val="16"/>
                <w:szCs w:val="16"/>
              </w:rPr>
            </w:pPr>
            <w:r w:rsidRPr="00D53BC7">
              <w:rPr>
                <w:rFonts w:eastAsiaTheme="minorEastAsia" w:cstheme="minorHAnsi"/>
                <w:sz w:val="16"/>
                <w:szCs w:val="16"/>
              </w:rPr>
              <w:t>5.1.</w:t>
            </w:r>
            <w:r w:rsidRPr="00D53BC7">
              <w:rPr>
                <w:rFonts w:eastAsiaTheme="minorEastAsia" w:cstheme="minorHAnsi"/>
                <w:sz w:val="16"/>
                <w:szCs w:val="16"/>
              </w:rPr>
              <w:tab/>
              <w:t xml:space="preserve">Public opinion and media </w:t>
            </w:r>
          </w:p>
          <w:p w14:paraId="45D41E01" w14:textId="77777777" w:rsidR="0089132A" w:rsidRPr="00D53BC7" w:rsidRDefault="0089132A" w:rsidP="00E474A7">
            <w:pPr>
              <w:tabs>
                <w:tab w:val="left" w:pos="348"/>
              </w:tabs>
              <w:spacing w:before="60" w:after="60"/>
              <w:ind w:left="-14"/>
              <w:rPr>
                <w:rFonts w:eastAsiaTheme="minorEastAsia" w:cstheme="minorHAnsi"/>
                <w:sz w:val="16"/>
                <w:szCs w:val="16"/>
              </w:rPr>
            </w:pPr>
            <w:r w:rsidRPr="00D53BC7">
              <w:rPr>
                <w:rFonts w:eastAsiaTheme="minorEastAsia" w:cstheme="minorHAnsi"/>
                <w:sz w:val="16"/>
                <w:szCs w:val="16"/>
              </w:rPr>
              <w:t>5.2.</w:t>
            </w:r>
            <w:r w:rsidRPr="00D53BC7">
              <w:rPr>
                <w:rFonts w:eastAsiaTheme="minorEastAsia" w:cstheme="minorHAnsi"/>
                <w:sz w:val="16"/>
                <w:szCs w:val="16"/>
              </w:rPr>
              <w:tab/>
              <w:t>Engagement with private sector partnership</w:t>
            </w:r>
          </w:p>
          <w:p w14:paraId="758FE620" w14:textId="77777777" w:rsidR="0089132A" w:rsidRPr="00D53BC7" w:rsidRDefault="0089132A" w:rsidP="00E474A7">
            <w:pPr>
              <w:tabs>
                <w:tab w:val="left" w:pos="348"/>
              </w:tabs>
              <w:spacing w:before="60" w:after="60"/>
              <w:ind w:left="-14"/>
              <w:rPr>
                <w:rFonts w:eastAsiaTheme="minorEastAsia" w:cstheme="minorHAnsi"/>
                <w:sz w:val="16"/>
                <w:szCs w:val="16"/>
              </w:rPr>
            </w:pPr>
            <w:r w:rsidRPr="00D53BC7">
              <w:rPr>
                <w:rFonts w:eastAsiaTheme="minorEastAsia" w:cstheme="minorHAnsi"/>
                <w:sz w:val="16"/>
                <w:szCs w:val="16"/>
              </w:rPr>
              <w:t>5.3.</w:t>
            </w:r>
            <w:r w:rsidRPr="00D53BC7">
              <w:rPr>
                <w:rFonts w:eastAsiaTheme="minorEastAsia" w:cstheme="minorHAnsi"/>
                <w:sz w:val="16"/>
                <w:szCs w:val="16"/>
              </w:rPr>
              <w:tab/>
              <w:t>Code of conduct and ethics</w:t>
            </w:r>
          </w:p>
          <w:p w14:paraId="2C7C4AB1" w14:textId="77777777" w:rsidR="0089132A" w:rsidRPr="00D53BC7" w:rsidRDefault="0089132A" w:rsidP="00E474A7">
            <w:pPr>
              <w:tabs>
                <w:tab w:val="left" w:pos="348"/>
              </w:tabs>
              <w:spacing w:before="60" w:after="60"/>
              <w:ind w:left="-14"/>
              <w:rPr>
                <w:rFonts w:eastAsiaTheme="minorEastAsia" w:cstheme="minorHAnsi"/>
                <w:sz w:val="16"/>
                <w:szCs w:val="16"/>
              </w:rPr>
            </w:pPr>
            <w:r w:rsidRPr="00D53BC7">
              <w:rPr>
                <w:rFonts w:eastAsiaTheme="minorEastAsia" w:cstheme="minorHAnsi"/>
                <w:sz w:val="16"/>
                <w:szCs w:val="16"/>
              </w:rPr>
              <w:t xml:space="preserve">5.4. </w:t>
            </w:r>
            <w:r w:rsidRPr="00D53BC7">
              <w:rPr>
                <w:rFonts w:eastAsiaTheme="minorEastAsia" w:cstheme="minorHAnsi"/>
                <w:sz w:val="16"/>
                <w:szCs w:val="16"/>
              </w:rPr>
              <w:tab/>
              <w:t>Communications</w:t>
            </w:r>
          </w:p>
          <w:p w14:paraId="374A45E3" w14:textId="77777777" w:rsidR="0089132A" w:rsidRDefault="0089132A" w:rsidP="00E474A7">
            <w:pPr>
              <w:tabs>
                <w:tab w:val="left" w:pos="348"/>
              </w:tabs>
              <w:spacing w:before="60" w:after="60"/>
              <w:ind w:left="-14"/>
              <w:rPr>
                <w:rFonts w:eastAsiaTheme="minorEastAsia" w:cstheme="minorHAnsi"/>
                <w:sz w:val="16"/>
                <w:szCs w:val="16"/>
              </w:rPr>
            </w:pPr>
            <w:r w:rsidRPr="00D53BC7">
              <w:rPr>
                <w:rFonts w:eastAsiaTheme="minorEastAsia" w:cstheme="minorHAnsi"/>
                <w:sz w:val="16"/>
                <w:szCs w:val="16"/>
              </w:rPr>
              <w:t>5.5.</w:t>
            </w:r>
            <w:r w:rsidRPr="00D53BC7">
              <w:rPr>
                <w:rFonts w:eastAsiaTheme="minorEastAsia" w:cstheme="minorHAnsi"/>
                <w:sz w:val="16"/>
                <w:szCs w:val="16"/>
              </w:rPr>
              <w:tab/>
              <w:t>Stakeholder management</w:t>
            </w:r>
          </w:p>
          <w:p w14:paraId="76EEC91F" w14:textId="2996A63D" w:rsidR="003D55CB" w:rsidRPr="00D53BC7" w:rsidRDefault="0031527C" w:rsidP="00E474A7">
            <w:pPr>
              <w:tabs>
                <w:tab w:val="left" w:pos="348"/>
              </w:tabs>
              <w:spacing w:before="60" w:after="60"/>
              <w:ind w:left="-14"/>
              <w:rPr>
                <w:rFonts w:eastAsiaTheme="minorEastAsia" w:cstheme="minorHAnsi"/>
                <w:sz w:val="16"/>
                <w:szCs w:val="16"/>
              </w:rPr>
            </w:pPr>
            <w:r w:rsidRPr="0031527C">
              <w:rPr>
                <w:rFonts w:eastAsiaTheme="minorEastAsia" w:cstheme="minorHAnsi"/>
                <w:sz w:val="16"/>
                <w:szCs w:val="16"/>
              </w:rPr>
              <w:t>5.6.</w:t>
            </w:r>
            <w:r w:rsidRPr="0031527C">
              <w:rPr>
                <w:rFonts w:eastAsiaTheme="minorEastAsia" w:cstheme="minorHAnsi"/>
                <w:sz w:val="16"/>
                <w:szCs w:val="16"/>
              </w:rPr>
              <w:tab/>
              <w:t>Exposure to entities involved in money laundering and terrorism financing</w:t>
            </w:r>
          </w:p>
          <w:p w14:paraId="3767EA49" w14:textId="77777777" w:rsidR="0089132A" w:rsidRPr="00D53BC7" w:rsidRDefault="0089132A" w:rsidP="00E474A7">
            <w:pPr>
              <w:rPr>
                <w:rFonts w:cstheme="minorHAnsi"/>
                <w:sz w:val="16"/>
                <w:szCs w:val="16"/>
              </w:rPr>
            </w:pPr>
          </w:p>
          <w:p w14:paraId="2893BDAD" w14:textId="77777777" w:rsidR="0089132A" w:rsidRPr="00D53BC7" w:rsidRDefault="0089132A" w:rsidP="00E474A7">
            <w:pPr>
              <w:ind w:left="360"/>
              <w:rPr>
                <w:rFonts w:eastAsiaTheme="minorEastAsia" w:cstheme="minorHAnsi"/>
                <w:sz w:val="16"/>
                <w:szCs w:val="16"/>
              </w:rPr>
            </w:pPr>
          </w:p>
          <w:p w14:paraId="46E05071" w14:textId="77777777" w:rsidR="0089132A" w:rsidRPr="00D53BC7" w:rsidRDefault="0089132A" w:rsidP="00E474A7">
            <w:pPr>
              <w:rPr>
                <w:rFonts w:cstheme="minorHAnsi"/>
                <w:i/>
                <w:iCs/>
                <w:sz w:val="16"/>
                <w:szCs w:val="16"/>
              </w:rPr>
            </w:pPr>
          </w:p>
          <w:p w14:paraId="267ADA8A" w14:textId="77777777" w:rsidR="0089132A" w:rsidRPr="00D53BC7" w:rsidRDefault="0089132A" w:rsidP="00E474A7">
            <w:pPr>
              <w:rPr>
                <w:rFonts w:cstheme="minorHAnsi"/>
                <w:sz w:val="16"/>
                <w:szCs w:val="16"/>
              </w:rPr>
            </w:pPr>
          </w:p>
        </w:tc>
        <w:tc>
          <w:tcPr>
            <w:tcW w:w="1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1EB1A7" w14:textId="77777777" w:rsidR="0089132A" w:rsidRPr="00D53BC7" w:rsidRDefault="0089132A" w:rsidP="0089132A">
            <w:pPr>
              <w:pStyle w:val="ListParagraph"/>
              <w:numPr>
                <w:ilvl w:val="1"/>
                <w:numId w:val="30"/>
              </w:numPr>
              <w:tabs>
                <w:tab w:val="left" w:pos="344"/>
              </w:tabs>
              <w:spacing w:before="60" w:after="60"/>
              <w:ind w:left="-14" w:firstLine="0"/>
              <w:contextualSpacing w:val="0"/>
              <w:rPr>
                <w:rFonts w:cstheme="minorHAnsi"/>
                <w:sz w:val="16"/>
                <w:szCs w:val="16"/>
              </w:rPr>
            </w:pPr>
            <w:r w:rsidRPr="00D53BC7">
              <w:rPr>
                <w:rFonts w:cstheme="minorHAnsi"/>
                <w:sz w:val="16"/>
                <w:szCs w:val="16"/>
              </w:rPr>
              <w:t>Changes in the regulatory framework within the country of operation</w:t>
            </w:r>
          </w:p>
          <w:p w14:paraId="7E92457B" w14:textId="77777777" w:rsidR="0089132A" w:rsidRPr="00D53BC7" w:rsidRDefault="0089132A" w:rsidP="0089132A">
            <w:pPr>
              <w:pStyle w:val="ListParagraph"/>
              <w:numPr>
                <w:ilvl w:val="1"/>
                <w:numId w:val="30"/>
              </w:numPr>
              <w:tabs>
                <w:tab w:val="left" w:pos="344"/>
              </w:tabs>
              <w:spacing w:before="60" w:after="60"/>
              <w:ind w:left="-14" w:firstLine="0"/>
              <w:contextualSpacing w:val="0"/>
              <w:rPr>
                <w:rFonts w:cstheme="minorHAnsi"/>
                <w:sz w:val="16"/>
                <w:szCs w:val="16"/>
              </w:rPr>
            </w:pPr>
            <w:r w:rsidRPr="00D53BC7">
              <w:rPr>
                <w:rFonts w:cstheme="minorHAnsi"/>
                <w:sz w:val="16"/>
                <w:szCs w:val="16"/>
              </w:rPr>
              <w:t>Changes in the international regulatory framework affecting the whole organization</w:t>
            </w:r>
          </w:p>
          <w:p w14:paraId="4C807C84" w14:textId="77777777" w:rsidR="0089132A" w:rsidRPr="00D53BC7" w:rsidRDefault="0089132A" w:rsidP="0089132A">
            <w:pPr>
              <w:pStyle w:val="ListParagraph"/>
              <w:numPr>
                <w:ilvl w:val="1"/>
                <w:numId w:val="30"/>
              </w:numPr>
              <w:tabs>
                <w:tab w:val="left" w:pos="344"/>
              </w:tabs>
              <w:spacing w:before="60" w:after="60"/>
              <w:ind w:left="-14" w:firstLine="0"/>
              <w:contextualSpacing w:val="0"/>
              <w:rPr>
                <w:rFonts w:cstheme="minorHAnsi"/>
                <w:sz w:val="16"/>
                <w:szCs w:val="16"/>
              </w:rPr>
            </w:pPr>
            <w:r w:rsidRPr="00D53BC7">
              <w:rPr>
                <w:rFonts w:cstheme="minorHAnsi"/>
                <w:sz w:val="16"/>
                <w:szCs w:val="16"/>
              </w:rPr>
              <w:t>Deviation from UNDP internal rules and regulations</w:t>
            </w:r>
          </w:p>
          <w:p w14:paraId="78359F1A" w14:textId="77777777" w:rsidR="0089132A" w:rsidRPr="00D53BC7" w:rsidRDefault="0089132A" w:rsidP="00E474A7">
            <w:pPr>
              <w:rPr>
                <w:rFonts w:cstheme="minorHAnsi"/>
                <w:i/>
                <w:sz w:val="16"/>
                <w:szCs w:val="16"/>
              </w:rPr>
            </w:pPr>
          </w:p>
          <w:p w14:paraId="3C25AFC4" w14:textId="77777777" w:rsidR="0089132A" w:rsidRPr="00D53BC7" w:rsidRDefault="0089132A" w:rsidP="00E474A7">
            <w:pPr>
              <w:rPr>
                <w:rFonts w:cstheme="minorHAnsi"/>
                <w:i/>
                <w:iCs/>
                <w:sz w:val="16"/>
                <w:szCs w:val="16"/>
              </w:rPr>
            </w:pPr>
          </w:p>
          <w:p w14:paraId="0CD4CDD8" w14:textId="77777777" w:rsidR="0089132A" w:rsidRPr="00D53BC7" w:rsidRDefault="0089132A" w:rsidP="00E474A7">
            <w:pPr>
              <w:ind w:left="331"/>
              <w:rPr>
                <w:rFonts w:cstheme="minorHAnsi"/>
                <w:sz w:val="16"/>
                <w:szCs w:val="16"/>
              </w:rPr>
            </w:pPr>
          </w:p>
        </w:tc>
        <w:tc>
          <w:tcPr>
            <w:tcW w:w="1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E99090" w14:textId="757C75A8" w:rsidR="0089132A" w:rsidRPr="00D53BC7" w:rsidRDefault="0089132A" w:rsidP="0089132A">
            <w:pPr>
              <w:pStyle w:val="ListParagraph"/>
              <w:numPr>
                <w:ilvl w:val="1"/>
                <w:numId w:val="29"/>
              </w:numPr>
              <w:tabs>
                <w:tab w:val="left" w:pos="335"/>
              </w:tabs>
              <w:spacing w:before="60" w:after="60"/>
              <w:ind w:left="0" w:firstLine="0"/>
              <w:contextualSpacing w:val="0"/>
              <w:rPr>
                <w:rFonts w:cstheme="minorHAnsi"/>
                <w:sz w:val="16"/>
                <w:szCs w:val="16"/>
              </w:rPr>
            </w:pPr>
            <w:r w:rsidRPr="00D53BC7">
              <w:rPr>
                <w:rFonts w:eastAsiaTheme="minorEastAsia" w:cstheme="minorHAnsi"/>
                <w:sz w:val="16"/>
                <w:szCs w:val="16"/>
              </w:rPr>
              <w:t>Alignment with UNDP strategic priorities</w:t>
            </w:r>
          </w:p>
          <w:p w14:paraId="4D5BCDE3" w14:textId="77777777" w:rsidR="0089132A" w:rsidRPr="00D53BC7" w:rsidRDefault="0089132A" w:rsidP="0089132A">
            <w:pPr>
              <w:pStyle w:val="ListParagraph"/>
              <w:numPr>
                <w:ilvl w:val="1"/>
                <w:numId w:val="29"/>
              </w:numPr>
              <w:tabs>
                <w:tab w:val="left" w:pos="335"/>
              </w:tabs>
              <w:spacing w:before="60" w:after="60"/>
              <w:ind w:left="0" w:firstLine="0"/>
              <w:contextualSpacing w:val="0"/>
              <w:rPr>
                <w:rFonts w:cstheme="minorHAnsi"/>
                <w:sz w:val="16"/>
                <w:szCs w:val="16"/>
              </w:rPr>
            </w:pPr>
            <w:r w:rsidRPr="00D53BC7">
              <w:rPr>
                <w:rFonts w:eastAsiaTheme="minorEastAsia" w:cstheme="minorHAnsi"/>
                <w:sz w:val="16"/>
                <w:szCs w:val="16"/>
              </w:rPr>
              <w:t>UN system coordination and reform</w:t>
            </w:r>
          </w:p>
          <w:p w14:paraId="55F654AE" w14:textId="77777777" w:rsidR="0089132A" w:rsidRPr="00D53BC7" w:rsidRDefault="0089132A" w:rsidP="0089132A">
            <w:pPr>
              <w:pStyle w:val="ListParagraph"/>
              <w:numPr>
                <w:ilvl w:val="1"/>
                <w:numId w:val="29"/>
              </w:numPr>
              <w:tabs>
                <w:tab w:val="left" w:pos="335"/>
              </w:tabs>
              <w:spacing w:before="60" w:after="60"/>
              <w:ind w:left="0" w:firstLine="0"/>
              <w:contextualSpacing w:val="0"/>
              <w:rPr>
                <w:rFonts w:eastAsiaTheme="minorEastAsia" w:cstheme="minorHAnsi"/>
                <w:sz w:val="16"/>
                <w:szCs w:val="16"/>
              </w:rPr>
            </w:pPr>
            <w:r w:rsidRPr="00D53BC7">
              <w:rPr>
                <w:rFonts w:eastAsiaTheme="minorEastAsia" w:cstheme="minorHAnsi"/>
                <w:sz w:val="16"/>
                <w:szCs w:val="16"/>
              </w:rPr>
              <w:t>Stakeholder relations and partnerships</w:t>
            </w:r>
          </w:p>
          <w:p w14:paraId="661B8188" w14:textId="77777777" w:rsidR="0089132A" w:rsidRPr="00D53BC7" w:rsidRDefault="0089132A" w:rsidP="0089132A">
            <w:pPr>
              <w:pStyle w:val="ListParagraph"/>
              <w:numPr>
                <w:ilvl w:val="1"/>
                <w:numId w:val="29"/>
              </w:numPr>
              <w:tabs>
                <w:tab w:val="left" w:pos="335"/>
              </w:tabs>
              <w:spacing w:before="60" w:after="60"/>
              <w:ind w:left="0" w:firstLine="0"/>
              <w:contextualSpacing w:val="0"/>
              <w:rPr>
                <w:rFonts w:eastAsiaTheme="minorEastAsia" w:cstheme="minorHAnsi"/>
                <w:sz w:val="16"/>
                <w:szCs w:val="16"/>
              </w:rPr>
            </w:pPr>
            <w:r w:rsidRPr="00D53BC7">
              <w:rPr>
                <w:rFonts w:eastAsiaTheme="minorEastAsia" w:cstheme="minorHAnsi"/>
                <w:sz w:val="16"/>
                <w:szCs w:val="16"/>
              </w:rPr>
              <w:t xml:space="preserve">Competition </w:t>
            </w:r>
          </w:p>
          <w:p w14:paraId="484534F1" w14:textId="77777777" w:rsidR="0089132A" w:rsidRPr="00D53BC7" w:rsidRDefault="0089132A" w:rsidP="0089132A">
            <w:pPr>
              <w:pStyle w:val="ListParagraph"/>
              <w:numPr>
                <w:ilvl w:val="1"/>
                <w:numId w:val="29"/>
              </w:numPr>
              <w:tabs>
                <w:tab w:val="left" w:pos="335"/>
              </w:tabs>
              <w:spacing w:before="60" w:after="60"/>
              <w:ind w:left="0" w:firstLine="0"/>
              <w:contextualSpacing w:val="0"/>
              <w:rPr>
                <w:rFonts w:cstheme="minorHAnsi"/>
                <w:sz w:val="16"/>
                <w:szCs w:val="16"/>
              </w:rPr>
            </w:pPr>
            <w:r w:rsidRPr="00D53BC7">
              <w:rPr>
                <w:rFonts w:cstheme="minorHAnsi"/>
                <w:sz w:val="16"/>
                <w:szCs w:val="16"/>
              </w:rPr>
              <w:t>Government commitment</w:t>
            </w:r>
          </w:p>
          <w:p w14:paraId="220CE907" w14:textId="77777777" w:rsidR="0089132A" w:rsidRPr="00D53BC7" w:rsidRDefault="0089132A" w:rsidP="0089132A">
            <w:pPr>
              <w:pStyle w:val="ListParagraph"/>
              <w:numPr>
                <w:ilvl w:val="1"/>
                <w:numId w:val="29"/>
              </w:numPr>
              <w:tabs>
                <w:tab w:val="left" w:pos="335"/>
              </w:tabs>
              <w:spacing w:before="60" w:after="60"/>
              <w:ind w:left="0" w:right="315" w:firstLine="0"/>
              <w:contextualSpacing w:val="0"/>
              <w:rPr>
                <w:rFonts w:cstheme="minorHAnsi"/>
                <w:sz w:val="16"/>
                <w:szCs w:val="16"/>
              </w:rPr>
            </w:pPr>
            <w:r w:rsidRPr="00D53BC7">
              <w:rPr>
                <w:rFonts w:cstheme="minorHAnsi"/>
                <w:sz w:val="16"/>
                <w:szCs w:val="16"/>
              </w:rPr>
              <w:t>Change/turnover in government</w:t>
            </w:r>
          </w:p>
          <w:p w14:paraId="64548576" w14:textId="77777777" w:rsidR="0089132A" w:rsidRPr="00D53BC7" w:rsidRDefault="0089132A" w:rsidP="0089132A">
            <w:pPr>
              <w:pStyle w:val="ListParagraph"/>
              <w:numPr>
                <w:ilvl w:val="1"/>
                <w:numId w:val="29"/>
              </w:numPr>
              <w:tabs>
                <w:tab w:val="left" w:pos="335"/>
              </w:tabs>
              <w:spacing w:before="60" w:after="60"/>
              <w:ind w:left="0" w:firstLine="0"/>
              <w:contextualSpacing w:val="0"/>
              <w:rPr>
                <w:rFonts w:cstheme="minorHAnsi"/>
                <w:sz w:val="16"/>
                <w:szCs w:val="16"/>
              </w:rPr>
            </w:pPr>
            <w:r w:rsidRPr="00D53BC7">
              <w:rPr>
                <w:rFonts w:cstheme="minorHAnsi"/>
                <w:sz w:val="16"/>
                <w:szCs w:val="16"/>
              </w:rPr>
              <w:t>Alignment with national priorities</w:t>
            </w:r>
          </w:p>
          <w:p w14:paraId="1990EA7E" w14:textId="77777777" w:rsidR="0089132A" w:rsidRPr="009B513A" w:rsidRDefault="0089132A" w:rsidP="0089132A">
            <w:pPr>
              <w:pStyle w:val="ListParagraph"/>
              <w:numPr>
                <w:ilvl w:val="1"/>
                <w:numId w:val="29"/>
              </w:numPr>
              <w:tabs>
                <w:tab w:val="left" w:pos="335"/>
              </w:tabs>
              <w:spacing w:before="60" w:after="60"/>
              <w:ind w:left="0" w:firstLine="0"/>
              <w:contextualSpacing w:val="0"/>
              <w:rPr>
                <w:rFonts w:cstheme="minorHAnsi"/>
                <w:sz w:val="16"/>
                <w:szCs w:val="16"/>
              </w:rPr>
            </w:pPr>
            <w:r w:rsidRPr="00D53BC7">
              <w:rPr>
                <w:rFonts w:cstheme="minorHAnsi"/>
                <w:sz w:val="16"/>
                <w:szCs w:val="16"/>
              </w:rPr>
              <w:t>Innovating, piloting, experimenting</w:t>
            </w:r>
          </w:p>
          <w:p w14:paraId="6780A974" w14:textId="77777777" w:rsidR="0089132A" w:rsidRPr="00D53BC7" w:rsidRDefault="0089132A" w:rsidP="00E474A7">
            <w:pPr>
              <w:rPr>
                <w:rFonts w:cstheme="minorHAnsi"/>
                <w:i/>
                <w:iCs/>
                <w:sz w:val="16"/>
                <w:szCs w:val="16"/>
              </w:rPr>
            </w:pPr>
          </w:p>
          <w:p w14:paraId="4DF1C47F" w14:textId="77777777" w:rsidR="0089132A" w:rsidRPr="00D53BC7" w:rsidRDefault="0089132A" w:rsidP="00E474A7">
            <w:pPr>
              <w:rPr>
                <w:rFonts w:eastAsiaTheme="minorEastAsia" w:cstheme="minorHAnsi"/>
                <w:sz w:val="16"/>
                <w:szCs w:val="16"/>
              </w:rPr>
            </w:pPr>
          </w:p>
        </w:tc>
        <w:tc>
          <w:tcPr>
            <w:tcW w:w="1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0C118E" w14:textId="77777777" w:rsidR="0089132A" w:rsidRPr="00D53BC7" w:rsidRDefault="0089132A" w:rsidP="00E474A7">
            <w:pPr>
              <w:tabs>
                <w:tab w:val="left" w:pos="335"/>
              </w:tabs>
              <w:spacing w:before="60" w:after="60"/>
              <w:rPr>
                <w:rFonts w:eastAsiaTheme="minorEastAsia" w:cstheme="minorHAnsi"/>
                <w:color w:val="000000" w:themeColor="text1"/>
                <w:sz w:val="16"/>
                <w:szCs w:val="16"/>
              </w:rPr>
            </w:pPr>
            <w:r w:rsidRPr="00D53BC7">
              <w:rPr>
                <w:rFonts w:eastAsiaTheme="minorEastAsia" w:cstheme="minorHAnsi"/>
                <w:color w:val="000000" w:themeColor="text1"/>
                <w:sz w:val="16"/>
                <w:szCs w:val="16"/>
              </w:rPr>
              <w:t>8.1.</w:t>
            </w:r>
            <w:r w:rsidRPr="00D53BC7">
              <w:rPr>
                <w:rFonts w:eastAsiaTheme="minorEastAsia" w:cstheme="minorHAnsi"/>
                <w:color w:val="000000" w:themeColor="text1"/>
                <w:sz w:val="16"/>
                <w:szCs w:val="16"/>
              </w:rPr>
              <w:tab/>
              <w:t>Armed conflict</w:t>
            </w:r>
          </w:p>
          <w:p w14:paraId="1D0A5120" w14:textId="77777777" w:rsidR="0089132A" w:rsidRPr="00D53BC7" w:rsidRDefault="0089132A" w:rsidP="00E474A7">
            <w:pPr>
              <w:tabs>
                <w:tab w:val="left" w:pos="335"/>
                <w:tab w:val="center" w:pos="927"/>
              </w:tabs>
              <w:spacing w:before="60" w:after="60"/>
              <w:rPr>
                <w:rFonts w:eastAsiaTheme="minorEastAsia" w:cstheme="minorHAnsi"/>
                <w:color w:val="000000" w:themeColor="text1"/>
                <w:sz w:val="16"/>
                <w:szCs w:val="16"/>
              </w:rPr>
            </w:pPr>
            <w:r w:rsidRPr="00D53BC7">
              <w:rPr>
                <w:rFonts w:eastAsiaTheme="minorEastAsia" w:cstheme="minorHAnsi"/>
                <w:color w:val="000000" w:themeColor="text1"/>
                <w:sz w:val="16"/>
                <w:szCs w:val="16"/>
              </w:rPr>
              <w:t>8.2.</w:t>
            </w:r>
            <w:r w:rsidRPr="00D53BC7">
              <w:rPr>
                <w:rFonts w:eastAsiaTheme="minorEastAsia" w:cstheme="minorHAnsi"/>
                <w:color w:val="000000" w:themeColor="text1"/>
                <w:sz w:val="16"/>
                <w:szCs w:val="16"/>
              </w:rPr>
              <w:tab/>
              <w:t xml:space="preserve">Political instability </w:t>
            </w:r>
          </w:p>
          <w:p w14:paraId="2FD6F89D" w14:textId="77777777" w:rsidR="0089132A" w:rsidRPr="00D53BC7" w:rsidRDefault="0089132A" w:rsidP="00E474A7">
            <w:pPr>
              <w:tabs>
                <w:tab w:val="left" w:pos="335"/>
              </w:tabs>
              <w:spacing w:before="60" w:after="60"/>
              <w:rPr>
                <w:rFonts w:eastAsiaTheme="minorEastAsia" w:cstheme="minorHAnsi"/>
                <w:color w:val="000000" w:themeColor="text1"/>
                <w:sz w:val="16"/>
                <w:szCs w:val="16"/>
              </w:rPr>
            </w:pPr>
            <w:r w:rsidRPr="00D53BC7">
              <w:rPr>
                <w:rFonts w:eastAsiaTheme="minorEastAsia" w:cstheme="minorHAnsi"/>
                <w:color w:val="000000" w:themeColor="text1"/>
                <w:sz w:val="16"/>
                <w:szCs w:val="16"/>
              </w:rPr>
              <w:t>8.3.</w:t>
            </w:r>
            <w:r w:rsidRPr="00D53BC7">
              <w:rPr>
                <w:rFonts w:eastAsiaTheme="minorEastAsia" w:cstheme="minorHAnsi"/>
                <w:color w:val="000000" w:themeColor="text1"/>
                <w:sz w:val="16"/>
                <w:szCs w:val="16"/>
              </w:rPr>
              <w:tab/>
              <w:t>Terrorism</w:t>
            </w:r>
          </w:p>
          <w:p w14:paraId="650C7D85" w14:textId="77777777" w:rsidR="0089132A" w:rsidRPr="00D53BC7" w:rsidRDefault="0089132A" w:rsidP="00E474A7">
            <w:pPr>
              <w:tabs>
                <w:tab w:val="left" w:pos="335"/>
              </w:tabs>
              <w:spacing w:before="60" w:after="60"/>
              <w:rPr>
                <w:rFonts w:eastAsiaTheme="minorEastAsia" w:cstheme="minorHAnsi"/>
                <w:color w:val="000000" w:themeColor="text1"/>
                <w:sz w:val="16"/>
                <w:szCs w:val="16"/>
              </w:rPr>
            </w:pPr>
            <w:r w:rsidRPr="00D53BC7">
              <w:rPr>
                <w:rFonts w:eastAsiaTheme="minorEastAsia" w:cstheme="minorHAnsi"/>
                <w:color w:val="000000" w:themeColor="text1"/>
                <w:sz w:val="16"/>
                <w:szCs w:val="16"/>
              </w:rPr>
              <w:t>8.4.</w:t>
            </w:r>
            <w:r w:rsidRPr="00D53BC7">
              <w:rPr>
                <w:rFonts w:eastAsiaTheme="minorEastAsia" w:cstheme="minorHAnsi"/>
                <w:color w:val="000000" w:themeColor="text1"/>
                <w:sz w:val="16"/>
                <w:szCs w:val="16"/>
              </w:rPr>
              <w:tab/>
              <w:t>Crime</w:t>
            </w:r>
          </w:p>
          <w:p w14:paraId="2B383308" w14:textId="77777777" w:rsidR="0089132A" w:rsidRPr="00D53BC7" w:rsidRDefault="0089132A" w:rsidP="00E474A7">
            <w:pPr>
              <w:tabs>
                <w:tab w:val="left" w:pos="335"/>
              </w:tabs>
              <w:spacing w:before="60" w:after="60"/>
              <w:rPr>
                <w:rFonts w:eastAsiaTheme="minorEastAsia" w:cstheme="minorHAnsi"/>
                <w:color w:val="000000" w:themeColor="text1"/>
                <w:sz w:val="16"/>
                <w:szCs w:val="16"/>
              </w:rPr>
            </w:pPr>
            <w:r w:rsidRPr="00D53BC7">
              <w:rPr>
                <w:rFonts w:eastAsiaTheme="minorEastAsia" w:cstheme="minorHAnsi"/>
                <w:color w:val="000000" w:themeColor="text1"/>
                <w:sz w:val="16"/>
                <w:szCs w:val="16"/>
              </w:rPr>
              <w:t>8.5.</w:t>
            </w:r>
            <w:r w:rsidRPr="00D53BC7">
              <w:rPr>
                <w:rFonts w:eastAsiaTheme="minorEastAsia" w:cstheme="minorHAnsi"/>
                <w:color w:val="000000" w:themeColor="text1"/>
                <w:sz w:val="16"/>
                <w:szCs w:val="16"/>
              </w:rPr>
              <w:tab/>
              <w:t>Civil unrest</w:t>
            </w:r>
          </w:p>
          <w:p w14:paraId="260A79F9" w14:textId="77777777" w:rsidR="0089132A" w:rsidRPr="00D53BC7" w:rsidRDefault="0089132A" w:rsidP="00E474A7">
            <w:pPr>
              <w:tabs>
                <w:tab w:val="left" w:pos="335"/>
              </w:tabs>
              <w:spacing w:before="60" w:after="60"/>
              <w:rPr>
                <w:rFonts w:eastAsiaTheme="minorEastAsia" w:cstheme="minorHAnsi"/>
                <w:color w:val="000000" w:themeColor="text1"/>
                <w:sz w:val="16"/>
                <w:szCs w:val="16"/>
              </w:rPr>
            </w:pPr>
            <w:r w:rsidRPr="00D53BC7">
              <w:rPr>
                <w:rFonts w:eastAsiaTheme="minorEastAsia" w:cstheme="minorHAnsi"/>
                <w:color w:val="000000" w:themeColor="text1"/>
                <w:sz w:val="16"/>
                <w:szCs w:val="16"/>
              </w:rPr>
              <w:t>8.6.</w:t>
            </w:r>
            <w:r w:rsidRPr="00D53BC7">
              <w:rPr>
                <w:rFonts w:eastAsiaTheme="minorEastAsia" w:cstheme="minorHAnsi"/>
                <w:color w:val="000000" w:themeColor="text1"/>
                <w:sz w:val="16"/>
                <w:szCs w:val="16"/>
              </w:rPr>
              <w:tab/>
              <w:t>Natural hazards</w:t>
            </w:r>
          </w:p>
          <w:p w14:paraId="7AF6048B" w14:textId="77777777" w:rsidR="0089132A" w:rsidRPr="00D53BC7" w:rsidRDefault="0089132A" w:rsidP="00E474A7">
            <w:pPr>
              <w:tabs>
                <w:tab w:val="left" w:pos="335"/>
              </w:tabs>
              <w:spacing w:before="60" w:after="60"/>
              <w:rPr>
                <w:rFonts w:eastAsiaTheme="minorEastAsia" w:cstheme="minorHAnsi"/>
                <w:color w:val="000000" w:themeColor="text1"/>
                <w:sz w:val="16"/>
                <w:szCs w:val="16"/>
              </w:rPr>
            </w:pPr>
            <w:r w:rsidRPr="00D53BC7">
              <w:rPr>
                <w:rFonts w:eastAsiaTheme="minorEastAsia" w:cstheme="minorHAnsi"/>
                <w:color w:val="000000" w:themeColor="text1"/>
                <w:sz w:val="16"/>
                <w:szCs w:val="16"/>
              </w:rPr>
              <w:t>8.7.</w:t>
            </w:r>
            <w:r w:rsidRPr="00D53BC7">
              <w:rPr>
                <w:rFonts w:eastAsiaTheme="minorEastAsia" w:cstheme="minorHAnsi"/>
                <w:color w:val="000000" w:themeColor="text1"/>
                <w:sz w:val="16"/>
                <w:szCs w:val="16"/>
              </w:rPr>
              <w:tab/>
              <w:t>Manmade hazards                       8.8.</w:t>
            </w:r>
            <w:r w:rsidRPr="00D53BC7">
              <w:rPr>
                <w:rFonts w:eastAsiaTheme="minorEastAsia" w:cstheme="minorHAnsi"/>
                <w:color w:val="000000" w:themeColor="text1"/>
                <w:sz w:val="16"/>
                <w:szCs w:val="16"/>
              </w:rPr>
              <w:tab/>
              <w:t>Cyber security and threats</w:t>
            </w:r>
          </w:p>
          <w:p w14:paraId="4B194673" w14:textId="77777777" w:rsidR="0089132A" w:rsidRPr="00D53BC7" w:rsidRDefault="0089132A" w:rsidP="00E474A7">
            <w:pPr>
              <w:ind w:hanging="360"/>
              <w:rPr>
                <w:rFonts w:eastAsiaTheme="minorEastAsia" w:cstheme="minorHAnsi"/>
                <w:color w:val="000000" w:themeColor="text1"/>
                <w:sz w:val="16"/>
                <w:szCs w:val="16"/>
              </w:rPr>
            </w:pPr>
            <w:r w:rsidRPr="00D53BC7">
              <w:rPr>
                <w:rFonts w:eastAsiaTheme="minorEastAsia" w:cstheme="minorHAnsi"/>
                <w:color w:val="000000" w:themeColor="text1"/>
                <w:sz w:val="16"/>
                <w:szCs w:val="16"/>
              </w:rPr>
              <w:t xml:space="preserve"> </w:t>
            </w:r>
          </w:p>
          <w:p w14:paraId="23B090A8" w14:textId="77777777" w:rsidR="0089132A" w:rsidRPr="00D53BC7" w:rsidRDefault="0089132A" w:rsidP="00E474A7">
            <w:pPr>
              <w:ind w:hanging="360"/>
              <w:rPr>
                <w:rFonts w:eastAsiaTheme="minorEastAsia" w:cstheme="minorHAnsi"/>
                <w:color w:val="000000" w:themeColor="text1"/>
                <w:sz w:val="16"/>
                <w:szCs w:val="16"/>
              </w:rPr>
            </w:pPr>
          </w:p>
          <w:p w14:paraId="47AA3F91" w14:textId="77777777" w:rsidR="0089132A" w:rsidRPr="00D53BC7" w:rsidRDefault="0089132A" w:rsidP="00E474A7">
            <w:pPr>
              <w:ind w:hanging="360"/>
              <w:rPr>
                <w:rFonts w:eastAsiaTheme="minorEastAsia" w:cstheme="minorHAnsi"/>
                <w:color w:val="000000" w:themeColor="text1"/>
                <w:sz w:val="16"/>
                <w:szCs w:val="16"/>
              </w:rPr>
            </w:pPr>
          </w:p>
          <w:p w14:paraId="695582E7" w14:textId="77777777" w:rsidR="0089132A" w:rsidRPr="00D53BC7" w:rsidRDefault="0089132A" w:rsidP="00E474A7">
            <w:pPr>
              <w:ind w:hanging="360"/>
              <w:rPr>
                <w:rFonts w:eastAsiaTheme="minorEastAsia" w:cstheme="minorHAnsi"/>
                <w:color w:val="000000" w:themeColor="text1"/>
                <w:sz w:val="16"/>
                <w:szCs w:val="16"/>
              </w:rPr>
            </w:pPr>
          </w:p>
          <w:p w14:paraId="108BC0F8" w14:textId="77777777" w:rsidR="0089132A" w:rsidRPr="00D53BC7" w:rsidRDefault="0089132A" w:rsidP="00E474A7">
            <w:pPr>
              <w:ind w:hanging="360"/>
              <w:rPr>
                <w:rFonts w:eastAsiaTheme="minorEastAsia" w:cstheme="minorHAnsi"/>
                <w:color w:val="000000" w:themeColor="text1"/>
                <w:sz w:val="16"/>
                <w:szCs w:val="16"/>
              </w:rPr>
            </w:pPr>
          </w:p>
          <w:p w14:paraId="5C76B6E5" w14:textId="77777777" w:rsidR="0089132A" w:rsidRPr="00D53BC7" w:rsidRDefault="0089132A" w:rsidP="00E474A7">
            <w:pPr>
              <w:ind w:hanging="360"/>
              <w:rPr>
                <w:rFonts w:eastAsiaTheme="minorEastAsia" w:cstheme="minorHAnsi"/>
                <w:color w:val="000000" w:themeColor="text1"/>
                <w:sz w:val="16"/>
                <w:szCs w:val="16"/>
              </w:rPr>
            </w:pPr>
          </w:p>
          <w:p w14:paraId="51534FFF" w14:textId="77777777" w:rsidR="0089132A" w:rsidRPr="00D53BC7" w:rsidRDefault="0089132A" w:rsidP="00E474A7">
            <w:pPr>
              <w:ind w:hanging="360"/>
              <w:rPr>
                <w:rFonts w:eastAsiaTheme="minorEastAsia" w:cstheme="minorHAnsi"/>
                <w:color w:val="000000" w:themeColor="text1"/>
                <w:sz w:val="16"/>
                <w:szCs w:val="16"/>
              </w:rPr>
            </w:pPr>
          </w:p>
          <w:p w14:paraId="0430DD8E" w14:textId="77777777" w:rsidR="0089132A" w:rsidRPr="00D53BC7" w:rsidRDefault="0089132A" w:rsidP="00E474A7">
            <w:pPr>
              <w:ind w:hanging="360"/>
              <w:rPr>
                <w:rFonts w:eastAsiaTheme="minorEastAsia" w:cstheme="minorHAnsi"/>
                <w:color w:val="000000" w:themeColor="text1"/>
                <w:sz w:val="16"/>
                <w:szCs w:val="16"/>
              </w:rPr>
            </w:pPr>
          </w:p>
          <w:p w14:paraId="61B043FC" w14:textId="77777777" w:rsidR="0089132A" w:rsidRPr="00D53BC7" w:rsidRDefault="0089132A" w:rsidP="00E474A7">
            <w:pPr>
              <w:ind w:hanging="360"/>
              <w:rPr>
                <w:rFonts w:eastAsiaTheme="minorEastAsia" w:cstheme="minorHAnsi"/>
                <w:color w:val="000000" w:themeColor="text1"/>
                <w:sz w:val="16"/>
                <w:szCs w:val="16"/>
              </w:rPr>
            </w:pPr>
          </w:p>
          <w:p w14:paraId="422D0B9D" w14:textId="77777777" w:rsidR="0089132A" w:rsidRPr="00D53BC7" w:rsidRDefault="0089132A" w:rsidP="00E474A7">
            <w:pPr>
              <w:ind w:hanging="360"/>
              <w:rPr>
                <w:rFonts w:eastAsiaTheme="minorEastAsia" w:cstheme="minorHAnsi"/>
                <w:color w:val="000000" w:themeColor="text1"/>
                <w:sz w:val="16"/>
                <w:szCs w:val="16"/>
              </w:rPr>
            </w:pPr>
          </w:p>
          <w:p w14:paraId="5523638B" w14:textId="77777777" w:rsidR="0089132A" w:rsidRPr="00D53BC7" w:rsidRDefault="0089132A" w:rsidP="00E474A7">
            <w:pPr>
              <w:ind w:hanging="360"/>
              <w:rPr>
                <w:rFonts w:eastAsiaTheme="minorEastAsia" w:cstheme="minorHAnsi"/>
                <w:color w:val="000000" w:themeColor="text1"/>
                <w:sz w:val="16"/>
                <w:szCs w:val="16"/>
              </w:rPr>
            </w:pPr>
          </w:p>
          <w:p w14:paraId="49AEBFB6" w14:textId="77777777" w:rsidR="0089132A" w:rsidRPr="00D53BC7" w:rsidRDefault="0089132A" w:rsidP="00E474A7">
            <w:pPr>
              <w:ind w:hanging="360"/>
              <w:rPr>
                <w:rFonts w:eastAsiaTheme="minorEastAsia" w:cstheme="minorHAnsi"/>
                <w:color w:val="000000" w:themeColor="text1"/>
                <w:sz w:val="16"/>
                <w:szCs w:val="16"/>
              </w:rPr>
            </w:pPr>
          </w:p>
          <w:p w14:paraId="4FFD7864" w14:textId="77777777" w:rsidR="0089132A" w:rsidRPr="00D53BC7" w:rsidRDefault="0089132A" w:rsidP="00E474A7">
            <w:pPr>
              <w:ind w:hanging="360"/>
              <w:rPr>
                <w:rFonts w:eastAsiaTheme="minorEastAsia" w:cstheme="minorHAnsi"/>
                <w:color w:val="000000" w:themeColor="text1"/>
                <w:sz w:val="16"/>
                <w:szCs w:val="16"/>
              </w:rPr>
            </w:pPr>
          </w:p>
          <w:p w14:paraId="4A0074E9" w14:textId="77777777" w:rsidR="0089132A" w:rsidRPr="00D53BC7" w:rsidRDefault="0089132A" w:rsidP="00E474A7">
            <w:pPr>
              <w:ind w:hanging="360"/>
              <w:rPr>
                <w:rFonts w:eastAsiaTheme="minorEastAsia" w:cstheme="minorHAnsi"/>
                <w:color w:val="000000" w:themeColor="text1"/>
                <w:sz w:val="16"/>
                <w:szCs w:val="16"/>
              </w:rPr>
            </w:pPr>
          </w:p>
          <w:p w14:paraId="0E91EDA8" w14:textId="77777777" w:rsidR="0089132A" w:rsidRPr="00D53BC7" w:rsidRDefault="0089132A" w:rsidP="00E474A7">
            <w:pPr>
              <w:ind w:hanging="360"/>
              <w:rPr>
                <w:rFonts w:eastAsiaTheme="minorEastAsia" w:cstheme="minorHAnsi"/>
                <w:color w:val="000000" w:themeColor="text1"/>
                <w:sz w:val="16"/>
                <w:szCs w:val="16"/>
              </w:rPr>
            </w:pPr>
          </w:p>
          <w:p w14:paraId="0F5705CC" w14:textId="77777777" w:rsidR="0089132A" w:rsidRPr="00D53BC7" w:rsidRDefault="0089132A" w:rsidP="00E474A7">
            <w:pPr>
              <w:ind w:hanging="360"/>
              <w:rPr>
                <w:rFonts w:eastAsiaTheme="minorEastAsia" w:cstheme="minorHAnsi"/>
                <w:color w:val="000000" w:themeColor="text1"/>
                <w:sz w:val="16"/>
                <w:szCs w:val="16"/>
              </w:rPr>
            </w:pPr>
          </w:p>
          <w:p w14:paraId="18862CB1" w14:textId="77777777" w:rsidR="0089132A" w:rsidRPr="00D53BC7" w:rsidRDefault="0089132A" w:rsidP="00E474A7">
            <w:pPr>
              <w:ind w:hanging="360"/>
              <w:rPr>
                <w:rFonts w:eastAsiaTheme="minorEastAsia" w:cstheme="minorHAnsi"/>
                <w:color w:val="000000" w:themeColor="text1"/>
                <w:sz w:val="16"/>
                <w:szCs w:val="16"/>
              </w:rPr>
            </w:pPr>
          </w:p>
          <w:p w14:paraId="6E6D4403" w14:textId="77777777" w:rsidR="0089132A" w:rsidRPr="00D53BC7" w:rsidRDefault="0089132A" w:rsidP="00E474A7">
            <w:pPr>
              <w:ind w:hanging="360"/>
              <w:rPr>
                <w:rFonts w:eastAsiaTheme="minorEastAsia" w:cstheme="minorHAnsi"/>
                <w:color w:val="000000" w:themeColor="text1"/>
                <w:sz w:val="16"/>
                <w:szCs w:val="16"/>
              </w:rPr>
            </w:pPr>
          </w:p>
          <w:p w14:paraId="70D70C64" w14:textId="77777777" w:rsidR="0089132A" w:rsidRPr="00D53BC7" w:rsidRDefault="0089132A" w:rsidP="00E474A7">
            <w:pPr>
              <w:ind w:hanging="360"/>
              <w:rPr>
                <w:rFonts w:eastAsiaTheme="minorEastAsia" w:cstheme="minorHAnsi"/>
                <w:color w:val="000000" w:themeColor="text1"/>
                <w:sz w:val="16"/>
                <w:szCs w:val="16"/>
              </w:rPr>
            </w:pPr>
          </w:p>
          <w:p w14:paraId="0503485A" w14:textId="77777777" w:rsidR="0089132A" w:rsidRPr="00D53BC7" w:rsidRDefault="0089132A" w:rsidP="00E474A7">
            <w:pPr>
              <w:ind w:hanging="360"/>
              <w:rPr>
                <w:rFonts w:eastAsiaTheme="minorEastAsia" w:cstheme="minorHAnsi"/>
                <w:color w:val="000000" w:themeColor="text1"/>
                <w:sz w:val="16"/>
                <w:szCs w:val="16"/>
              </w:rPr>
            </w:pPr>
          </w:p>
          <w:p w14:paraId="69FB4716" w14:textId="77777777" w:rsidR="0089132A" w:rsidRPr="00D53BC7" w:rsidRDefault="0089132A" w:rsidP="00E474A7">
            <w:pPr>
              <w:ind w:hanging="360"/>
              <w:rPr>
                <w:rFonts w:eastAsiaTheme="minorEastAsia" w:cstheme="minorHAnsi"/>
                <w:i/>
                <w:color w:val="000000" w:themeColor="text1"/>
                <w:sz w:val="16"/>
                <w:szCs w:val="16"/>
              </w:rPr>
            </w:pPr>
            <w:r w:rsidRPr="00D53BC7">
              <w:rPr>
                <w:rFonts w:eastAsiaTheme="minorEastAsia" w:cstheme="minorHAnsi"/>
                <w:color w:val="000000" w:themeColor="text1"/>
                <w:sz w:val="16"/>
                <w:szCs w:val="16"/>
              </w:rPr>
              <w:t xml:space="preserve">         </w:t>
            </w:r>
          </w:p>
          <w:p w14:paraId="67E2FF24" w14:textId="77777777" w:rsidR="0089132A" w:rsidRPr="00D53BC7" w:rsidRDefault="0089132A" w:rsidP="00E474A7">
            <w:pPr>
              <w:ind w:hanging="360"/>
              <w:rPr>
                <w:rFonts w:eastAsiaTheme="minorEastAsia" w:cstheme="minorHAnsi"/>
                <w:color w:val="000000" w:themeColor="text1"/>
                <w:sz w:val="16"/>
                <w:szCs w:val="16"/>
              </w:rPr>
            </w:pPr>
          </w:p>
        </w:tc>
      </w:tr>
    </w:tbl>
    <w:p w14:paraId="4F32CFFB" w14:textId="54BD96A3" w:rsidR="0089132A" w:rsidRPr="00447F1B" w:rsidRDefault="0089132A" w:rsidP="00447F1B">
      <w:pPr>
        <w:sectPr w:rsidR="0089132A" w:rsidRPr="00447F1B" w:rsidSect="00083CE2">
          <w:pgSz w:w="15840" w:h="12240" w:orient="landscape"/>
          <w:pgMar w:top="1440" w:right="1440" w:bottom="1440" w:left="1440" w:header="720" w:footer="720" w:gutter="0"/>
          <w:cols w:space="720"/>
          <w:docGrid w:linePitch="360"/>
        </w:sectPr>
      </w:pPr>
    </w:p>
    <w:p w14:paraId="2B9EB9C3" w14:textId="1CECB80B" w:rsidR="00C84DEE" w:rsidRDefault="00C1312D" w:rsidP="00D603FF">
      <w:pPr>
        <w:pStyle w:val="Heading1"/>
      </w:pPr>
      <w:bookmarkStart w:id="44" w:name="_Toc65688858"/>
      <w:r>
        <w:lastRenderedPageBreak/>
        <w:t xml:space="preserve">Annex 2: ERM Risk Appetite statement </w:t>
      </w:r>
      <w:r w:rsidR="00D603FF">
        <w:t>c</w:t>
      </w:r>
      <w:r>
        <w:t>ategories and level</w:t>
      </w:r>
      <w:bookmarkEnd w:id="44"/>
    </w:p>
    <w:p w14:paraId="67BDF1B3" w14:textId="420BB9A8" w:rsidR="00C84DEE" w:rsidRDefault="00C84DEE" w:rsidP="00C84DEE">
      <w:pPr>
        <w:rPr>
          <w:lang w:val="en-GB"/>
        </w:rPr>
      </w:pPr>
      <w:r>
        <w:rPr>
          <w:lang w:val="en-GB"/>
        </w:rPr>
        <w:t>The Statement places each category of risk on a risk-appetite scale that ranges from ‘minimal’ to ‘seeking’:</w:t>
      </w:r>
    </w:p>
    <w:p w14:paraId="56DE48AF" w14:textId="69149244" w:rsidR="0041558F" w:rsidRDefault="0041558F" w:rsidP="00C84DEE">
      <w:pPr>
        <w:rPr>
          <w:lang w:val="en-GB"/>
        </w:rPr>
      </w:pPr>
      <w:r>
        <w:rPr>
          <w:noProof/>
          <w:lang w:val="en-GB"/>
        </w:rPr>
        <mc:AlternateContent>
          <mc:Choice Requires="wpg">
            <w:drawing>
              <wp:anchor distT="0" distB="0" distL="114300" distR="114300" simplePos="0" relativeHeight="251658242" behindDoc="0" locked="0" layoutInCell="1" allowOverlap="1" wp14:anchorId="67C7E80B" wp14:editId="1B9D28E2">
                <wp:simplePos x="0" y="0"/>
                <wp:positionH relativeFrom="margin">
                  <wp:align>left</wp:align>
                </wp:positionH>
                <wp:positionV relativeFrom="paragraph">
                  <wp:posOffset>11430</wp:posOffset>
                </wp:positionV>
                <wp:extent cx="6042660" cy="587375"/>
                <wp:effectExtent l="0" t="19050" r="0" b="0"/>
                <wp:wrapNone/>
                <wp:docPr id="10" name="Group 10"/>
                <wp:cNvGraphicFramePr/>
                <a:graphic xmlns:a="http://schemas.openxmlformats.org/drawingml/2006/main">
                  <a:graphicData uri="http://schemas.microsoft.com/office/word/2010/wordprocessingGroup">
                    <wpg:wgp>
                      <wpg:cNvGrpSpPr/>
                      <wpg:grpSpPr>
                        <a:xfrm>
                          <a:off x="0" y="0"/>
                          <a:ext cx="6042660" cy="587375"/>
                          <a:chOff x="0" y="0"/>
                          <a:chExt cx="6043122" cy="587606"/>
                        </a:xfrm>
                      </wpg:grpSpPr>
                      <wpg:grpSp>
                        <wpg:cNvPr id="12" name="Group 19"/>
                        <wpg:cNvGrpSpPr/>
                        <wpg:grpSpPr>
                          <a:xfrm>
                            <a:off x="91621" y="0"/>
                            <a:ext cx="5805752" cy="585810"/>
                            <a:chOff x="90822" y="0"/>
                            <a:chExt cx="5805752" cy="585810"/>
                          </a:xfrm>
                        </wpg:grpSpPr>
                        <wps:wsp>
                          <wps:cNvPr id="13" name="Arrow: Left-Right 13"/>
                          <wps:cNvSpPr/>
                          <wps:spPr>
                            <a:xfrm>
                              <a:off x="90822" y="0"/>
                              <a:ext cx="5805752" cy="152399"/>
                            </a:xfrm>
                            <a:prstGeom prst="leftRightArrow">
                              <a:avLst/>
                            </a:prstGeom>
                            <a:gradFill flip="none" rotWithShape="1">
                              <a:gsLst>
                                <a:gs pos="67000">
                                  <a:schemeClr val="accent1">
                                    <a:lumMod val="60000"/>
                                    <a:lumOff val="40000"/>
                                  </a:schemeClr>
                                </a:gs>
                                <a:gs pos="33000">
                                  <a:schemeClr val="accent1">
                                    <a:lumMod val="75000"/>
                                  </a:schemeClr>
                                </a:gs>
                                <a:gs pos="0">
                                  <a:schemeClr val="accent1">
                                    <a:lumMod val="50000"/>
                                  </a:schemeClr>
                                </a:gs>
                                <a:gs pos="100000">
                                  <a:schemeClr val="accent1">
                                    <a:lumMod val="40000"/>
                                    <a:lumOff val="60000"/>
                                    <a:shade val="100000"/>
                                    <a:satMod val="115000"/>
                                  </a:schemeClr>
                                </a:gs>
                              </a:gsLst>
                              <a:lin ang="10800000" scaled="1"/>
                              <a:tileRect/>
                            </a:gra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 name="TextBox 21"/>
                          <wps:cNvSpPr txBox="1"/>
                          <wps:spPr>
                            <a:xfrm>
                              <a:off x="4010958" y="225765"/>
                              <a:ext cx="739140" cy="360045"/>
                            </a:xfrm>
                            <a:prstGeom prst="rect">
                              <a:avLst/>
                            </a:prstGeom>
                            <a:noFill/>
                          </wps:spPr>
                          <wps:txbx>
                            <w:txbxContent>
                              <w:p w14:paraId="16D4BD73" w14:textId="77777777" w:rsidR="001703F8" w:rsidRDefault="001703F8" w:rsidP="0041558F">
                                <w:pPr>
                                  <w:jc w:val="center"/>
                                  <w:rPr>
                                    <w:sz w:val="24"/>
                                    <w:szCs w:val="24"/>
                                  </w:rPr>
                                </w:pPr>
                                <w:r>
                                  <w:rPr>
                                    <w:rFonts w:hAnsi="Calibri"/>
                                    <w:b/>
                                    <w:bCs/>
                                    <w:color w:val="2F5496" w:themeColor="accent1" w:themeShade="BF"/>
                                    <w:kern w:val="24"/>
                                    <w:sz w:val="20"/>
                                    <w:szCs w:val="20"/>
                                    <w:lang w:val="en-GB"/>
                                  </w:rPr>
                                  <w:t>Open</w:t>
                                </w:r>
                                <w:r>
                                  <w:rPr>
                                    <w:rFonts w:hAnsi="Calibri"/>
                                    <w:b/>
                                    <w:bCs/>
                                    <w:color w:val="27457B"/>
                                    <w:kern w:val="24"/>
                                    <w:sz w:val="20"/>
                                    <w:szCs w:val="20"/>
                                    <w:lang w:val="en-GB"/>
                                  </w:rPr>
                                  <w:t xml:space="preserve"> </w:t>
                                </w:r>
                              </w:p>
                            </w:txbxContent>
                          </wps:txbx>
                          <wps:bodyPr wrap="square" rtlCol="0">
                            <a:spAutoFit/>
                          </wps:bodyPr>
                        </wps:wsp>
                      </wpg:grpSp>
                      <wps:wsp>
                        <wps:cNvPr id="23" name="TextBox 22">
                          <a:extLst>
                            <a:ext uri="{FF2B5EF4-FFF2-40B4-BE49-F238E27FC236}">
                              <a16:creationId xmlns:a16="http://schemas.microsoft.com/office/drawing/2014/main" id="{75839BE1-89F3-4005-8672-6BEB2EC92904}"/>
                            </a:ext>
                          </a:extLst>
                        </wps:cNvPr>
                        <wps:cNvSpPr txBox="1"/>
                        <wps:spPr>
                          <a:xfrm>
                            <a:off x="0" y="220307"/>
                            <a:ext cx="738505" cy="360045"/>
                          </a:xfrm>
                          <a:prstGeom prst="rect">
                            <a:avLst/>
                          </a:prstGeom>
                          <a:noFill/>
                        </wps:spPr>
                        <wps:txbx>
                          <w:txbxContent>
                            <w:p w14:paraId="6A433645" w14:textId="77777777" w:rsidR="001703F8" w:rsidRDefault="001703F8" w:rsidP="0041558F">
                              <w:pPr>
                                <w:jc w:val="center"/>
                                <w:rPr>
                                  <w:sz w:val="24"/>
                                  <w:szCs w:val="24"/>
                                </w:rPr>
                              </w:pPr>
                              <w:r>
                                <w:rPr>
                                  <w:rFonts w:hAnsi="Calibri"/>
                                  <w:b/>
                                  <w:bCs/>
                                  <w:color w:val="9FB7E3"/>
                                  <w:kern w:val="24"/>
                                  <w:sz w:val="20"/>
                                  <w:szCs w:val="20"/>
                                  <w:lang w:val="en-GB"/>
                                </w:rPr>
                                <w:t>Minimal</w:t>
                              </w:r>
                            </w:p>
                          </w:txbxContent>
                        </wps:txbx>
                        <wps:bodyPr wrap="square" rtlCol="0">
                          <a:spAutoFit/>
                        </wps:bodyPr>
                      </wps:wsp>
                      <wps:wsp>
                        <wps:cNvPr id="24" name="TextBox 23">
                          <a:extLst>
                            <a:ext uri="{FF2B5EF4-FFF2-40B4-BE49-F238E27FC236}">
                              <a16:creationId xmlns:a16="http://schemas.microsoft.com/office/drawing/2014/main" id="{E9C02621-456A-45E1-B01A-1BC42098D681}"/>
                            </a:ext>
                          </a:extLst>
                        </wps:cNvPr>
                        <wps:cNvSpPr txBox="1"/>
                        <wps:spPr>
                          <a:xfrm>
                            <a:off x="1175579" y="227561"/>
                            <a:ext cx="739140" cy="360045"/>
                          </a:xfrm>
                          <a:prstGeom prst="rect">
                            <a:avLst/>
                          </a:prstGeom>
                          <a:noFill/>
                        </wps:spPr>
                        <wps:txbx>
                          <w:txbxContent>
                            <w:p w14:paraId="3CF79997" w14:textId="77777777" w:rsidR="001703F8" w:rsidRDefault="001703F8" w:rsidP="0041558F">
                              <w:pPr>
                                <w:jc w:val="center"/>
                                <w:rPr>
                                  <w:sz w:val="24"/>
                                  <w:szCs w:val="24"/>
                                </w:rPr>
                              </w:pPr>
                              <w:r>
                                <w:rPr>
                                  <w:rFonts w:hAnsi="Calibri"/>
                                  <w:b/>
                                  <w:bCs/>
                                  <w:color w:val="8EAADB" w:themeColor="accent1" w:themeTint="99"/>
                                  <w:kern w:val="24"/>
                                  <w:sz w:val="20"/>
                                  <w:szCs w:val="20"/>
                                  <w:lang w:val="en-GB"/>
                                </w:rPr>
                                <w:t>Cautious</w:t>
                              </w:r>
                            </w:p>
                          </w:txbxContent>
                        </wps:txbx>
                        <wps:bodyPr wrap="square" rtlCol="0">
                          <a:spAutoFit/>
                        </wps:bodyPr>
                      </wps:wsp>
                      <wps:wsp>
                        <wps:cNvPr id="25" name="TextBox 24">
                          <a:extLst>
                            <a:ext uri="{FF2B5EF4-FFF2-40B4-BE49-F238E27FC236}">
                              <a16:creationId xmlns:a16="http://schemas.microsoft.com/office/drawing/2014/main" id="{7AFF9DC1-10F3-41FC-834E-DCF95F7EB62F}"/>
                            </a:ext>
                          </a:extLst>
                        </wps:cNvPr>
                        <wps:cNvSpPr txBox="1"/>
                        <wps:spPr>
                          <a:xfrm>
                            <a:off x="2380184" y="220348"/>
                            <a:ext cx="1215390" cy="360045"/>
                          </a:xfrm>
                          <a:prstGeom prst="rect">
                            <a:avLst/>
                          </a:prstGeom>
                          <a:noFill/>
                        </wps:spPr>
                        <wps:txbx>
                          <w:txbxContent>
                            <w:p w14:paraId="0AFC02EE" w14:textId="77777777" w:rsidR="001703F8" w:rsidRDefault="001703F8" w:rsidP="0041558F">
                              <w:pPr>
                                <w:jc w:val="center"/>
                                <w:rPr>
                                  <w:sz w:val="24"/>
                                  <w:szCs w:val="24"/>
                                </w:rPr>
                              </w:pPr>
                              <w:r>
                                <w:rPr>
                                  <w:rFonts w:hAnsi="Calibri"/>
                                  <w:b/>
                                  <w:bCs/>
                                  <w:color w:val="4472C4" w:themeColor="accent1"/>
                                  <w:kern w:val="24"/>
                                  <w:sz w:val="20"/>
                                  <w:szCs w:val="20"/>
                                  <w:lang w:val="en-GB"/>
                                </w:rPr>
                                <w:t>Exploratory</w:t>
                              </w:r>
                            </w:p>
                          </w:txbxContent>
                        </wps:txbx>
                        <wps:bodyPr wrap="square" rtlCol="0">
                          <a:spAutoFit/>
                        </wps:bodyPr>
                      </wps:wsp>
                      <wps:wsp>
                        <wps:cNvPr id="26" name="TextBox 25">
                          <a:extLst>
                            <a:ext uri="{FF2B5EF4-FFF2-40B4-BE49-F238E27FC236}">
                              <a16:creationId xmlns:a16="http://schemas.microsoft.com/office/drawing/2014/main" id="{08AB0481-ED8F-4F28-AD27-BFC59A440F5C}"/>
                            </a:ext>
                          </a:extLst>
                        </wps:cNvPr>
                        <wps:cNvSpPr txBox="1"/>
                        <wps:spPr>
                          <a:xfrm>
                            <a:off x="5304617" y="213094"/>
                            <a:ext cx="738505" cy="360045"/>
                          </a:xfrm>
                          <a:prstGeom prst="rect">
                            <a:avLst/>
                          </a:prstGeom>
                          <a:noFill/>
                        </wps:spPr>
                        <wps:txbx>
                          <w:txbxContent>
                            <w:p w14:paraId="5298157E" w14:textId="77777777" w:rsidR="001703F8" w:rsidRDefault="001703F8" w:rsidP="0041558F">
                              <w:pPr>
                                <w:jc w:val="center"/>
                                <w:rPr>
                                  <w:sz w:val="24"/>
                                  <w:szCs w:val="24"/>
                                </w:rPr>
                              </w:pPr>
                              <w:r>
                                <w:rPr>
                                  <w:rFonts w:hAnsi="Calibri"/>
                                  <w:b/>
                                  <w:bCs/>
                                  <w:color w:val="1F3864" w:themeColor="accent1" w:themeShade="80"/>
                                  <w:kern w:val="24"/>
                                  <w:sz w:val="20"/>
                                  <w:szCs w:val="20"/>
                                  <w:lang w:val="en-GB"/>
                                </w:rPr>
                                <w:t>Seeking</w:t>
                              </w:r>
                            </w:p>
                          </w:txbxContent>
                        </wps:txbx>
                        <wps:bodyPr wrap="square" rtlCol="0">
                          <a:spAutoFit/>
                        </wps:bodyPr>
                      </wps:wsp>
                    </wpg:wgp>
                  </a:graphicData>
                </a:graphic>
              </wp:anchor>
            </w:drawing>
          </mc:Choice>
          <mc:Fallback>
            <w:pict>
              <v:group w14:anchorId="67C7E80B" id="Group 10" o:spid="_x0000_s1026" style="position:absolute;margin-left:0;margin-top:.9pt;width:475.8pt;height:46.25pt;z-index:251658242;mso-position-horizontal:left;mso-position-horizontal-relative:margin" coordsize="60431,5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">
                <v:group id="Group 19" o:spid="_x0000_s1027" style="position:absolute;left:916;width:58057;height:5858" coordorigin="908" coordsize="58057,5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13" o:spid="_x0000_s1028" type="#_x0000_t69" style="position:absolute;left:908;width:58057;height:1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" adj="283" fillcolor="#1f3763 [1604]" strokecolor="#1f3763 [1604]" strokeweight="1pt">
                    <v:fill color2="#b4c6e7 [1300]" rotate="t" angle="270" colors="0 #203864;21627f #2f5597;43909f #8faadc;1 #b0c6eb" focus="100%" type="gradient"/>
                  </v:shape>
                  <v:shapetype id="_x0000_t202" coordsize="21600,21600" o:spt="202" path="m,l,21600r21600,l21600,xe">
                    <v:stroke joinstyle="miter"/>
                    <v:path gradientshapeok="t" o:connecttype="rect"/>
                  </v:shapetype>
                  <v:shape id="TextBox 21" o:spid="_x0000_s1029" type="#_x0000_t202" style="position:absolute;left:40109;top:2257;width:7391;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v:textbox style="mso-fit-shape-to-text:t">
                      <w:txbxContent>
                        <w:p w14:paraId="16D4BD73" w14:textId="77777777" w:rsidR="001703F8" w:rsidRDefault="001703F8" w:rsidP="0041558F">
                          <w:pPr>
                            <w:jc w:val="center"/>
                            <w:rPr>
                              <w:sz w:val="24"/>
                              <w:szCs w:val="24"/>
                            </w:rPr>
                          </w:pPr>
                          <w:r>
                            <w:rPr>
                              <w:rFonts w:hAnsi="Calibri"/>
                              <w:b/>
                              <w:bCs/>
                              <w:color w:val="2F5496" w:themeColor="accent1" w:themeShade="BF"/>
                              <w:kern w:val="24"/>
                              <w:sz w:val="20"/>
                              <w:szCs w:val="20"/>
                              <w:lang w:val="en-GB"/>
                            </w:rPr>
                            <w:t>Open</w:t>
                          </w:r>
                          <w:r>
                            <w:rPr>
                              <w:rFonts w:hAnsi="Calibri"/>
                              <w:b/>
                              <w:bCs/>
                              <w:color w:val="27457B"/>
                              <w:kern w:val="24"/>
                              <w:sz w:val="20"/>
                              <w:szCs w:val="20"/>
                              <w:lang w:val="en-GB"/>
                            </w:rPr>
                            <w:t xml:space="preserve"> </w:t>
                          </w:r>
                        </w:p>
                      </w:txbxContent>
                    </v:textbox>
                  </v:shape>
                </v:group>
                <v:shape id="TextBox 22" o:spid="_x0000_s1030" type="#_x0000_t202" style="position:absolute;top:2203;width:7385;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TPywgAAANsAAAAPAAAAZHJzL2Rvd25yZXYueG1sRI9Pa8JA&#10;FMTvBb/D8gq91Y2W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D0PTPywgAAANsAAAAPAAAA&#10;AAAAAAAAAAAAAAcCAABkcnMvZG93bnJldi54bWxQSwUGAAAAAAMAAwC3AAAA9gIAAAAA&#10;" filled="f" stroked="f">
                  <v:textbox style="mso-fit-shape-to-text:t">
                    <w:txbxContent>
                      <w:p w14:paraId="6A433645" w14:textId="77777777" w:rsidR="001703F8" w:rsidRDefault="001703F8" w:rsidP="0041558F">
                        <w:pPr>
                          <w:jc w:val="center"/>
                          <w:rPr>
                            <w:sz w:val="24"/>
                            <w:szCs w:val="24"/>
                          </w:rPr>
                        </w:pPr>
                        <w:r>
                          <w:rPr>
                            <w:rFonts w:hAnsi="Calibri"/>
                            <w:b/>
                            <w:bCs/>
                            <w:color w:val="9FB7E3"/>
                            <w:kern w:val="24"/>
                            <w:sz w:val="20"/>
                            <w:szCs w:val="20"/>
                            <w:lang w:val="en-GB"/>
                          </w:rPr>
                          <w:t>Minimal</w:t>
                        </w:r>
                      </w:p>
                    </w:txbxContent>
                  </v:textbox>
                </v:shape>
                <v:shape id="TextBox 23" o:spid="_x0000_s1031" type="#_x0000_t202" style="position:absolute;left:11755;top:2275;width:7392;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KuGwgAAANsAAAAPAAAAZHJzL2Rvd25yZXYueG1sRI9Pa8JA&#10;FMTvBb/D8gq91Y3S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B71KuGwgAAANsAAAAPAAAA&#10;AAAAAAAAAAAAAAcCAABkcnMvZG93bnJldi54bWxQSwUGAAAAAAMAAwC3AAAA9gIAAAAA&#10;" filled="f" stroked="f">
                  <v:textbox style="mso-fit-shape-to-text:t">
                    <w:txbxContent>
                      <w:p w14:paraId="3CF79997" w14:textId="77777777" w:rsidR="001703F8" w:rsidRDefault="001703F8" w:rsidP="0041558F">
                        <w:pPr>
                          <w:jc w:val="center"/>
                          <w:rPr>
                            <w:sz w:val="24"/>
                            <w:szCs w:val="24"/>
                          </w:rPr>
                        </w:pPr>
                        <w:r>
                          <w:rPr>
                            <w:rFonts w:hAnsi="Calibri"/>
                            <w:b/>
                            <w:bCs/>
                            <w:color w:val="8EAADB" w:themeColor="accent1" w:themeTint="99"/>
                            <w:kern w:val="24"/>
                            <w:sz w:val="20"/>
                            <w:szCs w:val="20"/>
                            <w:lang w:val="en-GB"/>
                          </w:rPr>
                          <w:t>Cautious</w:t>
                        </w:r>
                      </w:p>
                    </w:txbxContent>
                  </v:textbox>
                </v:shape>
                <v:shape id="TextBox 24" o:spid="_x0000_s1032" type="#_x0000_t202" style="position:absolute;left:23801;top:2203;width:12154;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" filled="f" stroked="f">
                  <v:textbox style="mso-fit-shape-to-text:t">
                    <w:txbxContent>
                      <w:p w14:paraId="0AFC02EE" w14:textId="77777777" w:rsidR="001703F8" w:rsidRDefault="001703F8" w:rsidP="0041558F">
                        <w:pPr>
                          <w:jc w:val="center"/>
                          <w:rPr>
                            <w:sz w:val="24"/>
                            <w:szCs w:val="24"/>
                          </w:rPr>
                        </w:pPr>
                        <w:r>
                          <w:rPr>
                            <w:rFonts w:hAnsi="Calibri"/>
                            <w:b/>
                            <w:bCs/>
                            <w:color w:val="4472C4" w:themeColor="accent1"/>
                            <w:kern w:val="24"/>
                            <w:sz w:val="20"/>
                            <w:szCs w:val="20"/>
                            <w:lang w:val="en-GB"/>
                          </w:rPr>
                          <w:t>Exploratory</w:t>
                        </w:r>
                      </w:p>
                    </w:txbxContent>
                  </v:textbox>
                </v:shape>
                <v:shape id="TextBox 25" o:spid="_x0000_s1033" type="#_x0000_t202" style="position:absolute;left:53046;top:2130;width:7385;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" filled="f" stroked="f">
                  <v:textbox style="mso-fit-shape-to-text:t">
                    <w:txbxContent>
                      <w:p w14:paraId="5298157E" w14:textId="77777777" w:rsidR="001703F8" w:rsidRDefault="001703F8" w:rsidP="0041558F">
                        <w:pPr>
                          <w:jc w:val="center"/>
                          <w:rPr>
                            <w:sz w:val="24"/>
                            <w:szCs w:val="24"/>
                          </w:rPr>
                        </w:pPr>
                        <w:r>
                          <w:rPr>
                            <w:rFonts w:hAnsi="Calibri"/>
                            <w:b/>
                            <w:bCs/>
                            <w:color w:val="1F3864" w:themeColor="accent1" w:themeShade="80"/>
                            <w:kern w:val="24"/>
                            <w:sz w:val="20"/>
                            <w:szCs w:val="20"/>
                            <w:lang w:val="en-GB"/>
                          </w:rPr>
                          <w:t>Seeking</w:t>
                        </w:r>
                      </w:p>
                    </w:txbxContent>
                  </v:textbox>
                </v:shape>
                <w10:wrap anchorx="margin"/>
              </v:group>
            </w:pict>
          </mc:Fallback>
        </mc:AlternateContent>
      </w:r>
    </w:p>
    <w:p w14:paraId="20294E65" w14:textId="77777777" w:rsidR="0041558F" w:rsidRDefault="0041558F" w:rsidP="00C84DEE">
      <w:pPr>
        <w:rPr>
          <w:lang w:val="en-GB"/>
        </w:rPr>
      </w:pPr>
    </w:p>
    <w:p w14:paraId="7CEE3E5C" w14:textId="7A2A0685" w:rsidR="00C84DEE" w:rsidRDefault="00C84DEE" w:rsidP="00C84DEE">
      <w:pPr>
        <w:pStyle w:val="ListParagraph"/>
        <w:numPr>
          <w:ilvl w:val="0"/>
          <w:numId w:val="12"/>
        </w:numPr>
      </w:pPr>
      <w:r>
        <w:rPr>
          <w:b/>
          <w:bCs/>
        </w:rPr>
        <w:t>Minimal risk appetite</w:t>
      </w:r>
      <w:r>
        <w:t xml:space="preserve"> – areas where UNDP will apply a strong control environment to reduce or </w:t>
      </w:r>
      <w:r w:rsidR="00E01962">
        <w:t>minimize</w:t>
      </w:r>
      <w:r>
        <w:t xml:space="preserve"> the likelihood that a risk will occur and/or reduce the impact of any risk</w:t>
      </w:r>
    </w:p>
    <w:p w14:paraId="5ADB438F" w14:textId="77777777" w:rsidR="00C84DEE" w:rsidRDefault="00C84DEE" w:rsidP="00C84DEE">
      <w:pPr>
        <w:pStyle w:val="ListParagraph"/>
        <w:numPr>
          <w:ilvl w:val="0"/>
          <w:numId w:val="12"/>
        </w:numPr>
      </w:pPr>
      <w:r>
        <w:rPr>
          <w:b/>
          <w:bCs/>
        </w:rPr>
        <w:t>Cautious risk appetite</w:t>
      </w:r>
      <w:r>
        <w:t xml:space="preserve"> – areas where UNDP seeks low-risk delivery options, and will pilot innovation only in a controlled environment</w:t>
      </w:r>
    </w:p>
    <w:p w14:paraId="28BBB3C5" w14:textId="77777777" w:rsidR="00C84DEE" w:rsidRDefault="00C84DEE" w:rsidP="00C84DEE">
      <w:pPr>
        <w:pStyle w:val="ListParagraph"/>
        <w:numPr>
          <w:ilvl w:val="0"/>
          <w:numId w:val="12"/>
        </w:numPr>
      </w:pPr>
      <w:r>
        <w:rPr>
          <w:b/>
          <w:bCs/>
        </w:rPr>
        <w:t>Exploratory risk appetite</w:t>
      </w:r>
      <w:r>
        <w:t xml:space="preserve"> – areas where UNDP strikes a balance between the potential upside benefits and downside costs of a decision and considers new solutions and options for delivery</w:t>
      </w:r>
    </w:p>
    <w:p w14:paraId="43EC58D8" w14:textId="77777777" w:rsidR="00C84DEE" w:rsidRDefault="00C84DEE" w:rsidP="00C84DEE">
      <w:pPr>
        <w:pStyle w:val="ListParagraph"/>
        <w:numPr>
          <w:ilvl w:val="0"/>
          <w:numId w:val="12"/>
        </w:numPr>
      </w:pPr>
      <w:r>
        <w:rPr>
          <w:b/>
          <w:bCs/>
        </w:rPr>
        <w:t>Open risk appetite</w:t>
      </w:r>
      <w:r>
        <w:t xml:space="preserve"> – areas where UNDP has determined that the potential upside benefits outweigh the risks and informed risk-taking is appropriate. All potential options are considered</w:t>
      </w:r>
    </w:p>
    <w:p w14:paraId="73ED1D26" w14:textId="531AB6CE" w:rsidR="00C1312D" w:rsidRDefault="00C84DEE" w:rsidP="00D603FF">
      <w:pPr>
        <w:pStyle w:val="ListParagraph"/>
        <w:numPr>
          <w:ilvl w:val="0"/>
          <w:numId w:val="12"/>
        </w:numPr>
      </w:pPr>
      <w:r>
        <w:rPr>
          <w:b/>
          <w:bCs/>
        </w:rPr>
        <w:t>Seeking risk appetite</w:t>
      </w:r>
      <w:r>
        <w:t xml:space="preserve"> – areas where UNDP takes risks to explore new ideas and approaches, looking for innovation and </w:t>
      </w:r>
      <w:r w:rsidR="00E01962">
        <w:t>recognizing</w:t>
      </w:r>
      <w:r>
        <w:t xml:space="preserve"> that failures are an opportunity for learning and improving.</w:t>
      </w:r>
    </w:p>
    <w:tbl>
      <w:tblPr>
        <w:tblStyle w:val="ListTable3"/>
        <w:tblW w:w="0" w:type="auto"/>
        <w:tblLook w:val="04A0" w:firstRow="1" w:lastRow="0" w:firstColumn="1" w:lastColumn="0" w:noHBand="0" w:noVBand="1"/>
      </w:tblPr>
      <w:tblGrid>
        <w:gridCol w:w="7893"/>
        <w:gridCol w:w="1457"/>
      </w:tblGrid>
      <w:tr w:rsidR="0041558F" w14:paraId="14AA4598" w14:textId="77777777" w:rsidTr="001703F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auto"/>
          </w:tcPr>
          <w:p w14:paraId="00A9D8FE" w14:textId="77777777" w:rsidR="0041558F" w:rsidRDefault="0041558F" w:rsidP="001703F8">
            <w:r>
              <w:t>Risk Category</w:t>
            </w:r>
          </w:p>
        </w:tc>
        <w:tc>
          <w:tcPr>
            <w:tcW w:w="0" w:type="auto"/>
          </w:tcPr>
          <w:p w14:paraId="0EF629B2" w14:textId="77777777" w:rsidR="0041558F" w:rsidRDefault="0041558F" w:rsidP="001703F8">
            <w:pPr>
              <w:cnfStyle w:val="100000000000" w:firstRow="1" w:lastRow="0" w:firstColumn="0" w:lastColumn="0" w:oddVBand="0" w:evenVBand="0" w:oddHBand="0" w:evenHBand="0" w:firstRowFirstColumn="0" w:firstRowLastColumn="0" w:lastRowFirstColumn="0" w:lastRowLastColumn="0"/>
            </w:pPr>
            <w:r>
              <w:t>Overall Risk Appetite</w:t>
            </w:r>
          </w:p>
        </w:tc>
      </w:tr>
      <w:tr w:rsidR="00E25098" w:rsidRPr="00CA19B6" w14:paraId="1E7F87C1" w14:textId="77777777" w:rsidTr="00E474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1D2E52C" w14:textId="77777777" w:rsidR="00E25098" w:rsidRDefault="00E25098" w:rsidP="00E474A7">
            <w:pPr>
              <w:rPr>
                <w:b w:val="0"/>
                <w:bCs w:val="0"/>
              </w:rPr>
            </w:pPr>
            <w:r>
              <w:t>Social and Environmental</w:t>
            </w:r>
          </w:p>
          <w:p w14:paraId="02AE85FB" w14:textId="77777777" w:rsidR="00E25098" w:rsidRDefault="00E25098" w:rsidP="00E474A7">
            <w:pPr>
              <w:rPr>
                <w:b w:val="0"/>
                <w:bCs w:val="0"/>
              </w:rPr>
            </w:pPr>
            <w:r>
              <w:rPr>
                <w:b w:val="0"/>
                <w:bCs w:val="0"/>
              </w:rPr>
              <w:t xml:space="preserve">UNDP plans </w:t>
            </w:r>
            <w:proofErr w:type="gramStart"/>
            <w:r>
              <w:rPr>
                <w:b w:val="0"/>
                <w:bCs w:val="0"/>
              </w:rPr>
              <w:t>all of</w:t>
            </w:r>
            <w:proofErr w:type="gramEnd"/>
            <w:r>
              <w:rPr>
                <w:b w:val="0"/>
                <w:bCs w:val="0"/>
              </w:rPr>
              <w:t xml:space="preserve"> its project and programmatic activities to safeguard those who are affected by them and to do no harm, socially or environmentally, always behaving in an ethical fashion.</w:t>
            </w:r>
          </w:p>
          <w:p w14:paraId="7C569C1C" w14:textId="77777777" w:rsidR="00E25098" w:rsidRDefault="00E25098" w:rsidP="00E474A7">
            <w:r>
              <w:rPr>
                <w:b w:val="0"/>
                <w:bCs w:val="0"/>
              </w:rPr>
              <w:t xml:space="preserve"> It takes positive steps to engage with disadvantaged groups and does not tolerate any form of discrimination or harassment. </w:t>
            </w:r>
            <w:r w:rsidRPr="001F63F9">
              <w:rPr>
                <w:rFonts w:eastAsia="Times New Roman" w:cstheme="minorHAnsi"/>
                <w:b w:val="0"/>
                <w:bCs w:val="0"/>
                <w:lang w:eastAsia="en-GB"/>
              </w:rPr>
              <w:t xml:space="preserve">UNDP will mitigate </w:t>
            </w:r>
            <w:r>
              <w:rPr>
                <w:rFonts w:eastAsia="Times New Roman" w:cstheme="minorHAnsi"/>
                <w:b w:val="0"/>
                <w:bCs w:val="0"/>
                <w:lang w:eastAsia="en-GB"/>
              </w:rPr>
              <w:t>these</w:t>
            </w:r>
            <w:r w:rsidRPr="001F63F9">
              <w:rPr>
                <w:rFonts w:eastAsia="Times New Roman" w:cstheme="minorHAnsi"/>
                <w:b w:val="0"/>
                <w:bCs w:val="0"/>
                <w:lang w:eastAsia="en-GB"/>
              </w:rPr>
              <w:t xml:space="preserve"> risks by ensuring that its personnel and partners are conscious of the controls that need to be implemented to safeguard people and the environment and to ensure that the “do no harm” principle is applied. </w:t>
            </w:r>
          </w:p>
          <w:p w14:paraId="21AFEBA4" w14:textId="77777777" w:rsidR="00E25098" w:rsidRDefault="00E25098" w:rsidP="00E474A7">
            <w:r w:rsidRPr="002D751E">
              <w:rPr>
                <w:noProof/>
              </w:rPr>
              <w:drawing>
                <wp:anchor distT="0" distB="0" distL="114300" distR="114300" simplePos="0" relativeHeight="251658243" behindDoc="0" locked="0" layoutInCell="1" allowOverlap="1" wp14:anchorId="1D87BAA0" wp14:editId="7B0F58D9">
                  <wp:simplePos x="0" y="0"/>
                  <wp:positionH relativeFrom="column">
                    <wp:posOffset>-6350</wp:posOffset>
                  </wp:positionH>
                  <wp:positionV relativeFrom="paragraph">
                    <wp:posOffset>5080</wp:posOffset>
                  </wp:positionV>
                  <wp:extent cx="5774271" cy="603504"/>
                  <wp:effectExtent l="0" t="0" r="0" b="635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774271" cy="603504"/>
                          </a:xfrm>
                          <a:prstGeom prst="rect">
                            <a:avLst/>
                          </a:prstGeom>
                        </pic:spPr>
                      </pic:pic>
                    </a:graphicData>
                  </a:graphic>
                  <wp14:sizeRelH relativeFrom="margin">
                    <wp14:pctWidth>0</wp14:pctWidth>
                  </wp14:sizeRelH>
                  <wp14:sizeRelV relativeFrom="margin">
                    <wp14:pctHeight>0</wp14:pctHeight>
                  </wp14:sizeRelV>
                </wp:anchor>
              </w:drawing>
            </w:r>
          </w:p>
          <w:p w14:paraId="74EFBABB" w14:textId="77777777" w:rsidR="00E25098" w:rsidRDefault="00E25098" w:rsidP="00E474A7"/>
          <w:p w14:paraId="2BDB9511" w14:textId="77777777" w:rsidR="00E25098" w:rsidRDefault="00E25098" w:rsidP="00E474A7"/>
          <w:p w14:paraId="21F26DD7" w14:textId="77777777" w:rsidR="00E25098" w:rsidRPr="001F63F9" w:rsidRDefault="00E25098" w:rsidP="00E474A7">
            <w:pPr>
              <w:rPr>
                <w:b w:val="0"/>
                <w:bCs w:val="0"/>
              </w:rPr>
            </w:pPr>
          </w:p>
        </w:tc>
        <w:tc>
          <w:tcPr>
            <w:tcW w:w="0" w:type="auto"/>
          </w:tcPr>
          <w:p w14:paraId="6C6CA193" w14:textId="77777777" w:rsidR="00E25098" w:rsidRPr="00CA19B6" w:rsidRDefault="00E25098" w:rsidP="00E474A7">
            <w:pPr>
              <w:cnfStyle w:val="000000100000" w:firstRow="0" w:lastRow="0" w:firstColumn="0" w:lastColumn="0" w:oddVBand="0" w:evenVBand="0" w:oddHBand="1" w:evenHBand="0" w:firstRowFirstColumn="0" w:firstRowLastColumn="0" w:lastRowFirstColumn="0" w:lastRowLastColumn="0"/>
              <w:rPr>
                <w:b/>
                <w:bCs/>
              </w:rPr>
            </w:pPr>
            <w:r w:rsidRPr="00CA19B6">
              <w:rPr>
                <w:b/>
                <w:bCs/>
              </w:rPr>
              <w:t xml:space="preserve">Cautious </w:t>
            </w:r>
          </w:p>
        </w:tc>
      </w:tr>
      <w:tr w:rsidR="002730F0" w:rsidRPr="00CA19B6" w14:paraId="76DC7ADE" w14:textId="77777777" w:rsidTr="00E474A7">
        <w:tc>
          <w:tcPr>
            <w:cnfStyle w:val="001000000000" w:firstRow="0" w:lastRow="0" w:firstColumn="1" w:lastColumn="0" w:oddVBand="0" w:evenVBand="0" w:oddHBand="0" w:evenHBand="0" w:firstRowFirstColumn="0" w:firstRowLastColumn="0" w:lastRowFirstColumn="0" w:lastRowLastColumn="0"/>
            <w:tcW w:w="0" w:type="auto"/>
          </w:tcPr>
          <w:p w14:paraId="58C6303C" w14:textId="77777777" w:rsidR="002730F0" w:rsidRDefault="002730F0" w:rsidP="00E474A7">
            <w:pPr>
              <w:rPr>
                <w:b w:val="0"/>
                <w:bCs w:val="0"/>
              </w:rPr>
            </w:pPr>
            <w:r>
              <w:t xml:space="preserve">Financial </w:t>
            </w:r>
          </w:p>
          <w:p w14:paraId="4635496F" w14:textId="77777777" w:rsidR="002730F0" w:rsidRDefault="002730F0" w:rsidP="00E474A7">
            <w:r w:rsidRPr="0022322F">
              <w:rPr>
                <w:b w:val="0"/>
                <w:bCs w:val="0"/>
              </w:rPr>
              <w:t xml:space="preserve">UNDP </w:t>
            </w:r>
            <w:r>
              <w:rPr>
                <w:b w:val="0"/>
                <w:bCs w:val="0"/>
              </w:rPr>
              <w:t>seeks to manage its</w:t>
            </w:r>
            <w:r w:rsidRPr="0022322F">
              <w:rPr>
                <w:b w:val="0"/>
                <w:bCs w:val="0"/>
              </w:rPr>
              <w:t xml:space="preserve"> financial resources </w:t>
            </w:r>
            <w:r>
              <w:rPr>
                <w:b w:val="0"/>
                <w:bCs w:val="0"/>
              </w:rPr>
              <w:t xml:space="preserve">effectively </w:t>
            </w:r>
            <w:proofErr w:type="gramStart"/>
            <w:r>
              <w:rPr>
                <w:b w:val="0"/>
                <w:bCs w:val="0"/>
              </w:rPr>
              <w:t xml:space="preserve">in order </w:t>
            </w:r>
            <w:r w:rsidRPr="0022322F">
              <w:rPr>
                <w:b w:val="0"/>
                <w:bCs w:val="0"/>
              </w:rPr>
              <w:t>to</w:t>
            </w:r>
            <w:proofErr w:type="gramEnd"/>
            <w:r w:rsidRPr="0022322F">
              <w:rPr>
                <w:b w:val="0"/>
                <w:bCs w:val="0"/>
              </w:rPr>
              <w:t xml:space="preserve"> deliver its objectives</w:t>
            </w:r>
            <w:r>
              <w:rPr>
                <w:b w:val="0"/>
                <w:bCs w:val="0"/>
              </w:rPr>
              <w:t xml:space="preserve"> in a timely fashion while</w:t>
            </w:r>
            <w:r w:rsidRPr="0022322F">
              <w:rPr>
                <w:b w:val="0"/>
                <w:bCs w:val="0"/>
              </w:rPr>
              <w:t xml:space="preserve"> maintain</w:t>
            </w:r>
            <w:r>
              <w:rPr>
                <w:b w:val="0"/>
                <w:bCs w:val="0"/>
              </w:rPr>
              <w:t>ing</w:t>
            </w:r>
            <w:r w:rsidRPr="0022322F">
              <w:rPr>
                <w:b w:val="0"/>
                <w:bCs w:val="0"/>
              </w:rPr>
              <w:t xml:space="preserve"> organi</w:t>
            </w:r>
            <w:r>
              <w:rPr>
                <w:b w:val="0"/>
                <w:bCs w:val="0"/>
              </w:rPr>
              <w:t>z</w:t>
            </w:r>
            <w:r w:rsidRPr="0022322F">
              <w:rPr>
                <w:b w:val="0"/>
                <w:bCs w:val="0"/>
              </w:rPr>
              <w:t>ational sustainability</w:t>
            </w:r>
            <w:r>
              <w:rPr>
                <w:b w:val="0"/>
                <w:bCs w:val="0"/>
              </w:rPr>
              <w:t xml:space="preserve"> and stability</w:t>
            </w:r>
            <w:r w:rsidRPr="0022322F">
              <w:rPr>
                <w:b w:val="0"/>
                <w:bCs w:val="0"/>
              </w:rPr>
              <w:t>, minimi</w:t>
            </w:r>
            <w:r>
              <w:rPr>
                <w:b w:val="0"/>
                <w:bCs w:val="0"/>
              </w:rPr>
              <w:t>z</w:t>
            </w:r>
            <w:r w:rsidRPr="0022322F">
              <w:rPr>
                <w:b w:val="0"/>
                <w:bCs w:val="0"/>
              </w:rPr>
              <w:t>ing fraud, and ensur</w:t>
            </w:r>
            <w:r>
              <w:rPr>
                <w:b w:val="0"/>
                <w:bCs w:val="0"/>
              </w:rPr>
              <w:t>ing</w:t>
            </w:r>
            <w:r w:rsidRPr="0022322F">
              <w:rPr>
                <w:b w:val="0"/>
                <w:bCs w:val="0"/>
              </w:rPr>
              <w:t xml:space="preserve"> protection of assets</w:t>
            </w:r>
            <w:r>
              <w:rPr>
                <w:b w:val="0"/>
                <w:bCs w:val="0"/>
              </w:rPr>
              <w:t>. It allows some financial flexibility in pursuit of its objectives and when undertaking activities under development funds, but never in a way that threatens its core business activities, always aiming to deliver on the goals of the strategic plan. UNDP is transparent in all it does and safeguards its funds from the risk of fraud.</w:t>
            </w:r>
          </w:p>
          <w:p w14:paraId="054F06C9" w14:textId="77777777" w:rsidR="002730F0" w:rsidRDefault="002730F0" w:rsidP="00E474A7">
            <w:r w:rsidRPr="00407622">
              <w:rPr>
                <w:noProof/>
              </w:rPr>
              <w:drawing>
                <wp:anchor distT="0" distB="0" distL="114300" distR="114300" simplePos="0" relativeHeight="251658244" behindDoc="0" locked="0" layoutInCell="1" allowOverlap="1" wp14:anchorId="036290EF" wp14:editId="775EE515">
                  <wp:simplePos x="0" y="0"/>
                  <wp:positionH relativeFrom="column">
                    <wp:posOffset>635</wp:posOffset>
                  </wp:positionH>
                  <wp:positionV relativeFrom="paragraph">
                    <wp:posOffset>-3175</wp:posOffset>
                  </wp:positionV>
                  <wp:extent cx="5774809" cy="621792"/>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5774809" cy="621792"/>
                          </a:xfrm>
                          <a:prstGeom prst="rect">
                            <a:avLst/>
                          </a:prstGeom>
                        </pic:spPr>
                      </pic:pic>
                    </a:graphicData>
                  </a:graphic>
                  <wp14:sizeRelH relativeFrom="margin">
                    <wp14:pctWidth>0</wp14:pctWidth>
                  </wp14:sizeRelH>
                  <wp14:sizeRelV relativeFrom="margin">
                    <wp14:pctHeight>0</wp14:pctHeight>
                  </wp14:sizeRelV>
                </wp:anchor>
              </w:drawing>
            </w:r>
          </w:p>
          <w:p w14:paraId="43C4103B" w14:textId="77777777" w:rsidR="002730F0" w:rsidRDefault="002730F0" w:rsidP="00E474A7"/>
          <w:p w14:paraId="53AF7EA6" w14:textId="77777777" w:rsidR="002730F0" w:rsidRDefault="002730F0" w:rsidP="00E474A7"/>
          <w:p w14:paraId="0E9A90A2" w14:textId="77777777" w:rsidR="002730F0" w:rsidRPr="00AA5424" w:rsidRDefault="002730F0" w:rsidP="00E474A7">
            <w:pPr>
              <w:rPr>
                <w:b w:val="0"/>
                <w:bCs w:val="0"/>
              </w:rPr>
            </w:pPr>
          </w:p>
        </w:tc>
        <w:tc>
          <w:tcPr>
            <w:tcW w:w="0" w:type="auto"/>
          </w:tcPr>
          <w:p w14:paraId="5AAB40A9" w14:textId="77777777" w:rsidR="002730F0" w:rsidRPr="00CA19B6" w:rsidRDefault="002730F0" w:rsidP="00E474A7">
            <w:pPr>
              <w:cnfStyle w:val="000000000000" w:firstRow="0" w:lastRow="0" w:firstColumn="0" w:lastColumn="0" w:oddVBand="0" w:evenVBand="0" w:oddHBand="0" w:evenHBand="0" w:firstRowFirstColumn="0" w:firstRowLastColumn="0" w:lastRowFirstColumn="0" w:lastRowLastColumn="0"/>
              <w:rPr>
                <w:b/>
                <w:bCs/>
              </w:rPr>
            </w:pPr>
            <w:r w:rsidRPr="00CA19B6">
              <w:rPr>
                <w:b/>
                <w:bCs/>
              </w:rPr>
              <w:t xml:space="preserve">Minimal to Cautious </w:t>
            </w:r>
          </w:p>
        </w:tc>
      </w:tr>
      <w:tr w:rsidR="002730F0" w:rsidRPr="00871D0E" w14:paraId="5A9AB7D6" w14:textId="77777777" w:rsidTr="00E474A7">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0" w:type="auto"/>
          </w:tcPr>
          <w:p w14:paraId="3E5A5500" w14:textId="77777777" w:rsidR="002730F0" w:rsidRDefault="002730F0" w:rsidP="00E474A7">
            <w:pPr>
              <w:rPr>
                <w:b w:val="0"/>
                <w:bCs w:val="0"/>
              </w:rPr>
            </w:pPr>
            <w:r>
              <w:lastRenderedPageBreak/>
              <w:t>Operational</w:t>
            </w:r>
          </w:p>
          <w:p w14:paraId="2A7BC5DB" w14:textId="77777777" w:rsidR="002730F0" w:rsidRDefault="002730F0" w:rsidP="00E474A7">
            <w:r>
              <w:rPr>
                <w:b w:val="0"/>
                <w:bCs w:val="0"/>
              </w:rPr>
              <w:t>UNDP encourages variance in operational delivery and quality to explore innovative approaches and work with new partners, provided this does not jeopardize stakeholder trust. UNDP continues to introduce new and innovative operational tools, procurement approaches, procedures, and mechanisms to strengthen delivery and continuity of operations and programme implementation. It regards failure as an opportunity to learn and develop.</w:t>
            </w:r>
          </w:p>
          <w:p w14:paraId="696228C4" w14:textId="77777777" w:rsidR="002730F0" w:rsidRDefault="002730F0" w:rsidP="00E474A7">
            <w:r w:rsidRPr="00E72ABB">
              <w:rPr>
                <w:noProof/>
              </w:rPr>
              <w:drawing>
                <wp:anchor distT="0" distB="0" distL="114300" distR="114300" simplePos="0" relativeHeight="251658245" behindDoc="0" locked="0" layoutInCell="1" allowOverlap="1" wp14:anchorId="7C8B75F0" wp14:editId="0D38794B">
                  <wp:simplePos x="0" y="0"/>
                  <wp:positionH relativeFrom="column">
                    <wp:posOffset>0</wp:posOffset>
                  </wp:positionH>
                  <wp:positionV relativeFrom="paragraph">
                    <wp:posOffset>635</wp:posOffset>
                  </wp:positionV>
                  <wp:extent cx="5748085" cy="594360"/>
                  <wp:effectExtent l="0" t="0" r="508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5748085" cy="594360"/>
                          </a:xfrm>
                          <a:prstGeom prst="rect">
                            <a:avLst/>
                          </a:prstGeom>
                        </pic:spPr>
                      </pic:pic>
                    </a:graphicData>
                  </a:graphic>
                  <wp14:sizeRelH relativeFrom="margin">
                    <wp14:pctWidth>0</wp14:pctWidth>
                  </wp14:sizeRelH>
                  <wp14:sizeRelV relativeFrom="margin">
                    <wp14:pctHeight>0</wp14:pctHeight>
                  </wp14:sizeRelV>
                </wp:anchor>
              </w:drawing>
            </w:r>
          </w:p>
          <w:p w14:paraId="75C2C89B" w14:textId="77777777" w:rsidR="002730F0" w:rsidRDefault="002730F0" w:rsidP="00E474A7"/>
          <w:p w14:paraId="4C96E79B" w14:textId="77777777" w:rsidR="002730F0" w:rsidRDefault="002730F0" w:rsidP="00E474A7"/>
          <w:p w14:paraId="5440048B" w14:textId="77777777" w:rsidR="002730F0" w:rsidRPr="00AA5424" w:rsidRDefault="002730F0" w:rsidP="00E474A7">
            <w:pPr>
              <w:rPr>
                <w:b w:val="0"/>
                <w:bCs w:val="0"/>
              </w:rPr>
            </w:pPr>
          </w:p>
        </w:tc>
        <w:tc>
          <w:tcPr>
            <w:tcW w:w="0" w:type="auto"/>
          </w:tcPr>
          <w:p w14:paraId="36FB1D2A" w14:textId="77777777" w:rsidR="002730F0" w:rsidRPr="00871D0E" w:rsidRDefault="002730F0" w:rsidP="00E474A7">
            <w:pPr>
              <w:cnfStyle w:val="000000100000" w:firstRow="0" w:lastRow="0" w:firstColumn="0" w:lastColumn="0" w:oddVBand="0" w:evenVBand="0" w:oddHBand="1" w:evenHBand="0" w:firstRowFirstColumn="0" w:firstRowLastColumn="0" w:lastRowFirstColumn="0" w:lastRowLastColumn="0"/>
              <w:rPr>
                <w:b/>
                <w:bCs/>
              </w:rPr>
            </w:pPr>
            <w:r w:rsidRPr="00871D0E">
              <w:rPr>
                <w:b/>
                <w:bCs/>
              </w:rPr>
              <w:t>Exploratory to Open</w:t>
            </w:r>
          </w:p>
        </w:tc>
      </w:tr>
      <w:tr w:rsidR="002730F0" w:rsidRPr="00871D0E" w14:paraId="19BE3648" w14:textId="77777777" w:rsidTr="00E474A7">
        <w:tc>
          <w:tcPr>
            <w:cnfStyle w:val="001000000000" w:firstRow="0" w:lastRow="0" w:firstColumn="1" w:lastColumn="0" w:oddVBand="0" w:evenVBand="0" w:oddHBand="0" w:evenHBand="0" w:firstRowFirstColumn="0" w:firstRowLastColumn="0" w:lastRowFirstColumn="0" w:lastRowLastColumn="0"/>
            <w:tcW w:w="0" w:type="auto"/>
          </w:tcPr>
          <w:p w14:paraId="70FBCDEB" w14:textId="77777777" w:rsidR="002730F0" w:rsidRDefault="002730F0" w:rsidP="00E474A7">
            <w:pPr>
              <w:rPr>
                <w:b w:val="0"/>
                <w:bCs w:val="0"/>
              </w:rPr>
            </w:pPr>
            <w:r>
              <w:t>Organizational</w:t>
            </w:r>
          </w:p>
          <w:p w14:paraId="0717AFB7" w14:textId="77777777" w:rsidR="002730F0" w:rsidRDefault="002730F0" w:rsidP="00E474A7">
            <w:r>
              <w:rPr>
                <w:b w:val="0"/>
                <w:bCs w:val="0"/>
              </w:rPr>
              <w:t xml:space="preserve">UNDP takes an agile approach to stay relevant in all areas of intervention and takes informed risks to ensure organizational effectiveness, agility, learning and resilience. It ensures compliance with corporate governance rules and policies, and its ethical standards, while continuously exploring new and innovative ways of doing business to be a fit-for-purpose organization. </w:t>
            </w:r>
          </w:p>
          <w:p w14:paraId="32BCBA9A" w14:textId="77777777" w:rsidR="002730F0" w:rsidRDefault="002730F0" w:rsidP="00E474A7">
            <w:pPr>
              <w:rPr>
                <w:b w:val="0"/>
                <w:bCs w:val="0"/>
              </w:rPr>
            </w:pPr>
            <w:r w:rsidRPr="00E72ABB">
              <w:rPr>
                <w:noProof/>
              </w:rPr>
              <w:drawing>
                <wp:anchor distT="0" distB="0" distL="114300" distR="114300" simplePos="0" relativeHeight="251658246" behindDoc="0" locked="0" layoutInCell="1" allowOverlap="1" wp14:anchorId="313521ED" wp14:editId="5E635CA9">
                  <wp:simplePos x="0" y="0"/>
                  <wp:positionH relativeFrom="column">
                    <wp:posOffset>-6350</wp:posOffset>
                  </wp:positionH>
                  <wp:positionV relativeFrom="paragraph">
                    <wp:posOffset>4445</wp:posOffset>
                  </wp:positionV>
                  <wp:extent cx="5748085" cy="594360"/>
                  <wp:effectExtent l="0" t="0" r="508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5748085" cy="594360"/>
                          </a:xfrm>
                          <a:prstGeom prst="rect">
                            <a:avLst/>
                          </a:prstGeom>
                        </pic:spPr>
                      </pic:pic>
                    </a:graphicData>
                  </a:graphic>
                  <wp14:sizeRelH relativeFrom="margin">
                    <wp14:pctWidth>0</wp14:pctWidth>
                  </wp14:sizeRelH>
                  <wp14:sizeRelV relativeFrom="margin">
                    <wp14:pctHeight>0</wp14:pctHeight>
                  </wp14:sizeRelV>
                </wp:anchor>
              </w:drawing>
            </w:r>
          </w:p>
          <w:p w14:paraId="0D4F657D" w14:textId="77777777" w:rsidR="002730F0" w:rsidRDefault="002730F0" w:rsidP="00E474A7">
            <w:pPr>
              <w:rPr>
                <w:b w:val="0"/>
                <w:bCs w:val="0"/>
              </w:rPr>
            </w:pPr>
          </w:p>
          <w:p w14:paraId="39F52116" w14:textId="77777777" w:rsidR="002730F0" w:rsidRDefault="002730F0" w:rsidP="00E474A7"/>
          <w:p w14:paraId="0C031712" w14:textId="77777777" w:rsidR="002730F0" w:rsidRPr="00AA5424" w:rsidRDefault="002730F0" w:rsidP="00E474A7">
            <w:pPr>
              <w:rPr>
                <w:b w:val="0"/>
                <w:bCs w:val="0"/>
              </w:rPr>
            </w:pPr>
          </w:p>
        </w:tc>
        <w:tc>
          <w:tcPr>
            <w:tcW w:w="0" w:type="auto"/>
          </w:tcPr>
          <w:p w14:paraId="6D98CB5A" w14:textId="77777777" w:rsidR="002730F0" w:rsidRPr="00871D0E" w:rsidRDefault="002730F0" w:rsidP="00E474A7">
            <w:pPr>
              <w:cnfStyle w:val="000000000000" w:firstRow="0" w:lastRow="0" w:firstColumn="0" w:lastColumn="0" w:oddVBand="0" w:evenVBand="0" w:oddHBand="0" w:evenHBand="0" w:firstRowFirstColumn="0" w:firstRowLastColumn="0" w:lastRowFirstColumn="0" w:lastRowLastColumn="0"/>
              <w:rPr>
                <w:b/>
                <w:bCs/>
              </w:rPr>
            </w:pPr>
            <w:r w:rsidRPr="00871D0E">
              <w:rPr>
                <w:b/>
                <w:bCs/>
              </w:rPr>
              <w:t>Exploratory to Open</w:t>
            </w:r>
          </w:p>
        </w:tc>
      </w:tr>
      <w:tr w:rsidR="002730F0" w:rsidRPr="00871D0E" w14:paraId="42E72C36" w14:textId="77777777" w:rsidTr="00E474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CBA12D5" w14:textId="6DA0B849" w:rsidR="002730F0" w:rsidRDefault="002730F0" w:rsidP="00E474A7">
            <w:pPr>
              <w:rPr>
                <w:b w:val="0"/>
                <w:bCs w:val="0"/>
              </w:rPr>
            </w:pPr>
            <w:r>
              <w:t>Reputational</w:t>
            </w:r>
          </w:p>
          <w:p w14:paraId="59712448" w14:textId="77777777" w:rsidR="002730F0" w:rsidRDefault="002730F0" w:rsidP="00E474A7">
            <w:r w:rsidRPr="001F63F9">
              <w:rPr>
                <w:b w:val="0"/>
                <w:bCs w:val="0"/>
                <w:lang w:val="en-GB"/>
              </w:rPr>
              <w:t xml:space="preserve">UNDP is a highly trusted and valued organisation and cannot compromise its </w:t>
            </w:r>
            <w:r>
              <w:rPr>
                <w:b w:val="0"/>
                <w:bCs w:val="0"/>
                <w:lang w:val="en-GB"/>
              </w:rPr>
              <w:t xml:space="preserve">ethical stance, </w:t>
            </w:r>
            <w:r w:rsidRPr="001F63F9">
              <w:rPr>
                <w:b w:val="0"/>
                <w:bCs w:val="0"/>
                <w:lang w:val="en-GB"/>
              </w:rPr>
              <w:t>credibility, and reputation among all</w:t>
            </w:r>
            <w:r>
              <w:rPr>
                <w:b w:val="0"/>
                <w:bCs w:val="0"/>
                <w:lang w:val="en-GB"/>
              </w:rPr>
              <w:t xml:space="preserve"> its</w:t>
            </w:r>
            <w:r w:rsidRPr="001F63F9">
              <w:rPr>
                <w:b w:val="0"/>
                <w:bCs w:val="0"/>
                <w:lang w:val="en-GB"/>
              </w:rPr>
              <w:t xml:space="preserve"> stakeholders (governments, donors, implementing partners,</w:t>
            </w:r>
            <w:r>
              <w:rPr>
                <w:b w:val="0"/>
                <w:bCs w:val="0"/>
                <w:lang w:val="en-GB"/>
              </w:rPr>
              <w:t xml:space="preserve"> private sector,</w:t>
            </w:r>
            <w:r w:rsidRPr="001F63F9">
              <w:rPr>
                <w:b w:val="0"/>
                <w:bCs w:val="0"/>
                <w:lang w:val="en-GB"/>
              </w:rPr>
              <w:t xml:space="preserve"> civil society, and beneficiaries, etc). </w:t>
            </w:r>
            <w:r w:rsidRPr="001F63F9">
              <w:rPr>
                <w:b w:val="0"/>
                <w:bCs w:val="0"/>
              </w:rPr>
              <w:t>UNDP wants to protect its organizational value and its reputation through effective and innovative delivery of its programmatic offer, meeting commitments,</w:t>
            </w:r>
            <w:r>
              <w:rPr>
                <w:b w:val="0"/>
                <w:bCs w:val="0"/>
              </w:rPr>
              <w:t xml:space="preserve"> due diligence</w:t>
            </w:r>
            <w:r w:rsidRPr="001F63F9">
              <w:rPr>
                <w:b w:val="0"/>
                <w:bCs w:val="0"/>
              </w:rPr>
              <w:t xml:space="preserve"> </w:t>
            </w:r>
            <w:r>
              <w:rPr>
                <w:b w:val="0"/>
                <w:bCs w:val="0"/>
              </w:rPr>
              <w:t xml:space="preserve">activities, </w:t>
            </w:r>
            <w:r w:rsidRPr="001F63F9">
              <w:rPr>
                <w:b w:val="0"/>
                <w:bCs w:val="0"/>
              </w:rPr>
              <w:t>partnerships and managing expectations, while exploring new options for delivery and partnerships</w:t>
            </w:r>
            <w:r>
              <w:rPr>
                <w:b w:val="0"/>
                <w:bCs w:val="0"/>
              </w:rPr>
              <w:t xml:space="preserve"> and learning and developing from its pilots</w:t>
            </w:r>
            <w:r w:rsidRPr="001F63F9">
              <w:rPr>
                <w:b w:val="0"/>
                <w:bCs w:val="0"/>
              </w:rPr>
              <w:t>.</w:t>
            </w:r>
          </w:p>
          <w:p w14:paraId="6489D31E" w14:textId="77777777" w:rsidR="002730F0" w:rsidRDefault="002730F0" w:rsidP="00E474A7">
            <w:pPr>
              <w:rPr>
                <w:b w:val="0"/>
                <w:bCs w:val="0"/>
              </w:rPr>
            </w:pPr>
            <w:r w:rsidRPr="002D751E">
              <w:rPr>
                <w:noProof/>
              </w:rPr>
              <w:drawing>
                <wp:anchor distT="0" distB="0" distL="114300" distR="114300" simplePos="0" relativeHeight="251658247" behindDoc="0" locked="0" layoutInCell="1" allowOverlap="1" wp14:anchorId="3997E810" wp14:editId="13AE7C7E">
                  <wp:simplePos x="0" y="0"/>
                  <wp:positionH relativeFrom="column">
                    <wp:posOffset>-3810</wp:posOffset>
                  </wp:positionH>
                  <wp:positionV relativeFrom="paragraph">
                    <wp:posOffset>-1270</wp:posOffset>
                  </wp:positionV>
                  <wp:extent cx="5774271" cy="603504"/>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774271" cy="603504"/>
                          </a:xfrm>
                          <a:prstGeom prst="rect">
                            <a:avLst/>
                          </a:prstGeom>
                        </pic:spPr>
                      </pic:pic>
                    </a:graphicData>
                  </a:graphic>
                  <wp14:sizeRelH relativeFrom="margin">
                    <wp14:pctWidth>0</wp14:pctWidth>
                  </wp14:sizeRelH>
                  <wp14:sizeRelV relativeFrom="margin">
                    <wp14:pctHeight>0</wp14:pctHeight>
                  </wp14:sizeRelV>
                </wp:anchor>
              </w:drawing>
            </w:r>
          </w:p>
          <w:p w14:paraId="1675147F" w14:textId="77777777" w:rsidR="002730F0" w:rsidRDefault="002730F0" w:rsidP="00E474A7">
            <w:pPr>
              <w:rPr>
                <w:b w:val="0"/>
                <w:bCs w:val="0"/>
              </w:rPr>
            </w:pPr>
          </w:p>
          <w:p w14:paraId="24A00383" w14:textId="77777777" w:rsidR="002730F0" w:rsidRDefault="002730F0" w:rsidP="00E474A7">
            <w:pPr>
              <w:rPr>
                <w:b w:val="0"/>
                <w:bCs w:val="0"/>
              </w:rPr>
            </w:pPr>
          </w:p>
          <w:p w14:paraId="29B374FC" w14:textId="77777777" w:rsidR="002730F0" w:rsidRPr="001F63F9" w:rsidRDefault="002730F0" w:rsidP="00E474A7">
            <w:pPr>
              <w:rPr>
                <w:b w:val="0"/>
                <w:bCs w:val="0"/>
              </w:rPr>
            </w:pPr>
          </w:p>
        </w:tc>
        <w:tc>
          <w:tcPr>
            <w:tcW w:w="0" w:type="auto"/>
          </w:tcPr>
          <w:p w14:paraId="649BAA75" w14:textId="77777777" w:rsidR="002730F0" w:rsidRPr="00871D0E" w:rsidRDefault="002730F0" w:rsidP="00E474A7">
            <w:pPr>
              <w:cnfStyle w:val="000000100000" w:firstRow="0" w:lastRow="0" w:firstColumn="0" w:lastColumn="0" w:oddVBand="0" w:evenVBand="0" w:oddHBand="1" w:evenHBand="0" w:firstRowFirstColumn="0" w:firstRowLastColumn="0" w:lastRowFirstColumn="0" w:lastRowLastColumn="0"/>
              <w:rPr>
                <w:b/>
                <w:bCs/>
              </w:rPr>
            </w:pPr>
            <w:r w:rsidRPr="00871D0E">
              <w:rPr>
                <w:b/>
                <w:bCs/>
              </w:rPr>
              <w:t xml:space="preserve">Cautious </w:t>
            </w:r>
          </w:p>
        </w:tc>
      </w:tr>
      <w:tr w:rsidR="00CC4AE5" w:rsidRPr="00CA19B6" w14:paraId="6FFAECCD" w14:textId="77777777" w:rsidTr="00E474A7">
        <w:trPr>
          <w:trHeight w:val="2231"/>
        </w:trPr>
        <w:tc>
          <w:tcPr>
            <w:cnfStyle w:val="001000000000" w:firstRow="0" w:lastRow="0" w:firstColumn="1" w:lastColumn="0" w:oddVBand="0" w:evenVBand="0" w:oddHBand="0" w:evenHBand="0" w:firstRowFirstColumn="0" w:firstRowLastColumn="0" w:lastRowFirstColumn="0" w:lastRowLastColumn="0"/>
            <w:tcW w:w="0" w:type="auto"/>
          </w:tcPr>
          <w:p w14:paraId="5F82762D" w14:textId="77777777" w:rsidR="00CC4AE5" w:rsidRDefault="00CC4AE5" w:rsidP="00E474A7">
            <w:pPr>
              <w:rPr>
                <w:b w:val="0"/>
                <w:bCs w:val="0"/>
              </w:rPr>
            </w:pPr>
            <w:r>
              <w:t>Regulatory</w:t>
            </w:r>
          </w:p>
          <w:p w14:paraId="2AFC82B4" w14:textId="77777777" w:rsidR="00CC4AE5" w:rsidRDefault="00CC4AE5" w:rsidP="00E474A7">
            <w:r>
              <w:rPr>
                <w:b w:val="0"/>
                <w:bCs w:val="0"/>
              </w:rPr>
              <w:t>UNDP will find legitimate ways through the legal and regulatory framework to deliver its strategic plans, including joining interpretations of regulations from other UN agencies with similar regulatory frameworks.</w:t>
            </w:r>
          </w:p>
          <w:p w14:paraId="342EEB83" w14:textId="77777777" w:rsidR="00CC4AE5" w:rsidRDefault="00CC4AE5" w:rsidP="00E474A7">
            <w:r w:rsidRPr="002D751E">
              <w:rPr>
                <w:noProof/>
              </w:rPr>
              <w:drawing>
                <wp:anchor distT="0" distB="0" distL="114300" distR="114300" simplePos="0" relativeHeight="251658248" behindDoc="0" locked="0" layoutInCell="1" allowOverlap="1" wp14:anchorId="085B5D60" wp14:editId="3419EABE">
                  <wp:simplePos x="0" y="0"/>
                  <wp:positionH relativeFrom="column">
                    <wp:posOffset>-6350</wp:posOffset>
                  </wp:positionH>
                  <wp:positionV relativeFrom="paragraph">
                    <wp:posOffset>3810</wp:posOffset>
                  </wp:positionV>
                  <wp:extent cx="5774271" cy="603504"/>
                  <wp:effectExtent l="0" t="0" r="0" b="635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774271" cy="603504"/>
                          </a:xfrm>
                          <a:prstGeom prst="rect">
                            <a:avLst/>
                          </a:prstGeom>
                        </pic:spPr>
                      </pic:pic>
                    </a:graphicData>
                  </a:graphic>
                  <wp14:sizeRelH relativeFrom="margin">
                    <wp14:pctWidth>0</wp14:pctWidth>
                  </wp14:sizeRelH>
                  <wp14:sizeRelV relativeFrom="margin">
                    <wp14:pctHeight>0</wp14:pctHeight>
                  </wp14:sizeRelV>
                </wp:anchor>
              </w:drawing>
            </w:r>
          </w:p>
          <w:p w14:paraId="070DDC4E" w14:textId="77777777" w:rsidR="00CC4AE5" w:rsidRDefault="00CC4AE5" w:rsidP="00E474A7"/>
          <w:p w14:paraId="39C95C66" w14:textId="77777777" w:rsidR="00CC4AE5" w:rsidRDefault="00CC4AE5" w:rsidP="00E474A7"/>
          <w:p w14:paraId="7CEA9A81" w14:textId="77777777" w:rsidR="00CC4AE5" w:rsidRPr="00AA5424" w:rsidRDefault="00CC4AE5" w:rsidP="00E474A7">
            <w:pPr>
              <w:rPr>
                <w:b w:val="0"/>
                <w:bCs w:val="0"/>
              </w:rPr>
            </w:pPr>
          </w:p>
        </w:tc>
        <w:tc>
          <w:tcPr>
            <w:tcW w:w="0" w:type="auto"/>
          </w:tcPr>
          <w:p w14:paraId="4F3644D1" w14:textId="77777777" w:rsidR="00CC4AE5" w:rsidRPr="00CA19B6" w:rsidRDefault="00CC4AE5" w:rsidP="00E474A7">
            <w:pPr>
              <w:cnfStyle w:val="000000000000" w:firstRow="0" w:lastRow="0" w:firstColumn="0" w:lastColumn="0" w:oddVBand="0" w:evenVBand="0" w:oddHBand="0" w:evenHBand="0" w:firstRowFirstColumn="0" w:firstRowLastColumn="0" w:lastRowFirstColumn="0" w:lastRowLastColumn="0"/>
              <w:rPr>
                <w:b/>
                <w:bCs/>
              </w:rPr>
            </w:pPr>
            <w:r w:rsidRPr="00CA19B6">
              <w:rPr>
                <w:b/>
                <w:bCs/>
              </w:rPr>
              <w:t>Cautious</w:t>
            </w:r>
          </w:p>
        </w:tc>
      </w:tr>
      <w:tr w:rsidR="0041558F" w14:paraId="51CE27C8" w14:textId="77777777" w:rsidTr="001703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33C9279" w14:textId="77777777" w:rsidR="0041558F" w:rsidRDefault="0041558F" w:rsidP="001703F8">
            <w:pPr>
              <w:rPr>
                <w:b w:val="0"/>
                <w:bCs w:val="0"/>
              </w:rPr>
            </w:pPr>
            <w:r>
              <w:t>Strategic</w:t>
            </w:r>
          </w:p>
          <w:p w14:paraId="25CC21A2" w14:textId="77777777" w:rsidR="0041558F" w:rsidRDefault="0041558F" w:rsidP="001703F8">
            <w:pPr>
              <w:rPr>
                <w:b w:val="0"/>
                <w:bCs w:val="0"/>
              </w:rPr>
            </w:pPr>
            <w:r>
              <w:rPr>
                <w:b w:val="0"/>
                <w:bCs w:val="0"/>
              </w:rPr>
              <w:t xml:space="preserve">UNDP prioritizes the development and implementation of its strategy, seeking new and innovative ways to deliver high-value services, programmatic offers, and </w:t>
            </w:r>
            <w:r>
              <w:rPr>
                <w:b w:val="0"/>
                <w:bCs w:val="0"/>
              </w:rPr>
              <w:lastRenderedPageBreak/>
              <w:t>objectives, expanding, and diversifying its donor and partner pool while learning from any failures and always following its ethical principles.</w:t>
            </w:r>
          </w:p>
          <w:p w14:paraId="233314C7" w14:textId="77777777" w:rsidR="0041558F" w:rsidRDefault="0041558F" w:rsidP="001703F8">
            <w:pPr>
              <w:rPr>
                <w:b w:val="0"/>
                <w:bCs w:val="0"/>
              </w:rPr>
            </w:pPr>
            <w:r w:rsidRPr="002D751E">
              <w:rPr>
                <w:noProof/>
              </w:rPr>
              <w:drawing>
                <wp:anchor distT="0" distB="0" distL="114300" distR="114300" simplePos="0" relativeHeight="251658240" behindDoc="0" locked="0" layoutInCell="1" allowOverlap="1" wp14:anchorId="013D46DF" wp14:editId="26D49D0C">
                  <wp:simplePos x="0" y="0"/>
                  <wp:positionH relativeFrom="column">
                    <wp:posOffset>-3810</wp:posOffset>
                  </wp:positionH>
                  <wp:positionV relativeFrom="paragraph">
                    <wp:posOffset>2540</wp:posOffset>
                  </wp:positionV>
                  <wp:extent cx="5828095" cy="649224"/>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5828095" cy="649224"/>
                          </a:xfrm>
                          <a:prstGeom prst="rect">
                            <a:avLst/>
                          </a:prstGeom>
                        </pic:spPr>
                      </pic:pic>
                    </a:graphicData>
                  </a:graphic>
                  <wp14:sizeRelH relativeFrom="margin">
                    <wp14:pctWidth>0</wp14:pctWidth>
                  </wp14:sizeRelH>
                  <wp14:sizeRelV relativeFrom="margin">
                    <wp14:pctHeight>0</wp14:pctHeight>
                  </wp14:sizeRelV>
                </wp:anchor>
              </w:drawing>
            </w:r>
          </w:p>
          <w:p w14:paraId="79B0D05C" w14:textId="77777777" w:rsidR="0041558F" w:rsidRDefault="0041558F" w:rsidP="001703F8">
            <w:pPr>
              <w:rPr>
                <w:b w:val="0"/>
                <w:bCs w:val="0"/>
              </w:rPr>
            </w:pPr>
          </w:p>
          <w:p w14:paraId="0F3650DC" w14:textId="77777777" w:rsidR="0041558F" w:rsidRDefault="0041558F" w:rsidP="001703F8">
            <w:pPr>
              <w:rPr>
                <w:b w:val="0"/>
                <w:bCs w:val="0"/>
              </w:rPr>
            </w:pPr>
          </w:p>
          <w:p w14:paraId="31C8D014" w14:textId="77777777" w:rsidR="0041558F" w:rsidRPr="00AA5424" w:rsidRDefault="0041558F" w:rsidP="001703F8">
            <w:pPr>
              <w:rPr>
                <w:b w:val="0"/>
                <w:bCs w:val="0"/>
              </w:rPr>
            </w:pPr>
          </w:p>
        </w:tc>
        <w:tc>
          <w:tcPr>
            <w:tcW w:w="0" w:type="auto"/>
          </w:tcPr>
          <w:p w14:paraId="7FE36607" w14:textId="77777777" w:rsidR="0041558F" w:rsidRPr="00871D0E" w:rsidRDefault="0041558F" w:rsidP="001703F8">
            <w:pPr>
              <w:cnfStyle w:val="000000100000" w:firstRow="0" w:lastRow="0" w:firstColumn="0" w:lastColumn="0" w:oddVBand="0" w:evenVBand="0" w:oddHBand="1" w:evenHBand="0" w:firstRowFirstColumn="0" w:firstRowLastColumn="0" w:lastRowFirstColumn="0" w:lastRowLastColumn="0"/>
              <w:rPr>
                <w:b/>
                <w:bCs/>
              </w:rPr>
            </w:pPr>
            <w:r w:rsidRPr="00871D0E">
              <w:rPr>
                <w:b/>
                <w:bCs/>
              </w:rPr>
              <w:lastRenderedPageBreak/>
              <w:t>Open to Seeking</w:t>
            </w:r>
          </w:p>
        </w:tc>
      </w:tr>
      <w:tr w:rsidR="0041558F" w14:paraId="06AEF6C3" w14:textId="77777777" w:rsidTr="001703F8">
        <w:tc>
          <w:tcPr>
            <w:cnfStyle w:val="001000000000" w:firstRow="0" w:lastRow="0" w:firstColumn="1" w:lastColumn="0" w:oddVBand="0" w:evenVBand="0" w:oddHBand="0" w:evenHBand="0" w:firstRowFirstColumn="0" w:firstRowLastColumn="0" w:lastRowFirstColumn="0" w:lastRowLastColumn="0"/>
            <w:tcW w:w="0" w:type="auto"/>
          </w:tcPr>
          <w:p w14:paraId="18699191" w14:textId="77777777" w:rsidR="0041558F" w:rsidRDefault="0041558F" w:rsidP="001703F8">
            <w:pPr>
              <w:rPr>
                <w:b w:val="0"/>
                <w:bCs w:val="0"/>
              </w:rPr>
            </w:pPr>
            <w:r>
              <w:t>Safety and Security</w:t>
            </w:r>
          </w:p>
          <w:p w14:paraId="2502171B" w14:textId="77777777" w:rsidR="0041558F" w:rsidRPr="007E75BF" w:rsidRDefault="0041558F" w:rsidP="001703F8">
            <w:pPr>
              <w:rPr>
                <w:b w:val="0"/>
                <w:bCs w:val="0"/>
              </w:rPr>
            </w:pPr>
            <w:r w:rsidRPr="00CD1C74">
              <w:rPr>
                <w:b w:val="0"/>
                <w:bCs w:val="0"/>
              </w:rPr>
              <w:t xml:space="preserve">UNDP puts in place effective measures to reduce its exposure to security and safety risks affecting personnel, premises, </w:t>
            </w:r>
            <w:proofErr w:type="gramStart"/>
            <w:r w:rsidRPr="00CD1C74">
              <w:rPr>
                <w:b w:val="0"/>
                <w:bCs w:val="0"/>
              </w:rPr>
              <w:t>assets</w:t>
            </w:r>
            <w:proofErr w:type="gramEnd"/>
            <w:r w:rsidRPr="00CD1C74">
              <w:rPr>
                <w:b w:val="0"/>
                <w:bCs w:val="0"/>
              </w:rPr>
              <w:t xml:space="preserve"> and operations in order to enable the delivery of activities.  Even in situations of significant risks, UNDP programmatic activities will deliver under appropriate and agreed mitigations and controls. UNDP will take necessary risks, including decisions at the </w:t>
            </w:r>
            <w:r>
              <w:rPr>
                <w:b w:val="0"/>
                <w:bCs w:val="0"/>
              </w:rPr>
              <w:t>appropriate</w:t>
            </w:r>
            <w:r w:rsidRPr="00CD1C74">
              <w:rPr>
                <w:b w:val="0"/>
                <w:bCs w:val="0"/>
              </w:rPr>
              <w:t xml:space="preserve"> level of delegated authority after all has been done to reduce risks to acceptable levels in accordance with the UNSMS Policy on Security Risk Management.</w:t>
            </w:r>
            <w:r w:rsidRPr="007E75BF">
              <w:rPr>
                <w:rStyle w:val="FootnoteReference"/>
                <w:b w:val="0"/>
                <w:bCs w:val="0"/>
              </w:rPr>
              <w:footnoteReference w:id="2"/>
            </w:r>
          </w:p>
          <w:p w14:paraId="5C3D3FD2" w14:textId="77777777" w:rsidR="0041558F" w:rsidRDefault="0041558F" w:rsidP="001703F8">
            <w:r>
              <w:rPr>
                <w:b w:val="0"/>
                <w:bCs w:val="0"/>
              </w:rPr>
              <w:t>UNDP manages cybersecurity to safeguard the confidentiality and integrity of its information</w:t>
            </w:r>
            <w:r>
              <w:rPr>
                <w:rStyle w:val="FootnoteReference"/>
                <w:b w:val="0"/>
                <w:bCs w:val="0"/>
              </w:rPr>
              <w:footnoteReference w:id="3"/>
            </w:r>
            <w:r>
              <w:rPr>
                <w:b w:val="0"/>
                <w:bCs w:val="0"/>
              </w:rPr>
              <w:t>.</w:t>
            </w:r>
          </w:p>
          <w:p w14:paraId="34C65366" w14:textId="77777777" w:rsidR="0041558F" w:rsidRDefault="0041558F" w:rsidP="001703F8">
            <w:r w:rsidRPr="002D751E">
              <w:rPr>
                <w:noProof/>
              </w:rPr>
              <w:drawing>
                <wp:anchor distT="0" distB="0" distL="114300" distR="114300" simplePos="0" relativeHeight="251658241" behindDoc="0" locked="0" layoutInCell="1" allowOverlap="1" wp14:anchorId="7E8C05FD" wp14:editId="5CCEAADA">
                  <wp:simplePos x="0" y="0"/>
                  <wp:positionH relativeFrom="column">
                    <wp:posOffset>-6350</wp:posOffset>
                  </wp:positionH>
                  <wp:positionV relativeFrom="paragraph">
                    <wp:posOffset>3810</wp:posOffset>
                  </wp:positionV>
                  <wp:extent cx="5774271" cy="603504"/>
                  <wp:effectExtent l="0" t="0" r="0" b="635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774271" cy="603504"/>
                          </a:xfrm>
                          <a:prstGeom prst="rect">
                            <a:avLst/>
                          </a:prstGeom>
                        </pic:spPr>
                      </pic:pic>
                    </a:graphicData>
                  </a:graphic>
                  <wp14:sizeRelH relativeFrom="margin">
                    <wp14:pctWidth>0</wp14:pctWidth>
                  </wp14:sizeRelH>
                  <wp14:sizeRelV relativeFrom="margin">
                    <wp14:pctHeight>0</wp14:pctHeight>
                  </wp14:sizeRelV>
                </wp:anchor>
              </w:drawing>
            </w:r>
          </w:p>
          <w:p w14:paraId="377A506A" w14:textId="77777777" w:rsidR="0041558F" w:rsidRDefault="0041558F" w:rsidP="001703F8"/>
          <w:p w14:paraId="6A6BBC9C" w14:textId="77777777" w:rsidR="0041558F" w:rsidRDefault="0041558F" w:rsidP="001703F8"/>
          <w:p w14:paraId="422F9F2A" w14:textId="77777777" w:rsidR="0041558F" w:rsidRPr="00AA5424" w:rsidRDefault="0041558F" w:rsidP="001703F8">
            <w:pPr>
              <w:rPr>
                <w:b w:val="0"/>
                <w:bCs w:val="0"/>
              </w:rPr>
            </w:pPr>
          </w:p>
        </w:tc>
        <w:tc>
          <w:tcPr>
            <w:tcW w:w="0" w:type="auto"/>
          </w:tcPr>
          <w:p w14:paraId="37F9D6B7" w14:textId="77777777" w:rsidR="0041558F" w:rsidRPr="00CA19B6" w:rsidRDefault="0041558F" w:rsidP="001703F8">
            <w:pPr>
              <w:cnfStyle w:val="000000000000" w:firstRow="0" w:lastRow="0" w:firstColumn="0" w:lastColumn="0" w:oddVBand="0" w:evenVBand="0" w:oddHBand="0" w:evenHBand="0" w:firstRowFirstColumn="0" w:firstRowLastColumn="0" w:lastRowFirstColumn="0" w:lastRowLastColumn="0"/>
              <w:rPr>
                <w:b/>
                <w:bCs/>
              </w:rPr>
            </w:pPr>
            <w:r w:rsidRPr="00CA19B6">
              <w:rPr>
                <w:b/>
                <w:bCs/>
              </w:rPr>
              <w:t xml:space="preserve">Cautious </w:t>
            </w:r>
          </w:p>
        </w:tc>
      </w:tr>
    </w:tbl>
    <w:p w14:paraId="6D471206" w14:textId="77777777" w:rsidR="0041558F" w:rsidRPr="002533C4" w:rsidRDefault="0041558F" w:rsidP="00962DB1"/>
    <w:p w14:paraId="50FC60F5" w14:textId="77777777" w:rsidR="00D603FF" w:rsidRDefault="00D603FF" w:rsidP="001E7406">
      <w:pPr>
        <w:pStyle w:val="Heading1"/>
        <w:sectPr w:rsidR="00D603FF" w:rsidSect="00083CE2">
          <w:pgSz w:w="12240" w:h="15840"/>
          <w:pgMar w:top="1440" w:right="1440" w:bottom="1440" w:left="1440" w:header="720" w:footer="720" w:gutter="0"/>
          <w:cols w:space="720"/>
          <w:docGrid w:linePitch="360"/>
        </w:sectPr>
      </w:pPr>
    </w:p>
    <w:p w14:paraId="2F83522F" w14:textId="7D208A9D" w:rsidR="00672D45" w:rsidRDefault="001E7406" w:rsidP="001E7406">
      <w:pPr>
        <w:pStyle w:val="Heading1"/>
      </w:pPr>
      <w:bookmarkStart w:id="45" w:name="_Toc65688859"/>
      <w:r>
        <w:lastRenderedPageBreak/>
        <w:t xml:space="preserve">Annex </w:t>
      </w:r>
      <w:r w:rsidR="00EA4DC9">
        <w:t>3</w:t>
      </w:r>
      <w:r>
        <w:t xml:space="preserve">: </w:t>
      </w:r>
      <w:r w:rsidR="00DD5E07">
        <w:t>A</w:t>
      </w:r>
      <w:r>
        <w:t xml:space="preserve">ligning the risk appetite to risk </w:t>
      </w:r>
      <w:r w:rsidR="0008044B">
        <w:t>significance</w:t>
      </w:r>
      <w:r w:rsidR="00F577B4">
        <w:t xml:space="preserve"> in the risk matrix</w:t>
      </w:r>
      <w:bookmarkEnd w:id="45"/>
    </w:p>
    <w:p w14:paraId="793EBA63" w14:textId="77777777" w:rsidR="00DD5E07" w:rsidRPr="00DD5E07" w:rsidRDefault="00DD5E07" w:rsidP="00513FC1">
      <w:pPr>
        <w:spacing w:after="0"/>
      </w:pPr>
    </w:p>
    <w:tbl>
      <w:tblPr>
        <w:tblStyle w:val="TableGrid"/>
        <w:tblW w:w="0" w:type="auto"/>
        <w:jc w:val="center"/>
        <w:tblLook w:val="04A0" w:firstRow="1" w:lastRow="0" w:firstColumn="1" w:lastColumn="0" w:noHBand="0" w:noVBand="1"/>
      </w:tblPr>
      <w:tblGrid>
        <w:gridCol w:w="907"/>
        <w:gridCol w:w="907"/>
        <w:gridCol w:w="1227"/>
        <w:gridCol w:w="307"/>
        <w:gridCol w:w="921"/>
        <w:gridCol w:w="614"/>
        <w:gridCol w:w="613"/>
        <w:gridCol w:w="921"/>
        <w:gridCol w:w="307"/>
        <w:gridCol w:w="1228"/>
      </w:tblGrid>
      <w:tr w:rsidR="003C4D56" w14:paraId="71E4C1B4" w14:textId="77777777" w:rsidTr="003C4D56">
        <w:trPr>
          <w:cantSplit/>
          <w:trHeight w:val="992"/>
          <w:jc w:val="center"/>
        </w:trPr>
        <w:tc>
          <w:tcPr>
            <w:tcW w:w="907" w:type="dxa"/>
            <w:vMerge w:val="restart"/>
            <w:textDirection w:val="btLr"/>
            <w:vAlign w:val="center"/>
          </w:tcPr>
          <w:p w14:paraId="32B4229B" w14:textId="43DEFFE4" w:rsidR="00DD5E07" w:rsidRPr="00C74078" w:rsidRDefault="00DD5E07" w:rsidP="00DD5E07">
            <w:pPr>
              <w:ind w:left="113" w:right="113"/>
              <w:jc w:val="center"/>
              <w:rPr>
                <w:b/>
                <w:bCs/>
              </w:rPr>
            </w:pPr>
            <w:r w:rsidRPr="00C74078">
              <w:rPr>
                <w:b/>
                <w:bCs/>
                <w:sz w:val="28"/>
                <w:szCs w:val="28"/>
              </w:rPr>
              <w:t>Impact</w:t>
            </w:r>
          </w:p>
        </w:tc>
        <w:tc>
          <w:tcPr>
            <w:tcW w:w="907" w:type="dxa"/>
            <w:vAlign w:val="center"/>
          </w:tcPr>
          <w:p w14:paraId="46976DB5" w14:textId="61EBEB70" w:rsidR="00DD5E07" w:rsidRPr="00C74078" w:rsidRDefault="00DD5E07" w:rsidP="00DD5E07">
            <w:pPr>
              <w:jc w:val="center"/>
              <w:rPr>
                <w:b/>
                <w:bCs/>
              </w:rPr>
            </w:pPr>
            <w:r w:rsidRPr="00C74078">
              <w:rPr>
                <w:b/>
                <w:bCs/>
              </w:rPr>
              <w:t>5</w:t>
            </w:r>
          </w:p>
        </w:tc>
        <w:tc>
          <w:tcPr>
            <w:tcW w:w="1227" w:type="dxa"/>
            <w:shd w:val="clear" w:color="auto" w:fill="8EAADB" w:themeFill="accent1" w:themeFillTint="99"/>
            <w:vAlign w:val="center"/>
          </w:tcPr>
          <w:p w14:paraId="3A5885B5" w14:textId="3E6566A1" w:rsidR="00DD5E07" w:rsidRPr="003C4D56" w:rsidRDefault="00C74078" w:rsidP="00DD5E07">
            <w:pPr>
              <w:jc w:val="center"/>
              <w:rPr>
                <w:b/>
                <w:bCs/>
                <w:sz w:val="20"/>
                <w:szCs w:val="20"/>
              </w:rPr>
            </w:pPr>
            <w:r w:rsidRPr="003C4D56">
              <w:rPr>
                <w:b/>
                <w:bCs/>
                <w:sz w:val="20"/>
                <w:szCs w:val="20"/>
              </w:rPr>
              <w:t>Exploratory</w:t>
            </w:r>
          </w:p>
        </w:tc>
        <w:tc>
          <w:tcPr>
            <w:tcW w:w="1228" w:type="dxa"/>
            <w:gridSpan w:val="2"/>
            <w:shd w:val="clear" w:color="auto" w:fill="2F5496" w:themeFill="accent1" w:themeFillShade="BF"/>
            <w:vAlign w:val="center"/>
          </w:tcPr>
          <w:p w14:paraId="710E3922" w14:textId="185236F9" w:rsidR="00DD5E07" w:rsidRDefault="00C74078" w:rsidP="00DD5E07">
            <w:pPr>
              <w:jc w:val="center"/>
            </w:pPr>
            <w:r w:rsidRPr="00C74078">
              <w:rPr>
                <w:b/>
                <w:bCs/>
                <w:color w:val="FFFFFF" w:themeColor="background1"/>
              </w:rPr>
              <w:t>O</w:t>
            </w:r>
            <w:r>
              <w:rPr>
                <w:b/>
                <w:bCs/>
                <w:color w:val="FFFFFF" w:themeColor="background1"/>
              </w:rPr>
              <w:t>pen</w:t>
            </w:r>
          </w:p>
        </w:tc>
        <w:tc>
          <w:tcPr>
            <w:tcW w:w="1227" w:type="dxa"/>
            <w:gridSpan w:val="2"/>
            <w:shd w:val="clear" w:color="auto" w:fill="2F5496" w:themeFill="accent1" w:themeFillShade="BF"/>
            <w:vAlign w:val="center"/>
          </w:tcPr>
          <w:p w14:paraId="49B2B906" w14:textId="14C83DB9" w:rsidR="00DD5E07" w:rsidRPr="00C74078" w:rsidRDefault="00C74078" w:rsidP="00DD5E07">
            <w:pPr>
              <w:jc w:val="center"/>
              <w:rPr>
                <w:b/>
                <w:bCs/>
              </w:rPr>
            </w:pPr>
            <w:r w:rsidRPr="00C74078">
              <w:rPr>
                <w:b/>
                <w:bCs/>
                <w:color w:val="FFFFFF" w:themeColor="background1"/>
              </w:rPr>
              <w:t>Open</w:t>
            </w:r>
          </w:p>
        </w:tc>
        <w:tc>
          <w:tcPr>
            <w:tcW w:w="1228" w:type="dxa"/>
            <w:gridSpan w:val="2"/>
            <w:shd w:val="clear" w:color="auto" w:fill="1F3864" w:themeFill="accent1" w:themeFillShade="80"/>
            <w:vAlign w:val="center"/>
          </w:tcPr>
          <w:p w14:paraId="6870F5C4" w14:textId="21F8C49F" w:rsidR="00DD5E07" w:rsidRPr="00C74078" w:rsidRDefault="00C74078" w:rsidP="00DD5E07">
            <w:pPr>
              <w:jc w:val="center"/>
              <w:rPr>
                <w:b/>
                <w:bCs/>
                <w:color w:val="FFFFFF" w:themeColor="background1"/>
              </w:rPr>
            </w:pPr>
            <w:r>
              <w:rPr>
                <w:b/>
                <w:bCs/>
                <w:color w:val="FFFFFF" w:themeColor="background1"/>
              </w:rPr>
              <w:t>Seek</w:t>
            </w:r>
          </w:p>
        </w:tc>
        <w:tc>
          <w:tcPr>
            <w:tcW w:w="1228" w:type="dxa"/>
            <w:shd w:val="clear" w:color="auto" w:fill="1F3864" w:themeFill="accent1" w:themeFillShade="80"/>
            <w:vAlign w:val="center"/>
          </w:tcPr>
          <w:p w14:paraId="50915132" w14:textId="6FC148A3" w:rsidR="00DD5E07" w:rsidRPr="00C74078" w:rsidRDefault="00C74078" w:rsidP="00DD5E07">
            <w:pPr>
              <w:jc w:val="center"/>
              <w:rPr>
                <w:b/>
                <w:bCs/>
              </w:rPr>
            </w:pPr>
            <w:r w:rsidRPr="00C74078">
              <w:rPr>
                <w:b/>
                <w:bCs/>
              </w:rPr>
              <w:t>Seek</w:t>
            </w:r>
          </w:p>
        </w:tc>
      </w:tr>
      <w:tr w:rsidR="003C4D56" w14:paraId="24BB4A0E" w14:textId="77777777" w:rsidTr="003C4D56">
        <w:trPr>
          <w:cantSplit/>
          <w:trHeight w:val="992"/>
          <w:jc w:val="center"/>
        </w:trPr>
        <w:tc>
          <w:tcPr>
            <w:tcW w:w="907" w:type="dxa"/>
            <w:vMerge/>
          </w:tcPr>
          <w:p w14:paraId="7C6F3C51" w14:textId="77777777" w:rsidR="00DD5E07" w:rsidRPr="00C74078" w:rsidRDefault="00DD5E07" w:rsidP="00DD5E07">
            <w:pPr>
              <w:jc w:val="center"/>
              <w:rPr>
                <w:b/>
                <w:bCs/>
              </w:rPr>
            </w:pPr>
          </w:p>
        </w:tc>
        <w:tc>
          <w:tcPr>
            <w:tcW w:w="907" w:type="dxa"/>
            <w:vAlign w:val="center"/>
          </w:tcPr>
          <w:p w14:paraId="6FE80EB9" w14:textId="43A06C80" w:rsidR="00DD5E07" w:rsidRPr="00C74078" w:rsidRDefault="00DD5E07" w:rsidP="00DD5E07">
            <w:pPr>
              <w:jc w:val="center"/>
              <w:rPr>
                <w:b/>
                <w:bCs/>
              </w:rPr>
            </w:pPr>
            <w:r w:rsidRPr="00C74078">
              <w:rPr>
                <w:b/>
                <w:bCs/>
              </w:rPr>
              <w:t>4</w:t>
            </w:r>
          </w:p>
        </w:tc>
        <w:tc>
          <w:tcPr>
            <w:tcW w:w="1227" w:type="dxa"/>
            <w:shd w:val="clear" w:color="auto" w:fill="B4C6E7" w:themeFill="accent1" w:themeFillTint="66"/>
            <w:vAlign w:val="center"/>
          </w:tcPr>
          <w:p w14:paraId="3489C49F" w14:textId="553CAAE8" w:rsidR="00DD5E07" w:rsidRPr="00C74078" w:rsidRDefault="00C74078" w:rsidP="00DD5E07">
            <w:pPr>
              <w:jc w:val="center"/>
              <w:rPr>
                <w:b/>
                <w:bCs/>
              </w:rPr>
            </w:pPr>
            <w:r>
              <w:rPr>
                <w:b/>
                <w:bCs/>
              </w:rPr>
              <w:t>Cautious</w:t>
            </w:r>
          </w:p>
        </w:tc>
        <w:tc>
          <w:tcPr>
            <w:tcW w:w="1228" w:type="dxa"/>
            <w:gridSpan w:val="2"/>
            <w:shd w:val="clear" w:color="auto" w:fill="8EAADB" w:themeFill="accent1" w:themeFillTint="99"/>
            <w:vAlign w:val="center"/>
          </w:tcPr>
          <w:p w14:paraId="2448D384" w14:textId="0EC06C5A" w:rsidR="00DD5E07" w:rsidRPr="003C4D56" w:rsidRDefault="00C74078" w:rsidP="00DD5E07">
            <w:pPr>
              <w:jc w:val="center"/>
              <w:rPr>
                <w:sz w:val="20"/>
                <w:szCs w:val="20"/>
              </w:rPr>
            </w:pPr>
            <w:r w:rsidRPr="003C4D56">
              <w:rPr>
                <w:b/>
                <w:bCs/>
                <w:sz w:val="20"/>
                <w:szCs w:val="20"/>
              </w:rPr>
              <w:t>Exploratory</w:t>
            </w:r>
          </w:p>
        </w:tc>
        <w:tc>
          <w:tcPr>
            <w:tcW w:w="1227" w:type="dxa"/>
            <w:gridSpan w:val="2"/>
            <w:shd w:val="clear" w:color="auto" w:fill="2F5496" w:themeFill="accent1" w:themeFillShade="BF"/>
            <w:vAlign w:val="center"/>
          </w:tcPr>
          <w:p w14:paraId="18E73AEF" w14:textId="32BE6421" w:rsidR="00DD5E07" w:rsidRPr="00C74078" w:rsidRDefault="00C74078" w:rsidP="00DD5E07">
            <w:pPr>
              <w:jc w:val="center"/>
              <w:rPr>
                <w:b/>
                <w:bCs/>
                <w:color w:val="FFFFFF" w:themeColor="background1"/>
              </w:rPr>
            </w:pPr>
            <w:r w:rsidRPr="00C74078">
              <w:rPr>
                <w:b/>
                <w:bCs/>
                <w:color w:val="FFFFFF" w:themeColor="background1"/>
              </w:rPr>
              <w:t>O</w:t>
            </w:r>
            <w:r>
              <w:rPr>
                <w:b/>
                <w:bCs/>
                <w:color w:val="FFFFFF" w:themeColor="background1"/>
              </w:rPr>
              <w:t>pen</w:t>
            </w:r>
          </w:p>
        </w:tc>
        <w:tc>
          <w:tcPr>
            <w:tcW w:w="1228" w:type="dxa"/>
            <w:gridSpan w:val="2"/>
            <w:shd w:val="clear" w:color="auto" w:fill="2F5496" w:themeFill="accent1" w:themeFillShade="BF"/>
            <w:vAlign w:val="center"/>
          </w:tcPr>
          <w:p w14:paraId="79CC9D57" w14:textId="2513BE08" w:rsidR="00DD5E07" w:rsidRPr="00C74078" w:rsidRDefault="00C74078" w:rsidP="00DD5E07">
            <w:pPr>
              <w:jc w:val="center"/>
              <w:rPr>
                <w:color w:val="FFFFFF" w:themeColor="background1"/>
              </w:rPr>
            </w:pPr>
            <w:r w:rsidRPr="00C74078">
              <w:rPr>
                <w:b/>
                <w:bCs/>
                <w:color w:val="FFFFFF" w:themeColor="background1"/>
              </w:rPr>
              <w:t>O</w:t>
            </w:r>
            <w:r>
              <w:rPr>
                <w:b/>
                <w:bCs/>
                <w:color w:val="FFFFFF" w:themeColor="background1"/>
              </w:rPr>
              <w:t>pen</w:t>
            </w:r>
          </w:p>
        </w:tc>
        <w:tc>
          <w:tcPr>
            <w:tcW w:w="1228" w:type="dxa"/>
            <w:shd w:val="clear" w:color="auto" w:fill="1F3864" w:themeFill="accent1" w:themeFillShade="80"/>
            <w:vAlign w:val="center"/>
          </w:tcPr>
          <w:p w14:paraId="39BD0D7D" w14:textId="20C0320D" w:rsidR="00DD5E07" w:rsidRDefault="00C74078" w:rsidP="00DD5E07">
            <w:pPr>
              <w:jc w:val="center"/>
            </w:pPr>
            <w:r w:rsidRPr="00C74078">
              <w:rPr>
                <w:b/>
                <w:bCs/>
              </w:rPr>
              <w:t>Seek</w:t>
            </w:r>
          </w:p>
        </w:tc>
      </w:tr>
      <w:tr w:rsidR="003C4D56" w14:paraId="1F0B44B5" w14:textId="77777777" w:rsidTr="003C4D56">
        <w:trPr>
          <w:cantSplit/>
          <w:trHeight w:val="992"/>
          <w:jc w:val="center"/>
        </w:trPr>
        <w:tc>
          <w:tcPr>
            <w:tcW w:w="907" w:type="dxa"/>
            <w:vMerge/>
          </w:tcPr>
          <w:p w14:paraId="47202DF5" w14:textId="77777777" w:rsidR="00DD5E07" w:rsidRPr="00C74078" w:rsidRDefault="00DD5E07" w:rsidP="00DD5E07">
            <w:pPr>
              <w:jc w:val="center"/>
              <w:rPr>
                <w:b/>
                <w:bCs/>
              </w:rPr>
            </w:pPr>
          </w:p>
        </w:tc>
        <w:tc>
          <w:tcPr>
            <w:tcW w:w="907" w:type="dxa"/>
            <w:vAlign w:val="center"/>
          </w:tcPr>
          <w:p w14:paraId="4014C62A" w14:textId="5269FD1D" w:rsidR="00DD5E07" w:rsidRPr="00C74078" w:rsidRDefault="00DD5E07" w:rsidP="00DD5E07">
            <w:pPr>
              <w:jc w:val="center"/>
              <w:rPr>
                <w:b/>
                <w:bCs/>
              </w:rPr>
            </w:pPr>
            <w:r w:rsidRPr="00C74078">
              <w:rPr>
                <w:b/>
                <w:bCs/>
              </w:rPr>
              <w:t>3</w:t>
            </w:r>
          </w:p>
        </w:tc>
        <w:tc>
          <w:tcPr>
            <w:tcW w:w="1227" w:type="dxa"/>
            <w:shd w:val="clear" w:color="auto" w:fill="B4C6E7" w:themeFill="accent1" w:themeFillTint="66"/>
            <w:vAlign w:val="center"/>
          </w:tcPr>
          <w:p w14:paraId="7803133E" w14:textId="7A2570AC" w:rsidR="00DD5E07" w:rsidRDefault="00C74078" w:rsidP="00C74078">
            <w:pPr>
              <w:jc w:val="center"/>
            </w:pPr>
            <w:r>
              <w:rPr>
                <w:b/>
                <w:bCs/>
              </w:rPr>
              <w:t>Cautious</w:t>
            </w:r>
          </w:p>
        </w:tc>
        <w:tc>
          <w:tcPr>
            <w:tcW w:w="1228" w:type="dxa"/>
            <w:gridSpan w:val="2"/>
            <w:shd w:val="clear" w:color="auto" w:fill="8EAADB" w:themeFill="accent1" w:themeFillTint="99"/>
            <w:vAlign w:val="center"/>
          </w:tcPr>
          <w:p w14:paraId="2906377F" w14:textId="07096E7F" w:rsidR="00DD5E07" w:rsidRPr="003C4D56" w:rsidRDefault="00C74078" w:rsidP="00DD5E07">
            <w:pPr>
              <w:jc w:val="center"/>
              <w:rPr>
                <w:sz w:val="20"/>
                <w:szCs w:val="20"/>
              </w:rPr>
            </w:pPr>
            <w:r w:rsidRPr="003C4D56">
              <w:rPr>
                <w:b/>
                <w:bCs/>
                <w:sz w:val="20"/>
                <w:szCs w:val="20"/>
              </w:rPr>
              <w:t>Exploratory</w:t>
            </w:r>
          </w:p>
        </w:tc>
        <w:tc>
          <w:tcPr>
            <w:tcW w:w="1227" w:type="dxa"/>
            <w:gridSpan w:val="2"/>
            <w:shd w:val="clear" w:color="auto" w:fill="8EAADB" w:themeFill="accent1" w:themeFillTint="99"/>
            <w:vAlign w:val="center"/>
          </w:tcPr>
          <w:p w14:paraId="6E8BD448" w14:textId="0FE0C1A6" w:rsidR="00DD5E07" w:rsidRPr="003C4D56" w:rsidRDefault="00C74078" w:rsidP="00DD5E07">
            <w:pPr>
              <w:jc w:val="center"/>
              <w:rPr>
                <w:sz w:val="20"/>
                <w:szCs w:val="20"/>
              </w:rPr>
            </w:pPr>
            <w:r w:rsidRPr="003C4D56">
              <w:rPr>
                <w:b/>
                <w:bCs/>
                <w:sz w:val="20"/>
                <w:szCs w:val="20"/>
              </w:rPr>
              <w:t>Exploratory</w:t>
            </w:r>
          </w:p>
        </w:tc>
        <w:tc>
          <w:tcPr>
            <w:tcW w:w="1228" w:type="dxa"/>
            <w:gridSpan w:val="2"/>
            <w:shd w:val="clear" w:color="auto" w:fill="8EAADB" w:themeFill="accent1" w:themeFillTint="99"/>
            <w:vAlign w:val="center"/>
          </w:tcPr>
          <w:p w14:paraId="055BC37F" w14:textId="3C71CA08" w:rsidR="00DD5E07" w:rsidRPr="003C4D56" w:rsidRDefault="00C74078" w:rsidP="00DD5E07">
            <w:pPr>
              <w:jc w:val="center"/>
              <w:rPr>
                <w:sz w:val="20"/>
                <w:szCs w:val="20"/>
              </w:rPr>
            </w:pPr>
            <w:r w:rsidRPr="003C4D56">
              <w:rPr>
                <w:b/>
                <w:bCs/>
                <w:sz w:val="20"/>
                <w:szCs w:val="20"/>
              </w:rPr>
              <w:t>Exploratory</w:t>
            </w:r>
          </w:p>
        </w:tc>
        <w:tc>
          <w:tcPr>
            <w:tcW w:w="1228" w:type="dxa"/>
            <w:shd w:val="clear" w:color="auto" w:fill="2F5496" w:themeFill="accent1" w:themeFillShade="BF"/>
            <w:vAlign w:val="center"/>
          </w:tcPr>
          <w:p w14:paraId="2C67A3FF" w14:textId="016E0F01" w:rsidR="00DD5E07" w:rsidRPr="00C74078" w:rsidRDefault="00C74078" w:rsidP="00DD5E07">
            <w:pPr>
              <w:jc w:val="center"/>
              <w:rPr>
                <w:color w:val="FFFFFF" w:themeColor="background1"/>
              </w:rPr>
            </w:pPr>
            <w:r w:rsidRPr="00C74078">
              <w:rPr>
                <w:b/>
                <w:bCs/>
                <w:color w:val="FFFFFF" w:themeColor="background1"/>
              </w:rPr>
              <w:t>O</w:t>
            </w:r>
            <w:r>
              <w:rPr>
                <w:b/>
                <w:bCs/>
                <w:color w:val="FFFFFF" w:themeColor="background1"/>
              </w:rPr>
              <w:t>pen</w:t>
            </w:r>
          </w:p>
        </w:tc>
      </w:tr>
      <w:tr w:rsidR="003C4D56" w14:paraId="4EA7B242" w14:textId="77777777" w:rsidTr="003C4D56">
        <w:trPr>
          <w:cantSplit/>
          <w:trHeight w:val="992"/>
          <w:jc w:val="center"/>
        </w:trPr>
        <w:tc>
          <w:tcPr>
            <w:tcW w:w="907" w:type="dxa"/>
            <w:vMerge/>
          </w:tcPr>
          <w:p w14:paraId="03168023" w14:textId="77777777" w:rsidR="00DD5E07" w:rsidRPr="00C74078" w:rsidRDefault="00DD5E07" w:rsidP="00DD5E07">
            <w:pPr>
              <w:jc w:val="center"/>
              <w:rPr>
                <w:b/>
                <w:bCs/>
              </w:rPr>
            </w:pPr>
          </w:p>
        </w:tc>
        <w:tc>
          <w:tcPr>
            <w:tcW w:w="907" w:type="dxa"/>
            <w:vAlign w:val="center"/>
          </w:tcPr>
          <w:p w14:paraId="0E5789C8" w14:textId="388FE37A" w:rsidR="00DD5E07" w:rsidRPr="00C74078" w:rsidRDefault="00DD5E07" w:rsidP="00DD5E07">
            <w:pPr>
              <w:jc w:val="center"/>
              <w:rPr>
                <w:b/>
                <w:bCs/>
              </w:rPr>
            </w:pPr>
            <w:r w:rsidRPr="00C74078">
              <w:rPr>
                <w:b/>
                <w:bCs/>
              </w:rPr>
              <w:t>2</w:t>
            </w:r>
          </w:p>
        </w:tc>
        <w:tc>
          <w:tcPr>
            <w:tcW w:w="1227" w:type="dxa"/>
            <w:shd w:val="clear" w:color="auto" w:fill="B4C6E7" w:themeFill="accent1" w:themeFillTint="66"/>
            <w:vAlign w:val="center"/>
          </w:tcPr>
          <w:p w14:paraId="4F4D6FB5" w14:textId="43B49A42" w:rsidR="00DD5E07" w:rsidRPr="00C74078" w:rsidRDefault="00C74078" w:rsidP="00DD5E07">
            <w:pPr>
              <w:jc w:val="center"/>
              <w:rPr>
                <w:b/>
                <w:bCs/>
              </w:rPr>
            </w:pPr>
            <w:r>
              <w:rPr>
                <w:b/>
                <w:bCs/>
              </w:rPr>
              <w:t>Minimal</w:t>
            </w:r>
          </w:p>
        </w:tc>
        <w:tc>
          <w:tcPr>
            <w:tcW w:w="1228" w:type="dxa"/>
            <w:gridSpan w:val="2"/>
            <w:shd w:val="clear" w:color="auto" w:fill="B4C6E7" w:themeFill="accent1" w:themeFillTint="66"/>
            <w:vAlign w:val="center"/>
          </w:tcPr>
          <w:p w14:paraId="68C3597A" w14:textId="4DE77E8A" w:rsidR="00DD5E07" w:rsidRDefault="00C74078" w:rsidP="00DD5E07">
            <w:pPr>
              <w:jc w:val="center"/>
            </w:pPr>
            <w:r>
              <w:rPr>
                <w:b/>
                <w:bCs/>
              </w:rPr>
              <w:t>Minimal</w:t>
            </w:r>
          </w:p>
        </w:tc>
        <w:tc>
          <w:tcPr>
            <w:tcW w:w="1227" w:type="dxa"/>
            <w:gridSpan w:val="2"/>
            <w:shd w:val="clear" w:color="auto" w:fill="B4C6E7" w:themeFill="accent1" w:themeFillTint="66"/>
            <w:vAlign w:val="center"/>
          </w:tcPr>
          <w:p w14:paraId="294C9EA6" w14:textId="0960678E" w:rsidR="00DD5E07" w:rsidRDefault="00C74078" w:rsidP="00DD5E07">
            <w:pPr>
              <w:jc w:val="center"/>
            </w:pPr>
            <w:r>
              <w:rPr>
                <w:b/>
                <w:bCs/>
              </w:rPr>
              <w:t>Cautious</w:t>
            </w:r>
          </w:p>
        </w:tc>
        <w:tc>
          <w:tcPr>
            <w:tcW w:w="1228" w:type="dxa"/>
            <w:gridSpan w:val="2"/>
            <w:shd w:val="clear" w:color="auto" w:fill="8EAADB" w:themeFill="accent1" w:themeFillTint="99"/>
            <w:vAlign w:val="center"/>
          </w:tcPr>
          <w:p w14:paraId="7B6F0D69" w14:textId="74606EBE" w:rsidR="00DD5E07" w:rsidRPr="003C4D56" w:rsidRDefault="00C74078" w:rsidP="00DD5E07">
            <w:pPr>
              <w:jc w:val="center"/>
              <w:rPr>
                <w:sz w:val="20"/>
                <w:szCs w:val="20"/>
              </w:rPr>
            </w:pPr>
            <w:r w:rsidRPr="003C4D56">
              <w:rPr>
                <w:b/>
                <w:bCs/>
                <w:sz w:val="20"/>
                <w:szCs w:val="20"/>
              </w:rPr>
              <w:t>Exploratory</w:t>
            </w:r>
          </w:p>
        </w:tc>
        <w:tc>
          <w:tcPr>
            <w:tcW w:w="1228" w:type="dxa"/>
            <w:shd w:val="clear" w:color="auto" w:fill="8EAADB" w:themeFill="accent1" w:themeFillTint="99"/>
            <w:vAlign w:val="center"/>
          </w:tcPr>
          <w:p w14:paraId="6E625D71" w14:textId="3285670F" w:rsidR="00DD5E07" w:rsidRPr="003C4D56" w:rsidRDefault="00C74078" w:rsidP="00DD5E07">
            <w:pPr>
              <w:jc w:val="center"/>
              <w:rPr>
                <w:sz w:val="20"/>
                <w:szCs w:val="20"/>
              </w:rPr>
            </w:pPr>
            <w:r w:rsidRPr="003C4D56">
              <w:rPr>
                <w:b/>
                <w:bCs/>
                <w:sz w:val="20"/>
                <w:szCs w:val="20"/>
              </w:rPr>
              <w:t>Exploratory</w:t>
            </w:r>
          </w:p>
        </w:tc>
      </w:tr>
      <w:tr w:rsidR="003C4D56" w14:paraId="1F3D1032" w14:textId="77777777" w:rsidTr="003C4D56">
        <w:trPr>
          <w:cantSplit/>
          <w:trHeight w:val="992"/>
          <w:jc w:val="center"/>
        </w:trPr>
        <w:tc>
          <w:tcPr>
            <w:tcW w:w="907" w:type="dxa"/>
            <w:vMerge/>
            <w:tcBorders>
              <w:bottom w:val="single" w:sz="4" w:space="0" w:color="auto"/>
            </w:tcBorders>
          </w:tcPr>
          <w:p w14:paraId="245EEB97" w14:textId="77777777" w:rsidR="00DD5E07" w:rsidRPr="00C74078" w:rsidRDefault="00DD5E07" w:rsidP="00DD5E07">
            <w:pPr>
              <w:jc w:val="center"/>
              <w:rPr>
                <w:b/>
                <w:bCs/>
              </w:rPr>
            </w:pPr>
          </w:p>
        </w:tc>
        <w:tc>
          <w:tcPr>
            <w:tcW w:w="907" w:type="dxa"/>
            <w:tcBorders>
              <w:bottom w:val="single" w:sz="4" w:space="0" w:color="auto"/>
            </w:tcBorders>
            <w:vAlign w:val="center"/>
          </w:tcPr>
          <w:p w14:paraId="126E71B6" w14:textId="113E76C4" w:rsidR="00DD5E07" w:rsidRPr="00C74078" w:rsidRDefault="00DD5E07" w:rsidP="00DD5E07">
            <w:pPr>
              <w:jc w:val="center"/>
              <w:rPr>
                <w:b/>
                <w:bCs/>
              </w:rPr>
            </w:pPr>
            <w:r w:rsidRPr="00C74078">
              <w:rPr>
                <w:b/>
                <w:bCs/>
              </w:rPr>
              <w:t>1</w:t>
            </w:r>
          </w:p>
        </w:tc>
        <w:tc>
          <w:tcPr>
            <w:tcW w:w="1227" w:type="dxa"/>
            <w:shd w:val="clear" w:color="auto" w:fill="B4C6E7" w:themeFill="accent1" w:themeFillTint="66"/>
            <w:vAlign w:val="center"/>
          </w:tcPr>
          <w:p w14:paraId="320CFD87" w14:textId="08907456" w:rsidR="00DD5E07" w:rsidRDefault="00C74078" w:rsidP="00DD5E07">
            <w:pPr>
              <w:jc w:val="center"/>
            </w:pPr>
            <w:r>
              <w:rPr>
                <w:b/>
                <w:bCs/>
              </w:rPr>
              <w:t>Minimal</w:t>
            </w:r>
          </w:p>
        </w:tc>
        <w:tc>
          <w:tcPr>
            <w:tcW w:w="1228" w:type="dxa"/>
            <w:gridSpan w:val="2"/>
            <w:shd w:val="clear" w:color="auto" w:fill="B4C6E7" w:themeFill="accent1" w:themeFillTint="66"/>
            <w:vAlign w:val="center"/>
          </w:tcPr>
          <w:p w14:paraId="3766F68A" w14:textId="44EE6473" w:rsidR="00DD5E07" w:rsidRDefault="00C74078" w:rsidP="00DD5E07">
            <w:pPr>
              <w:jc w:val="center"/>
            </w:pPr>
            <w:r>
              <w:rPr>
                <w:b/>
                <w:bCs/>
              </w:rPr>
              <w:t>Minimal</w:t>
            </w:r>
          </w:p>
        </w:tc>
        <w:tc>
          <w:tcPr>
            <w:tcW w:w="1227" w:type="dxa"/>
            <w:gridSpan w:val="2"/>
            <w:shd w:val="clear" w:color="auto" w:fill="B4C6E7" w:themeFill="accent1" w:themeFillTint="66"/>
            <w:vAlign w:val="center"/>
          </w:tcPr>
          <w:p w14:paraId="040CE574" w14:textId="527169CF" w:rsidR="00DD5E07" w:rsidRDefault="00C74078" w:rsidP="00DD5E07">
            <w:pPr>
              <w:jc w:val="center"/>
            </w:pPr>
            <w:r>
              <w:rPr>
                <w:b/>
                <w:bCs/>
              </w:rPr>
              <w:t>Cautious</w:t>
            </w:r>
          </w:p>
        </w:tc>
        <w:tc>
          <w:tcPr>
            <w:tcW w:w="1228" w:type="dxa"/>
            <w:gridSpan w:val="2"/>
            <w:shd w:val="clear" w:color="auto" w:fill="B4C6E7" w:themeFill="accent1" w:themeFillTint="66"/>
            <w:vAlign w:val="center"/>
          </w:tcPr>
          <w:p w14:paraId="7DCB3408" w14:textId="63F4FF04" w:rsidR="00DD5E07" w:rsidRDefault="00C74078" w:rsidP="00DD5E07">
            <w:pPr>
              <w:jc w:val="center"/>
            </w:pPr>
            <w:r>
              <w:rPr>
                <w:b/>
                <w:bCs/>
              </w:rPr>
              <w:t>Cautious</w:t>
            </w:r>
          </w:p>
        </w:tc>
        <w:tc>
          <w:tcPr>
            <w:tcW w:w="1228" w:type="dxa"/>
            <w:shd w:val="clear" w:color="auto" w:fill="B4C6E7" w:themeFill="accent1" w:themeFillTint="66"/>
            <w:vAlign w:val="center"/>
          </w:tcPr>
          <w:p w14:paraId="77980D24" w14:textId="48E82DF8" w:rsidR="00DD5E07" w:rsidRDefault="00C74078" w:rsidP="00DD5E07">
            <w:pPr>
              <w:jc w:val="center"/>
            </w:pPr>
            <w:r>
              <w:rPr>
                <w:b/>
                <w:bCs/>
              </w:rPr>
              <w:t>Cautious</w:t>
            </w:r>
          </w:p>
        </w:tc>
      </w:tr>
      <w:tr w:rsidR="003C4D56" w14:paraId="74E441B3" w14:textId="77777777" w:rsidTr="003C4D56">
        <w:trPr>
          <w:trHeight w:val="737"/>
          <w:jc w:val="center"/>
        </w:trPr>
        <w:tc>
          <w:tcPr>
            <w:tcW w:w="907" w:type="dxa"/>
            <w:tcBorders>
              <w:top w:val="single" w:sz="4" w:space="0" w:color="auto"/>
              <w:left w:val="nil"/>
              <w:bottom w:val="nil"/>
              <w:right w:val="nil"/>
            </w:tcBorders>
          </w:tcPr>
          <w:p w14:paraId="2CA05339" w14:textId="77777777" w:rsidR="00DD5E07" w:rsidRPr="00C74078" w:rsidRDefault="00DD5E07" w:rsidP="00DD5E07">
            <w:pPr>
              <w:jc w:val="center"/>
              <w:rPr>
                <w:b/>
                <w:bCs/>
              </w:rPr>
            </w:pPr>
          </w:p>
        </w:tc>
        <w:tc>
          <w:tcPr>
            <w:tcW w:w="907" w:type="dxa"/>
            <w:tcBorders>
              <w:left w:val="nil"/>
              <w:bottom w:val="nil"/>
            </w:tcBorders>
            <w:vAlign w:val="center"/>
          </w:tcPr>
          <w:p w14:paraId="04A31A38" w14:textId="6880B4AE" w:rsidR="00DD5E07" w:rsidRPr="00C74078" w:rsidRDefault="00DD5E07" w:rsidP="00DD5E07">
            <w:pPr>
              <w:jc w:val="center"/>
              <w:rPr>
                <w:b/>
                <w:bCs/>
              </w:rPr>
            </w:pPr>
          </w:p>
        </w:tc>
        <w:tc>
          <w:tcPr>
            <w:tcW w:w="1227" w:type="dxa"/>
            <w:vAlign w:val="center"/>
          </w:tcPr>
          <w:p w14:paraId="003197D6" w14:textId="6DA94C37" w:rsidR="00DD5E07" w:rsidRPr="00C74078" w:rsidRDefault="00DD5E07" w:rsidP="00DD5E07">
            <w:pPr>
              <w:jc w:val="center"/>
              <w:rPr>
                <w:b/>
                <w:bCs/>
              </w:rPr>
            </w:pPr>
            <w:r w:rsidRPr="00C74078">
              <w:rPr>
                <w:b/>
                <w:bCs/>
              </w:rPr>
              <w:t>1</w:t>
            </w:r>
          </w:p>
        </w:tc>
        <w:tc>
          <w:tcPr>
            <w:tcW w:w="1228" w:type="dxa"/>
            <w:gridSpan w:val="2"/>
            <w:vAlign w:val="center"/>
          </w:tcPr>
          <w:p w14:paraId="099A96C8" w14:textId="12DDD2EB" w:rsidR="00DD5E07" w:rsidRPr="00C74078" w:rsidRDefault="00DD5E07" w:rsidP="00DD5E07">
            <w:pPr>
              <w:jc w:val="center"/>
              <w:rPr>
                <w:b/>
                <w:bCs/>
              </w:rPr>
            </w:pPr>
            <w:r w:rsidRPr="00C74078">
              <w:rPr>
                <w:b/>
                <w:bCs/>
              </w:rPr>
              <w:t>2</w:t>
            </w:r>
          </w:p>
        </w:tc>
        <w:tc>
          <w:tcPr>
            <w:tcW w:w="1227" w:type="dxa"/>
            <w:gridSpan w:val="2"/>
            <w:vAlign w:val="center"/>
          </w:tcPr>
          <w:p w14:paraId="0A972651" w14:textId="62F13B70" w:rsidR="00DD5E07" w:rsidRPr="00C74078" w:rsidRDefault="00DD5E07" w:rsidP="00DD5E07">
            <w:pPr>
              <w:jc w:val="center"/>
              <w:rPr>
                <w:b/>
                <w:bCs/>
              </w:rPr>
            </w:pPr>
            <w:r w:rsidRPr="00C74078">
              <w:rPr>
                <w:b/>
                <w:bCs/>
              </w:rPr>
              <w:t>3</w:t>
            </w:r>
          </w:p>
        </w:tc>
        <w:tc>
          <w:tcPr>
            <w:tcW w:w="1228" w:type="dxa"/>
            <w:gridSpan w:val="2"/>
            <w:vAlign w:val="center"/>
          </w:tcPr>
          <w:p w14:paraId="63A5A0FE" w14:textId="5B822F1F" w:rsidR="00DD5E07" w:rsidRPr="00C74078" w:rsidRDefault="00DD5E07" w:rsidP="00DD5E07">
            <w:pPr>
              <w:jc w:val="center"/>
              <w:rPr>
                <w:b/>
                <w:bCs/>
              </w:rPr>
            </w:pPr>
            <w:r w:rsidRPr="00C74078">
              <w:rPr>
                <w:b/>
                <w:bCs/>
              </w:rPr>
              <w:t>4</w:t>
            </w:r>
          </w:p>
        </w:tc>
        <w:tc>
          <w:tcPr>
            <w:tcW w:w="1228" w:type="dxa"/>
            <w:vAlign w:val="center"/>
          </w:tcPr>
          <w:p w14:paraId="641E2E54" w14:textId="2C56A6A2" w:rsidR="00DD5E07" w:rsidRPr="00C74078" w:rsidRDefault="00DD5E07" w:rsidP="00DD5E07">
            <w:pPr>
              <w:jc w:val="center"/>
              <w:rPr>
                <w:b/>
                <w:bCs/>
              </w:rPr>
            </w:pPr>
            <w:r w:rsidRPr="00C74078">
              <w:rPr>
                <w:b/>
                <w:bCs/>
              </w:rPr>
              <w:t>5</w:t>
            </w:r>
          </w:p>
        </w:tc>
      </w:tr>
      <w:tr w:rsidR="00C74078" w14:paraId="02F56937" w14:textId="77777777" w:rsidTr="003C4D56">
        <w:trPr>
          <w:trHeight w:val="737"/>
          <w:jc w:val="center"/>
        </w:trPr>
        <w:tc>
          <w:tcPr>
            <w:tcW w:w="907" w:type="dxa"/>
            <w:tcBorders>
              <w:top w:val="nil"/>
              <w:left w:val="nil"/>
              <w:bottom w:val="nil"/>
              <w:right w:val="nil"/>
            </w:tcBorders>
          </w:tcPr>
          <w:p w14:paraId="4CECA09B" w14:textId="77777777" w:rsidR="00DD5E07" w:rsidRPr="00C74078" w:rsidRDefault="00DD5E07" w:rsidP="00DD5E07">
            <w:pPr>
              <w:jc w:val="center"/>
              <w:rPr>
                <w:b/>
                <w:bCs/>
              </w:rPr>
            </w:pPr>
          </w:p>
        </w:tc>
        <w:tc>
          <w:tcPr>
            <w:tcW w:w="907" w:type="dxa"/>
            <w:tcBorders>
              <w:top w:val="nil"/>
              <w:left w:val="nil"/>
              <w:bottom w:val="nil"/>
            </w:tcBorders>
            <w:vAlign w:val="center"/>
          </w:tcPr>
          <w:p w14:paraId="2CDA48DE" w14:textId="77777777" w:rsidR="00DD5E07" w:rsidRPr="00C74078" w:rsidRDefault="00DD5E07" w:rsidP="00DD5E07">
            <w:pPr>
              <w:jc w:val="center"/>
              <w:rPr>
                <w:b/>
                <w:bCs/>
              </w:rPr>
            </w:pPr>
          </w:p>
        </w:tc>
        <w:tc>
          <w:tcPr>
            <w:tcW w:w="6138" w:type="dxa"/>
            <w:gridSpan w:val="8"/>
            <w:tcBorders>
              <w:bottom w:val="single" w:sz="4" w:space="0" w:color="auto"/>
            </w:tcBorders>
            <w:vAlign w:val="center"/>
          </w:tcPr>
          <w:p w14:paraId="68A0FC21" w14:textId="020258A1" w:rsidR="00DD5E07" w:rsidRPr="00C74078" w:rsidRDefault="00DD5E07" w:rsidP="00DD5E07">
            <w:pPr>
              <w:jc w:val="center"/>
              <w:rPr>
                <w:b/>
                <w:bCs/>
              </w:rPr>
            </w:pPr>
            <w:r w:rsidRPr="00C74078">
              <w:rPr>
                <w:b/>
                <w:bCs/>
                <w:sz w:val="28"/>
                <w:szCs w:val="28"/>
              </w:rPr>
              <w:t>Likelihood</w:t>
            </w:r>
          </w:p>
        </w:tc>
      </w:tr>
      <w:tr w:rsidR="00C74078" w14:paraId="7001D847" w14:textId="77777777" w:rsidTr="003C4D56">
        <w:trPr>
          <w:trHeight w:val="242"/>
          <w:jc w:val="center"/>
        </w:trPr>
        <w:tc>
          <w:tcPr>
            <w:tcW w:w="907" w:type="dxa"/>
            <w:tcBorders>
              <w:top w:val="nil"/>
              <w:left w:val="nil"/>
              <w:bottom w:val="nil"/>
              <w:right w:val="nil"/>
            </w:tcBorders>
          </w:tcPr>
          <w:p w14:paraId="7E1ECCE7" w14:textId="77777777" w:rsidR="00C74078" w:rsidRPr="00C74078" w:rsidRDefault="00C74078" w:rsidP="00DD5E07">
            <w:pPr>
              <w:jc w:val="center"/>
              <w:rPr>
                <w:b/>
                <w:bCs/>
              </w:rPr>
            </w:pPr>
          </w:p>
        </w:tc>
        <w:tc>
          <w:tcPr>
            <w:tcW w:w="907" w:type="dxa"/>
            <w:tcBorders>
              <w:top w:val="nil"/>
              <w:left w:val="nil"/>
              <w:bottom w:val="nil"/>
              <w:right w:val="nil"/>
            </w:tcBorders>
            <w:vAlign w:val="center"/>
          </w:tcPr>
          <w:p w14:paraId="7EA7C89E" w14:textId="77777777" w:rsidR="00C74078" w:rsidRPr="00C74078" w:rsidRDefault="00C74078" w:rsidP="00DD5E07">
            <w:pPr>
              <w:jc w:val="center"/>
              <w:rPr>
                <w:b/>
                <w:bCs/>
              </w:rPr>
            </w:pPr>
          </w:p>
        </w:tc>
        <w:tc>
          <w:tcPr>
            <w:tcW w:w="6138" w:type="dxa"/>
            <w:gridSpan w:val="8"/>
            <w:tcBorders>
              <w:left w:val="nil"/>
              <w:right w:val="nil"/>
            </w:tcBorders>
            <w:vAlign w:val="center"/>
          </w:tcPr>
          <w:p w14:paraId="05C84B6A" w14:textId="0365458C" w:rsidR="00C74078" w:rsidRPr="00CE4B30" w:rsidRDefault="00C74078" w:rsidP="00CE4B30">
            <w:pPr>
              <w:rPr>
                <w:b/>
                <w:bCs/>
              </w:rPr>
            </w:pPr>
          </w:p>
        </w:tc>
      </w:tr>
      <w:tr w:rsidR="00CE4B30" w:rsidRPr="00CE4B30" w14:paraId="6C4EA881" w14:textId="77777777" w:rsidTr="003C4D56">
        <w:trPr>
          <w:trHeight w:val="737"/>
          <w:jc w:val="center"/>
        </w:trPr>
        <w:tc>
          <w:tcPr>
            <w:tcW w:w="1814" w:type="dxa"/>
            <w:gridSpan w:val="2"/>
            <w:tcBorders>
              <w:top w:val="nil"/>
              <w:left w:val="nil"/>
              <w:bottom w:val="nil"/>
            </w:tcBorders>
            <w:vAlign w:val="center"/>
          </w:tcPr>
          <w:p w14:paraId="1EEB5298" w14:textId="276D022A" w:rsidR="00CE4B30" w:rsidRPr="00CE4B30" w:rsidRDefault="00CE4B30" w:rsidP="00CE4B30">
            <w:pPr>
              <w:rPr>
                <w:b/>
                <w:bCs/>
              </w:rPr>
            </w:pPr>
            <w:r>
              <w:rPr>
                <w:b/>
                <w:bCs/>
              </w:rPr>
              <w:t>Risk significance</w:t>
            </w:r>
          </w:p>
        </w:tc>
        <w:tc>
          <w:tcPr>
            <w:tcW w:w="1534" w:type="dxa"/>
            <w:gridSpan w:val="2"/>
            <w:shd w:val="clear" w:color="auto" w:fill="B4C6E7" w:themeFill="accent1" w:themeFillTint="66"/>
            <w:vAlign w:val="center"/>
          </w:tcPr>
          <w:p w14:paraId="5181FFF5" w14:textId="4856495A" w:rsidR="00CE4B30" w:rsidRPr="00CE4B30" w:rsidRDefault="00CE4B30" w:rsidP="00DD5E07">
            <w:pPr>
              <w:jc w:val="center"/>
              <w:rPr>
                <w:b/>
                <w:bCs/>
              </w:rPr>
            </w:pPr>
            <w:r w:rsidRPr="00CE4B30">
              <w:rPr>
                <w:b/>
                <w:bCs/>
              </w:rPr>
              <w:t>Low</w:t>
            </w:r>
          </w:p>
        </w:tc>
        <w:tc>
          <w:tcPr>
            <w:tcW w:w="1535" w:type="dxa"/>
            <w:gridSpan w:val="2"/>
            <w:shd w:val="clear" w:color="auto" w:fill="8EAADB" w:themeFill="accent1" w:themeFillTint="99"/>
            <w:vAlign w:val="center"/>
          </w:tcPr>
          <w:p w14:paraId="034547DA" w14:textId="7B62942D" w:rsidR="00CE4B30" w:rsidRPr="00CE4B30" w:rsidRDefault="00CE4B30" w:rsidP="00DD5E07">
            <w:pPr>
              <w:jc w:val="center"/>
              <w:rPr>
                <w:b/>
                <w:bCs/>
              </w:rPr>
            </w:pPr>
            <w:r>
              <w:rPr>
                <w:b/>
                <w:bCs/>
              </w:rPr>
              <w:t>Moderate</w:t>
            </w:r>
          </w:p>
        </w:tc>
        <w:tc>
          <w:tcPr>
            <w:tcW w:w="1534" w:type="dxa"/>
            <w:gridSpan w:val="2"/>
            <w:shd w:val="clear" w:color="auto" w:fill="2F5496" w:themeFill="accent1" w:themeFillShade="BF"/>
            <w:vAlign w:val="center"/>
          </w:tcPr>
          <w:p w14:paraId="13E2349D" w14:textId="45401385" w:rsidR="00CE4B30" w:rsidRPr="00CE4B30" w:rsidRDefault="00CE4B30" w:rsidP="00DD5E07">
            <w:pPr>
              <w:jc w:val="center"/>
              <w:rPr>
                <w:b/>
                <w:bCs/>
                <w:color w:val="FFFFFF" w:themeColor="background1"/>
              </w:rPr>
            </w:pPr>
            <w:r w:rsidRPr="00CE4B30">
              <w:rPr>
                <w:b/>
                <w:bCs/>
                <w:color w:val="FFFFFF" w:themeColor="background1"/>
              </w:rPr>
              <w:t>Substantial</w:t>
            </w:r>
          </w:p>
        </w:tc>
        <w:tc>
          <w:tcPr>
            <w:tcW w:w="1535" w:type="dxa"/>
            <w:gridSpan w:val="2"/>
            <w:shd w:val="clear" w:color="auto" w:fill="1F3864" w:themeFill="accent1" w:themeFillShade="80"/>
            <w:vAlign w:val="center"/>
          </w:tcPr>
          <w:p w14:paraId="44CC4A64" w14:textId="7F3823D5" w:rsidR="00CE4B30" w:rsidRPr="00CE4B30" w:rsidRDefault="00CE4B30" w:rsidP="00DD5E07">
            <w:pPr>
              <w:jc w:val="center"/>
              <w:rPr>
                <w:b/>
                <w:bCs/>
                <w:color w:val="FFFFFF" w:themeColor="background1"/>
              </w:rPr>
            </w:pPr>
            <w:r w:rsidRPr="00CE4B30">
              <w:rPr>
                <w:b/>
                <w:bCs/>
                <w:color w:val="FFFFFF" w:themeColor="background1"/>
              </w:rPr>
              <w:t>High</w:t>
            </w:r>
          </w:p>
        </w:tc>
      </w:tr>
    </w:tbl>
    <w:p w14:paraId="38F49D48" w14:textId="26505CB1" w:rsidR="001E7406" w:rsidRDefault="001E7406" w:rsidP="001E7406"/>
    <w:tbl>
      <w:tblPr>
        <w:tblStyle w:val="TableGrid"/>
        <w:tblW w:w="17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7735"/>
        <w:gridCol w:w="7735"/>
      </w:tblGrid>
      <w:tr w:rsidR="008B1678" w14:paraId="34753DDF" w14:textId="77777777" w:rsidTr="008B1678">
        <w:tc>
          <w:tcPr>
            <w:tcW w:w="1615" w:type="dxa"/>
          </w:tcPr>
          <w:p w14:paraId="0AA0EAA3" w14:textId="785D0159" w:rsidR="008B1678" w:rsidRDefault="008B1678" w:rsidP="008B1678"/>
        </w:tc>
        <w:tc>
          <w:tcPr>
            <w:tcW w:w="7735" w:type="dxa"/>
          </w:tcPr>
          <w:p w14:paraId="3513490E" w14:textId="7BFEC874" w:rsidR="008B1678" w:rsidRPr="008B1678" w:rsidRDefault="008B1678" w:rsidP="008B1678">
            <w:pPr>
              <w:rPr>
                <w:sz w:val="20"/>
                <w:szCs w:val="20"/>
              </w:rPr>
            </w:pPr>
          </w:p>
        </w:tc>
        <w:tc>
          <w:tcPr>
            <w:tcW w:w="7735" w:type="dxa"/>
          </w:tcPr>
          <w:p w14:paraId="5A561BCC" w14:textId="0E92E978" w:rsidR="008B1678" w:rsidRPr="008B1678" w:rsidRDefault="008B1678" w:rsidP="008B1678">
            <w:pPr>
              <w:rPr>
                <w:sz w:val="20"/>
                <w:szCs w:val="20"/>
              </w:rPr>
            </w:pPr>
          </w:p>
        </w:tc>
      </w:tr>
      <w:tr w:rsidR="008B1678" w14:paraId="6D6E7240" w14:textId="77777777" w:rsidTr="008B1678">
        <w:tc>
          <w:tcPr>
            <w:tcW w:w="1615" w:type="dxa"/>
          </w:tcPr>
          <w:p w14:paraId="10D368E9" w14:textId="006F617C" w:rsidR="008B1678" w:rsidRDefault="008B1678" w:rsidP="008B1678"/>
        </w:tc>
        <w:tc>
          <w:tcPr>
            <w:tcW w:w="7735" w:type="dxa"/>
          </w:tcPr>
          <w:p w14:paraId="28D38427" w14:textId="74050A77" w:rsidR="008B1678" w:rsidRPr="008B1678" w:rsidRDefault="008B1678" w:rsidP="008B1678">
            <w:pPr>
              <w:spacing w:before="120"/>
              <w:rPr>
                <w:sz w:val="20"/>
                <w:szCs w:val="20"/>
              </w:rPr>
            </w:pPr>
          </w:p>
        </w:tc>
        <w:tc>
          <w:tcPr>
            <w:tcW w:w="7735" w:type="dxa"/>
          </w:tcPr>
          <w:p w14:paraId="196C5E68" w14:textId="373FE225" w:rsidR="008B1678" w:rsidRPr="008B1678" w:rsidRDefault="008B1678" w:rsidP="008B1678">
            <w:pPr>
              <w:spacing w:before="120"/>
              <w:rPr>
                <w:sz w:val="20"/>
                <w:szCs w:val="20"/>
              </w:rPr>
            </w:pPr>
          </w:p>
        </w:tc>
      </w:tr>
    </w:tbl>
    <w:p w14:paraId="630A17F8" w14:textId="77777777" w:rsidR="0027133B" w:rsidRDefault="0027133B" w:rsidP="0027133B">
      <w:pPr>
        <w:pStyle w:val="Heading1"/>
        <w:sectPr w:rsidR="0027133B" w:rsidSect="00083CE2">
          <w:pgSz w:w="12240" w:h="15840"/>
          <w:pgMar w:top="1440" w:right="1440" w:bottom="1440" w:left="1440" w:header="720" w:footer="720" w:gutter="0"/>
          <w:cols w:space="720"/>
          <w:docGrid w:linePitch="360"/>
        </w:sectPr>
      </w:pPr>
    </w:p>
    <w:p w14:paraId="6994D620" w14:textId="66FD1B4C" w:rsidR="00441407" w:rsidRDefault="00441407" w:rsidP="00441407">
      <w:pPr>
        <w:pStyle w:val="Heading1"/>
      </w:pPr>
      <w:bookmarkStart w:id="46" w:name="_Toc65688860"/>
      <w:r>
        <w:lastRenderedPageBreak/>
        <w:t xml:space="preserve">Annex </w:t>
      </w:r>
      <w:r w:rsidR="00D603FF">
        <w:t>4</w:t>
      </w:r>
      <w:r>
        <w:t>: Risk appetite summary</w:t>
      </w:r>
      <w:bookmarkEnd w:id="46"/>
    </w:p>
    <w:p w14:paraId="22042388" w14:textId="13D3E762" w:rsidR="00441407" w:rsidRDefault="00441407" w:rsidP="001E7406"/>
    <w:tbl>
      <w:tblPr>
        <w:tblStyle w:val="TableGrid"/>
        <w:tblW w:w="0" w:type="auto"/>
        <w:tblLook w:val="04A0" w:firstRow="1" w:lastRow="0" w:firstColumn="1" w:lastColumn="0" w:noHBand="0" w:noVBand="1"/>
      </w:tblPr>
      <w:tblGrid>
        <w:gridCol w:w="2158"/>
        <w:gridCol w:w="2158"/>
        <w:gridCol w:w="2158"/>
        <w:gridCol w:w="2158"/>
        <w:gridCol w:w="2159"/>
        <w:gridCol w:w="2159"/>
      </w:tblGrid>
      <w:tr w:rsidR="00441407" w:rsidRPr="00594646" w14:paraId="4704345D" w14:textId="77777777" w:rsidTr="00E70A59">
        <w:trPr>
          <w:tblHeader/>
        </w:trPr>
        <w:tc>
          <w:tcPr>
            <w:tcW w:w="2158" w:type="dxa"/>
            <w:vAlign w:val="center"/>
          </w:tcPr>
          <w:p w14:paraId="63354931" w14:textId="77777777" w:rsidR="00441407" w:rsidRPr="00594646" w:rsidRDefault="00441407" w:rsidP="00E70A59">
            <w:pPr>
              <w:jc w:val="center"/>
              <w:rPr>
                <w:b/>
                <w:bCs/>
              </w:rPr>
            </w:pPr>
          </w:p>
        </w:tc>
        <w:tc>
          <w:tcPr>
            <w:tcW w:w="2158" w:type="dxa"/>
            <w:vAlign w:val="center"/>
          </w:tcPr>
          <w:p w14:paraId="0E45C16F" w14:textId="77777777" w:rsidR="00441407" w:rsidRPr="00594646" w:rsidRDefault="00441407" w:rsidP="00E70A59">
            <w:pPr>
              <w:jc w:val="center"/>
              <w:rPr>
                <w:b/>
                <w:bCs/>
              </w:rPr>
            </w:pPr>
            <w:r>
              <w:rPr>
                <w:b/>
                <w:bCs/>
              </w:rPr>
              <w:t>Minimal</w:t>
            </w:r>
          </w:p>
        </w:tc>
        <w:tc>
          <w:tcPr>
            <w:tcW w:w="2158" w:type="dxa"/>
            <w:vAlign w:val="center"/>
          </w:tcPr>
          <w:p w14:paraId="251A70A1" w14:textId="77777777" w:rsidR="00441407" w:rsidRPr="00594646" w:rsidRDefault="00441407" w:rsidP="00E70A59">
            <w:pPr>
              <w:jc w:val="center"/>
              <w:rPr>
                <w:b/>
                <w:bCs/>
              </w:rPr>
            </w:pPr>
            <w:r>
              <w:rPr>
                <w:b/>
                <w:bCs/>
              </w:rPr>
              <w:t>Cautious</w:t>
            </w:r>
          </w:p>
        </w:tc>
        <w:tc>
          <w:tcPr>
            <w:tcW w:w="2158" w:type="dxa"/>
            <w:vAlign w:val="center"/>
          </w:tcPr>
          <w:p w14:paraId="025F97E6" w14:textId="77777777" w:rsidR="00441407" w:rsidRPr="00594646" w:rsidRDefault="00441407" w:rsidP="00E70A59">
            <w:pPr>
              <w:jc w:val="center"/>
              <w:rPr>
                <w:b/>
                <w:bCs/>
              </w:rPr>
            </w:pPr>
            <w:r>
              <w:rPr>
                <w:b/>
                <w:bCs/>
              </w:rPr>
              <w:t>Exploratory</w:t>
            </w:r>
          </w:p>
        </w:tc>
        <w:tc>
          <w:tcPr>
            <w:tcW w:w="2159" w:type="dxa"/>
            <w:vAlign w:val="center"/>
          </w:tcPr>
          <w:p w14:paraId="28530A01" w14:textId="77777777" w:rsidR="00441407" w:rsidRPr="00594646" w:rsidRDefault="00441407" w:rsidP="00E70A59">
            <w:pPr>
              <w:jc w:val="center"/>
              <w:rPr>
                <w:b/>
                <w:bCs/>
              </w:rPr>
            </w:pPr>
            <w:r>
              <w:rPr>
                <w:b/>
                <w:bCs/>
              </w:rPr>
              <w:t>Open</w:t>
            </w:r>
          </w:p>
        </w:tc>
        <w:tc>
          <w:tcPr>
            <w:tcW w:w="2159" w:type="dxa"/>
            <w:vAlign w:val="center"/>
          </w:tcPr>
          <w:p w14:paraId="14B38BBB" w14:textId="77777777" w:rsidR="00441407" w:rsidRPr="00594646" w:rsidRDefault="00441407" w:rsidP="00E70A59">
            <w:pPr>
              <w:jc w:val="center"/>
              <w:rPr>
                <w:b/>
                <w:bCs/>
              </w:rPr>
            </w:pPr>
            <w:r>
              <w:rPr>
                <w:b/>
                <w:bCs/>
              </w:rPr>
              <w:t>Seeking</w:t>
            </w:r>
          </w:p>
        </w:tc>
      </w:tr>
      <w:tr w:rsidR="00E7009B" w14:paraId="455F7F34" w14:textId="77777777" w:rsidTr="00E70A59">
        <w:tc>
          <w:tcPr>
            <w:tcW w:w="2158" w:type="dxa"/>
          </w:tcPr>
          <w:p w14:paraId="21893934" w14:textId="2C6F8BB5" w:rsidR="00E7009B" w:rsidRDefault="002077BB" w:rsidP="00E7009B">
            <w:r>
              <w:t xml:space="preserve">1. </w:t>
            </w:r>
            <w:r w:rsidR="00E7009B">
              <w:t>Social and Environmental</w:t>
            </w:r>
          </w:p>
        </w:tc>
        <w:tc>
          <w:tcPr>
            <w:tcW w:w="2158" w:type="dxa"/>
          </w:tcPr>
          <w:p w14:paraId="2864316C" w14:textId="3948B47B" w:rsidR="00E7009B" w:rsidRDefault="00E7009B" w:rsidP="00E7009B">
            <w:r>
              <w:t>Do no harm, even minor for the greater good</w:t>
            </w:r>
          </w:p>
        </w:tc>
        <w:tc>
          <w:tcPr>
            <w:tcW w:w="2158" w:type="dxa"/>
            <w:shd w:val="clear" w:color="auto" w:fill="F2F2F2" w:themeFill="background1" w:themeFillShade="F2"/>
          </w:tcPr>
          <w:p w14:paraId="26C8B22F" w14:textId="1233918D" w:rsidR="00E7009B" w:rsidRDefault="00E7009B" w:rsidP="00E7009B">
            <w:r>
              <w:t>Aim to do no harm, but trivial harm for the greater good tolerated</w:t>
            </w:r>
          </w:p>
        </w:tc>
        <w:tc>
          <w:tcPr>
            <w:tcW w:w="2158" w:type="dxa"/>
          </w:tcPr>
          <w:p w14:paraId="7C688685" w14:textId="2BFD8B1E" w:rsidR="00E7009B" w:rsidRDefault="00E7009B" w:rsidP="00E7009B">
            <w:r>
              <w:t>Aim to do no harm, but prepared to take some low risks to explore innovative ideas</w:t>
            </w:r>
          </w:p>
        </w:tc>
        <w:tc>
          <w:tcPr>
            <w:tcW w:w="2159" w:type="dxa"/>
          </w:tcPr>
          <w:p w14:paraId="50FD872A" w14:textId="2F57BE5D" w:rsidR="00E7009B" w:rsidRDefault="00E7009B" w:rsidP="00E7009B">
            <w:r>
              <w:t>Aim to do no harm, but prepared to take moderate risks to explore innovative ideas</w:t>
            </w:r>
          </w:p>
        </w:tc>
        <w:tc>
          <w:tcPr>
            <w:tcW w:w="2159" w:type="dxa"/>
          </w:tcPr>
          <w:p w14:paraId="293730FF" w14:textId="53994720" w:rsidR="00E7009B" w:rsidRDefault="00E7009B" w:rsidP="00E7009B">
            <w:r>
              <w:t>Aim to do no harm, but prepared to take significant risks if the potential gains are great enough</w:t>
            </w:r>
          </w:p>
        </w:tc>
      </w:tr>
      <w:tr w:rsidR="00E7009B" w14:paraId="4E63C197" w14:textId="77777777" w:rsidTr="00E70A59">
        <w:tc>
          <w:tcPr>
            <w:tcW w:w="2158" w:type="dxa"/>
          </w:tcPr>
          <w:p w14:paraId="7B9FBC30" w14:textId="2309665B" w:rsidR="00E7009B" w:rsidRDefault="002077BB" w:rsidP="00E7009B">
            <w:r>
              <w:t xml:space="preserve">2. </w:t>
            </w:r>
            <w:r w:rsidR="00E7009B">
              <w:t xml:space="preserve">Financial </w:t>
            </w:r>
          </w:p>
        </w:tc>
        <w:tc>
          <w:tcPr>
            <w:tcW w:w="2158" w:type="dxa"/>
            <w:shd w:val="clear" w:color="auto" w:fill="F2F2F2" w:themeFill="background1" w:themeFillShade="F2"/>
          </w:tcPr>
          <w:p w14:paraId="52301613" w14:textId="77777777" w:rsidR="00E7009B" w:rsidRDefault="00E7009B" w:rsidP="00E7009B">
            <w:r>
              <w:t>Up to 5% budget deviation</w:t>
            </w:r>
          </w:p>
          <w:p w14:paraId="11AC26F7" w14:textId="77777777" w:rsidR="00E7009B" w:rsidRDefault="00E7009B" w:rsidP="00E7009B">
            <w:r>
              <w:t>Focus on financial security</w:t>
            </w:r>
          </w:p>
          <w:p w14:paraId="3A037686" w14:textId="3C9E2EA4" w:rsidR="00E7009B" w:rsidRDefault="00E7009B" w:rsidP="00E7009B">
            <w:r>
              <w:t>Fraud and corruption not tolerated</w:t>
            </w:r>
          </w:p>
        </w:tc>
        <w:tc>
          <w:tcPr>
            <w:tcW w:w="2158" w:type="dxa"/>
            <w:shd w:val="clear" w:color="auto" w:fill="F2F2F2" w:themeFill="background1" w:themeFillShade="F2"/>
          </w:tcPr>
          <w:p w14:paraId="0440EA79" w14:textId="77777777" w:rsidR="00E7009B" w:rsidRDefault="00E7009B" w:rsidP="00E7009B">
            <w:r>
              <w:t>Up to 20% budget deviation</w:t>
            </w:r>
          </w:p>
          <w:p w14:paraId="3CA80BC3" w14:textId="77777777" w:rsidR="00E7009B" w:rsidRDefault="00E7009B" w:rsidP="00E7009B">
            <w:r>
              <w:t>Balance between financial security and value for money</w:t>
            </w:r>
          </w:p>
          <w:p w14:paraId="31E6BA89" w14:textId="15D80312" w:rsidR="00E7009B" w:rsidRDefault="00E7009B" w:rsidP="00E7009B">
            <w:r>
              <w:t>Fraud and corruption not tolerated</w:t>
            </w:r>
          </w:p>
        </w:tc>
        <w:tc>
          <w:tcPr>
            <w:tcW w:w="2158" w:type="dxa"/>
          </w:tcPr>
          <w:p w14:paraId="31F75FD6" w14:textId="77777777" w:rsidR="00E7009B" w:rsidRDefault="00E7009B" w:rsidP="00E7009B">
            <w:r>
              <w:t>Up to 30% budget deviation</w:t>
            </w:r>
          </w:p>
          <w:p w14:paraId="18B73BD0" w14:textId="77777777" w:rsidR="00E7009B" w:rsidRDefault="00E7009B" w:rsidP="00E7009B">
            <w:r>
              <w:t>Focus on value for money</w:t>
            </w:r>
          </w:p>
          <w:p w14:paraId="7B8EFB06" w14:textId="54496C47" w:rsidR="00E7009B" w:rsidRDefault="00E7009B" w:rsidP="00E7009B">
            <w:r>
              <w:t>Fraud and corruption generally not tolerated</w:t>
            </w:r>
          </w:p>
        </w:tc>
        <w:tc>
          <w:tcPr>
            <w:tcW w:w="2159" w:type="dxa"/>
          </w:tcPr>
          <w:p w14:paraId="6146B4F6" w14:textId="77777777" w:rsidR="00E7009B" w:rsidRDefault="00E7009B" w:rsidP="00E7009B">
            <w:r>
              <w:t>Up to 50% budget deviation</w:t>
            </w:r>
          </w:p>
          <w:p w14:paraId="25B7EAAA" w14:textId="77777777" w:rsidR="00E7009B" w:rsidRDefault="00E7009B" w:rsidP="00E7009B">
            <w:r>
              <w:t>Focus on value for money through new financial approaches</w:t>
            </w:r>
          </w:p>
          <w:p w14:paraId="37410C8B" w14:textId="58BD2D33" w:rsidR="00E7009B" w:rsidRDefault="00E7009B" w:rsidP="00E7009B">
            <w:r>
              <w:t>Fraud and corruption generally not tolerated</w:t>
            </w:r>
          </w:p>
        </w:tc>
        <w:tc>
          <w:tcPr>
            <w:tcW w:w="2159" w:type="dxa"/>
          </w:tcPr>
          <w:p w14:paraId="4AD193EC" w14:textId="77777777" w:rsidR="00E7009B" w:rsidRDefault="00E7009B" w:rsidP="00E7009B">
            <w:r>
              <w:t>Above 50% budget deviation</w:t>
            </w:r>
          </w:p>
          <w:p w14:paraId="4585AEDD" w14:textId="77777777" w:rsidR="00E7009B" w:rsidRDefault="00E7009B" w:rsidP="00E7009B">
            <w:r>
              <w:t>Seeking new financial approaches</w:t>
            </w:r>
          </w:p>
          <w:p w14:paraId="558AF19C" w14:textId="2EB2AFD8" w:rsidR="00E7009B" w:rsidRDefault="00E7009B" w:rsidP="00E7009B">
            <w:r>
              <w:t>Fraud and corruption avoided</w:t>
            </w:r>
          </w:p>
        </w:tc>
      </w:tr>
      <w:tr w:rsidR="002B15D1" w14:paraId="3FBA9245" w14:textId="77777777" w:rsidTr="00B74D2C">
        <w:tc>
          <w:tcPr>
            <w:tcW w:w="2158" w:type="dxa"/>
          </w:tcPr>
          <w:p w14:paraId="20157FF7" w14:textId="77777777" w:rsidR="002B15D1" w:rsidRDefault="002B15D1" w:rsidP="00B74D2C">
            <w:r>
              <w:t>3. Operational</w:t>
            </w:r>
          </w:p>
        </w:tc>
        <w:tc>
          <w:tcPr>
            <w:tcW w:w="2158" w:type="dxa"/>
          </w:tcPr>
          <w:p w14:paraId="73DAF8A0" w14:textId="77777777" w:rsidR="002B15D1" w:rsidRDefault="002B15D1" w:rsidP="00B74D2C">
            <w:r>
              <w:t>Tried and tested approaches to delivery only</w:t>
            </w:r>
          </w:p>
          <w:p w14:paraId="3281006C" w14:textId="77777777" w:rsidR="002B15D1" w:rsidRDefault="002B15D1" w:rsidP="00B74D2C">
            <w:r>
              <w:t>No innovation</w:t>
            </w:r>
          </w:p>
          <w:p w14:paraId="19F9F119" w14:textId="77777777" w:rsidR="002B15D1" w:rsidRDefault="002B15D1" w:rsidP="00B74D2C">
            <w:r>
              <w:t>Tried and tested partners only</w:t>
            </w:r>
          </w:p>
        </w:tc>
        <w:tc>
          <w:tcPr>
            <w:tcW w:w="2158" w:type="dxa"/>
          </w:tcPr>
          <w:p w14:paraId="24A318F6" w14:textId="77777777" w:rsidR="002B15D1" w:rsidRDefault="002B15D1" w:rsidP="00B74D2C">
            <w:r>
              <w:t>Aim to deliver to expectations but small deviations are tolerated</w:t>
            </w:r>
          </w:p>
          <w:p w14:paraId="200156C8" w14:textId="77777777" w:rsidR="002B15D1" w:rsidRDefault="002B15D1" w:rsidP="00B74D2C">
            <w:r>
              <w:t>Low risk/controlled innovation</w:t>
            </w:r>
          </w:p>
        </w:tc>
        <w:tc>
          <w:tcPr>
            <w:tcW w:w="2158" w:type="dxa"/>
            <w:shd w:val="clear" w:color="auto" w:fill="F2F2F2" w:themeFill="background1" w:themeFillShade="F2"/>
          </w:tcPr>
          <w:p w14:paraId="6E6B0015" w14:textId="77777777" w:rsidR="002B15D1" w:rsidRDefault="002B15D1" w:rsidP="00B74D2C">
            <w:r>
              <w:t>Tolerates deviations in operational delivery and quality to innovate</w:t>
            </w:r>
          </w:p>
          <w:p w14:paraId="19EF2622" w14:textId="77777777" w:rsidR="002B15D1" w:rsidRDefault="002B15D1" w:rsidP="00B74D2C">
            <w:r>
              <w:t>Minor failure tolerated</w:t>
            </w:r>
          </w:p>
        </w:tc>
        <w:tc>
          <w:tcPr>
            <w:tcW w:w="2159" w:type="dxa"/>
            <w:shd w:val="clear" w:color="auto" w:fill="F2F2F2" w:themeFill="background1" w:themeFillShade="F2"/>
          </w:tcPr>
          <w:p w14:paraId="0696AD9D" w14:textId="77777777" w:rsidR="002B15D1" w:rsidRDefault="002B15D1" w:rsidP="00B74D2C">
            <w:r>
              <w:t>Encourages deviations in operational delivery and quality for innovation</w:t>
            </w:r>
          </w:p>
          <w:p w14:paraId="5D8F098B" w14:textId="77777777" w:rsidR="002B15D1" w:rsidRDefault="002B15D1" w:rsidP="00B74D2C">
            <w:r>
              <w:t>Failure is an opportunity to learn</w:t>
            </w:r>
          </w:p>
        </w:tc>
        <w:tc>
          <w:tcPr>
            <w:tcW w:w="2159" w:type="dxa"/>
          </w:tcPr>
          <w:p w14:paraId="536E0B76" w14:textId="77777777" w:rsidR="002B15D1" w:rsidRDefault="002B15D1" w:rsidP="00B74D2C">
            <w:r>
              <w:t>Focus is on finding new and innovative approaches, trying new ideas and building on failures</w:t>
            </w:r>
          </w:p>
        </w:tc>
      </w:tr>
      <w:tr w:rsidR="002B15D1" w14:paraId="0FA0A499" w14:textId="77777777" w:rsidTr="00B74D2C">
        <w:tc>
          <w:tcPr>
            <w:tcW w:w="2158" w:type="dxa"/>
          </w:tcPr>
          <w:p w14:paraId="738A4A30" w14:textId="77777777" w:rsidR="002B15D1" w:rsidRDefault="002B15D1" w:rsidP="00B74D2C">
            <w:r>
              <w:t>4. Organizational</w:t>
            </w:r>
          </w:p>
        </w:tc>
        <w:tc>
          <w:tcPr>
            <w:tcW w:w="2158" w:type="dxa"/>
          </w:tcPr>
          <w:p w14:paraId="1B4D0D93" w14:textId="77777777" w:rsidR="002B15D1" w:rsidRDefault="002B15D1" w:rsidP="00B74D2C">
            <w:r>
              <w:t>Tried and tested approaches to delivery only</w:t>
            </w:r>
          </w:p>
          <w:p w14:paraId="760E76DF" w14:textId="77777777" w:rsidR="002B15D1" w:rsidRDefault="002B15D1" w:rsidP="00B74D2C">
            <w:r>
              <w:t>Inflexible internal control environment</w:t>
            </w:r>
          </w:p>
        </w:tc>
        <w:tc>
          <w:tcPr>
            <w:tcW w:w="2158" w:type="dxa"/>
          </w:tcPr>
          <w:p w14:paraId="23F34B3D" w14:textId="77777777" w:rsidR="002B15D1" w:rsidRDefault="002B15D1" w:rsidP="00B74D2C">
            <w:r>
              <w:t>Aim to deliver to expectations but small deviations are tolerated</w:t>
            </w:r>
          </w:p>
          <w:p w14:paraId="479A314F" w14:textId="77777777" w:rsidR="002B15D1" w:rsidRDefault="002B15D1" w:rsidP="00B74D2C">
            <w:r>
              <w:t>Strong internal control environment</w:t>
            </w:r>
          </w:p>
        </w:tc>
        <w:tc>
          <w:tcPr>
            <w:tcW w:w="2158" w:type="dxa"/>
            <w:shd w:val="clear" w:color="auto" w:fill="F2F2F2" w:themeFill="background1" w:themeFillShade="F2"/>
          </w:tcPr>
          <w:p w14:paraId="01628EDA" w14:textId="77777777" w:rsidR="002B15D1" w:rsidRDefault="002B15D1" w:rsidP="00B74D2C">
            <w:r>
              <w:t>Tolerates deviations in operational delivery and quality to innovate</w:t>
            </w:r>
          </w:p>
          <w:p w14:paraId="3D0EEAEE" w14:textId="77777777" w:rsidR="002B15D1" w:rsidRDefault="002B15D1" w:rsidP="00B74D2C">
            <w:r>
              <w:t>Cautious flexing of controls in relation to risk</w:t>
            </w:r>
          </w:p>
        </w:tc>
        <w:tc>
          <w:tcPr>
            <w:tcW w:w="2159" w:type="dxa"/>
            <w:shd w:val="clear" w:color="auto" w:fill="F2F2F2" w:themeFill="background1" w:themeFillShade="F2"/>
          </w:tcPr>
          <w:p w14:paraId="00578CF9" w14:textId="77777777" w:rsidR="002B15D1" w:rsidRDefault="002B15D1" w:rsidP="00B74D2C">
            <w:r>
              <w:t>Encourages deviations in operational delivery and quality for innovation</w:t>
            </w:r>
          </w:p>
          <w:p w14:paraId="39C7E999" w14:textId="77777777" w:rsidR="002B15D1" w:rsidRDefault="002B15D1" w:rsidP="00B74D2C">
            <w:r>
              <w:t>Control environment driven by risk</w:t>
            </w:r>
          </w:p>
        </w:tc>
        <w:tc>
          <w:tcPr>
            <w:tcW w:w="2159" w:type="dxa"/>
          </w:tcPr>
          <w:p w14:paraId="455974D1" w14:textId="77777777" w:rsidR="002B15D1" w:rsidRDefault="002B15D1" w:rsidP="00B74D2C">
            <w:r>
              <w:t>Focus is on finding new and innovative approaches, trying new ideas and building on failures</w:t>
            </w:r>
          </w:p>
          <w:p w14:paraId="13E33CD0" w14:textId="77777777" w:rsidR="002B15D1" w:rsidRDefault="002B15D1" w:rsidP="00B74D2C">
            <w:r>
              <w:t>Control environment driven by balancing risk and cost</w:t>
            </w:r>
          </w:p>
        </w:tc>
      </w:tr>
      <w:tr w:rsidR="002B15D1" w14:paraId="6ABA0FD9" w14:textId="77777777" w:rsidTr="002B15D1">
        <w:tc>
          <w:tcPr>
            <w:tcW w:w="2158" w:type="dxa"/>
          </w:tcPr>
          <w:p w14:paraId="0C9CB706" w14:textId="77777777" w:rsidR="002B15D1" w:rsidRDefault="002B15D1" w:rsidP="00B74D2C">
            <w:r>
              <w:lastRenderedPageBreak/>
              <w:t>5. Reputational</w:t>
            </w:r>
          </w:p>
        </w:tc>
        <w:tc>
          <w:tcPr>
            <w:tcW w:w="2158" w:type="dxa"/>
          </w:tcPr>
          <w:p w14:paraId="73261208" w14:textId="77777777" w:rsidR="002B15D1" w:rsidRDefault="002B15D1" w:rsidP="00B74D2C">
            <w:r>
              <w:t>No damage to UNDP reputation</w:t>
            </w:r>
          </w:p>
        </w:tc>
        <w:tc>
          <w:tcPr>
            <w:tcW w:w="2158" w:type="dxa"/>
          </w:tcPr>
          <w:p w14:paraId="168EA73B" w14:textId="77777777" w:rsidR="002B15D1" w:rsidRDefault="002B15D1" w:rsidP="00B74D2C">
            <w:r>
              <w:t>No compromise to UNDP values but will tolerate minor reputational damage in pursuit of its plans</w:t>
            </w:r>
          </w:p>
        </w:tc>
        <w:tc>
          <w:tcPr>
            <w:tcW w:w="2158" w:type="dxa"/>
          </w:tcPr>
          <w:p w14:paraId="79B252AE" w14:textId="77777777" w:rsidR="002B15D1" w:rsidRDefault="002B15D1" w:rsidP="00B74D2C">
            <w:r>
              <w:t>No compromise to UNDP values</w:t>
            </w:r>
          </w:p>
          <w:p w14:paraId="491ACBA8" w14:textId="77777777" w:rsidR="002B15D1" w:rsidRDefault="002B15D1" w:rsidP="00B74D2C">
            <w:r>
              <w:t>Meet commitments by managing expectations</w:t>
            </w:r>
          </w:p>
          <w:p w14:paraId="2403BBFB" w14:textId="77777777" w:rsidR="002B15D1" w:rsidRDefault="002B15D1" w:rsidP="00B74D2C">
            <w:r>
              <w:t>Learning from new approaches</w:t>
            </w:r>
          </w:p>
        </w:tc>
        <w:tc>
          <w:tcPr>
            <w:tcW w:w="2159" w:type="dxa"/>
          </w:tcPr>
          <w:p w14:paraId="3E4F5EC1" w14:textId="77777777" w:rsidR="002B15D1" w:rsidRDefault="002B15D1" w:rsidP="00B74D2C">
            <w:r>
              <w:t>No compromise to UNDP ethical values</w:t>
            </w:r>
          </w:p>
          <w:p w14:paraId="05F2F266" w14:textId="77777777" w:rsidR="002B15D1" w:rsidRDefault="002B15D1" w:rsidP="00B74D2C">
            <w:r>
              <w:t>Maintain credibility by managing major stakeholders</w:t>
            </w:r>
          </w:p>
          <w:p w14:paraId="5449F631" w14:textId="77777777" w:rsidR="002B15D1" w:rsidRDefault="002B15D1" w:rsidP="00B74D2C">
            <w:r>
              <w:t>Prepared to damage reputation with minor stakeholders</w:t>
            </w:r>
          </w:p>
        </w:tc>
        <w:tc>
          <w:tcPr>
            <w:tcW w:w="2159" w:type="dxa"/>
          </w:tcPr>
          <w:p w14:paraId="3476860D" w14:textId="77777777" w:rsidR="002B15D1" w:rsidRDefault="002B15D1" w:rsidP="00B74D2C">
            <w:r>
              <w:t>No compromise to UNDP ethical values</w:t>
            </w:r>
          </w:p>
          <w:p w14:paraId="420168CE" w14:textId="77777777" w:rsidR="002B15D1" w:rsidRDefault="002B15D1" w:rsidP="00B74D2C">
            <w:r>
              <w:t>Prepared to damage reputation with all but the most significant stakeholders</w:t>
            </w:r>
          </w:p>
          <w:p w14:paraId="4B1E76A2" w14:textId="77777777" w:rsidR="002B15D1" w:rsidRDefault="002B15D1" w:rsidP="00B74D2C"/>
        </w:tc>
      </w:tr>
      <w:tr w:rsidR="00E7009B" w14:paraId="28A6EB6E" w14:textId="77777777" w:rsidTr="001703F8">
        <w:tc>
          <w:tcPr>
            <w:tcW w:w="2158" w:type="dxa"/>
          </w:tcPr>
          <w:p w14:paraId="6406A87A" w14:textId="6F742619" w:rsidR="00E7009B" w:rsidRDefault="0088254C" w:rsidP="00E7009B">
            <w:r>
              <w:t xml:space="preserve">6. </w:t>
            </w:r>
            <w:r w:rsidR="00E7009B">
              <w:t>Regulatory</w:t>
            </w:r>
          </w:p>
        </w:tc>
        <w:tc>
          <w:tcPr>
            <w:tcW w:w="2158" w:type="dxa"/>
            <w:shd w:val="clear" w:color="auto" w:fill="auto"/>
          </w:tcPr>
          <w:p w14:paraId="6E7A3C5D" w14:textId="54E02632" w:rsidR="00E7009B" w:rsidRDefault="00E7009B" w:rsidP="00E7009B">
            <w:r>
              <w:t>No tolerance to move outside the set regulatory framework</w:t>
            </w:r>
          </w:p>
        </w:tc>
        <w:tc>
          <w:tcPr>
            <w:tcW w:w="2158" w:type="dxa"/>
            <w:shd w:val="clear" w:color="auto" w:fill="F2F2F2" w:themeFill="background1" w:themeFillShade="F2"/>
          </w:tcPr>
          <w:p w14:paraId="626AB923" w14:textId="38F32F3E" w:rsidR="00E7009B" w:rsidRDefault="00E7009B" w:rsidP="00E7009B">
            <w:r>
              <w:t>Will look for legitimate ways to achieve goals</w:t>
            </w:r>
          </w:p>
        </w:tc>
        <w:tc>
          <w:tcPr>
            <w:tcW w:w="2158" w:type="dxa"/>
          </w:tcPr>
          <w:p w14:paraId="334D6F93" w14:textId="61ACDA8B" w:rsidR="00E7009B" w:rsidRDefault="00E7009B" w:rsidP="00E7009B">
            <w:r>
              <w:t>Will explore minor changes to regulations to enable delivery</w:t>
            </w:r>
          </w:p>
        </w:tc>
        <w:tc>
          <w:tcPr>
            <w:tcW w:w="2159" w:type="dxa"/>
          </w:tcPr>
          <w:p w14:paraId="3CBE178B" w14:textId="5AAB1F3B" w:rsidR="00E7009B" w:rsidRDefault="00E7009B" w:rsidP="00E7009B">
            <w:r>
              <w:t>Will challenge regulations to deliver if success seems likely</w:t>
            </w:r>
          </w:p>
        </w:tc>
        <w:tc>
          <w:tcPr>
            <w:tcW w:w="2159" w:type="dxa"/>
          </w:tcPr>
          <w:p w14:paraId="639A11BA" w14:textId="5AB4F35A" w:rsidR="00E7009B" w:rsidRDefault="00E7009B" w:rsidP="00E7009B">
            <w:r>
              <w:t>Will challenge regulations to deliver if success seems possible</w:t>
            </w:r>
          </w:p>
        </w:tc>
      </w:tr>
      <w:tr w:rsidR="00E740C1" w14:paraId="5F996D97" w14:textId="77777777" w:rsidTr="00B74D2C">
        <w:tc>
          <w:tcPr>
            <w:tcW w:w="2158" w:type="dxa"/>
          </w:tcPr>
          <w:p w14:paraId="359BE537" w14:textId="77777777" w:rsidR="00E740C1" w:rsidRDefault="00E740C1" w:rsidP="00B74D2C">
            <w:r>
              <w:t>7. Strategic</w:t>
            </w:r>
          </w:p>
        </w:tc>
        <w:tc>
          <w:tcPr>
            <w:tcW w:w="2158" w:type="dxa"/>
          </w:tcPr>
          <w:p w14:paraId="38B538DC" w14:textId="77777777" w:rsidR="00E740C1" w:rsidRDefault="00E740C1" w:rsidP="00B74D2C">
            <w:r>
              <w:t>Tried and tested approaches to delivery only</w:t>
            </w:r>
          </w:p>
          <w:p w14:paraId="1B532D83" w14:textId="77777777" w:rsidR="00E740C1" w:rsidRDefault="00E740C1" w:rsidP="00B74D2C">
            <w:r>
              <w:t>No innovation</w:t>
            </w:r>
          </w:p>
          <w:p w14:paraId="6105A90B" w14:textId="77777777" w:rsidR="00E740C1" w:rsidRDefault="00E740C1" w:rsidP="00B74D2C">
            <w:r>
              <w:t>Tried and tested partners only</w:t>
            </w:r>
          </w:p>
        </w:tc>
        <w:tc>
          <w:tcPr>
            <w:tcW w:w="2158" w:type="dxa"/>
          </w:tcPr>
          <w:p w14:paraId="3132FC84" w14:textId="77777777" w:rsidR="00E740C1" w:rsidRDefault="00E740C1" w:rsidP="00B74D2C">
            <w:r>
              <w:t>Tried and tested approaches to delivery preferred</w:t>
            </w:r>
          </w:p>
          <w:p w14:paraId="0C0E0E8D" w14:textId="77777777" w:rsidR="00E740C1" w:rsidRDefault="00E740C1" w:rsidP="00B74D2C">
            <w:r>
              <w:t>Low risk/controlled innovation</w:t>
            </w:r>
          </w:p>
          <w:p w14:paraId="1250EC5A" w14:textId="77777777" w:rsidR="00E740C1" w:rsidRDefault="00E740C1" w:rsidP="00B74D2C">
            <w:r>
              <w:t>Low risk new partners if necessary</w:t>
            </w:r>
          </w:p>
        </w:tc>
        <w:tc>
          <w:tcPr>
            <w:tcW w:w="2158" w:type="dxa"/>
          </w:tcPr>
          <w:p w14:paraId="4587E3DB" w14:textId="77777777" w:rsidR="00E740C1" w:rsidRDefault="00E740C1" w:rsidP="00B74D2C">
            <w:r>
              <w:t>Will adapt tried and tested approaches to delivery and explore new ideas</w:t>
            </w:r>
          </w:p>
          <w:p w14:paraId="093D1404" w14:textId="77777777" w:rsidR="00E740C1" w:rsidRDefault="00E740C1" w:rsidP="00B74D2C">
            <w:r>
              <w:t>Innovation where success seems likely</w:t>
            </w:r>
          </w:p>
          <w:p w14:paraId="07358D90" w14:textId="77777777" w:rsidR="00E740C1" w:rsidRDefault="00E740C1" w:rsidP="00B74D2C">
            <w:r>
              <w:t>New partners where they may be beneficial</w:t>
            </w:r>
          </w:p>
        </w:tc>
        <w:tc>
          <w:tcPr>
            <w:tcW w:w="2159" w:type="dxa"/>
            <w:shd w:val="clear" w:color="auto" w:fill="F2F2F2" w:themeFill="background1" w:themeFillShade="F2"/>
          </w:tcPr>
          <w:p w14:paraId="2C8471F4" w14:textId="77777777" w:rsidR="00E740C1" w:rsidRDefault="00E740C1" w:rsidP="00B74D2C">
            <w:r>
              <w:t>Open to new approaches and testing new ideas</w:t>
            </w:r>
          </w:p>
          <w:p w14:paraId="701470A9" w14:textId="77777777" w:rsidR="00E740C1" w:rsidRDefault="00E740C1" w:rsidP="00B74D2C">
            <w:r>
              <w:t>Innovation for success is encouraged and failures are tolerated</w:t>
            </w:r>
          </w:p>
          <w:p w14:paraId="5B32E71F" w14:textId="61D870F3" w:rsidR="00E740C1" w:rsidRDefault="00E740C1" w:rsidP="00B74D2C">
            <w:r>
              <w:t>Open to approaches from new partners who do not fit the usual mod</w:t>
            </w:r>
            <w:r w:rsidR="008167AB">
              <w:t>e</w:t>
            </w:r>
            <w:r>
              <w:t>l</w:t>
            </w:r>
          </w:p>
        </w:tc>
        <w:tc>
          <w:tcPr>
            <w:tcW w:w="2159" w:type="dxa"/>
            <w:shd w:val="clear" w:color="auto" w:fill="F2F2F2" w:themeFill="background1" w:themeFillShade="F2"/>
          </w:tcPr>
          <w:p w14:paraId="4AD98779" w14:textId="77777777" w:rsidR="00E740C1" w:rsidRDefault="00E740C1" w:rsidP="00B74D2C">
            <w:r>
              <w:t>Always looking for new ways to do things</w:t>
            </w:r>
          </w:p>
          <w:p w14:paraId="162F066D" w14:textId="77777777" w:rsidR="00E740C1" w:rsidRDefault="00E740C1" w:rsidP="00B74D2C">
            <w:r>
              <w:t>Innovation to learn is encouraged and failures are useful</w:t>
            </w:r>
          </w:p>
          <w:p w14:paraId="2516326E" w14:textId="77777777" w:rsidR="00E740C1" w:rsidRDefault="00E740C1" w:rsidP="00B74D2C">
            <w:r>
              <w:t>Look for new partners in new areas who are outside the normal modal</w:t>
            </w:r>
          </w:p>
        </w:tc>
      </w:tr>
      <w:tr w:rsidR="00E7009B" w14:paraId="5B55BCDE" w14:textId="77777777" w:rsidTr="001703F8">
        <w:tc>
          <w:tcPr>
            <w:tcW w:w="2158" w:type="dxa"/>
          </w:tcPr>
          <w:p w14:paraId="26A2B327" w14:textId="1C8C38C2" w:rsidR="00E7009B" w:rsidRDefault="0088254C" w:rsidP="00E7009B">
            <w:r>
              <w:t xml:space="preserve">8. </w:t>
            </w:r>
            <w:r w:rsidR="00E7009B">
              <w:t>Safety and Security</w:t>
            </w:r>
          </w:p>
        </w:tc>
        <w:tc>
          <w:tcPr>
            <w:tcW w:w="2158" w:type="dxa"/>
          </w:tcPr>
          <w:p w14:paraId="4ABFB0FD" w14:textId="040F94E7" w:rsidR="00E7009B" w:rsidRDefault="00E7009B" w:rsidP="00E7009B">
            <w:pPr>
              <w:spacing w:line="259" w:lineRule="auto"/>
            </w:pPr>
            <w:r>
              <w:t>Install controls to ensure no harm to any UNDP resources</w:t>
            </w:r>
          </w:p>
        </w:tc>
        <w:tc>
          <w:tcPr>
            <w:tcW w:w="2158" w:type="dxa"/>
            <w:shd w:val="clear" w:color="auto" w:fill="F2F2F2" w:themeFill="background1" w:themeFillShade="F2"/>
          </w:tcPr>
          <w:p w14:paraId="36F5C13D" w14:textId="64D021AE" w:rsidR="00E7009B" w:rsidRDefault="00E7009B" w:rsidP="00E7009B">
            <w:pPr>
              <w:spacing w:line="259" w:lineRule="auto"/>
            </w:pPr>
            <w:r>
              <w:t>Install controls to minimize harm to any UNDP resources but prepared to accept low risks</w:t>
            </w:r>
          </w:p>
        </w:tc>
        <w:tc>
          <w:tcPr>
            <w:tcW w:w="2158" w:type="dxa"/>
          </w:tcPr>
          <w:p w14:paraId="0D030726" w14:textId="1FA90028" w:rsidR="00E7009B" w:rsidRDefault="00E7009B" w:rsidP="00E7009B">
            <w:pPr>
              <w:spacing w:line="259" w:lineRule="auto"/>
            </w:pPr>
            <w:r>
              <w:t xml:space="preserve">Install controls to minimize harm to any UNDP resources but prepared to accept moderate risks. </w:t>
            </w:r>
          </w:p>
        </w:tc>
        <w:tc>
          <w:tcPr>
            <w:tcW w:w="2159" w:type="dxa"/>
            <w:shd w:val="clear" w:color="auto" w:fill="auto"/>
          </w:tcPr>
          <w:p w14:paraId="4835E2F1" w14:textId="3177C03F" w:rsidR="00E7009B" w:rsidRDefault="00E7009B" w:rsidP="00E7009B">
            <w:pPr>
              <w:spacing w:line="259" w:lineRule="auto"/>
            </w:pPr>
            <w:r>
              <w:t>Install controls to minimize harm to any UNDP resources while prioritizing delivery but prepared to accept high risks</w:t>
            </w:r>
          </w:p>
        </w:tc>
        <w:tc>
          <w:tcPr>
            <w:tcW w:w="2159" w:type="dxa"/>
          </w:tcPr>
          <w:p w14:paraId="565022D9" w14:textId="12DECC2B" w:rsidR="00E7009B" w:rsidRDefault="00E7009B" w:rsidP="00E7009B">
            <w:pPr>
              <w:spacing w:line="259" w:lineRule="auto"/>
            </w:pPr>
            <w:r>
              <w:t>Install controls to minimize harm to any UNDP resources while prioritizing delivery but prepared to accept very high risks</w:t>
            </w:r>
          </w:p>
        </w:tc>
      </w:tr>
    </w:tbl>
    <w:p w14:paraId="43605F50" w14:textId="1595C252" w:rsidR="00441407" w:rsidRDefault="00441407" w:rsidP="001E7406"/>
    <w:p w14:paraId="1934B1CD" w14:textId="77777777" w:rsidR="00441407" w:rsidRPr="001E7406" w:rsidRDefault="00441407" w:rsidP="001E7406"/>
    <w:sectPr w:rsidR="00441407" w:rsidRPr="001E7406" w:rsidSect="00083CE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32E1B" w14:textId="77777777" w:rsidR="00083CE2" w:rsidRDefault="00083CE2" w:rsidP="00117AC3">
      <w:pPr>
        <w:spacing w:after="0" w:line="240" w:lineRule="auto"/>
      </w:pPr>
      <w:r>
        <w:separator/>
      </w:r>
    </w:p>
  </w:endnote>
  <w:endnote w:type="continuationSeparator" w:id="0">
    <w:p w14:paraId="15826275" w14:textId="77777777" w:rsidR="00083CE2" w:rsidRDefault="00083CE2" w:rsidP="00117AC3">
      <w:pPr>
        <w:spacing w:after="0" w:line="240" w:lineRule="auto"/>
      </w:pPr>
      <w:r>
        <w:continuationSeparator/>
      </w:r>
    </w:p>
  </w:endnote>
  <w:endnote w:type="continuationNotice" w:id="1">
    <w:p w14:paraId="3951E5B2" w14:textId="77777777" w:rsidR="00083CE2" w:rsidRDefault="00083C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251637"/>
      <w:docPartObj>
        <w:docPartGallery w:val="Page Numbers (Bottom of Page)"/>
        <w:docPartUnique/>
      </w:docPartObj>
    </w:sdtPr>
    <w:sdtEndPr>
      <w:rPr>
        <w:noProof/>
      </w:rPr>
    </w:sdtEndPr>
    <w:sdtContent>
      <w:p w14:paraId="52AEED37" w14:textId="78B2E163" w:rsidR="001703F8" w:rsidRDefault="001703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F5F879" w14:textId="77777777" w:rsidR="001703F8" w:rsidRDefault="00170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D49F0" w14:textId="77777777" w:rsidR="00083CE2" w:rsidRDefault="00083CE2" w:rsidP="00117AC3">
      <w:pPr>
        <w:spacing w:after="0" w:line="240" w:lineRule="auto"/>
      </w:pPr>
      <w:r>
        <w:separator/>
      </w:r>
    </w:p>
  </w:footnote>
  <w:footnote w:type="continuationSeparator" w:id="0">
    <w:p w14:paraId="183D3B5E" w14:textId="77777777" w:rsidR="00083CE2" w:rsidRDefault="00083CE2" w:rsidP="00117AC3">
      <w:pPr>
        <w:spacing w:after="0" w:line="240" w:lineRule="auto"/>
      </w:pPr>
      <w:r>
        <w:continuationSeparator/>
      </w:r>
    </w:p>
  </w:footnote>
  <w:footnote w:type="continuationNotice" w:id="1">
    <w:p w14:paraId="3362F53E" w14:textId="77777777" w:rsidR="00083CE2" w:rsidRDefault="00083CE2">
      <w:pPr>
        <w:spacing w:after="0" w:line="240" w:lineRule="auto"/>
      </w:pPr>
    </w:p>
  </w:footnote>
  <w:footnote w:id="2">
    <w:p w14:paraId="7F7D556B" w14:textId="77777777" w:rsidR="001703F8" w:rsidRPr="00AB231B" w:rsidRDefault="001703F8" w:rsidP="0041558F">
      <w:pPr>
        <w:pStyle w:val="FootnoteText"/>
        <w:rPr>
          <w:sz w:val="18"/>
          <w:szCs w:val="18"/>
        </w:rPr>
      </w:pPr>
      <w:r w:rsidRPr="00AB231B">
        <w:rPr>
          <w:rStyle w:val="FootnoteReference"/>
          <w:sz w:val="18"/>
          <w:szCs w:val="18"/>
        </w:rPr>
        <w:footnoteRef/>
      </w:r>
      <w:r w:rsidRPr="00AB231B">
        <w:rPr>
          <w:sz w:val="18"/>
          <w:szCs w:val="18"/>
        </w:rPr>
        <w:t xml:space="preserve"> The United Nations Security Management System (UNSMS) Policy on Security Risk Management endorsed by the Chief Executives Board for Coordination (CEB) outlines the Acceptable Risk Model in which security risks are balanced with programme benefits. In this model, risks are accepted when benefits outweigh the risks. </w:t>
      </w:r>
    </w:p>
  </w:footnote>
  <w:footnote w:id="3">
    <w:p w14:paraId="0642DD1D" w14:textId="77777777" w:rsidR="001703F8" w:rsidRPr="001811F8" w:rsidRDefault="001703F8" w:rsidP="0041558F">
      <w:pPr>
        <w:pStyle w:val="FootnoteText"/>
        <w:rPr>
          <w:sz w:val="18"/>
          <w:szCs w:val="18"/>
        </w:rPr>
      </w:pPr>
      <w:r w:rsidRPr="001811F8">
        <w:rPr>
          <w:rStyle w:val="FootnoteReference"/>
          <w:sz w:val="18"/>
          <w:szCs w:val="18"/>
        </w:rPr>
        <w:footnoteRef/>
      </w:r>
      <w:r w:rsidRPr="001811F8">
        <w:rPr>
          <w:sz w:val="18"/>
          <w:szCs w:val="18"/>
        </w:rPr>
        <w:t xml:space="preserve"> Cyber Security is outside the UNSMS Security Risk Management and risks are managed by UNDP.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6D204" w14:textId="77777777" w:rsidR="00745451" w:rsidRDefault="007454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2B6C"/>
    <w:multiLevelType w:val="multilevel"/>
    <w:tmpl w:val="53BE104C"/>
    <w:lvl w:ilvl="0">
      <w:start w:val="6"/>
      <w:numFmt w:val="decimal"/>
      <w:lvlText w:val="%1"/>
      <w:lvlJc w:val="left"/>
      <w:pPr>
        <w:ind w:left="135" w:hanging="317"/>
      </w:pPr>
    </w:lvl>
    <w:lvl w:ilvl="1">
      <w:start w:val="9"/>
      <w:numFmt w:val="decimal"/>
      <w:lvlText w:val="%1-%2"/>
      <w:lvlJc w:val="left"/>
      <w:pPr>
        <w:ind w:left="135" w:hanging="317"/>
      </w:pPr>
      <w:rPr>
        <w:rFonts w:ascii="Times New Roman" w:eastAsia="Times New Roman" w:hAnsi="Times New Roman" w:cs="Times New Roman" w:hint="default"/>
        <w:spacing w:val="1"/>
        <w:w w:val="99"/>
        <w:sz w:val="20"/>
        <w:szCs w:val="20"/>
      </w:rPr>
    </w:lvl>
    <w:lvl w:ilvl="2">
      <w:start w:val="1"/>
      <w:numFmt w:val="upperRoman"/>
      <w:lvlText w:val="%3."/>
      <w:lvlJc w:val="left"/>
      <w:pPr>
        <w:ind w:left="860" w:hanging="269"/>
      </w:pPr>
      <w:rPr>
        <w:rFonts w:ascii="Times New Roman" w:eastAsia="Times New Roman" w:hAnsi="Times New Roman" w:cs="Times New Roman" w:hint="default"/>
        <w:b/>
        <w:bCs/>
        <w:sz w:val="24"/>
        <w:szCs w:val="24"/>
      </w:rPr>
    </w:lvl>
    <w:lvl w:ilvl="3">
      <w:start w:val="1"/>
      <w:numFmt w:val="decimal"/>
      <w:lvlText w:val="%4."/>
      <w:lvlJc w:val="left"/>
      <w:pPr>
        <w:ind w:left="859" w:hanging="360"/>
      </w:pPr>
      <w:rPr>
        <w:rFonts w:ascii="Times New Roman" w:eastAsia="Times New Roman" w:hAnsi="Times New Roman" w:cs="Times New Roman" w:hint="default"/>
        <w:spacing w:val="1"/>
        <w:w w:val="99"/>
        <w:sz w:val="20"/>
        <w:szCs w:val="20"/>
      </w:rPr>
    </w:lvl>
    <w:lvl w:ilvl="4">
      <w:start w:val="1"/>
      <w:numFmt w:val="bullet"/>
      <w:lvlText w:val="•"/>
      <w:lvlJc w:val="left"/>
      <w:pPr>
        <w:ind w:left="2643" w:hanging="360"/>
      </w:pPr>
    </w:lvl>
    <w:lvl w:ilvl="5">
      <w:start w:val="1"/>
      <w:numFmt w:val="bullet"/>
      <w:lvlText w:val="•"/>
      <w:lvlJc w:val="left"/>
      <w:pPr>
        <w:ind w:left="3856" w:hanging="360"/>
      </w:pPr>
    </w:lvl>
    <w:lvl w:ilvl="6">
      <w:start w:val="1"/>
      <w:numFmt w:val="bullet"/>
      <w:lvlText w:val="•"/>
      <w:lvlJc w:val="left"/>
      <w:pPr>
        <w:ind w:left="5069" w:hanging="360"/>
      </w:pPr>
    </w:lvl>
    <w:lvl w:ilvl="7">
      <w:start w:val="1"/>
      <w:numFmt w:val="bullet"/>
      <w:lvlText w:val="•"/>
      <w:lvlJc w:val="left"/>
      <w:pPr>
        <w:ind w:left="6281" w:hanging="360"/>
      </w:pPr>
    </w:lvl>
    <w:lvl w:ilvl="8">
      <w:start w:val="1"/>
      <w:numFmt w:val="bullet"/>
      <w:lvlText w:val="•"/>
      <w:lvlJc w:val="left"/>
      <w:pPr>
        <w:ind w:left="7494" w:hanging="360"/>
      </w:pPr>
    </w:lvl>
  </w:abstractNum>
  <w:abstractNum w:abstractNumId="1" w15:restartNumberingAfterBreak="0">
    <w:nsid w:val="068F4D85"/>
    <w:multiLevelType w:val="hybridMultilevel"/>
    <w:tmpl w:val="9468FE48"/>
    <w:lvl w:ilvl="0" w:tplc="2B72FF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1C6B43"/>
    <w:multiLevelType w:val="hybridMultilevel"/>
    <w:tmpl w:val="76FE90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AD2568"/>
    <w:multiLevelType w:val="hybridMultilevel"/>
    <w:tmpl w:val="846486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BC0EAF"/>
    <w:multiLevelType w:val="hybridMultilevel"/>
    <w:tmpl w:val="45FA024C"/>
    <w:lvl w:ilvl="0" w:tplc="1FD45D0E">
      <w:start w:val="1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16024"/>
    <w:multiLevelType w:val="hybridMultilevel"/>
    <w:tmpl w:val="FFC6EBC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 w15:restartNumberingAfterBreak="0">
    <w:nsid w:val="19994A1E"/>
    <w:multiLevelType w:val="hybridMultilevel"/>
    <w:tmpl w:val="67D02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E226FB"/>
    <w:multiLevelType w:val="hybridMultilevel"/>
    <w:tmpl w:val="35DA35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FC4987"/>
    <w:multiLevelType w:val="multilevel"/>
    <w:tmpl w:val="EAD20CA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89378E"/>
    <w:multiLevelType w:val="hybridMultilevel"/>
    <w:tmpl w:val="DE1E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CF6347"/>
    <w:multiLevelType w:val="multilevel"/>
    <w:tmpl w:val="AA4CD554"/>
    <w:lvl w:ilvl="0">
      <w:start w:val="1"/>
      <w:numFmt w:val="decimal"/>
      <w:lvlText w:val="%1."/>
      <w:lvlJc w:val="left"/>
      <w:pPr>
        <w:ind w:left="360" w:hanging="360"/>
      </w:pPr>
      <w:rPr>
        <w:rFonts w:hint="default"/>
      </w:rPr>
    </w:lvl>
    <w:lvl w:ilvl="1">
      <w:start w:val="1"/>
      <w:numFmt w:val="decimal"/>
      <w:lvlText w:val="3.%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0E2418D"/>
    <w:multiLevelType w:val="multilevel"/>
    <w:tmpl w:val="8738D778"/>
    <w:lvl w:ilvl="0">
      <w:start w:val="1"/>
      <w:numFmt w:val="decimal"/>
      <w:lvlText w:val="%1."/>
      <w:lvlJc w:val="left"/>
      <w:pPr>
        <w:ind w:left="720" w:hanging="360"/>
      </w:pPr>
      <w:rPr>
        <w:rFonts w:hint="default"/>
      </w:rPr>
    </w:lvl>
    <w:lvl w:ilvl="1">
      <w:start w:val="5"/>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25D93570"/>
    <w:multiLevelType w:val="hybridMultilevel"/>
    <w:tmpl w:val="6B26F6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2417EF"/>
    <w:multiLevelType w:val="multilevel"/>
    <w:tmpl w:val="AA72456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EA4BA9"/>
    <w:multiLevelType w:val="multilevel"/>
    <w:tmpl w:val="C9A6A420"/>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B464E4"/>
    <w:multiLevelType w:val="hybridMultilevel"/>
    <w:tmpl w:val="8168E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1B29D2"/>
    <w:multiLevelType w:val="multilevel"/>
    <w:tmpl w:val="D95C35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5A117AB"/>
    <w:multiLevelType w:val="hybridMultilevel"/>
    <w:tmpl w:val="498A92E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DA0541"/>
    <w:multiLevelType w:val="hybridMultilevel"/>
    <w:tmpl w:val="71B8F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8E3D19"/>
    <w:multiLevelType w:val="multilevel"/>
    <w:tmpl w:val="95069C44"/>
    <w:lvl w:ilvl="0">
      <w:start w:val="1"/>
      <w:numFmt w:val="decimal"/>
      <w:lvlText w:val="%1."/>
      <w:lvlJc w:val="left"/>
      <w:pPr>
        <w:ind w:left="360" w:hanging="360"/>
      </w:pPr>
      <w:rPr>
        <w:rFonts w:hint="default"/>
      </w:rPr>
    </w:lvl>
    <w:lvl w:ilvl="1">
      <w:start w:val="1"/>
      <w:numFmt w:val="none"/>
      <w:lvlText w:val="4.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4C163AB6"/>
    <w:multiLevelType w:val="hybridMultilevel"/>
    <w:tmpl w:val="530C639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1" w15:restartNumberingAfterBreak="0">
    <w:nsid w:val="4E624CB6"/>
    <w:multiLevelType w:val="hybridMultilevel"/>
    <w:tmpl w:val="2DB28B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875587"/>
    <w:multiLevelType w:val="hybridMultilevel"/>
    <w:tmpl w:val="A18E5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3B1A5C"/>
    <w:multiLevelType w:val="hybridMultilevel"/>
    <w:tmpl w:val="FE8CC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8734CA"/>
    <w:multiLevelType w:val="multilevel"/>
    <w:tmpl w:val="BBAA1B9C"/>
    <w:lvl w:ilvl="0">
      <w:start w:val="5"/>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7F004D"/>
    <w:multiLevelType w:val="multilevel"/>
    <w:tmpl w:val="6A107C96"/>
    <w:lvl w:ilvl="0">
      <w:start w:val="5"/>
      <w:numFmt w:val="decimal"/>
      <w:lvlText w:val="%1."/>
      <w:lvlJc w:val="left"/>
      <w:pPr>
        <w:ind w:left="360" w:hanging="360"/>
      </w:pPr>
      <w:rPr>
        <w:rFonts w:hint="default"/>
      </w:rPr>
    </w:lvl>
    <w:lvl w:ilvl="1">
      <w:start w:val="1"/>
      <w:numFmt w:val="decimal"/>
      <w:lvlText w:val="4.%2)"/>
      <w:lvlJc w:val="left"/>
      <w:pPr>
        <w:ind w:left="720" w:hanging="720"/>
      </w:pPr>
      <w:rPr>
        <w:rFonts w:hint="default"/>
      </w:rPr>
    </w:lvl>
    <w:lvl w:ilvl="2">
      <w:start w:val="5"/>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111117"/>
    <w:multiLevelType w:val="multilevel"/>
    <w:tmpl w:val="CA0CCF9C"/>
    <w:lvl w:ilvl="0">
      <w:start w:val="6"/>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4D76561"/>
    <w:multiLevelType w:val="hybridMultilevel"/>
    <w:tmpl w:val="1BC6DC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5D6732"/>
    <w:multiLevelType w:val="hybridMultilevel"/>
    <w:tmpl w:val="666A574C"/>
    <w:lvl w:ilvl="0" w:tplc="4DA42164">
      <w:start w:val="1"/>
      <w:numFmt w:val="decimal"/>
      <w:lvlText w:val="%1-"/>
      <w:lvlJc w:val="left"/>
      <w:pPr>
        <w:ind w:left="720" w:hanging="360"/>
      </w:pPr>
      <w:rPr>
        <w:rFonts w:asciiTheme="minorHAnsi" w:eastAsia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E33566"/>
    <w:multiLevelType w:val="multilevel"/>
    <w:tmpl w:val="A2C4B60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F742E3"/>
    <w:multiLevelType w:val="multilevel"/>
    <w:tmpl w:val="D36A12F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D6101EC"/>
    <w:multiLevelType w:val="hybridMultilevel"/>
    <w:tmpl w:val="55168A0C"/>
    <w:lvl w:ilvl="0" w:tplc="08090011">
      <w:start w:val="1"/>
      <w:numFmt w:val="decimal"/>
      <w:lvlText w:val="%1)"/>
      <w:lvlJc w:val="left"/>
      <w:pPr>
        <w:ind w:left="2345" w:hanging="360"/>
      </w:pPr>
      <w:rPr>
        <w:rFonts w:hint="default"/>
      </w:rPr>
    </w:lvl>
    <w:lvl w:ilvl="1" w:tplc="08090019" w:tentative="1">
      <w:start w:val="1"/>
      <w:numFmt w:val="lowerLetter"/>
      <w:lvlText w:val="%2."/>
      <w:lvlJc w:val="left"/>
      <w:pPr>
        <w:ind w:left="1440" w:hanging="360"/>
      </w:pPr>
    </w:lvl>
    <w:lvl w:ilvl="2" w:tplc="96E65976">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2D1C01"/>
    <w:multiLevelType w:val="hybridMultilevel"/>
    <w:tmpl w:val="2B76A038"/>
    <w:lvl w:ilvl="0" w:tplc="2BF4B154">
      <w:start w:val="1"/>
      <w:numFmt w:val="bullet"/>
      <w:lvlText w:val="•"/>
      <w:lvlJc w:val="left"/>
      <w:pPr>
        <w:tabs>
          <w:tab w:val="num" w:pos="720"/>
        </w:tabs>
        <w:ind w:left="720" w:hanging="360"/>
      </w:pPr>
      <w:rPr>
        <w:rFonts w:ascii="Arial" w:hAnsi="Arial" w:hint="default"/>
      </w:rPr>
    </w:lvl>
    <w:lvl w:ilvl="1" w:tplc="73E0B134" w:tentative="1">
      <w:start w:val="1"/>
      <w:numFmt w:val="bullet"/>
      <w:lvlText w:val="•"/>
      <w:lvlJc w:val="left"/>
      <w:pPr>
        <w:tabs>
          <w:tab w:val="num" w:pos="1440"/>
        </w:tabs>
        <w:ind w:left="1440" w:hanging="360"/>
      </w:pPr>
      <w:rPr>
        <w:rFonts w:ascii="Arial" w:hAnsi="Arial" w:hint="default"/>
      </w:rPr>
    </w:lvl>
    <w:lvl w:ilvl="2" w:tplc="B9FC68E6" w:tentative="1">
      <w:start w:val="1"/>
      <w:numFmt w:val="bullet"/>
      <w:lvlText w:val="•"/>
      <w:lvlJc w:val="left"/>
      <w:pPr>
        <w:tabs>
          <w:tab w:val="num" w:pos="2160"/>
        </w:tabs>
        <w:ind w:left="2160" w:hanging="360"/>
      </w:pPr>
      <w:rPr>
        <w:rFonts w:ascii="Arial" w:hAnsi="Arial" w:hint="default"/>
      </w:rPr>
    </w:lvl>
    <w:lvl w:ilvl="3" w:tplc="A5286A8A" w:tentative="1">
      <w:start w:val="1"/>
      <w:numFmt w:val="bullet"/>
      <w:lvlText w:val="•"/>
      <w:lvlJc w:val="left"/>
      <w:pPr>
        <w:tabs>
          <w:tab w:val="num" w:pos="2880"/>
        </w:tabs>
        <w:ind w:left="2880" w:hanging="360"/>
      </w:pPr>
      <w:rPr>
        <w:rFonts w:ascii="Arial" w:hAnsi="Arial" w:hint="default"/>
      </w:rPr>
    </w:lvl>
    <w:lvl w:ilvl="4" w:tplc="8D74FD7E" w:tentative="1">
      <w:start w:val="1"/>
      <w:numFmt w:val="bullet"/>
      <w:lvlText w:val="•"/>
      <w:lvlJc w:val="left"/>
      <w:pPr>
        <w:tabs>
          <w:tab w:val="num" w:pos="3600"/>
        </w:tabs>
        <w:ind w:left="3600" w:hanging="360"/>
      </w:pPr>
      <w:rPr>
        <w:rFonts w:ascii="Arial" w:hAnsi="Arial" w:hint="default"/>
      </w:rPr>
    </w:lvl>
    <w:lvl w:ilvl="5" w:tplc="6A0A8AF0" w:tentative="1">
      <w:start w:val="1"/>
      <w:numFmt w:val="bullet"/>
      <w:lvlText w:val="•"/>
      <w:lvlJc w:val="left"/>
      <w:pPr>
        <w:tabs>
          <w:tab w:val="num" w:pos="4320"/>
        </w:tabs>
        <w:ind w:left="4320" w:hanging="360"/>
      </w:pPr>
      <w:rPr>
        <w:rFonts w:ascii="Arial" w:hAnsi="Arial" w:hint="default"/>
      </w:rPr>
    </w:lvl>
    <w:lvl w:ilvl="6" w:tplc="A516D952" w:tentative="1">
      <w:start w:val="1"/>
      <w:numFmt w:val="bullet"/>
      <w:lvlText w:val="•"/>
      <w:lvlJc w:val="left"/>
      <w:pPr>
        <w:tabs>
          <w:tab w:val="num" w:pos="5040"/>
        </w:tabs>
        <w:ind w:left="5040" w:hanging="360"/>
      </w:pPr>
      <w:rPr>
        <w:rFonts w:ascii="Arial" w:hAnsi="Arial" w:hint="default"/>
      </w:rPr>
    </w:lvl>
    <w:lvl w:ilvl="7" w:tplc="CC602A10" w:tentative="1">
      <w:start w:val="1"/>
      <w:numFmt w:val="bullet"/>
      <w:lvlText w:val="•"/>
      <w:lvlJc w:val="left"/>
      <w:pPr>
        <w:tabs>
          <w:tab w:val="num" w:pos="5760"/>
        </w:tabs>
        <w:ind w:left="5760" w:hanging="360"/>
      </w:pPr>
      <w:rPr>
        <w:rFonts w:ascii="Arial" w:hAnsi="Arial" w:hint="default"/>
      </w:rPr>
    </w:lvl>
    <w:lvl w:ilvl="8" w:tplc="02DCFE4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B7173C0"/>
    <w:multiLevelType w:val="hybridMultilevel"/>
    <w:tmpl w:val="A7502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343E9C"/>
    <w:multiLevelType w:val="multilevel"/>
    <w:tmpl w:val="EAD4612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90011651">
    <w:abstractNumId w:val="1"/>
  </w:num>
  <w:num w:numId="2" w16cid:durableId="152263828">
    <w:abstractNumId w:val="34"/>
  </w:num>
  <w:num w:numId="3" w16cid:durableId="1444883171">
    <w:abstractNumId w:val="21"/>
  </w:num>
  <w:num w:numId="4" w16cid:durableId="145823850">
    <w:abstractNumId w:val="2"/>
  </w:num>
  <w:num w:numId="5" w16cid:durableId="1495800972">
    <w:abstractNumId w:val="17"/>
  </w:num>
  <w:num w:numId="6" w16cid:durableId="1298560855">
    <w:abstractNumId w:val="32"/>
  </w:num>
  <w:num w:numId="7" w16cid:durableId="603001190">
    <w:abstractNumId w:val="31"/>
  </w:num>
  <w:num w:numId="8" w16cid:durableId="427581174">
    <w:abstractNumId w:val="25"/>
  </w:num>
  <w:num w:numId="9" w16cid:durableId="1516924127">
    <w:abstractNumId w:val="19"/>
  </w:num>
  <w:num w:numId="10" w16cid:durableId="2020347932">
    <w:abstractNumId w:val="33"/>
  </w:num>
  <w:num w:numId="11" w16cid:durableId="796146685">
    <w:abstractNumId w:val="15"/>
  </w:num>
  <w:num w:numId="12" w16cid:durableId="391537738">
    <w:abstractNumId w:val="22"/>
  </w:num>
  <w:num w:numId="13" w16cid:durableId="1228608903">
    <w:abstractNumId w:val="23"/>
  </w:num>
  <w:num w:numId="14" w16cid:durableId="374349289">
    <w:abstractNumId w:val="11"/>
  </w:num>
  <w:num w:numId="15" w16cid:durableId="798374069">
    <w:abstractNumId w:val="24"/>
  </w:num>
  <w:num w:numId="16" w16cid:durableId="640500264">
    <w:abstractNumId w:val="6"/>
  </w:num>
  <w:num w:numId="17" w16cid:durableId="1260482395">
    <w:abstractNumId w:val="5"/>
  </w:num>
  <w:num w:numId="18" w16cid:durableId="1168983290">
    <w:abstractNumId w:val="26"/>
  </w:num>
  <w:num w:numId="19" w16cid:durableId="1597597129">
    <w:abstractNumId w:val="20"/>
  </w:num>
  <w:num w:numId="20" w16cid:durableId="313338150">
    <w:abstractNumId w:val="27"/>
  </w:num>
  <w:num w:numId="21" w16cid:durableId="1045788649">
    <w:abstractNumId w:val="18"/>
  </w:num>
  <w:num w:numId="22" w16cid:durableId="1722434014">
    <w:abstractNumId w:val="9"/>
  </w:num>
  <w:num w:numId="23" w16cid:durableId="373584624">
    <w:abstractNumId w:val="4"/>
  </w:num>
  <w:num w:numId="24" w16cid:durableId="1060176688">
    <w:abstractNumId w:val="14"/>
  </w:num>
  <w:num w:numId="25" w16cid:durableId="1919053762">
    <w:abstractNumId w:val="13"/>
  </w:num>
  <w:num w:numId="26" w16cid:durableId="1204825308">
    <w:abstractNumId w:val="10"/>
  </w:num>
  <w:num w:numId="27" w16cid:durableId="1022628754">
    <w:abstractNumId w:val="16"/>
  </w:num>
  <w:num w:numId="28" w16cid:durableId="1850754288">
    <w:abstractNumId w:val="8"/>
  </w:num>
  <w:num w:numId="29" w16cid:durableId="1652445253">
    <w:abstractNumId w:val="29"/>
  </w:num>
  <w:num w:numId="30" w16cid:durableId="617377490">
    <w:abstractNumId w:val="30"/>
  </w:num>
  <w:num w:numId="31" w16cid:durableId="750085700">
    <w:abstractNumId w:val="0"/>
    <w:lvlOverride w:ilvl="0">
      <w:startOverride w:val="6"/>
    </w:lvlOverride>
    <w:lvlOverride w:ilvl="1">
      <w:startOverride w:val="9"/>
    </w:lvlOverride>
    <w:lvlOverride w:ilvl="2">
      <w:startOverride w:val="1"/>
    </w:lvlOverride>
    <w:lvlOverride w:ilvl="3">
      <w:startOverride w:val="1"/>
    </w:lvlOverride>
    <w:lvlOverride w:ilvl="4"/>
    <w:lvlOverride w:ilvl="5"/>
    <w:lvlOverride w:ilvl="6"/>
    <w:lvlOverride w:ilvl="7"/>
    <w:lvlOverride w:ilvl="8"/>
  </w:num>
  <w:num w:numId="32" w16cid:durableId="2031027127">
    <w:abstractNumId w:val="28"/>
  </w:num>
  <w:num w:numId="33" w16cid:durableId="1002701541">
    <w:abstractNumId w:val="3"/>
  </w:num>
  <w:num w:numId="34" w16cid:durableId="873493878">
    <w:abstractNumId w:val="7"/>
  </w:num>
  <w:num w:numId="35" w16cid:durableId="20900336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0NDM3sjQ0MjMzMjJU0lEKTi0uzszPAykwrAUA4u1PYSwAAAA="/>
  </w:docVars>
  <w:rsids>
    <w:rsidRoot w:val="004B6624"/>
    <w:rsid w:val="00003469"/>
    <w:rsid w:val="00006458"/>
    <w:rsid w:val="00007A81"/>
    <w:rsid w:val="00015491"/>
    <w:rsid w:val="00015B69"/>
    <w:rsid w:val="000167EA"/>
    <w:rsid w:val="00026558"/>
    <w:rsid w:val="000269B6"/>
    <w:rsid w:val="00030646"/>
    <w:rsid w:val="00032B57"/>
    <w:rsid w:val="0003535E"/>
    <w:rsid w:val="00051D44"/>
    <w:rsid w:val="00053A9C"/>
    <w:rsid w:val="00066277"/>
    <w:rsid w:val="00066FDE"/>
    <w:rsid w:val="00070748"/>
    <w:rsid w:val="000764A4"/>
    <w:rsid w:val="0008044B"/>
    <w:rsid w:val="00083CE2"/>
    <w:rsid w:val="000877F0"/>
    <w:rsid w:val="00091390"/>
    <w:rsid w:val="00093595"/>
    <w:rsid w:val="000941F0"/>
    <w:rsid w:val="000B13BA"/>
    <w:rsid w:val="000B6AD3"/>
    <w:rsid w:val="000C1C75"/>
    <w:rsid w:val="000C2EC8"/>
    <w:rsid w:val="000C4828"/>
    <w:rsid w:val="000C6910"/>
    <w:rsid w:val="000C70A0"/>
    <w:rsid w:val="000D2EB0"/>
    <w:rsid w:val="000D3695"/>
    <w:rsid w:val="000D3A72"/>
    <w:rsid w:val="000D3EF9"/>
    <w:rsid w:val="000D50E7"/>
    <w:rsid w:val="000D58FA"/>
    <w:rsid w:val="000D7BEA"/>
    <w:rsid w:val="000F24CD"/>
    <w:rsid w:val="000F5E4A"/>
    <w:rsid w:val="000F7FA3"/>
    <w:rsid w:val="00101290"/>
    <w:rsid w:val="0011077C"/>
    <w:rsid w:val="00114BF8"/>
    <w:rsid w:val="00115B3A"/>
    <w:rsid w:val="00116115"/>
    <w:rsid w:val="00117AC3"/>
    <w:rsid w:val="00120164"/>
    <w:rsid w:val="00126050"/>
    <w:rsid w:val="00141B12"/>
    <w:rsid w:val="00147A3F"/>
    <w:rsid w:val="00154764"/>
    <w:rsid w:val="00155B92"/>
    <w:rsid w:val="001674CC"/>
    <w:rsid w:val="001703F8"/>
    <w:rsid w:val="00172B83"/>
    <w:rsid w:val="00180A08"/>
    <w:rsid w:val="00194D25"/>
    <w:rsid w:val="00197C90"/>
    <w:rsid w:val="001A187F"/>
    <w:rsid w:val="001A4B8D"/>
    <w:rsid w:val="001D1406"/>
    <w:rsid w:val="001D16AB"/>
    <w:rsid w:val="001E53AB"/>
    <w:rsid w:val="001E7406"/>
    <w:rsid w:val="001E7ADE"/>
    <w:rsid w:val="001F3AF6"/>
    <w:rsid w:val="001F697B"/>
    <w:rsid w:val="002077BB"/>
    <w:rsid w:val="00212921"/>
    <w:rsid w:val="00225841"/>
    <w:rsid w:val="00232D8F"/>
    <w:rsid w:val="002348F9"/>
    <w:rsid w:val="002430C5"/>
    <w:rsid w:val="00243CF3"/>
    <w:rsid w:val="00250636"/>
    <w:rsid w:val="002533C4"/>
    <w:rsid w:val="00264694"/>
    <w:rsid w:val="0027133B"/>
    <w:rsid w:val="002730F0"/>
    <w:rsid w:val="002741FC"/>
    <w:rsid w:val="0027744E"/>
    <w:rsid w:val="00291A93"/>
    <w:rsid w:val="002933A2"/>
    <w:rsid w:val="00294D53"/>
    <w:rsid w:val="002A1E1D"/>
    <w:rsid w:val="002B15D1"/>
    <w:rsid w:val="002B16B3"/>
    <w:rsid w:val="002B16D0"/>
    <w:rsid w:val="002B2C3B"/>
    <w:rsid w:val="002B544B"/>
    <w:rsid w:val="002B7B64"/>
    <w:rsid w:val="002B7C7E"/>
    <w:rsid w:val="002C4EFE"/>
    <w:rsid w:val="002C522A"/>
    <w:rsid w:val="002D3891"/>
    <w:rsid w:val="002D5746"/>
    <w:rsid w:val="002E3526"/>
    <w:rsid w:val="002F1E25"/>
    <w:rsid w:val="00301691"/>
    <w:rsid w:val="00302B2D"/>
    <w:rsid w:val="0030514D"/>
    <w:rsid w:val="00306CC0"/>
    <w:rsid w:val="00314DF8"/>
    <w:rsid w:val="0031527C"/>
    <w:rsid w:val="003226B6"/>
    <w:rsid w:val="0032383F"/>
    <w:rsid w:val="003239F2"/>
    <w:rsid w:val="003245DD"/>
    <w:rsid w:val="00334CEB"/>
    <w:rsid w:val="00337442"/>
    <w:rsid w:val="00337C19"/>
    <w:rsid w:val="0034633F"/>
    <w:rsid w:val="003466CB"/>
    <w:rsid w:val="003612F7"/>
    <w:rsid w:val="00373223"/>
    <w:rsid w:val="0037418A"/>
    <w:rsid w:val="00383C62"/>
    <w:rsid w:val="00383F02"/>
    <w:rsid w:val="00392A6F"/>
    <w:rsid w:val="003976F7"/>
    <w:rsid w:val="003A3D48"/>
    <w:rsid w:val="003B39AC"/>
    <w:rsid w:val="003B3EA2"/>
    <w:rsid w:val="003B42A7"/>
    <w:rsid w:val="003B4AD9"/>
    <w:rsid w:val="003B60EF"/>
    <w:rsid w:val="003C4D56"/>
    <w:rsid w:val="003C7122"/>
    <w:rsid w:val="003D2CB4"/>
    <w:rsid w:val="003D4641"/>
    <w:rsid w:val="003D55CB"/>
    <w:rsid w:val="003D6B38"/>
    <w:rsid w:val="003E1C75"/>
    <w:rsid w:val="003E5915"/>
    <w:rsid w:val="003E7EF1"/>
    <w:rsid w:val="003F0B20"/>
    <w:rsid w:val="003F22EC"/>
    <w:rsid w:val="003F4BBE"/>
    <w:rsid w:val="003F5D53"/>
    <w:rsid w:val="0040672E"/>
    <w:rsid w:val="004068DE"/>
    <w:rsid w:val="004079DF"/>
    <w:rsid w:val="0041558F"/>
    <w:rsid w:val="0041642C"/>
    <w:rsid w:val="00424E84"/>
    <w:rsid w:val="00425502"/>
    <w:rsid w:val="00425F4C"/>
    <w:rsid w:val="00426989"/>
    <w:rsid w:val="00432D4C"/>
    <w:rsid w:val="00435190"/>
    <w:rsid w:val="00441407"/>
    <w:rsid w:val="0044183C"/>
    <w:rsid w:val="00446936"/>
    <w:rsid w:val="00447F1B"/>
    <w:rsid w:val="0045047C"/>
    <w:rsid w:val="0045164D"/>
    <w:rsid w:val="00465506"/>
    <w:rsid w:val="00467AA0"/>
    <w:rsid w:val="00467D55"/>
    <w:rsid w:val="004751D8"/>
    <w:rsid w:val="00495605"/>
    <w:rsid w:val="00495768"/>
    <w:rsid w:val="00497C70"/>
    <w:rsid w:val="004B2B7B"/>
    <w:rsid w:val="004B6624"/>
    <w:rsid w:val="004C0ADA"/>
    <w:rsid w:val="004C5060"/>
    <w:rsid w:val="004C50FC"/>
    <w:rsid w:val="004C636A"/>
    <w:rsid w:val="004D0966"/>
    <w:rsid w:val="004E5A52"/>
    <w:rsid w:val="004F3A7B"/>
    <w:rsid w:val="004F5419"/>
    <w:rsid w:val="00503675"/>
    <w:rsid w:val="00513FC1"/>
    <w:rsid w:val="00526443"/>
    <w:rsid w:val="0052794F"/>
    <w:rsid w:val="005317F2"/>
    <w:rsid w:val="00537D6A"/>
    <w:rsid w:val="005518C2"/>
    <w:rsid w:val="00553340"/>
    <w:rsid w:val="0056254E"/>
    <w:rsid w:val="00567E72"/>
    <w:rsid w:val="005720CD"/>
    <w:rsid w:val="00573252"/>
    <w:rsid w:val="00580327"/>
    <w:rsid w:val="005824AC"/>
    <w:rsid w:val="005864E1"/>
    <w:rsid w:val="005910D5"/>
    <w:rsid w:val="005927C0"/>
    <w:rsid w:val="00596C2B"/>
    <w:rsid w:val="005B1C47"/>
    <w:rsid w:val="005B27CF"/>
    <w:rsid w:val="005B7093"/>
    <w:rsid w:val="005B768A"/>
    <w:rsid w:val="005B7B03"/>
    <w:rsid w:val="005C00C2"/>
    <w:rsid w:val="005C3078"/>
    <w:rsid w:val="005C7551"/>
    <w:rsid w:val="005D03BF"/>
    <w:rsid w:val="005D2757"/>
    <w:rsid w:val="005D4722"/>
    <w:rsid w:val="005D65C3"/>
    <w:rsid w:val="005E2430"/>
    <w:rsid w:val="005E3758"/>
    <w:rsid w:val="005E47C8"/>
    <w:rsid w:val="005F3369"/>
    <w:rsid w:val="00604E08"/>
    <w:rsid w:val="0060719C"/>
    <w:rsid w:val="00612FDA"/>
    <w:rsid w:val="006234E8"/>
    <w:rsid w:val="006239D8"/>
    <w:rsid w:val="00626401"/>
    <w:rsid w:val="0063171C"/>
    <w:rsid w:val="006332BC"/>
    <w:rsid w:val="00636721"/>
    <w:rsid w:val="00650529"/>
    <w:rsid w:val="00672D45"/>
    <w:rsid w:val="00673F45"/>
    <w:rsid w:val="0067467C"/>
    <w:rsid w:val="00675E47"/>
    <w:rsid w:val="00683013"/>
    <w:rsid w:val="00685840"/>
    <w:rsid w:val="006918C9"/>
    <w:rsid w:val="006979EB"/>
    <w:rsid w:val="006A742B"/>
    <w:rsid w:val="006A790C"/>
    <w:rsid w:val="006B17F0"/>
    <w:rsid w:val="006B43EC"/>
    <w:rsid w:val="006C3AE0"/>
    <w:rsid w:val="006C7235"/>
    <w:rsid w:val="006D6330"/>
    <w:rsid w:val="006F06A7"/>
    <w:rsid w:val="006F3142"/>
    <w:rsid w:val="00701300"/>
    <w:rsid w:val="007031E1"/>
    <w:rsid w:val="00707727"/>
    <w:rsid w:val="00713796"/>
    <w:rsid w:val="00716ACC"/>
    <w:rsid w:val="0072578C"/>
    <w:rsid w:val="00737D57"/>
    <w:rsid w:val="00745451"/>
    <w:rsid w:val="00747976"/>
    <w:rsid w:val="007562AC"/>
    <w:rsid w:val="00757EB6"/>
    <w:rsid w:val="00761C08"/>
    <w:rsid w:val="00774358"/>
    <w:rsid w:val="00774F85"/>
    <w:rsid w:val="00782E03"/>
    <w:rsid w:val="00786B18"/>
    <w:rsid w:val="00790125"/>
    <w:rsid w:val="00790F10"/>
    <w:rsid w:val="0079491E"/>
    <w:rsid w:val="007A4F17"/>
    <w:rsid w:val="007A5F30"/>
    <w:rsid w:val="007B1E6F"/>
    <w:rsid w:val="007C5302"/>
    <w:rsid w:val="007D0C60"/>
    <w:rsid w:val="007E04DC"/>
    <w:rsid w:val="00800842"/>
    <w:rsid w:val="00802A2E"/>
    <w:rsid w:val="00811B27"/>
    <w:rsid w:val="008125FF"/>
    <w:rsid w:val="008167AB"/>
    <w:rsid w:val="00831099"/>
    <w:rsid w:val="00832ECB"/>
    <w:rsid w:val="00840E84"/>
    <w:rsid w:val="00843C08"/>
    <w:rsid w:val="00844865"/>
    <w:rsid w:val="00846BA7"/>
    <w:rsid w:val="00860B97"/>
    <w:rsid w:val="00863F9F"/>
    <w:rsid w:val="008746CF"/>
    <w:rsid w:val="00880EF2"/>
    <w:rsid w:val="0088254C"/>
    <w:rsid w:val="0089132A"/>
    <w:rsid w:val="00891773"/>
    <w:rsid w:val="008948D9"/>
    <w:rsid w:val="008A13BD"/>
    <w:rsid w:val="008B12BA"/>
    <w:rsid w:val="008B1678"/>
    <w:rsid w:val="008B2554"/>
    <w:rsid w:val="008C112D"/>
    <w:rsid w:val="008C2E7F"/>
    <w:rsid w:val="008D45C9"/>
    <w:rsid w:val="008D6A76"/>
    <w:rsid w:val="008D6F00"/>
    <w:rsid w:val="008E0F97"/>
    <w:rsid w:val="008E3973"/>
    <w:rsid w:val="008E565F"/>
    <w:rsid w:val="008F1111"/>
    <w:rsid w:val="008F1BD8"/>
    <w:rsid w:val="008F2319"/>
    <w:rsid w:val="0091626C"/>
    <w:rsid w:val="009203B7"/>
    <w:rsid w:val="009244F7"/>
    <w:rsid w:val="00937E3A"/>
    <w:rsid w:val="00940657"/>
    <w:rsid w:val="009476AA"/>
    <w:rsid w:val="0095069C"/>
    <w:rsid w:val="009543F0"/>
    <w:rsid w:val="00960EA8"/>
    <w:rsid w:val="00961F05"/>
    <w:rsid w:val="00962DB1"/>
    <w:rsid w:val="00971669"/>
    <w:rsid w:val="00974948"/>
    <w:rsid w:val="00975680"/>
    <w:rsid w:val="00981293"/>
    <w:rsid w:val="00991D43"/>
    <w:rsid w:val="00993F66"/>
    <w:rsid w:val="00996C74"/>
    <w:rsid w:val="009973F4"/>
    <w:rsid w:val="009A40F0"/>
    <w:rsid w:val="009B193B"/>
    <w:rsid w:val="009E3C0E"/>
    <w:rsid w:val="009F305D"/>
    <w:rsid w:val="009F52CE"/>
    <w:rsid w:val="009F7B76"/>
    <w:rsid w:val="00A14202"/>
    <w:rsid w:val="00A235B6"/>
    <w:rsid w:val="00A25DB1"/>
    <w:rsid w:val="00A346A8"/>
    <w:rsid w:val="00A41D96"/>
    <w:rsid w:val="00A56B5F"/>
    <w:rsid w:val="00A61225"/>
    <w:rsid w:val="00A7341C"/>
    <w:rsid w:val="00A825F5"/>
    <w:rsid w:val="00A8410B"/>
    <w:rsid w:val="00A86120"/>
    <w:rsid w:val="00A87C28"/>
    <w:rsid w:val="00A928A0"/>
    <w:rsid w:val="00A9454D"/>
    <w:rsid w:val="00A947B4"/>
    <w:rsid w:val="00A94B32"/>
    <w:rsid w:val="00AA1676"/>
    <w:rsid w:val="00AA51BC"/>
    <w:rsid w:val="00AB300E"/>
    <w:rsid w:val="00AB36CC"/>
    <w:rsid w:val="00AB75AD"/>
    <w:rsid w:val="00AC3195"/>
    <w:rsid w:val="00AE2897"/>
    <w:rsid w:val="00AE4757"/>
    <w:rsid w:val="00AE7753"/>
    <w:rsid w:val="00AF3AA7"/>
    <w:rsid w:val="00B003D8"/>
    <w:rsid w:val="00B0318D"/>
    <w:rsid w:val="00B0384A"/>
    <w:rsid w:val="00B05D63"/>
    <w:rsid w:val="00B2023F"/>
    <w:rsid w:val="00B23094"/>
    <w:rsid w:val="00B35AC2"/>
    <w:rsid w:val="00B4076C"/>
    <w:rsid w:val="00B47A56"/>
    <w:rsid w:val="00B51064"/>
    <w:rsid w:val="00B51998"/>
    <w:rsid w:val="00B55096"/>
    <w:rsid w:val="00B55137"/>
    <w:rsid w:val="00B55CDB"/>
    <w:rsid w:val="00B57407"/>
    <w:rsid w:val="00B57F91"/>
    <w:rsid w:val="00B63A9D"/>
    <w:rsid w:val="00B64AAA"/>
    <w:rsid w:val="00B81820"/>
    <w:rsid w:val="00B843E9"/>
    <w:rsid w:val="00B86337"/>
    <w:rsid w:val="00B86A02"/>
    <w:rsid w:val="00B91451"/>
    <w:rsid w:val="00B972CC"/>
    <w:rsid w:val="00BA0B5A"/>
    <w:rsid w:val="00BA48E6"/>
    <w:rsid w:val="00BA6A85"/>
    <w:rsid w:val="00BB425C"/>
    <w:rsid w:val="00BB7E15"/>
    <w:rsid w:val="00BC043B"/>
    <w:rsid w:val="00BC3BAB"/>
    <w:rsid w:val="00BC57B0"/>
    <w:rsid w:val="00BC7364"/>
    <w:rsid w:val="00BD1888"/>
    <w:rsid w:val="00BD467C"/>
    <w:rsid w:val="00BE405F"/>
    <w:rsid w:val="00BE4BFA"/>
    <w:rsid w:val="00BF1BF3"/>
    <w:rsid w:val="00BF1FA2"/>
    <w:rsid w:val="00BF2E2C"/>
    <w:rsid w:val="00BF7D88"/>
    <w:rsid w:val="00C02631"/>
    <w:rsid w:val="00C04122"/>
    <w:rsid w:val="00C1312D"/>
    <w:rsid w:val="00C204F2"/>
    <w:rsid w:val="00C27BD7"/>
    <w:rsid w:val="00C3117C"/>
    <w:rsid w:val="00C406BC"/>
    <w:rsid w:val="00C40DEE"/>
    <w:rsid w:val="00C455AC"/>
    <w:rsid w:val="00C4587F"/>
    <w:rsid w:val="00C51829"/>
    <w:rsid w:val="00C54C59"/>
    <w:rsid w:val="00C570EB"/>
    <w:rsid w:val="00C7395A"/>
    <w:rsid w:val="00C74078"/>
    <w:rsid w:val="00C75CBA"/>
    <w:rsid w:val="00C84DEE"/>
    <w:rsid w:val="00C945C9"/>
    <w:rsid w:val="00C959F3"/>
    <w:rsid w:val="00C95BF4"/>
    <w:rsid w:val="00CA132A"/>
    <w:rsid w:val="00CB3178"/>
    <w:rsid w:val="00CB7A29"/>
    <w:rsid w:val="00CB7F79"/>
    <w:rsid w:val="00CC2AD1"/>
    <w:rsid w:val="00CC4AE5"/>
    <w:rsid w:val="00CC5741"/>
    <w:rsid w:val="00CC5E97"/>
    <w:rsid w:val="00CC7766"/>
    <w:rsid w:val="00CD761C"/>
    <w:rsid w:val="00CD766A"/>
    <w:rsid w:val="00CE2E8D"/>
    <w:rsid w:val="00CE4B30"/>
    <w:rsid w:val="00CE4C79"/>
    <w:rsid w:val="00CF112A"/>
    <w:rsid w:val="00CF17BF"/>
    <w:rsid w:val="00CF2736"/>
    <w:rsid w:val="00CF3AFC"/>
    <w:rsid w:val="00D07AC9"/>
    <w:rsid w:val="00D124AC"/>
    <w:rsid w:val="00D1778C"/>
    <w:rsid w:val="00D27823"/>
    <w:rsid w:val="00D33444"/>
    <w:rsid w:val="00D33786"/>
    <w:rsid w:val="00D36041"/>
    <w:rsid w:val="00D37D10"/>
    <w:rsid w:val="00D37F88"/>
    <w:rsid w:val="00D4492B"/>
    <w:rsid w:val="00D46BDB"/>
    <w:rsid w:val="00D53E73"/>
    <w:rsid w:val="00D603FF"/>
    <w:rsid w:val="00D65D32"/>
    <w:rsid w:val="00D74DD9"/>
    <w:rsid w:val="00D83DBE"/>
    <w:rsid w:val="00D84073"/>
    <w:rsid w:val="00D87CAF"/>
    <w:rsid w:val="00D904F5"/>
    <w:rsid w:val="00D90F05"/>
    <w:rsid w:val="00D94F49"/>
    <w:rsid w:val="00D9516F"/>
    <w:rsid w:val="00DB0F35"/>
    <w:rsid w:val="00DB545C"/>
    <w:rsid w:val="00DB56DC"/>
    <w:rsid w:val="00DB7251"/>
    <w:rsid w:val="00DB7628"/>
    <w:rsid w:val="00DB7F6B"/>
    <w:rsid w:val="00DC19EA"/>
    <w:rsid w:val="00DC62B0"/>
    <w:rsid w:val="00DD5783"/>
    <w:rsid w:val="00DD5E07"/>
    <w:rsid w:val="00DF6A2D"/>
    <w:rsid w:val="00E017C7"/>
    <w:rsid w:val="00E01962"/>
    <w:rsid w:val="00E03BCF"/>
    <w:rsid w:val="00E06E76"/>
    <w:rsid w:val="00E07E5E"/>
    <w:rsid w:val="00E25098"/>
    <w:rsid w:val="00E270C4"/>
    <w:rsid w:val="00E427EE"/>
    <w:rsid w:val="00E474A7"/>
    <w:rsid w:val="00E525A8"/>
    <w:rsid w:val="00E66BD2"/>
    <w:rsid w:val="00E7009B"/>
    <w:rsid w:val="00E7043D"/>
    <w:rsid w:val="00E70A59"/>
    <w:rsid w:val="00E72FA2"/>
    <w:rsid w:val="00E740C1"/>
    <w:rsid w:val="00E74914"/>
    <w:rsid w:val="00E817BA"/>
    <w:rsid w:val="00E90385"/>
    <w:rsid w:val="00E9060A"/>
    <w:rsid w:val="00EA2E65"/>
    <w:rsid w:val="00EA4DC9"/>
    <w:rsid w:val="00EA50CD"/>
    <w:rsid w:val="00EB3DED"/>
    <w:rsid w:val="00EB73B7"/>
    <w:rsid w:val="00EC06B2"/>
    <w:rsid w:val="00ED19C0"/>
    <w:rsid w:val="00ED3BD9"/>
    <w:rsid w:val="00EE0F50"/>
    <w:rsid w:val="00EF44BF"/>
    <w:rsid w:val="00EF7677"/>
    <w:rsid w:val="00F02580"/>
    <w:rsid w:val="00F03769"/>
    <w:rsid w:val="00F03D1B"/>
    <w:rsid w:val="00F07B1F"/>
    <w:rsid w:val="00F14F81"/>
    <w:rsid w:val="00F16307"/>
    <w:rsid w:val="00F20C34"/>
    <w:rsid w:val="00F22BD6"/>
    <w:rsid w:val="00F339FD"/>
    <w:rsid w:val="00F42356"/>
    <w:rsid w:val="00F50BCF"/>
    <w:rsid w:val="00F51EB3"/>
    <w:rsid w:val="00F56E3E"/>
    <w:rsid w:val="00F577B4"/>
    <w:rsid w:val="00F640BB"/>
    <w:rsid w:val="00F65C4A"/>
    <w:rsid w:val="00F74263"/>
    <w:rsid w:val="00F850CC"/>
    <w:rsid w:val="00F92B1C"/>
    <w:rsid w:val="00F95E57"/>
    <w:rsid w:val="00FA4FAA"/>
    <w:rsid w:val="00FA5C40"/>
    <w:rsid w:val="00FB2438"/>
    <w:rsid w:val="00FB44B5"/>
    <w:rsid w:val="00FB7C5E"/>
    <w:rsid w:val="00FC09D5"/>
    <w:rsid w:val="00FC18E5"/>
    <w:rsid w:val="00FC729A"/>
    <w:rsid w:val="00FC7BCA"/>
    <w:rsid w:val="00FD646F"/>
    <w:rsid w:val="00FE3B6B"/>
    <w:rsid w:val="00FF39BF"/>
    <w:rsid w:val="09A5B9FF"/>
    <w:rsid w:val="14296875"/>
    <w:rsid w:val="14DF867E"/>
    <w:rsid w:val="177F29C2"/>
    <w:rsid w:val="1E710316"/>
    <w:rsid w:val="2489EA54"/>
    <w:rsid w:val="2AB05178"/>
    <w:rsid w:val="2E5981E1"/>
    <w:rsid w:val="2FF7A041"/>
    <w:rsid w:val="30099D0E"/>
    <w:rsid w:val="31A56D6F"/>
    <w:rsid w:val="3653A67F"/>
    <w:rsid w:val="39F9EFE9"/>
    <w:rsid w:val="3DF04FA6"/>
    <w:rsid w:val="4166C039"/>
    <w:rsid w:val="42174C2C"/>
    <w:rsid w:val="43ADDD22"/>
    <w:rsid w:val="4715839F"/>
    <w:rsid w:val="573810DB"/>
    <w:rsid w:val="6042ECF1"/>
    <w:rsid w:val="651B1483"/>
    <w:rsid w:val="6589DD2D"/>
    <w:rsid w:val="68747EED"/>
    <w:rsid w:val="6A13439E"/>
    <w:rsid w:val="6C581AD2"/>
    <w:rsid w:val="737220A5"/>
    <w:rsid w:val="742C7C42"/>
    <w:rsid w:val="7CE7891B"/>
    <w:rsid w:val="7D3376F4"/>
    <w:rsid w:val="7DF9F8AA"/>
    <w:rsid w:val="7F1162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47CA9"/>
  <w15:chartTrackingRefBased/>
  <w15:docId w15:val="{F865280E-BCB5-4257-B28B-F1B7BA925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AC3"/>
    <w:rPr>
      <w:lang w:val="en-US"/>
    </w:rPr>
  </w:style>
  <w:style w:type="paragraph" w:styleId="Heading1">
    <w:name w:val="heading 1"/>
    <w:basedOn w:val="Normal"/>
    <w:next w:val="Normal"/>
    <w:link w:val="Heading1Char"/>
    <w:uiPriority w:val="9"/>
    <w:qFormat/>
    <w:rsid w:val="00117A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24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7A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17AC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66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624"/>
    <w:rPr>
      <w:rFonts w:ascii="Segoe UI" w:hAnsi="Segoe UI" w:cs="Segoe UI"/>
      <w:sz w:val="18"/>
      <w:szCs w:val="18"/>
    </w:rPr>
  </w:style>
  <w:style w:type="character" w:customStyle="1" w:styleId="Heading1Char">
    <w:name w:val="Heading 1 Char"/>
    <w:basedOn w:val="DefaultParagraphFont"/>
    <w:link w:val="Heading1"/>
    <w:uiPriority w:val="9"/>
    <w:rsid w:val="00117AC3"/>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rsid w:val="00117AC3"/>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rsid w:val="00117AC3"/>
    <w:rPr>
      <w:rFonts w:asciiTheme="majorHAnsi" w:eastAsiaTheme="majorEastAsia" w:hAnsiTheme="majorHAnsi" w:cstheme="majorBidi"/>
      <w:i/>
      <w:iCs/>
      <w:color w:val="2F5496" w:themeColor="accent1" w:themeShade="BF"/>
      <w:lang w:val="en-US"/>
    </w:rPr>
  </w:style>
  <w:style w:type="paragraph" w:styleId="NormalWeb">
    <w:name w:val="Normal (Web)"/>
    <w:basedOn w:val="Normal"/>
    <w:uiPriority w:val="99"/>
    <w:unhideWhenUsed/>
    <w:rsid w:val="00117AC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17AC3"/>
    <w:rPr>
      <w:sz w:val="16"/>
      <w:szCs w:val="16"/>
    </w:rPr>
  </w:style>
  <w:style w:type="paragraph" w:styleId="CommentText">
    <w:name w:val="annotation text"/>
    <w:basedOn w:val="Normal"/>
    <w:link w:val="CommentTextChar"/>
    <w:uiPriority w:val="99"/>
    <w:unhideWhenUsed/>
    <w:rsid w:val="00117AC3"/>
    <w:pPr>
      <w:spacing w:line="240" w:lineRule="auto"/>
    </w:pPr>
    <w:rPr>
      <w:sz w:val="20"/>
      <w:szCs w:val="20"/>
    </w:rPr>
  </w:style>
  <w:style w:type="character" w:customStyle="1" w:styleId="CommentTextChar">
    <w:name w:val="Comment Text Char"/>
    <w:basedOn w:val="DefaultParagraphFont"/>
    <w:link w:val="CommentText"/>
    <w:uiPriority w:val="99"/>
    <w:rsid w:val="00117AC3"/>
    <w:rPr>
      <w:sz w:val="20"/>
      <w:szCs w:val="20"/>
      <w:lang w:val="en-US"/>
    </w:rPr>
  </w:style>
  <w:style w:type="paragraph" w:styleId="ListParagraph">
    <w:name w:val="List Paragraph"/>
    <w:basedOn w:val="Normal"/>
    <w:uiPriority w:val="34"/>
    <w:qFormat/>
    <w:rsid w:val="00117AC3"/>
    <w:pPr>
      <w:ind w:left="720"/>
      <w:contextualSpacing/>
    </w:pPr>
  </w:style>
  <w:style w:type="paragraph" w:styleId="FootnoteText">
    <w:name w:val="footnote text"/>
    <w:basedOn w:val="Normal"/>
    <w:link w:val="FootnoteTextChar"/>
    <w:uiPriority w:val="99"/>
    <w:semiHidden/>
    <w:unhideWhenUsed/>
    <w:rsid w:val="00117A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7AC3"/>
    <w:rPr>
      <w:sz w:val="20"/>
      <w:szCs w:val="20"/>
      <w:lang w:val="en-US"/>
    </w:rPr>
  </w:style>
  <w:style w:type="character" w:styleId="FootnoteReference">
    <w:name w:val="footnote reference"/>
    <w:basedOn w:val="DefaultParagraphFont"/>
    <w:uiPriority w:val="99"/>
    <w:semiHidden/>
    <w:unhideWhenUsed/>
    <w:rsid w:val="00117AC3"/>
    <w:rPr>
      <w:vertAlign w:val="superscript"/>
    </w:rPr>
  </w:style>
  <w:style w:type="paragraph" w:styleId="TOCHeading">
    <w:name w:val="TOC Heading"/>
    <w:basedOn w:val="Heading1"/>
    <w:next w:val="Normal"/>
    <w:uiPriority w:val="39"/>
    <w:unhideWhenUsed/>
    <w:qFormat/>
    <w:rsid w:val="00117AC3"/>
    <w:pPr>
      <w:outlineLvl w:val="9"/>
    </w:pPr>
  </w:style>
  <w:style w:type="paragraph" w:styleId="TOC1">
    <w:name w:val="toc 1"/>
    <w:basedOn w:val="Normal"/>
    <w:next w:val="Normal"/>
    <w:autoRedefine/>
    <w:uiPriority w:val="39"/>
    <w:unhideWhenUsed/>
    <w:rsid w:val="00117AC3"/>
    <w:pPr>
      <w:spacing w:after="100"/>
    </w:pPr>
  </w:style>
  <w:style w:type="paragraph" w:styleId="TOC3">
    <w:name w:val="toc 3"/>
    <w:basedOn w:val="Normal"/>
    <w:next w:val="Normal"/>
    <w:autoRedefine/>
    <w:uiPriority w:val="39"/>
    <w:unhideWhenUsed/>
    <w:rsid w:val="00117AC3"/>
    <w:pPr>
      <w:spacing w:after="100"/>
      <w:ind w:left="440"/>
    </w:pPr>
  </w:style>
  <w:style w:type="character" w:styleId="Hyperlink">
    <w:name w:val="Hyperlink"/>
    <w:basedOn w:val="DefaultParagraphFont"/>
    <w:uiPriority w:val="99"/>
    <w:unhideWhenUsed/>
    <w:rsid w:val="00117AC3"/>
    <w:rPr>
      <w:color w:val="0563C1" w:themeColor="hyperlink"/>
      <w:u w:val="single"/>
    </w:rPr>
  </w:style>
  <w:style w:type="character" w:customStyle="1" w:styleId="Heading2Char">
    <w:name w:val="Heading 2 Char"/>
    <w:basedOn w:val="DefaultParagraphFont"/>
    <w:link w:val="Heading2"/>
    <w:uiPriority w:val="9"/>
    <w:rsid w:val="000F24CD"/>
    <w:rPr>
      <w:rFonts w:asciiTheme="majorHAnsi" w:eastAsiaTheme="majorEastAsia" w:hAnsiTheme="majorHAnsi" w:cstheme="majorBidi"/>
      <w:color w:val="2F5496" w:themeColor="accent1" w:themeShade="BF"/>
      <w:sz w:val="26"/>
      <w:szCs w:val="26"/>
      <w:lang w:val="en-US"/>
    </w:rPr>
  </w:style>
  <w:style w:type="paragraph" w:customStyle="1" w:styleId="Default">
    <w:name w:val="Default"/>
    <w:rsid w:val="00BB7E15"/>
    <w:pPr>
      <w:autoSpaceDE w:val="0"/>
      <w:autoSpaceDN w:val="0"/>
      <w:adjustRightInd w:val="0"/>
      <w:spacing w:after="0" w:line="240" w:lineRule="auto"/>
    </w:pPr>
    <w:rPr>
      <w:rFonts w:ascii="Gill Sans MT" w:hAnsi="Gill Sans MT" w:cs="Gill Sans MT"/>
      <w:color w:val="000000"/>
      <w:sz w:val="24"/>
      <w:szCs w:val="24"/>
      <w:lang w:val="en-US"/>
    </w:rPr>
  </w:style>
  <w:style w:type="paragraph" w:styleId="TOC2">
    <w:name w:val="toc 2"/>
    <w:basedOn w:val="Normal"/>
    <w:next w:val="Normal"/>
    <w:autoRedefine/>
    <w:uiPriority w:val="39"/>
    <w:unhideWhenUsed/>
    <w:rsid w:val="00573252"/>
    <w:pPr>
      <w:spacing w:after="100"/>
      <w:ind w:left="220"/>
    </w:pPr>
  </w:style>
  <w:style w:type="paragraph" w:styleId="CommentSubject">
    <w:name w:val="annotation subject"/>
    <w:basedOn w:val="CommentText"/>
    <w:next w:val="CommentText"/>
    <w:link w:val="CommentSubjectChar"/>
    <w:uiPriority w:val="99"/>
    <w:semiHidden/>
    <w:unhideWhenUsed/>
    <w:rsid w:val="00AA51BC"/>
    <w:rPr>
      <w:b/>
      <w:bCs/>
    </w:rPr>
  </w:style>
  <w:style w:type="character" w:customStyle="1" w:styleId="CommentSubjectChar">
    <w:name w:val="Comment Subject Char"/>
    <w:basedOn w:val="CommentTextChar"/>
    <w:link w:val="CommentSubject"/>
    <w:uiPriority w:val="99"/>
    <w:semiHidden/>
    <w:rsid w:val="00AA51BC"/>
    <w:rPr>
      <w:b/>
      <w:bCs/>
      <w:sz w:val="20"/>
      <w:szCs w:val="20"/>
      <w:lang w:val="en-US"/>
    </w:rPr>
  </w:style>
  <w:style w:type="character" w:styleId="FollowedHyperlink">
    <w:name w:val="FollowedHyperlink"/>
    <w:basedOn w:val="DefaultParagraphFont"/>
    <w:uiPriority w:val="99"/>
    <w:semiHidden/>
    <w:unhideWhenUsed/>
    <w:rsid w:val="000F7FA3"/>
    <w:rPr>
      <w:color w:val="954F72" w:themeColor="followedHyperlink"/>
      <w:u w:val="single"/>
    </w:rPr>
  </w:style>
  <w:style w:type="table" w:styleId="ListTable3">
    <w:name w:val="List Table 3"/>
    <w:basedOn w:val="TableNormal"/>
    <w:uiPriority w:val="48"/>
    <w:rsid w:val="001E7406"/>
    <w:pPr>
      <w:spacing w:after="0" w:line="240" w:lineRule="auto"/>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Revision">
    <w:name w:val="Revision"/>
    <w:hidden/>
    <w:uiPriority w:val="99"/>
    <w:semiHidden/>
    <w:rsid w:val="00800842"/>
    <w:pPr>
      <w:spacing w:after="0" w:line="240" w:lineRule="auto"/>
    </w:pPr>
    <w:rPr>
      <w:lang w:val="en-US"/>
    </w:rPr>
  </w:style>
  <w:style w:type="table" w:styleId="TableGrid">
    <w:name w:val="Table Grid"/>
    <w:basedOn w:val="TableNormal"/>
    <w:uiPriority w:val="39"/>
    <w:rsid w:val="00441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46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67C"/>
    <w:rPr>
      <w:lang w:val="en-US"/>
    </w:rPr>
  </w:style>
  <w:style w:type="paragraph" w:styleId="Footer">
    <w:name w:val="footer"/>
    <w:basedOn w:val="Normal"/>
    <w:link w:val="FooterChar"/>
    <w:uiPriority w:val="99"/>
    <w:unhideWhenUsed/>
    <w:rsid w:val="00BD46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67C"/>
    <w:rPr>
      <w:lang w:val="en-US"/>
    </w:rPr>
  </w:style>
  <w:style w:type="character" w:styleId="UnresolvedMention">
    <w:name w:val="Unresolved Mention"/>
    <w:basedOn w:val="DefaultParagraphFont"/>
    <w:uiPriority w:val="99"/>
    <w:semiHidden/>
    <w:unhideWhenUsed/>
    <w:rsid w:val="005720CD"/>
    <w:rPr>
      <w:color w:val="605E5C"/>
      <w:shd w:val="clear" w:color="auto" w:fill="E1DFDD"/>
    </w:rPr>
  </w:style>
  <w:style w:type="paragraph" w:styleId="BodyText">
    <w:name w:val="Body Text"/>
    <w:basedOn w:val="Normal"/>
    <w:link w:val="BodyTextChar"/>
    <w:uiPriority w:val="1"/>
    <w:semiHidden/>
    <w:unhideWhenUsed/>
    <w:qFormat/>
    <w:rsid w:val="00302B2D"/>
    <w:pPr>
      <w:widowControl w:val="0"/>
      <w:spacing w:before="120" w:after="0" w:line="240" w:lineRule="auto"/>
      <w:ind w:left="859"/>
    </w:pPr>
    <w:rPr>
      <w:rFonts w:ascii="Times New Roman" w:eastAsia="Times New Roman" w:hAnsi="Times New Roman"/>
      <w:sz w:val="20"/>
      <w:szCs w:val="20"/>
    </w:rPr>
  </w:style>
  <w:style w:type="character" w:customStyle="1" w:styleId="BodyTextChar">
    <w:name w:val="Body Text Char"/>
    <w:basedOn w:val="DefaultParagraphFont"/>
    <w:link w:val="BodyText"/>
    <w:uiPriority w:val="1"/>
    <w:semiHidden/>
    <w:rsid w:val="00302B2D"/>
    <w:rPr>
      <w:rFonts w:ascii="Times New Roman" w:eastAsia="Times New Roman" w:hAnsi="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755066">
      <w:bodyDiv w:val="1"/>
      <w:marLeft w:val="0"/>
      <w:marRight w:val="0"/>
      <w:marTop w:val="0"/>
      <w:marBottom w:val="0"/>
      <w:divBdr>
        <w:top w:val="none" w:sz="0" w:space="0" w:color="auto"/>
        <w:left w:val="none" w:sz="0" w:space="0" w:color="auto"/>
        <w:bottom w:val="none" w:sz="0" w:space="0" w:color="auto"/>
        <w:right w:val="none" w:sz="0" w:space="0" w:color="auto"/>
      </w:divBdr>
    </w:div>
    <w:div w:id="1204906005">
      <w:bodyDiv w:val="1"/>
      <w:marLeft w:val="0"/>
      <w:marRight w:val="0"/>
      <w:marTop w:val="0"/>
      <w:marBottom w:val="0"/>
      <w:divBdr>
        <w:top w:val="none" w:sz="0" w:space="0" w:color="auto"/>
        <w:left w:val="none" w:sz="0" w:space="0" w:color="auto"/>
        <w:bottom w:val="none" w:sz="0" w:space="0" w:color="auto"/>
        <w:right w:val="none" w:sz="0" w:space="0" w:color="auto"/>
      </w:divBdr>
    </w:div>
    <w:div w:id="203850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node/20906"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 xsi:nil="true"/>
    <Location xmlns="e560140e-7b2f-4392-90df-e7567e3021a3">Public</Location>
    <DLCPolicyLabelLock xmlns="e560140e-7b2f-4392-90df-e7567e3021a3" xsi:nil="true"/>
    <POPPIsArchived xmlns="e560140e-7b2f-4392-90df-e7567e3021a3">false</POPPIsArchived>
    <UNDP_POPP_NOTE xmlns="8264c5cc-ec60-4b56-8111-ce635d3d139a" xsi:nil="true"/>
    <TaxCatchAll xmlns="8264c5cc-ec60-4b56-8111-ce635d3d139a">
      <Value>356</Value>
    </TaxCatchAll>
    <DLCPolicyLabelClientValue xmlns="e560140e-7b2f-4392-90df-e7567e3021a3">Effective Date: 10/28/2021                                                Version #: {POPPRefItemVersion}</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2021-10-28T22:00:00+00:00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UNDP Risk Appetite Statement Guidance </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 xsi:nil="true"/>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_dlc_DocId xmlns="8264c5cc-ec60-4b56-8111-ce635d3d139a">POPP-11-3633</_dlc_DocId>
    <_dlc_DocIdUrl xmlns="8264c5cc-ec60-4b56-8111-ce635d3d139a">
      <Url>https://popp.undp.org/_layouts/15/DocIdRedir.aspx?ID=POPP-11-3633</Url>
      <Description>POPP-11-3633</Description>
    </_dlc_DocIdUrl>
    <DLCPolicyLabelValue xmlns="e560140e-7b2f-4392-90df-e7567e3021a3">Effective Date: 10/28/2021                                                Version #: {POPPRefItemVersion}</DLCPolicyLabelValue>
  </documentManagement>
</p:properties>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D56A3C9F-E3A4-47FC-B882-930E901F522F}">
  <ds:schemaRefs>
    <ds:schemaRef ds:uri="http://schemas.microsoft.com/sharepoint/v3/contenttype/forms"/>
  </ds:schemaRefs>
</ds:datastoreItem>
</file>

<file path=customXml/itemProps2.xml><?xml version="1.0" encoding="utf-8"?>
<ds:datastoreItem xmlns:ds="http://schemas.openxmlformats.org/officeDocument/2006/customXml" ds:itemID="{08B857D0-9139-4D45-8F2C-449766CD9498}">
  <ds:schemaRefs>
    <ds:schemaRef ds:uri="http://schemas.microsoft.com/sharepoint/events"/>
  </ds:schemaRefs>
</ds:datastoreItem>
</file>

<file path=customXml/itemProps3.xml><?xml version="1.0" encoding="utf-8"?>
<ds:datastoreItem xmlns:ds="http://schemas.openxmlformats.org/officeDocument/2006/customXml" ds:itemID="{83AAB9E0-78C4-4659-8F35-7CFD25F46A03}">
  <ds:schemaRefs>
    <ds:schemaRef ds:uri="http://schemas.openxmlformats.org/officeDocument/2006/bibliography"/>
  </ds:schemaRefs>
</ds:datastoreItem>
</file>

<file path=customXml/itemProps4.xml><?xml version="1.0" encoding="utf-8"?>
<ds:datastoreItem xmlns:ds="http://schemas.openxmlformats.org/officeDocument/2006/customXml" ds:itemID="{9E555E67-A8A2-4592-8027-DE42EDEDB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90B978-C656-4738-A9C4-44AFCB931717}">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9BC24721-D4C3-4F3C-9743-DD78CD394B50}">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4575</Words>
  <Characters>26084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30598</CharactersWithSpaces>
  <SharedDoc>false</SharedDoc>
  <HLinks>
    <vt:vector size="66" baseType="variant">
      <vt:variant>
        <vt:i4>2490447</vt:i4>
      </vt:variant>
      <vt:variant>
        <vt:i4>63</vt:i4>
      </vt:variant>
      <vt:variant>
        <vt:i4>0</vt:i4>
      </vt:variant>
      <vt:variant>
        <vt:i4>5</vt:i4>
      </vt:variant>
      <vt:variant>
        <vt:lpwstr>https://info.undp.org/sites/ERM/Shared Documents/UNDP ERM Guide_Sept2019.pdf</vt:lpwstr>
      </vt:variant>
      <vt:variant>
        <vt:lpwstr/>
      </vt:variant>
      <vt:variant>
        <vt:i4>1179710</vt:i4>
      </vt:variant>
      <vt:variant>
        <vt:i4>56</vt:i4>
      </vt:variant>
      <vt:variant>
        <vt:i4>0</vt:i4>
      </vt:variant>
      <vt:variant>
        <vt:i4>5</vt:i4>
      </vt:variant>
      <vt:variant>
        <vt:lpwstr/>
      </vt:variant>
      <vt:variant>
        <vt:lpwstr>_Toc65688860</vt:lpwstr>
      </vt:variant>
      <vt:variant>
        <vt:i4>1769533</vt:i4>
      </vt:variant>
      <vt:variant>
        <vt:i4>50</vt:i4>
      </vt:variant>
      <vt:variant>
        <vt:i4>0</vt:i4>
      </vt:variant>
      <vt:variant>
        <vt:i4>5</vt:i4>
      </vt:variant>
      <vt:variant>
        <vt:lpwstr/>
      </vt:variant>
      <vt:variant>
        <vt:lpwstr>_Toc65688859</vt:lpwstr>
      </vt:variant>
      <vt:variant>
        <vt:i4>1703997</vt:i4>
      </vt:variant>
      <vt:variant>
        <vt:i4>44</vt:i4>
      </vt:variant>
      <vt:variant>
        <vt:i4>0</vt:i4>
      </vt:variant>
      <vt:variant>
        <vt:i4>5</vt:i4>
      </vt:variant>
      <vt:variant>
        <vt:lpwstr/>
      </vt:variant>
      <vt:variant>
        <vt:lpwstr>_Toc65688858</vt:lpwstr>
      </vt:variant>
      <vt:variant>
        <vt:i4>1376317</vt:i4>
      </vt:variant>
      <vt:variant>
        <vt:i4>38</vt:i4>
      </vt:variant>
      <vt:variant>
        <vt:i4>0</vt:i4>
      </vt:variant>
      <vt:variant>
        <vt:i4>5</vt:i4>
      </vt:variant>
      <vt:variant>
        <vt:lpwstr/>
      </vt:variant>
      <vt:variant>
        <vt:lpwstr>_Toc65688857</vt:lpwstr>
      </vt:variant>
      <vt:variant>
        <vt:i4>1310781</vt:i4>
      </vt:variant>
      <vt:variant>
        <vt:i4>32</vt:i4>
      </vt:variant>
      <vt:variant>
        <vt:i4>0</vt:i4>
      </vt:variant>
      <vt:variant>
        <vt:i4>5</vt:i4>
      </vt:variant>
      <vt:variant>
        <vt:lpwstr/>
      </vt:variant>
      <vt:variant>
        <vt:lpwstr>_Toc65688856</vt:lpwstr>
      </vt:variant>
      <vt:variant>
        <vt:i4>1507389</vt:i4>
      </vt:variant>
      <vt:variant>
        <vt:i4>26</vt:i4>
      </vt:variant>
      <vt:variant>
        <vt:i4>0</vt:i4>
      </vt:variant>
      <vt:variant>
        <vt:i4>5</vt:i4>
      </vt:variant>
      <vt:variant>
        <vt:lpwstr/>
      </vt:variant>
      <vt:variant>
        <vt:lpwstr>_Toc65688855</vt:lpwstr>
      </vt:variant>
      <vt:variant>
        <vt:i4>1441853</vt:i4>
      </vt:variant>
      <vt:variant>
        <vt:i4>20</vt:i4>
      </vt:variant>
      <vt:variant>
        <vt:i4>0</vt:i4>
      </vt:variant>
      <vt:variant>
        <vt:i4>5</vt:i4>
      </vt:variant>
      <vt:variant>
        <vt:lpwstr/>
      </vt:variant>
      <vt:variant>
        <vt:lpwstr>_Toc65688854</vt:lpwstr>
      </vt:variant>
      <vt:variant>
        <vt:i4>1114173</vt:i4>
      </vt:variant>
      <vt:variant>
        <vt:i4>14</vt:i4>
      </vt:variant>
      <vt:variant>
        <vt:i4>0</vt:i4>
      </vt:variant>
      <vt:variant>
        <vt:i4>5</vt:i4>
      </vt:variant>
      <vt:variant>
        <vt:lpwstr/>
      </vt:variant>
      <vt:variant>
        <vt:lpwstr>_Toc65688853</vt:lpwstr>
      </vt:variant>
      <vt:variant>
        <vt:i4>1048637</vt:i4>
      </vt:variant>
      <vt:variant>
        <vt:i4>8</vt:i4>
      </vt:variant>
      <vt:variant>
        <vt:i4>0</vt:i4>
      </vt:variant>
      <vt:variant>
        <vt:i4>5</vt:i4>
      </vt:variant>
      <vt:variant>
        <vt:lpwstr/>
      </vt:variant>
      <vt:variant>
        <vt:lpwstr>_Toc65688852</vt:lpwstr>
      </vt:variant>
      <vt:variant>
        <vt:i4>1245245</vt:i4>
      </vt:variant>
      <vt:variant>
        <vt:i4>2</vt:i4>
      </vt:variant>
      <vt:variant>
        <vt:i4>0</vt:i4>
      </vt:variant>
      <vt:variant>
        <vt:i4>5</vt:i4>
      </vt:variant>
      <vt:variant>
        <vt:lpwstr/>
      </vt:variant>
      <vt:variant>
        <vt:lpwstr>_Toc65688851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Humphrey</dc:creator>
  <cp:keywords/>
  <dc:description/>
  <cp:lastModifiedBy>Emiliana Zhivkova</cp:lastModifiedBy>
  <cp:revision>4</cp:revision>
  <dcterms:created xsi:type="dcterms:W3CDTF">2024-02-15T19:14:00Z</dcterms:created>
  <dcterms:modified xsi:type="dcterms:W3CDTF">2024-02-15T22:47:00Z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Location">
    <vt:lpwstr>Public</vt:lpwstr>
  </property>
  <property fmtid="{D5CDD505-2E9C-101B-9397-08002B2CF9AE}" pid="4" name="UNDP_POPP_BUSINESSUNIT">
    <vt:lpwstr>356;#Accountability|5b42d95a-f181-4192-a566-012e3d461a46</vt:lpwstr>
  </property>
  <property fmtid="{D5CDD505-2E9C-101B-9397-08002B2CF9AE}" pid="5" name="POPPBusinessProcess">
    <vt:lpwstr/>
  </property>
  <property fmtid="{D5CDD505-2E9C-101B-9397-08002B2CF9AE}" pid="6" name="_dlc_DocIdItemGuid">
    <vt:lpwstr>727080e2-c70a-4445-ac43-776d651f3b1e</vt:lpwstr>
  </property>
</Properties>
</file>