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BA86" w14:textId="77777777" w:rsidR="000F60D6" w:rsidRPr="00F07BC0" w:rsidRDefault="00C55FAC" w:rsidP="00F07BC0">
      <w:pPr>
        <w:spacing w:before="155"/>
        <w:ind w:left="-980" w:right="-939"/>
        <w:jc w:val="center"/>
        <w:rPr>
          <w:b/>
          <w:lang w:val="fr-FR"/>
        </w:rPr>
      </w:pPr>
      <w:r>
        <w:rPr>
          <w:b/>
          <w:u w:val="single"/>
          <w:lang w:val="fr-FR" w:bidi="fr-FR"/>
        </w:rPr>
        <w:t>Gestion du risque institutionnel</w:t>
      </w:r>
      <w:r>
        <w:rPr>
          <w:b/>
          <w:u w:val="single"/>
          <w:lang w:val="fr-FR" w:bidi="fr-FR"/>
        </w:rPr>
        <w:br/>
        <w:t>Exemples de quantification des pertes financières</w:t>
      </w:r>
    </w:p>
    <w:p w14:paraId="45685D87" w14:textId="77777777" w:rsidR="000F60D6" w:rsidRPr="00F07BC0" w:rsidRDefault="000F60D6">
      <w:pPr>
        <w:pStyle w:val="BodyText"/>
        <w:rPr>
          <w:b/>
          <w:sz w:val="20"/>
          <w:lang w:val="fr-FR"/>
        </w:rPr>
      </w:pPr>
    </w:p>
    <w:p w14:paraId="4FD8DC62" w14:textId="2B90E203" w:rsidR="000F60D6" w:rsidRPr="00F07BC0" w:rsidRDefault="000F60D6">
      <w:pPr>
        <w:pStyle w:val="BodyText"/>
        <w:spacing w:before="9"/>
        <w:rPr>
          <w:b/>
          <w:sz w:val="16"/>
          <w:lang w:val="fr-FR"/>
        </w:rPr>
      </w:pPr>
    </w:p>
    <w:p w14:paraId="4D8B7B5C" w14:textId="77777777" w:rsidR="000F60D6" w:rsidRPr="00F07BC0" w:rsidRDefault="00C55FAC">
      <w:pPr>
        <w:pStyle w:val="BodyText"/>
        <w:spacing w:line="259" w:lineRule="auto"/>
        <w:ind w:left="100" w:right="154"/>
        <w:rPr>
          <w:lang w:val="fr-FR"/>
        </w:rPr>
      </w:pPr>
      <w:r>
        <w:rPr>
          <w:lang w:val="fr-FR" w:bidi="fr-FR"/>
        </w:rPr>
        <w:t>Quantifier les conséquences financières n’est pas un exercice facile. L’</w:t>
      </w:r>
      <w:r>
        <w:rPr>
          <w:b/>
          <w:u w:val="single"/>
          <w:lang w:val="fr-FR" w:bidi="fr-FR"/>
        </w:rPr>
        <w:t>analyse des données</w:t>
      </w:r>
      <w:r>
        <w:rPr>
          <w:lang w:val="fr-FR" w:bidi="fr-FR"/>
        </w:rPr>
        <w:t xml:space="preserve"> qualitatives de même que la </w:t>
      </w:r>
      <w:r>
        <w:rPr>
          <w:b/>
          <w:u w:val="single"/>
          <w:lang w:val="fr-FR" w:bidi="fr-FR"/>
        </w:rPr>
        <w:t>compréhension approfondie du contexte</w:t>
      </w:r>
      <w:r>
        <w:rPr>
          <w:lang w:val="fr-FR" w:bidi="fr-FR"/>
        </w:rPr>
        <w:t xml:space="preserve"> constituent des facteurs importants s’agissant de calculer la perte financière liée au risque. Ces facteurs incluent notamment la tolérance des principales parties prenantes à l’égard des risques identifiés, la source de ces risques et le moment où ils se produisent, ainsi que leur probabilité et leur impact.</w:t>
      </w:r>
    </w:p>
    <w:p w14:paraId="7B085781" w14:textId="77777777" w:rsidR="000F60D6" w:rsidRPr="00F07BC0" w:rsidRDefault="00C55FAC">
      <w:pPr>
        <w:spacing w:before="163"/>
        <w:ind w:left="100" w:right="154"/>
        <w:rPr>
          <w:lang w:val="fr-FR"/>
        </w:rPr>
      </w:pPr>
      <w:r>
        <w:rPr>
          <w:lang w:val="fr-FR" w:bidi="fr-FR"/>
        </w:rPr>
        <w:t xml:space="preserve">Selon notre politique de gestion du risque institutionnel, les </w:t>
      </w:r>
      <w:r w:rsidRPr="00593E3F">
        <w:rPr>
          <w:lang w:val="fr-FR" w:bidi="fr-FR"/>
        </w:rPr>
        <w:t>conséquences financières sont</w:t>
      </w:r>
      <w:r>
        <w:rPr>
          <w:lang w:val="fr-FR" w:bidi="fr-FR"/>
        </w:rPr>
        <w:t xml:space="preserve"> définies comme </w:t>
      </w:r>
      <w:r>
        <w:rPr>
          <w:b/>
          <w:u w:val="single"/>
          <w:lang w:val="fr-FR" w:bidi="fr-FR"/>
        </w:rPr>
        <w:t>le montant des fonds dont a besoin l’organisation pour s’engager à résoudre la situation une fois le risque concrétisé.</w:t>
      </w:r>
      <w:r>
        <w:rPr>
          <w:lang w:val="fr-FR" w:bidi="fr-FR"/>
        </w:rPr>
        <w:t xml:space="preserve"> En ce sens, les conséquences financières </w:t>
      </w:r>
      <w:r>
        <w:rPr>
          <w:b/>
          <w:lang w:val="fr-FR" w:bidi="fr-FR"/>
        </w:rPr>
        <w:t>ne correspondent pas</w:t>
      </w:r>
      <w:r>
        <w:rPr>
          <w:lang w:val="fr-FR" w:bidi="fr-FR"/>
        </w:rPr>
        <w:t xml:space="preserve"> à ce qui suit :</w:t>
      </w:r>
    </w:p>
    <w:p w14:paraId="0A11DCF6" w14:textId="77777777" w:rsidR="000F60D6" w:rsidRPr="00F07BC0" w:rsidRDefault="000F60D6">
      <w:pPr>
        <w:pStyle w:val="BodyText"/>
        <w:spacing w:before="11"/>
        <w:rPr>
          <w:sz w:val="21"/>
          <w:lang w:val="fr-FR"/>
        </w:rPr>
      </w:pPr>
    </w:p>
    <w:p w14:paraId="6A568ED3" w14:textId="242139A2" w:rsidR="000F60D6" w:rsidRPr="00F07BC0" w:rsidRDefault="00C55FAC">
      <w:pPr>
        <w:pStyle w:val="ListParagraph"/>
        <w:numPr>
          <w:ilvl w:val="0"/>
          <w:numId w:val="6"/>
        </w:numPr>
        <w:tabs>
          <w:tab w:val="left" w:pos="1180"/>
        </w:tabs>
        <w:spacing w:before="0" w:line="237" w:lineRule="auto"/>
        <w:ind w:right="101"/>
        <w:rPr>
          <w:lang w:val="fr-FR"/>
        </w:rPr>
      </w:pPr>
      <w:r>
        <w:rPr>
          <w:lang w:val="fr-FR" w:bidi="fr-FR"/>
        </w:rPr>
        <w:t>La « perte d’occasion » subie par l’organisation en cas de concrétisation du risque. Par exemple, si un risque empêche de mobiliser des ressources, sa concrétisation aura un impact sur la possibilité d’obtenir des résultats en matière de développement, mais cela ne se traduira pas par un impact financier proportionnel aux ressources non mobilisée</w:t>
      </w:r>
      <w:r w:rsidR="00996C54">
        <w:rPr>
          <w:lang w:val="fr-FR" w:bidi="fr-FR"/>
        </w:rPr>
        <w:t>s</w:t>
      </w:r>
      <w:r>
        <w:rPr>
          <w:lang w:val="fr-FR" w:bidi="fr-FR"/>
        </w:rPr>
        <w:t> ;</w:t>
      </w:r>
    </w:p>
    <w:p w14:paraId="15B21D1B" w14:textId="77777777" w:rsidR="000F60D6" w:rsidRPr="00F07BC0" w:rsidRDefault="00C55FAC">
      <w:pPr>
        <w:pStyle w:val="ListParagraph"/>
        <w:numPr>
          <w:ilvl w:val="0"/>
          <w:numId w:val="6"/>
        </w:numPr>
        <w:tabs>
          <w:tab w:val="left" w:pos="1180"/>
        </w:tabs>
        <w:spacing w:before="33"/>
        <w:rPr>
          <w:lang w:val="fr-FR"/>
        </w:rPr>
      </w:pPr>
      <w:r>
        <w:rPr>
          <w:lang w:val="fr-FR" w:bidi="fr-FR"/>
        </w:rPr>
        <w:t>Le coût des mesures d’atténuation des risques et de prévention ; ou</w:t>
      </w:r>
    </w:p>
    <w:p w14:paraId="6D135039" w14:textId="77777777" w:rsidR="000F60D6" w:rsidRPr="00F07BC0" w:rsidRDefault="00C55FAC">
      <w:pPr>
        <w:pStyle w:val="ListParagraph"/>
        <w:numPr>
          <w:ilvl w:val="0"/>
          <w:numId w:val="6"/>
        </w:numPr>
        <w:tabs>
          <w:tab w:val="left" w:pos="1180"/>
        </w:tabs>
        <w:spacing w:before="26"/>
        <w:rPr>
          <w:lang w:val="fr-FR"/>
        </w:rPr>
      </w:pPr>
      <w:r>
        <w:rPr>
          <w:lang w:val="fr-FR" w:bidi="fr-FR"/>
        </w:rPr>
        <w:t>Le montant monétaire de la perte de productivité (journées de travail, coûts d’exploitation, etc.).</w:t>
      </w:r>
    </w:p>
    <w:p w14:paraId="18F99C7C" w14:textId="77777777" w:rsidR="000F60D6" w:rsidRPr="00F07BC0" w:rsidRDefault="000F60D6">
      <w:pPr>
        <w:pStyle w:val="BodyText"/>
        <w:spacing w:before="6"/>
        <w:rPr>
          <w:sz w:val="28"/>
          <w:lang w:val="fr-FR"/>
        </w:rPr>
      </w:pPr>
    </w:p>
    <w:p w14:paraId="3AF50B9A" w14:textId="77777777" w:rsidR="000F60D6" w:rsidRPr="00F07BC0" w:rsidRDefault="00C55FAC">
      <w:pPr>
        <w:spacing w:line="259" w:lineRule="auto"/>
        <w:ind w:left="100" w:right="154" w:firstLine="50"/>
        <w:rPr>
          <w:b/>
          <w:lang w:val="fr-FR"/>
        </w:rPr>
      </w:pPr>
      <w:r>
        <w:rPr>
          <w:lang w:val="fr-FR" w:bidi="fr-FR"/>
        </w:rPr>
        <w:t xml:space="preserve">Vous trouverez ci-dessous des exemples tirés de façon aléatoire de différents registres des risques de bureaux de pays. Nous y avons ajouté des hypothèses sur les conséquences et les pertes financières. </w:t>
      </w:r>
      <w:r>
        <w:rPr>
          <w:b/>
          <w:u w:val="single"/>
          <w:lang w:val="fr-FR" w:bidi="fr-FR"/>
        </w:rPr>
        <w:t>Veuillez garder à l’esprit que ces exemples sont simplifiés et que les conséquences diffèrent selon les mesures d’atténuation mises en œuvre par le bureau et le contexte dans lequel survient l’événement.</w:t>
      </w:r>
    </w:p>
    <w:p w14:paraId="65CAE284" w14:textId="77777777" w:rsidR="000F60D6" w:rsidRPr="00F07BC0" w:rsidRDefault="000F60D6">
      <w:pPr>
        <w:pStyle w:val="BodyText"/>
        <w:spacing w:before="6"/>
        <w:rPr>
          <w:b/>
          <w:sz w:val="8"/>
          <w:lang w:val="fr-FR"/>
        </w:rPr>
      </w:pPr>
    </w:p>
    <w:p w14:paraId="3360DE69" w14:textId="77777777" w:rsidR="000F60D6" w:rsidRDefault="00C55FAC">
      <w:pPr>
        <w:pStyle w:val="ListParagraph"/>
        <w:numPr>
          <w:ilvl w:val="0"/>
          <w:numId w:val="5"/>
        </w:numPr>
        <w:tabs>
          <w:tab w:val="left" w:pos="459"/>
        </w:tabs>
        <w:spacing w:before="56"/>
        <w:ind w:left="459" w:hanging="359"/>
        <w:rPr>
          <w:b/>
        </w:rPr>
      </w:pPr>
      <w:r>
        <w:rPr>
          <w:b/>
          <w:u w:val="single"/>
          <w:lang w:val="fr-FR" w:bidi="fr-FR"/>
        </w:rPr>
        <w:t>Catégorie : risques sociaux et environnementaux</w:t>
      </w:r>
    </w:p>
    <w:p w14:paraId="264130AC" w14:textId="77777777" w:rsidR="000F60D6" w:rsidRDefault="000F60D6">
      <w:pPr>
        <w:pStyle w:val="BodyText"/>
        <w:spacing w:before="2"/>
        <w:rPr>
          <w:b/>
          <w:sz w:val="10"/>
        </w:rPr>
      </w:pPr>
    </w:p>
    <w:p w14:paraId="2DF4F7C0" w14:textId="77777777" w:rsidR="000F60D6" w:rsidRDefault="00C55FAC">
      <w:pPr>
        <w:spacing w:before="57"/>
        <w:ind w:left="100"/>
        <w:rPr>
          <w:b/>
        </w:rPr>
      </w:pPr>
      <w:r>
        <w:rPr>
          <w:b/>
          <w:u w:val="single"/>
          <w:lang w:val="fr-FR" w:bidi="fr-FR"/>
        </w:rPr>
        <w:t>Sous-catégorie : conditions de travail</w:t>
      </w:r>
    </w:p>
    <w:p w14:paraId="29D13C3F" w14:textId="77777777" w:rsidR="000F60D6" w:rsidRDefault="000F60D6">
      <w:pPr>
        <w:pStyle w:val="BodyText"/>
        <w:spacing w:before="4"/>
        <w:rPr>
          <w:b/>
          <w:sz w:val="10"/>
        </w:rPr>
      </w:pPr>
    </w:p>
    <w:p w14:paraId="5B00F8E7" w14:textId="77777777" w:rsidR="000F60D6" w:rsidRPr="00F07BC0" w:rsidRDefault="00C55FAC">
      <w:pPr>
        <w:pStyle w:val="BodyText"/>
        <w:spacing w:before="56" w:line="267" w:lineRule="exact"/>
        <w:ind w:left="100"/>
        <w:rPr>
          <w:lang w:val="fr-FR"/>
        </w:rPr>
      </w:pPr>
      <w:r>
        <w:rPr>
          <w:b/>
          <w:i/>
          <w:u w:val="single"/>
          <w:lang w:val="fr-FR" w:bidi="fr-FR"/>
        </w:rPr>
        <w:t>Événement :</w:t>
      </w:r>
      <w:r>
        <w:rPr>
          <w:lang w:val="fr-FR" w:bidi="fr-FR"/>
        </w:rPr>
        <w:t xml:space="preserve"> impact potentiel de catastrophes naturelles (inondations)</w:t>
      </w:r>
    </w:p>
    <w:p w14:paraId="4F59A2B7" w14:textId="77777777" w:rsidR="000F60D6" w:rsidRDefault="00C55FAC">
      <w:pPr>
        <w:spacing w:line="267" w:lineRule="exact"/>
        <w:ind w:left="100"/>
      </w:pPr>
      <w:r>
        <w:rPr>
          <w:b/>
          <w:u w:val="single"/>
          <w:lang w:val="fr-FR" w:bidi="fr-FR"/>
        </w:rPr>
        <w:t>Cause :</w:t>
      </w:r>
      <w:r>
        <w:rPr>
          <w:lang w:val="fr-FR" w:bidi="fr-FR"/>
        </w:rPr>
        <w:t xml:space="preserve"> catastrophes naturelles</w:t>
      </w:r>
    </w:p>
    <w:p w14:paraId="3CC4166E" w14:textId="77777777" w:rsidR="000F60D6" w:rsidRDefault="00C55FAC">
      <w:pPr>
        <w:ind w:left="100"/>
        <w:rPr>
          <w:b/>
        </w:rPr>
      </w:pPr>
      <w:r>
        <w:rPr>
          <w:b/>
          <w:spacing w:val="-2"/>
          <w:u w:val="single"/>
          <w:lang w:val="fr-FR" w:bidi="fr-FR"/>
        </w:rPr>
        <w:t>Impact :</w:t>
      </w:r>
    </w:p>
    <w:p w14:paraId="499D4C88" w14:textId="06DF8D12" w:rsidR="000F60D6" w:rsidRPr="00F07BC0" w:rsidRDefault="00C55FAC">
      <w:pPr>
        <w:pStyle w:val="ListParagraph"/>
        <w:numPr>
          <w:ilvl w:val="1"/>
          <w:numId w:val="5"/>
        </w:numPr>
        <w:tabs>
          <w:tab w:val="left" w:pos="564"/>
          <w:tab w:val="left" w:pos="566"/>
        </w:tabs>
        <w:spacing w:before="1" w:line="259" w:lineRule="auto"/>
        <w:ind w:right="366"/>
        <w:rPr>
          <w:lang w:val="fr-FR"/>
        </w:rPr>
      </w:pPr>
      <w:r>
        <w:rPr>
          <w:lang w:val="fr-FR" w:bidi="fr-FR"/>
        </w:rPr>
        <w:t>Peuvent causer d’importants contretemps dans la mise en œuvre du programme et exige</w:t>
      </w:r>
      <w:r w:rsidR="00996C54">
        <w:rPr>
          <w:lang w:val="fr-FR" w:bidi="fr-FR"/>
        </w:rPr>
        <w:t>nt</w:t>
      </w:r>
      <w:r>
        <w:rPr>
          <w:lang w:val="fr-FR" w:bidi="fr-FR"/>
        </w:rPr>
        <w:t xml:space="preserve"> de pouvoir rapidement réorienter le programme et les ressources humaines pour faire face aux impacts de ces catastrophes.</w:t>
      </w:r>
    </w:p>
    <w:p w14:paraId="328DDDB1" w14:textId="5BC175A0" w:rsidR="000F60D6" w:rsidRPr="00F07BC0" w:rsidRDefault="00C55FAC">
      <w:pPr>
        <w:pStyle w:val="ListParagraph"/>
        <w:numPr>
          <w:ilvl w:val="1"/>
          <w:numId w:val="5"/>
        </w:numPr>
        <w:tabs>
          <w:tab w:val="left" w:pos="564"/>
        </w:tabs>
        <w:spacing w:before="0"/>
        <w:ind w:left="564" w:hanging="359"/>
        <w:rPr>
          <w:lang w:val="fr-FR"/>
        </w:rPr>
      </w:pPr>
      <w:r>
        <w:rPr>
          <w:lang w:val="fr-FR" w:bidi="fr-FR"/>
        </w:rPr>
        <w:t>Sûreté et sécurité du personnel –</w:t>
      </w:r>
      <w:r w:rsidR="00996C54">
        <w:rPr>
          <w:lang w:val="fr-FR" w:bidi="fr-FR"/>
        </w:rPr>
        <w:t> </w:t>
      </w:r>
      <w:r>
        <w:rPr>
          <w:lang w:val="fr-FR" w:bidi="fr-FR"/>
        </w:rPr>
        <w:t>changement de lieu d’affectation/évacuation.</w:t>
      </w:r>
    </w:p>
    <w:p w14:paraId="077E9271" w14:textId="77777777" w:rsidR="000F60D6" w:rsidRDefault="00C55FAC">
      <w:pPr>
        <w:pStyle w:val="ListParagraph"/>
        <w:numPr>
          <w:ilvl w:val="1"/>
          <w:numId w:val="5"/>
        </w:numPr>
        <w:tabs>
          <w:tab w:val="left" w:pos="564"/>
        </w:tabs>
        <w:ind w:left="564" w:hanging="359"/>
      </w:pPr>
      <w:r>
        <w:rPr>
          <w:lang w:val="fr-FR" w:bidi="fr-FR"/>
        </w:rPr>
        <w:t>Impossibilité d’accéder aux locaux.</w:t>
      </w:r>
    </w:p>
    <w:p w14:paraId="1DC4A2F0" w14:textId="77777777" w:rsidR="000F60D6" w:rsidRDefault="00C55FAC">
      <w:pPr>
        <w:spacing w:before="182"/>
        <w:ind w:left="100"/>
      </w:pPr>
      <w:r>
        <w:rPr>
          <w:b/>
          <w:u w:val="single"/>
          <w:lang w:val="fr-FR" w:bidi="fr-FR"/>
        </w:rPr>
        <w:t>Probabilité :</w:t>
      </w:r>
      <w:r>
        <w:rPr>
          <w:lang w:val="fr-FR" w:bidi="fr-FR"/>
        </w:rPr>
        <w:t xml:space="preserve"> modérée</w:t>
      </w:r>
    </w:p>
    <w:p w14:paraId="1BAB9945" w14:textId="77777777" w:rsidR="000F60D6" w:rsidRDefault="00C55FAC">
      <w:pPr>
        <w:spacing w:before="1"/>
        <w:ind w:left="100"/>
        <w:rPr>
          <w:b/>
        </w:rPr>
      </w:pPr>
      <w:r>
        <w:rPr>
          <w:b/>
          <w:spacing w:val="-2"/>
          <w:u w:val="single"/>
          <w:lang w:val="fr-FR" w:bidi="fr-FR"/>
        </w:rPr>
        <w:t>Conséquences :</w:t>
      </w:r>
    </w:p>
    <w:p w14:paraId="2123BBDE" w14:textId="77777777" w:rsidR="000F60D6" w:rsidRDefault="000F60D6">
      <w:pPr>
        <w:pStyle w:val="BodyText"/>
        <w:spacing w:before="5"/>
        <w:rPr>
          <w:b/>
          <w:sz w:val="17"/>
        </w:rPr>
      </w:pPr>
    </w:p>
    <w:p w14:paraId="72EAF848" w14:textId="196C4AEC" w:rsidR="000F60D6" w:rsidRDefault="00C55FAC">
      <w:pPr>
        <w:pStyle w:val="BodyText"/>
        <w:spacing w:before="57"/>
        <w:ind w:left="150"/>
      </w:pPr>
      <w:r>
        <w:rPr>
          <w:lang w:val="fr-FR" w:bidi="fr-FR"/>
        </w:rPr>
        <w:t>Financières –</w:t>
      </w:r>
      <w:r w:rsidR="00996C54">
        <w:rPr>
          <w:lang w:val="fr-FR" w:bidi="fr-FR"/>
        </w:rPr>
        <w:t> </w:t>
      </w:r>
      <w:r>
        <w:rPr>
          <w:lang w:val="fr-FR" w:bidi="fr-FR"/>
        </w:rPr>
        <w:t>faibles</w:t>
      </w:r>
    </w:p>
    <w:p w14:paraId="3B43CAAF" w14:textId="77777777" w:rsidR="000F60D6" w:rsidRPr="00F07BC0" w:rsidRDefault="00C55FAC">
      <w:pPr>
        <w:pStyle w:val="BodyText"/>
        <w:spacing w:before="180"/>
        <w:ind w:left="100"/>
        <w:rPr>
          <w:lang w:val="fr-FR"/>
        </w:rPr>
      </w:pPr>
      <w:r>
        <w:rPr>
          <w:lang w:val="fr-FR" w:bidi="fr-FR"/>
        </w:rPr>
        <w:t>Si un tel événement se produisait, quelles en seraient les conséquences financières ?</w:t>
      </w:r>
    </w:p>
    <w:p w14:paraId="32C35E09" w14:textId="77777777" w:rsidR="000F60D6" w:rsidRPr="00F07BC0" w:rsidRDefault="000F60D6">
      <w:pPr>
        <w:rPr>
          <w:lang w:val="fr-FR"/>
        </w:rPr>
        <w:sectPr w:rsidR="000F60D6" w:rsidRPr="00F07BC0" w:rsidSect="001867E2">
          <w:type w:val="continuous"/>
          <w:pgSz w:w="12240" w:h="15840"/>
          <w:pgMar w:top="1820" w:right="1000" w:bottom="280" w:left="980" w:header="720" w:footer="720" w:gutter="0"/>
          <w:cols w:space="720"/>
        </w:sectPr>
      </w:pPr>
    </w:p>
    <w:p w14:paraId="0BFB5D88" w14:textId="77777777" w:rsidR="000F60D6" w:rsidRPr="00F07BC0" w:rsidRDefault="00C55FAC">
      <w:pPr>
        <w:spacing w:before="37"/>
        <w:ind w:left="100"/>
        <w:rPr>
          <w:b/>
          <w:lang w:val="fr-FR"/>
        </w:rPr>
      </w:pPr>
      <w:r>
        <w:rPr>
          <w:b/>
          <w:u w:val="single"/>
          <w:lang w:val="fr-FR" w:bidi="fr-FR"/>
        </w:rPr>
        <w:lastRenderedPageBreak/>
        <w:t>Exemples d’hypothèses :</w:t>
      </w:r>
    </w:p>
    <w:p w14:paraId="453FF137" w14:textId="77777777" w:rsidR="000F60D6" w:rsidRPr="00F07BC0" w:rsidRDefault="00C55FAC">
      <w:pPr>
        <w:pStyle w:val="BodyText"/>
        <w:spacing w:before="180" w:line="259" w:lineRule="auto"/>
        <w:ind w:left="460" w:right="1465"/>
        <w:rPr>
          <w:lang w:val="fr-FR"/>
        </w:rPr>
      </w:pPr>
      <w:r>
        <w:rPr>
          <w:noProof/>
          <w:lang w:val="fr-FR" w:bidi="fr-FR"/>
        </w:rPr>
        <w:drawing>
          <wp:inline distT="0" distB="0" distL="0" distR="0" wp14:anchorId="12DF1295" wp14:editId="12D89222">
            <wp:extent cx="114300" cy="106678"/>
            <wp:effectExtent l="0" t="0" r="0" b="0"/>
            <wp:docPr id="1" name="Image 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
                    <pic:cNvPicPr/>
                  </pic:nvPicPr>
                  <pic:blipFill>
                    <a:blip r:embed="rId7" cstate="print"/>
                    <a:stretch>
                      <a:fillRect/>
                    </a:stretch>
                  </pic:blipFill>
                  <pic:spPr>
                    <a:xfrm>
                      <a:off x="0" y="0"/>
                      <a:ext cx="114300" cy="106678"/>
                    </a:xfrm>
                    <a:prstGeom prst="rect">
                      <a:avLst/>
                    </a:prstGeom>
                  </pic:spPr>
                </pic:pic>
              </a:graphicData>
            </a:graphic>
          </wp:inline>
        </w:drawing>
      </w:r>
      <w:r>
        <w:rPr>
          <w:spacing w:val="80"/>
          <w:w w:val="150"/>
          <w:sz w:val="20"/>
          <w:lang w:val="fr-FR" w:bidi="fr-FR"/>
        </w:rPr>
        <w:t xml:space="preserve"> </w:t>
      </w:r>
      <w:r>
        <w:rPr>
          <w:lang w:val="fr-FR" w:bidi="fr-FR"/>
        </w:rPr>
        <w:t>Le bureau de pays devrait évaluer la pertinence de son programme existant au regard des objectifs.</w:t>
      </w:r>
      <w:r>
        <w:rPr>
          <w:lang w:val="fr-FR" w:bidi="fr-FR"/>
        </w:rPr>
        <w:br/>
      </w:r>
      <w:r>
        <w:rPr>
          <w:noProof/>
          <w:lang w:val="fr-FR" w:bidi="fr-FR"/>
        </w:rPr>
        <w:drawing>
          <wp:inline distT="0" distB="0" distL="0" distR="0" wp14:anchorId="196AD814" wp14:editId="32F033CF">
            <wp:extent cx="114300" cy="106678"/>
            <wp:effectExtent l="0" t="0" r="0" b="0"/>
            <wp:docPr id="2" name="Image 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
                    <pic:cNvPicPr/>
                  </pic:nvPicPr>
                  <pic:blipFill>
                    <a:blip r:embed="rId7" cstate="print"/>
                    <a:stretch>
                      <a:fillRect/>
                    </a:stretch>
                  </pic:blipFill>
                  <pic:spPr>
                    <a:xfrm>
                      <a:off x="0" y="0"/>
                      <a:ext cx="114300" cy="106678"/>
                    </a:xfrm>
                    <a:prstGeom prst="rect">
                      <a:avLst/>
                    </a:prstGeom>
                  </pic:spPr>
                </pic:pic>
              </a:graphicData>
            </a:graphic>
          </wp:inline>
        </w:drawing>
      </w:r>
      <w:r>
        <w:rPr>
          <w:lang w:val="fr-FR" w:bidi="fr-FR"/>
        </w:rPr>
        <w:t xml:space="preserve"> Le bureau de pays devrait renforcer les capacités de ses ressources humaines à répondre aux crises.</w:t>
      </w:r>
    </w:p>
    <w:p w14:paraId="41159768" w14:textId="77777777" w:rsidR="000F60D6" w:rsidRPr="00F07BC0" w:rsidRDefault="00C55FAC">
      <w:pPr>
        <w:pStyle w:val="BodyText"/>
        <w:spacing w:before="1" w:line="259" w:lineRule="auto"/>
        <w:ind w:left="820" w:right="154" w:hanging="361"/>
        <w:rPr>
          <w:lang w:val="fr-FR"/>
        </w:rPr>
      </w:pPr>
      <w:r>
        <w:rPr>
          <w:noProof/>
          <w:lang w:val="fr-FR" w:bidi="fr-FR"/>
        </w:rPr>
        <w:drawing>
          <wp:inline distT="0" distB="0" distL="0" distR="0" wp14:anchorId="44005D0C" wp14:editId="5CFE6ED3">
            <wp:extent cx="114300" cy="106678"/>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7" cstate="print"/>
                    <a:stretch>
                      <a:fillRect/>
                    </a:stretch>
                  </pic:blipFill>
                  <pic:spPr>
                    <a:xfrm>
                      <a:off x="0" y="0"/>
                      <a:ext cx="114300" cy="106678"/>
                    </a:xfrm>
                    <a:prstGeom prst="rect">
                      <a:avLst/>
                    </a:prstGeom>
                  </pic:spPr>
                </pic:pic>
              </a:graphicData>
            </a:graphic>
          </wp:inline>
        </w:drawing>
      </w:r>
      <w:r>
        <w:rPr>
          <w:spacing w:val="80"/>
          <w:w w:val="150"/>
          <w:sz w:val="20"/>
          <w:lang w:val="fr-FR" w:bidi="fr-FR"/>
        </w:rPr>
        <w:t xml:space="preserve"> </w:t>
      </w:r>
      <w:r>
        <w:rPr>
          <w:lang w:val="fr-FR" w:bidi="fr-FR"/>
        </w:rPr>
        <w:t>Le bureau de pays devrait évacuer le personnel recruté sur le plan international non essentiel vers X [pays] pendant un mois. Le bureau compte actuellement 10 personnes ayant le statut de personnel non essentiel.</w:t>
      </w:r>
    </w:p>
    <w:p w14:paraId="745E551B" w14:textId="77777777" w:rsidR="000F60D6" w:rsidRPr="00F07BC0" w:rsidRDefault="00C55FAC">
      <w:pPr>
        <w:pStyle w:val="BodyText"/>
        <w:spacing w:line="267" w:lineRule="exact"/>
        <w:ind w:left="460"/>
        <w:rPr>
          <w:lang w:val="fr-FR"/>
        </w:rPr>
      </w:pPr>
      <w:r>
        <w:rPr>
          <w:noProof/>
          <w:lang w:val="fr-FR" w:bidi="fr-FR"/>
        </w:rPr>
        <w:drawing>
          <wp:inline distT="0" distB="0" distL="0" distR="0" wp14:anchorId="27EE69D9" wp14:editId="005F7178">
            <wp:extent cx="114300" cy="106679"/>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Le montant des indemnités journalières de subsistance à/en/au/aux X [pays] est de 200 dollars.</w:t>
      </w:r>
    </w:p>
    <w:p w14:paraId="61F3F554" w14:textId="77777777" w:rsidR="000F60D6" w:rsidRPr="00F07BC0" w:rsidRDefault="00C55FAC">
      <w:pPr>
        <w:pStyle w:val="BodyText"/>
        <w:spacing w:before="22"/>
        <w:ind w:left="460"/>
        <w:rPr>
          <w:lang w:val="fr-FR"/>
        </w:rPr>
      </w:pPr>
      <w:r>
        <w:rPr>
          <w:noProof/>
          <w:lang w:val="fr-FR" w:bidi="fr-FR"/>
        </w:rPr>
        <w:drawing>
          <wp:inline distT="0" distB="0" distL="0" distR="0" wp14:anchorId="6890AE95" wp14:editId="1186677F">
            <wp:extent cx="114300" cy="106679"/>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Le montant des indemnités journalières de subsistance dans le bureau de pays est de 150 dollars.</w:t>
      </w:r>
    </w:p>
    <w:p w14:paraId="67176F8E" w14:textId="77777777" w:rsidR="000F60D6" w:rsidRPr="00F07BC0" w:rsidRDefault="00C55FAC">
      <w:pPr>
        <w:pStyle w:val="BodyText"/>
        <w:spacing w:before="22"/>
        <w:ind w:left="460"/>
        <w:rPr>
          <w:lang w:val="fr-FR"/>
        </w:rPr>
      </w:pPr>
      <w:r>
        <w:rPr>
          <w:noProof/>
          <w:lang w:val="fr-FR" w:bidi="fr-FR"/>
        </w:rPr>
        <w:drawing>
          <wp:inline distT="0" distB="0" distL="0" distR="0" wp14:anchorId="6C3D1B12" wp14:editId="7F447A9F">
            <wp:extent cx="114300" cy="106679"/>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La crise pourrait se prolonger durant trois mois de plus.</w:t>
      </w:r>
    </w:p>
    <w:p w14:paraId="091F84D7" w14:textId="77777777" w:rsidR="000F60D6" w:rsidRPr="00F07BC0" w:rsidRDefault="00C55FAC">
      <w:pPr>
        <w:spacing w:before="180"/>
        <w:ind w:left="100"/>
        <w:rPr>
          <w:b/>
          <w:lang w:val="fr-FR"/>
        </w:rPr>
      </w:pPr>
      <w:r>
        <w:rPr>
          <w:b/>
          <w:u w:val="single"/>
          <w:lang w:val="fr-FR" w:bidi="fr-FR"/>
        </w:rPr>
        <w:t>Quelles sont les conséquences financières sur le bureau de pays ?</w:t>
      </w:r>
    </w:p>
    <w:p w14:paraId="1937CEF3" w14:textId="77777777" w:rsidR="000F60D6" w:rsidRPr="00F07BC0" w:rsidRDefault="000F60D6">
      <w:pPr>
        <w:pStyle w:val="BodyText"/>
        <w:spacing w:before="5"/>
        <w:rPr>
          <w:b/>
          <w:sz w:val="17"/>
          <w:lang w:val="fr-FR"/>
        </w:rPr>
      </w:pPr>
    </w:p>
    <w:p w14:paraId="0D0B0584" w14:textId="77777777" w:rsidR="000F60D6" w:rsidRPr="00F07BC0" w:rsidRDefault="00C55FAC">
      <w:pPr>
        <w:pStyle w:val="ListParagraph"/>
        <w:numPr>
          <w:ilvl w:val="2"/>
          <w:numId w:val="5"/>
        </w:numPr>
        <w:tabs>
          <w:tab w:val="left" w:pos="820"/>
        </w:tabs>
        <w:spacing w:before="56" w:line="259" w:lineRule="auto"/>
        <w:ind w:right="815"/>
        <w:jc w:val="left"/>
        <w:rPr>
          <w:b/>
          <w:lang w:val="fr-FR"/>
        </w:rPr>
      </w:pPr>
      <w:r>
        <w:rPr>
          <w:lang w:val="fr-FR" w:bidi="fr-FR"/>
        </w:rPr>
        <w:t xml:space="preserve">Coût que représente l’embauche de deux consultants de niveau P4 pour évaluer et réorienter le programme existant, calculé comme suit : 7 000 dollars x 3 mois x 2 consultants = </w:t>
      </w:r>
      <w:r>
        <w:rPr>
          <w:b/>
          <w:u w:val="single"/>
          <w:lang w:val="fr-FR" w:bidi="fr-FR"/>
        </w:rPr>
        <w:t>42 000</w:t>
      </w:r>
      <w:r>
        <w:rPr>
          <w:lang w:val="fr-FR" w:bidi="fr-FR"/>
        </w:rPr>
        <w:t> dollars.</w:t>
      </w:r>
    </w:p>
    <w:p w14:paraId="7ADF4622" w14:textId="77777777" w:rsidR="000F60D6" w:rsidRPr="00F07BC0" w:rsidRDefault="000F60D6">
      <w:pPr>
        <w:pStyle w:val="BodyText"/>
        <w:spacing w:before="2"/>
        <w:rPr>
          <w:b/>
          <w:sz w:val="19"/>
          <w:lang w:val="fr-FR"/>
        </w:rPr>
      </w:pPr>
    </w:p>
    <w:p w14:paraId="6292747F" w14:textId="77777777" w:rsidR="000F60D6" w:rsidRPr="00F07BC0" w:rsidRDefault="00C55FAC">
      <w:pPr>
        <w:pStyle w:val="ListParagraph"/>
        <w:numPr>
          <w:ilvl w:val="2"/>
          <w:numId w:val="5"/>
        </w:numPr>
        <w:tabs>
          <w:tab w:val="left" w:pos="820"/>
        </w:tabs>
        <w:spacing w:before="56" w:line="259" w:lineRule="auto"/>
        <w:ind w:right="624" w:hanging="527"/>
        <w:jc w:val="left"/>
        <w:rPr>
          <w:lang w:val="fr-FR"/>
        </w:rPr>
      </w:pPr>
      <w:r>
        <w:rPr>
          <w:lang w:val="fr-FR" w:bidi="fr-FR"/>
        </w:rPr>
        <w:t>Coût de déploiement des renforts disponibles pour aider le bureau de pays à faire face à la crise (par exemple, un ou une spécialiste du relèvement rapide et un ou une conseiller/conseillère sur les opérations, ces deux personnes étant de niveau P3), en plus des indemnités journalières de subsistance :</w:t>
      </w:r>
    </w:p>
    <w:p w14:paraId="278C0694" w14:textId="77777777" w:rsidR="000F60D6" w:rsidRDefault="00C55FAC">
      <w:pPr>
        <w:pStyle w:val="ListParagraph"/>
        <w:numPr>
          <w:ilvl w:val="3"/>
          <w:numId w:val="5"/>
        </w:numPr>
        <w:tabs>
          <w:tab w:val="left" w:pos="1538"/>
        </w:tabs>
        <w:spacing w:before="1"/>
        <w:ind w:left="1538" w:hanging="358"/>
      </w:pPr>
      <w:r>
        <w:rPr>
          <w:lang w:val="fr-FR" w:bidi="fr-FR"/>
        </w:rPr>
        <w:t>Salaires = 6 000 dollars x 3 mois x 2 = 36 000 dollars.</w:t>
      </w:r>
    </w:p>
    <w:p w14:paraId="41E51875" w14:textId="77777777" w:rsidR="000F60D6" w:rsidRPr="00F07BC0" w:rsidRDefault="00C55FAC">
      <w:pPr>
        <w:pStyle w:val="ListParagraph"/>
        <w:numPr>
          <w:ilvl w:val="3"/>
          <w:numId w:val="5"/>
        </w:numPr>
        <w:tabs>
          <w:tab w:val="left" w:pos="1539"/>
        </w:tabs>
        <w:spacing w:before="21"/>
        <w:ind w:left="1539" w:hanging="359"/>
        <w:rPr>
          <w:lang w:val="fr-FR"/>
        </w:rPr>
      </w:pPr>
      <w:r>
        <w:rPr>
          <w:lang w:val="fr-FR" w:bidi="fr-FR"/>
        </w:rPr>
        <w:t>Indemnités journalières de subsistance = 4 500 dollars x 3 mois x 2 = 27 000 dollars.</w:t>
      </w:r>
    </w:p>
    <w:p w14:paraId="0CE81F4B" w14:textId="77777777" w:rsidR="000F60D6" w:rsidRDefault="00C55FAC">
      <w:pPr>
        <w:pStyle w:val="ListParagraph"/>
        <w:numPr>
          <w:ilvl w:val="3"/>
          <w:numId w:val="5"/>
        </w:numPr>
        <w:tabs>
          <w:tab w:val="left" w:pos="1540"/>
          <w:tab w:val="left" w:pos="4720"/>
        </w:tabs>
        <w:rPr>
          <w:b/>
        </w:rPr>
      </w:pPr>
      <w:r>
        <w:rPr>
          <w:b/>
          <w:spacing w:val="-2"/>
          <w:u w:val="single"/>
          <w:lang w:val="fr-FR" w:bidi="fr-FR"/>
        </w:rPr>
        <w:t>Total =</w:t>
      </w:r>
      <w:r>
        <w:rPr>
          <w:b/>
          <w:spacing w:val="-2"/>
          <w:u w:val="single"/>
          <w:lang w:val="fr-FR" w:bidi="fr-FR"/>
        </w:rPr>
        <w:tab/>
        <w:t>63 000 dollars.</w:t>
      </w:r>
    </w:p>
    <w:p w14:paraId="40052B1B" w14:textId="77777777" w:rsidR="000F60D6" w:rsidRPr="00F07BC0" w:rsidRDefault="00C55FAC">
      <w:pPr>
        <w:pStyle w:val="ListParagraph"/>
        <w:numPr>
          <w:ilvl w:val="2"/>
          <w:numId w:val="5"/>
        </w:numPr>
        <w:tabs>
          <w:tab w:val="left" w:pos="820"/>
        </w:tabs>
        <w:spacing w:before="22" w:line="259" w:lineRule="auto"/>
        <w:ind w:right="5241" w:hanging="582"/>
        <w:jc w:val="left"/>
        <w:rPr>
          <w:b/>
          <w:lang w:val="fr-FR"/>
        </w:rPr>
      </w:pPr>
      <w:r>
        <w:rPr>
          <w:lang w:val="fr-FR" w:bidi="fr-FR"/>
        </w:rPr>
        <w:t>Coût de l’évacuation du personnel recruté sur le plan international : 10 personnes x 30 jours x 200 dollars </w:t>
      </w:r>
      <w:r>
        <w:rPr>
          <w:b/>
          <w:u w:val="single"/>
          <w:lang w:val="fr-FR" w:bidi="fr-FR"/>
        </w:rPr>
        <w:t>= 60 000 dollars</w:t>
      </w:r>
      <w:r>
        <w:rPr>
          <w:lang w:val="fr-FR" w:bidi="fr-FR"/>
        </w:rPr>
        <w:t>.</w:t>
      </w:r>
    </w:p>
    <w:p w14:paraId="215380C1" w14:textId="77777777" w:rsidR="000F60D6" w:rsidRPr="00F07BC0" w:rsidRDefault="000F60D6">
      <w:pPr>
        <w:pStyle w:val="BodyText"/>
        <w:rPr>
          <w:b/>
          <w:sz w:val="20"/>
          <w:lang w:val="fr-FR"/>
        </w:rPr>
      </w:pPr>
    </w:p>
    <w:p w14:paraId="1B7F2CB4" w14:textId="77777777" w:rsidR="000F60D6" w:rsidRPr="00354A06" w:rsidRDefault="00C55FAC">
      <w:pPr>
        <w:spacing w:before="183"/>
        <w:ind w:left="100"/>
        <w:rPr>
          <w:b/>
          <w:lang w:val="es-ES"/>
        </w:rPr>
      </w:pPr>
      <w:r w:rsidRPr="00354A06">
        <w:rPr>
          <w:b/>
          <w:lang w:val="es-ES" w:bidi="fr-FR"/>
        </w:rPr>
        <w:t>Scénario idéal : 0.</w:t>
      </w:r>
    </w:p>
    <w:p w14:paraId="78E2BEE4" w14:textId="77777777" w:rsidR="000F60D6" w:rsidRPr="00354A06" w:rsidRDefault="00C55FAC">
      <w:pPr>
        <w:spacing w:before="1"/>
        <w:ind w:left="100"/>
        <w:rPr>
          <w:b/>
          <w:lang w:val="es-ES"/>
        </w:rPr>
      </w:pPr>
      <w:r w:rsidRPr="00354A06">
        <w:rPr>
          <w:b/>
          <w:lang w:val="es-ES" w:bidi="fr-FR"/>
        </w:rPr>
        <w:t>Scénario probable : 165 000 dollars.</w:t>
      </w:r>
    </w:p>
    <w:p w14:paraId="2DC2384D" w14:textId="77777777" w:rsidR="000F60D6" w:rsidRPr="00F07BC0" w:rsidRDefault="00C55FAC">
      <w:pPr>
        <w:ind w:left="100"/>
        <w:rPr>
          <w:b/>
          <w:lang w:val="fr-FR"/>
        </w:rPr>
      </w:pPr>
      <w:r>
        <w:rPr>
          <w:b/>
          <w:lang w:val="fr-FR" w:bidi="fr-FR"/>
        </w:rPr>
        <w:t>Pire scénario : si l’événement venait à se prolonger pendant trois mois supplémentaires, les coûts pour le bureau pourraient atteindre 330 000 dollars.</w:t>
      </w:r>
    </w:p>
    <w:p w14:paraId="0EF6A509" w14:textId="0C6975C3" w:rsidR="000F60D6" w:rsidRPr="00F07BC0" w:rsidRDefault="00FE57BC">
      <w:pPr>
        <w:pStyle w:val="BodyText"/>
        <w:spacing w:before="1"/>
        <w:rPr>
          <w:b/>
          <w:lang w:val="fr-FR"/>
        </w:rPr>
      </w:pPr>
      <w:r>
        <w:rPr>
          <w:noProof/>
          <w:lang w:val="fr-FR" w:bidi="fr-FR"/>
        </w:rPr>
        <w:drawing>
          <wp:anchor distT="0" distB="0" distL="0" distR="0" simplePos="0" relativeHeight="251657216" behindDoc="0" locked="0" layoutInCell="1" allowOverlap="1" wp14:anchorId="012113FC" wp14:editId="0D4528BC">
            <wp:simplePos x="0" y="0"/>
            <wp:positionH relativeFrom="page">
              <wp:posOffset>4305300</wp:posOffset>
            </wp:positionH>
            <wp:positionV relativeFrom="paragraph">
              <wp:posOffset>78740</wp:posOffset>
            </wp:positionV>
            <wp:extent cx="2671912" cy="2149080"/>
            <wp:effectExtent l="0" t="0" r="0" b="381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912" cy="2149080"/>
                    </a:xfrm>
                    <a:prstGeom prst="rect">
                      <a:avLst/>
                    </a:prstGeom>
                  </pic:spPr>
                </pic:pic>
              </a:graphicData>
            </a:graphic>
            <wp14:sizeRelV relativeFrom="margin">
              <wp14:pctHeight>0</wp14:pctHeight>
            </wp14:sizeRelV>
          </wp:anchor>
        </w:drawing>
      </w:r>
    </w:p>
    <w:p w14:paraId="2726138D" w14:textId="5F9C667D" w:rsidR="000F60D6" w:rsidRPr="00F07BC0" w:rsidRDefault="00C55FAC">
      <w:pPr>
        <w:pStyle w:val="ListParagraph"/>
        <w:numPr>
          <w:ilvl w:val="0"/>
          <w:numId w:val="4"/>
        </w:numPr>
        <w:tabs>
          <w:tab w:val="left" w:pos="820"/>
        </w:tabs>
        <w:spacing w:before="0"/>
        <w:rPr>
          <w:lang w:val="fr-FR"/>
        </w:rPr>
      </w:pPr>
      <w:r>
        <w:rPr>
          <w:lang w:val="fr-FR" w:bidi="fr-FR"/>
        </w:rPr>
        <w:t>Risque en matière de réputation : s. o.</w:t>
      </w:r>
    </w:p>
    <w:p w14:paraId="7AC8D46C" w14:textId="2E8ECA22" w:rsidR="000F60D6" w:rsidRPr="00F07BC0" w:rsidRDefault="00C55FAC">
      <w:pPr>
        <w:pStyle w:val="ListParagraph"/>
        <w:numPr>
          <w:ilvl w:val="0"/>
          <w:numId w:val="4"/>
        </w:numPr>
        <w:tabs>
          <w:tab w:val="left" w:pos="820"/>
        </w:tabs>
        <w:spacing w:before="22"/>
        <w:rPr>
          <w:lang w:val="fr-FR"/>
        </w:rPr>
      </w:pPr>
      <w:r>
        <w:rPr>
          <w:lang w:val="fr-FR" w:bidi="fr-FR"/>
        </w:rPr>
        <w:t>Risque en matière de sûreté et de sécurité : modéré</w:t>
      </w:r>
    </w:p>
    <w:p w14:paraId="058A2907" w14:textId="07FB73FB" w:rsidR="000F60D6" w:rsidRDefault="00C55FAC">
      <w:pPr>
        <w:pStyle w:val="ListParagraph"/>
        <w:numPr>
          <w:ilvl w:val="0"/>
          <w:numId w:val="4"/>
        </w:numPr>
        <w:tabs>
          <w:tab w:val="left" w:pos="820"/>
        </w:tabs>
      </w:pPr>
      <w:r>
        <w:rPr>
          <w:lang w:val="fr-FR" w:bidi="fr-FR"/>
        </w:rPr>
        <w:t>Risque opérationnel : modéré</w:t>
      </w:r>
    </w:p>
    <w:p w14:paraId="20549357" w14:textId="2A1EDAC6" w:rsidR="000F60D6" w:rsidRPr="00F07BC0" w:rsidRDefault="00C55FAC">
      <w:pPr>
        <w:pStyle w:val="ListParagraph"/>
        <w:numPr>
          <w:ilvl w:val="0"/>
          <w:numId w:val="4"/>
        </w:numPr>
        <w:tabs>
          <w:tab w:val="left" w:pos="820"/>
        </w:tabs>
        <w:spacing w:before="22"/>
        <w:rPr>
          <w:lang w:val="fr-FR"/>
        </w:rPr>
      </w:pPr>
      <w:r>
        <w:rPr>
          <w:lang w:val="fr-FR" w:bidi="fr-FR"/>
        </w:rPr>
        <w:t>Risque en matière de conformité : faible</w:t>
      </w:r>
    </w:p>
    <w:p w14:paraId="67A52102" w14:textId="26EDC247" w:rsidR="000F60D6" w:rsidRPr="00F07BC0" w:rsidRDefault="00C55FAC">
      <w:pPr>
        <w:pStyle w:val="ListParagraph"/>
        <w:numPr>
          <w:ilvl w:val="0"/>
          <w:numId w:val="4"/>
        </w:numPr>
        <w:tabs>
          <w:tab w:val="left" w:pos="820"/>
        </w:tabs>
        <w:rPr>
          <w:lang w:val="fr-FR"/>
        </w:rPr>
      </w:pPr>
      <w:r>
        <w:rPr>
          <w:lang w:val="fr-FR" w:bidi="fr-FR"/>
        </w:rPr>
        <w:t>Risque sur les résultats en matière de développement :</w:t>
      </w:r>
      <w:r w:rsidR="00EC61F4">
        <w:rPr>
          <w:lang w:val="fr-FR" w:bidi="fr-FR"/>
        </w:rPr>
        <w:br/>
      </w:r>
      <w:r>
        <w:rPr>
          <w:lang w:val="fr-FR" w:bidi="fr-FR"/>
        </w:rPr>
        <w:t>élevé</w:t>
      </w:r>
    </w:p>
    <w:p w14:paraId="44F0309A" w14:textId="77777777" w:rsidR="000F60D6" w:rsidRPr="00F07BC0" w:rsidRDefault="000F60D6">
      <w:pPr>
        <w:pStyle w:val="BodyText"/>
        <w:rPr>
          <w:sz w:val="28"/>
          <w:lang w:val="fr-FR"/>
        </w:rPr>
      </w:pPr>
    </w:p>
    <w:p w14:paraId="4D856CD8" w14:textId="77777777" w:rsidR="000F60D6" w:rsidRPr="00F07BC0" w:rsidRDefault="000F60D6">
      <w:pPr>
        <w:pStyle w:val="BodyText"/>
        <w:rPr>
          <w:sz w:val="28"/>
          <w:lang w:val="fr-FR"/>
        </w:rPr>
      </w:pPr>
    </w:p>
    <w:p w14:paraId="12AD7FB3" w14:textId="77777777" w:rsidR="000F60D6" w:rsidRPr="00F07BC0" w:rsidRDefault="000F60D6">
      <w:pPr>
        <w:pStyle w:val="BodyText"/>
        <w:rPr>
          <w:sz w:val="28"/>
          <w:lang w:val="fr-FR"/>
        </w:rPr>
      </w:pPr>
    </w:p>
    <w:p w14:paraId="2508B8B7" w14:textId="77777777" w:rsidR="000F60D6" w:rsidRPr="00F07BC0" w:rsidRDefault="000F60D6">
      <w:pPr>
        <w:pStyle w:val="BodyText"/>
        <w:rPr>
          <w:sz w:val="28"/>
          <w:lang w:val="fr-FR"/>
        </w:rPr>
      </w:pPr>
    </w:p>
    <w:p w14:paraId="62A0AB70" w14:textId="77777777" w:rsidR="000F60D6" w:rsidRPr="008C54BC" w:rsidRDefault="000F60D6">
      <w:pPr>
        <w:pStyle w:val="BodyText"/>
        <w:rPr>
          <w:sz w:val="16"/>
          <w:szCs w:val="16"/>
          <w:lang w:val="fr-FR"/>
        </w:rPr>
      </w:pPr>
    </w:p>
    <w:p w14:paraId="48DDC533" w14:textId="77777777" w:rsidR="000F60D6" w:rsidRPr="00F07BC0" w:rsidRDefault="000F60D6">
      <w:pPr>
        <w:pStyle w:val="BodyText"/>
        <w:spacing w:before="8"/>
        <w:rPr>
          <w:sz w:val="34"/>
          <w:lang w:val="fr-FR"/>
        </w:rPr>
      </w:pPr>
    </w:p>
    <w:p w14:paraId="7EE30360" w14:textId="3C79F322" w:rsidR="000F60D6" w:rsidRDefault="00C55FAC">
      <w:pPr>
        <w:spacing w:before="1"/>
        <w:ind w:left="6475"/>
        <w:rPr>
          <w:b/>
        </w:rPr>
      </w:pPr>
      <w:r>
        <w:rPr>
          <w:b/>
          <w:u w:val="single"/>
          <w:lang w:val="fr-FR" w:bidi="fr-FR"/>
        </w:rPr>
        <w:t>Cartographie des risques –</w:t>
      </w:r>
      <w:r w:rsidR="00996C54">
        <w:rPr>
          <w:b/>
          <w:u w:val="single"/>
          <w:lang w:val="fr-FR" w:bidi="fr-FR"/>
        </w:rPr>
        <w:t> </w:t>
      </w:r>
      <w:r>
        <w:rPr>
          <w:b/>
          <w:u w:val="single"/>
          <w:lang w:val="fr-FR" w:bidi="fr-FR"/>
        </w:rPr>
        <w:t>Exemple 1</w:t>
      </w:r>
    </w:p>
    <w:p w14:paraId="66056F83" w14:textId="77777777" w:rsidR="000F60D6" w:rsidRDefault="000F60D6">
      <w:pPr>
        <w:sectPr w:rsidR="000F60D6" w:rsidSect="001867E2">
          <w:pgSz w:w="12240" w:h="15840"/>
          <w:pgMar w:top="1400" w:right="1000" w:bottom="280" w:left="980" w:header="720" w:footer="720" w:gutter="0"/>
          <w:cols w:space="720"/>
        </w:sectPr>
      </w:pPr>
    </w:p>
    <w:p w14:paraId="7993D552" w14:textId="77777777" w:rsidR="000F60D6" w:rsidRDefault="00C55FAC">
      <w:pPr>
        <w:pStyle w:val="ListParagraph"/>
        <w:numPr>
          <w:ilvl w:val="0"/>
          <w:numId w:val="5"/>
        </w:numPr>
        <w:tabs>
          <w:tab w:val="left" w:pos="459"/>
        </w:tabs>
        <w:spacing w:before="27"/>
        <w:ind w:left="459" w:hanging="359"/>
        <w:rPr>
          <w:b/>
        </w:rPr>
      </w:pPr>
      <w:r>
        <w:rPr>
          <w:b/>
          <w:u w:val="single"/>
          <w:lang w:val="fr-FR" w:bidi="fr-FR"/>
        </w:rPr>
        <w:lastRenderedPageBreak/>
        <w:t>Catégorie : risques politiques</w:t>
      </w:r>
    </w:p>
    <w:p w14:paraId="376B97BC" w14:textId="77777777" w:rsidR="000F60D6" w:rsidRDefault="000F60D6">
      <w:pPr>
        <w:pStyle w:val="BodyText"/>
        <w:spacing w:before="2"/>
        <w:rPr>
          <w:b/>
          <w:sz w:val="10"/>
        </w:rPr>
      </w:pPr>
    </w:p>
    <w:p w14:paraId="35A8E555" w14:textId="77777777" w:rsidR="000F60D6" w:rsidRDefault="00C55FAC">
      <w:pPr>
        <w:spacing w:before="57"/>
        <w:ind w:left="100"/>
        <w:rPr>
          <w:b/>
        </w:rPr>
      </w:pPr>
      <w:r>
        <w:rPr>
          <w:b/>
          <w:u w:val="single"/>
          <w:lang w:val="fr-FR" w:bidi="fr-FR"/>
        </w:rPr>
        <w:t>Sous-catégorie : changement de gouvernement</w:t>
      </w:r>
    </w:p>
    <w:p w14:paraId="2B72C625" w14:textId="77777777" w:rsidR="000F60D6" w:rsidRDefault="000F60D6">
      <w:pPr>
        <w:pStyle w:val="BodyText"/>
        <w:spacing w:before="4"/>
        <w:rPr>
          <w:b/>
          <w:sz w:val="10"/>
        </w:rPr>
      </w:pPr>
    </w:p>
    <w:p w14:paraId="6D28523B" w14:textId="77777777" w:rsidR="000F60D6" w:rsidRPr="00F07BC0" w:rsidRDefault="00C55FAC">
      <w:pPr>
        <w:pStyle w:val="BodyText"/>
        <w:spacing w:before="56" w:line="267" w:lineRule="exact"/>
        <w:ind w:left="100"/>
        <w:rPr>
          <w:lang w:val="fr-FR"/>
        </w:rPr>
      </w:pPr>
      <w:r>
        <w:rPr>
          <w:b/>
          <w:i/>
          <w:u w:val="single"/>
          <w:lang w:val="fr-FR" w:bidi="fr-FR"/>
        </w:rPr>
        <w:t>Événement :</w:t>
      </w:r>
      <w:r>
        <w:rPr>
          <w:lang w:val="fr-FR" w:bidi="fr-FR"/>
        </w:rPr>
        <w:t xml:space="preserve"> changement dans la direction et/ou les priorités du gouvernement</w:t>
      </w:r>
    </w:p>
    <w:p w14:paraId="3EE784A4" w14:textId="77777777" w:rsidR="000F60D6" w:rsidRPr="00F07BC0" w:rsidRDefault="00C55FAC">
      <w:pPr>
        <w:pStyle w:val="BodyText"/>
        <w:spacing w:line="267" w:lineRule="exact"/>
        <w:ind w:left="100"/>
        <w:rPr>
          <w:lang w:val="fr-FR"/>
        </w:rPr>
      </w:pPr>
      <w:r>
        <w:rPr>
          <w:b/>
          <w:u w:val="single"/>
          <w:lang w:val="fr-FR" w:bidi="fr-FR"/>
        </w:rPr>
        <w:t>Cause :</w:t>
      </w:r>
      <w:r>
        <w:rPr>
          <w:lang w:val="fr-FR" w:bidi="fr-FR"/>
        </w:rPr>
        <w:t xml:space="preserve"> nouveau gouvernement ou changements parmi les fonctionnaires clés de haut rang</w:t>
      </w:r>
    </w:p>
    <w:p w14:paraId="52D84DEF" w14:textId="77777777" w:rsidR="000F60D6" w:rsidRPr="00F07BC0" w:rsidRDefault="00C55FAC">
      <w:pPr>
        <w:pStyle w:val="BodyText"/>
        <w:ind w:left="100"/>
        <w:rPr>
          <w:lang w:val="fr-FR"/>
        </w:rPr>
      </w:pPr>
      <w:r>
        <w:rPr>
          <w:b/>
          <w:u w:val="single"/>
          <w:lang w:val="fr-FR" w:bidi="fr-FR"/>
        </w:rPr>
        <w:t xml:space="preserve">Impact : </w:t>
      </w:r>
      <w:r>
        <w:rPr>
          <w:lang w:val="fr-FR" w:bidi="fr-FR"/>
        </w:rPr>
        <w:t>ralentissement dans la mise en œuvre du programme</w:t>
      </w:r>
    </w:p>
    <w:p w14:paraId="4F32B92B" w14:textId="77777777" w:rsidR="000F60D6" w:rsidRDefault="00C55FAC">
      <w:pPr>
        <w:spacing w:before="1"/>
        <w:ind w:left="100"/>
      </w:pPr>
      <w:r>
        <w:rPr>
          <w:b/>
          <w:u w:val="single"/>
          <w:lang w:val="fr-FR" w:bidi="fr-FR"/>
        </w:rPr>
        <w:t>Probabilité :</w:t>
      </w:r>
      <w:r>
        <w:rPr>
          <w:lang w:val="fr-FR" w:bidi="fr-FR"/>
        </w:rPr>
        <w:t xml:space="preserve"> faible</w:t>
      </w:r>
    </w:p>
    <w:p w14:paraId="67F67D50" w14:textId="77777777" w:rsidR="000F60D6" w:rsidRDefault="00C55FAC">
      <w:pPr>
        <w:ind w:left="100"/>
        <w:rPr>
          <w:b/>
        </w:rPr>
      </w:pPr>
      <w:r>
        <w:rPr>
          <w:b/>
          <w:spacing w:val="-2"/>
          <w:u w:val="single"/>
          <w:lang w:val="fr-FR" w:bidi="fr-FR"/>
        </w:rPr>
        <w:t>Conséquences :</w:t>
      </w:r>
    </w:p>
    <w:p w14:paraId="763245F8" w14:textId="6DB14731" w:rsidR="000F60D6" w:rsidRDefault="00C55FAC">
      <w:pPr>
        <w:pStyle w:val="ListParagraph"/>
        <w:numPr>
          <w:ilvl w:val="0"/>
          <w:numId w:val="3"/>
        </w:numPr>
        <w:tabs>
          <w:tab w:val="left" w:pos="870"/>
        </w:tabs>
        <w:spacing w:before="183"/>
        <w:ind w:hanging="410"/>
      </w:pPr>
      <w:r>
        <w:rPr>
          <w:lang w:val="fr-FR" w:bidi="fr-FR"/>
        </w:rPr>
        <w:t>Financières –</w:t>
      </w:r>
      <w:r w:rsidR="00996C54">
        <w:rPr>
          <w:lang w:val="fr-FR" w:bidi="fr-FR"/>
        </w:rPr>
        <w:t> </w:t>
      </w:r>
      <w:r>
        <w:rPr>
          <w:lang w:val="fr-FR" w:bidi="fr-FR"/>
        </w:rPr>
        <w:t>faibles</w:t>
      </w:r>
    </w:p>
    <w:p w14:paraId="01B3281E" w14:textId="77777777" w:rsidR="000F60D6" w:rsidRPr="00F07BC0" w:rsidRDefault="00C55FAC">
      <w:pPr>
        <w:pStyle w:val="BodyText"/>
        <w:spacing w:before="180"/>
        <w:ind w:left="100"/>
        <w:rPr>
          <w:lang w:val="fr-FR"/>
        </w:rPr>
      </w:pPr>
      <w:r>
        <w:rPr>
          <w:lang w:val="fr-FR" w:bidi="fr-FR"/>
        </w:rPr>
        <w:t>Si un tel événement se produisait, quelles en seraient les conséquences financières ?</w:t>
      </w:r>
    </w:p>
    <w:p w14:paraId="5116C576" w14:textId="77777777" w:rsidR="000F60D6" w:rsidRPr="00F07BC0" w:rsidRDefault="00C55FAC">
      <w:pPr>
        <w:spacing w:before="181"/>
        <w:ind w:left="100"/>
        <w:rPr>
          <w:b/>
          <w:lang w:val="fr-FR"/>
        </w:rPr>
      </w:pPr>
      <w:r>
        <w:rPr>
          <w:b/>
          <w:u w:val="single"/>
          <w:lang w:val="fr-FR" w:bidi="fr-FR"/>
        </w:rPr>
        <w:t>Exemples d’hypothèses :</w:t>
      </w:r>
    </w:p>
    <w:p w14:paraId="71A23368" w14:textId="77777777" w:rsidR="000F60D6" w:rsidRPr="00F07BC0" w:rsidRDefault="00C55FAC">
      <w:pPr>
        <w:pStyle w:val="BodyText"/>
        <w:spacing w:before="183" w:line="259" w:lineRule="auto"/>
        <w:ind w:left="820" w:right="154" w:hanging="361"/>
        <w:rPr>
          <w:lang w:val="fr-FR"/>
        </w:rPr>
      </w:pPr>
      <w:r>
        <w:rPr>
          <w:noProof/>
          <w:lang w:val="fr-FR" w:bidi="fr-FR"/>
        </w:rPr>
        <w:drawing>
          <wp:inline distT="0" distB="0" distL="0" distR="0" wp14:anchorId="762B50EB" wp14:editId="76CC3630">
            <wp:extent cx="114300" cy="106679"/>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Le nouveau gouvernement connaît peu les programmes du PNUD et exige la présence à temps plein de représentants du PNUD au sein du Ministère de la planification.</w:t>
      </w:r>
    </w:p>
    <w:p w14:paraId="769B1111" w14:textId="77777777" w:rsidR="000F60D6" w:rsidRPr="00F07BC0" w:rsidRDefault="00C55FAC">
      <w:pPr>
        <w:pStyle w:val="BodyText"/>
        <w:spacing w:line="267" w:lineRule="exact"/>
        <w:ind w:left="460"/>
        <w:rPr>
          <w:lang w:val="fr-FR"/>
        </w:rPr>
      </w:pPr>
      <w:r>
        <w:rPr>
          <w:noProof/>
          <w:lang w:val="fr-FR" w:bidi="fr-FR"/>
        </w:rPr>
        <w:drawing>
          <wp:inline distT="0" distB="0" distL="0" distR="0" wp14:anchorId="1347C228" wp14:editId="42F02F9B">
            <wp:extent cx="114300" cy="106679"/>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Le changement de gouvernement ne suspendra pas les programmes existants.</w:t>
      </w:r>
    </w:p>
    <w:p w14:paraId="35EAB5C8" w14:textId="77777777" w:rsidR="000F60D6" w:rsidRPr="00F07BC0" w:rsidRDefault="00C55FAC">
      <w:pPr>
        <w:pStyle w:val="BodyText"/>
        <w:spacing w:before="21" w:line="259" w:lineRule="auto"/>
        <w:ind w:left="460" w:right="1167"/>
        <w:rPr>
          <w:lang w:val="fr-FR"/>
        </w:rPr>
      </w:pPr>
      <w:r>
        <w:rPr>
          <w:noProof/>
          <w:lang w:val="fr-FR" w:bidi="fr-FR"/>
        </w:rPr>
        <w:drawing>
          <wp:inline distT="0" distB="0" distL="0" distR="0" wp14:anchorId="135F1432" wp14:editId="41966F32">
            <wp:extent cx="114300" cy="106679"/>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lang w:val="fr-FR" w:bidi="fr-FR"/>
        </w:rPr>
        <w:t>Le dialogue continu et étroit avec le gouvernement pourrait donner de l’élan à la mise en œuvre.</w:t>
      </w:r>
      <w:r>
        <w:rPr>
          <w:lang w:val="fr-FR" w:bidi="fr-FR"/>
        </w:rPr>
        <w:br/>
      </w:r>
      <w:r>
        <w:rPr>
          <w:noProof/>
          <w:lang w:val="fr-FR" w:bidi="fr-FR"/>
        </w:rPr>
        <w:drawing>
          <wp:inline distT="0" distB="0" distL="0" distR="0" wp14:anchorId="4334B15F" wp14:editId="57856C0B">
            <wp:extent cx="114300" cy="106679"/>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7" cstate="print"/>
                    <a:stretch>
                      <a:fillRect/>
                    </a:stretch>
                  </pic:blipFill>
                  <pic:spPr>
                    <a:xfrm>
                      <a:off x="0" y="0"/>
                      <a:ext cx="114300" cy="106679"/>
                    </a:xfrm>
                    <a:prstGeom prst="rect">
                      <a:avLst/>
                    </a:prstGeom>
                  </pic:spPr>
                </pic:pic>
              </a:graphicData>
            </a:graphic>
          </wp:inline>
        </w:drawing>
      </w:r>
      <w:r>
        <w:rPr>
          <w:lang w:val="fr-FR" w:bidi="fr-FR"/>
        </w:rPr>
        <w:t xml:space="preserve"> Un salaire de niveau SB5 s’élève à 70 000 dollars par an.</w:t>
      </w:r>
    </w:p>
    <w:p w14:paraId="084C9632" w14:textId="77777777" w:rsidR="000F60D6" w:rsidRPr="00F07BC0" w:rsidRDefault="00C55FAC">
      <w:pPr>
        <w:spacing w:before="160"/>
        <w:ind w:left="100"/>
        <w:rPr>
          <w:b/>
          <w:lang w:val="fr-FR"/>
        </w:rPr>
      </w:pPr>
      <w:r>
        <w:rPr>
          <w:b/>
          <w:u w:val="single"/>
          <w:lang w:val="fr-FR" w:bidi="fr-FR"/>
        </w:rPr>
        <w:t>Quelles sont les conséquences financières sur le bureau de pays ?</w:t>
      </w:r>
    </w:p>
    <w:p w14:paraId="7D2ABC26" w14:textId="77777777" w:rsidR="000F60D6" w:rsidRPr="00F07BC0" w:rsidRDefault="000F60D6">
      <w:pPr>
        <w:pStyle w:val="BodyText"/>
        <w:spacing w:before="5"/>
        <w:rPr>
          <w:b/>
          <w:sz w:val="17"/>
          <w:lang w:val="fr-FR"/>
        </w:rPr>
      </w:pPr>
    </w:p>
    <w:p w14:paraId="6B8102A6" w14:textId="77777777" w:rsidR="000F60D6" w:rsidRPr="00F07BC0" w:rsidRDefault="00C55FAC">
      <w:pPr>
        <w:pStyle w:val="ListParagraph"/>
        <w:numPr>
          <w:ilvl w:val="0"/>
          <w:numId w:val="2"/>
        </w:numPr>
        <w:tabs>
          <w:tab w:val="left" w:pos="1180"/>
        </w:tabs>
        <w:spacing w:before="56" w:line="259" w:lineRule="auto"/>
        <w:ind w:right="231"/>
        <w:rPr>
          <w:lang w:val="fr-FR"/>
        </w:rPr>
      </w:pPr>
      <w:r>
        <w:rPr>
          <w:lang w:val="fr-FR" w:bidi="fr-FR"/>
        </w:rPr>
        <w:t>Coût associé à l’embauche d’un coordonnateur ou d’une coordonnatrice de projet de niveau SB5 intégré(e) au sein du Ministère de la planification pour garantir la continuité de la mise en œuvre du projet et fournir les orientations adéquates aux nouveaux acteurs clés concernant les programmes du PNUD : 70 000 dollars.</w:t>
      </w:r>
    </w:p>
    <w:p w14:paraId="4F4F9C74" w14:textId="77777777" w:rsidR="000F60D6" w:rsidRPr="00F07BC0" w:rsidRDefault="00C55FAC">
      <w:pPr>
        <w:pStyle w:val="ListParagraph"/>
        <w:numPr>
          <w:ilvl w:val="0"/>
          <w:numId w:val="2"/>
        </w:numPr>
        <w:tabs>
          <w:tab w:val="left" w:pos="1180"/>
        </w:tabs>
        <w:spacing w:before="0" w:line="259" w:lineRule="auto"/>
        <w:ind w:right="177" w:hanging="526"/>
        <w:rPr>
          <w:lang w:val="fr-FR"/>
        </w:rPr>
      </w:pPr>
      <w:r>
        <w:rPr>
          <w:lang w:val="fr-FR" w:bidi="fr-FR"/>
        </w:rPr>
        <w:t>Coût associé à l’organisation d’un atelier de deux jours visant à mobiliser les nouveaux interlocuteurs au sein du gouvernement concernant les priorités programmatiques actuelles du PNUD, lesquelles s’appuient sur les priorités nationales (l’objectif est de susciter l’engagement du gouvernement et d’encourager le maintien de la mise en œuvre du programme) : 20 000 dollars.</w:t>
      </w:r>
    </w:p>
    <w:p w14:paraId="3C31FB9D" w14:textId="77777777" w:rsidR="000F60D6" w:rsidRPr="00354A06" w:rsidRDefault="00C55FAC">
      <w:pPr>
        <w:spacing w:before="159"/>
        <w:ind w:left="100"/>
        <w:rPr>
          <w:b/>
          <w:lang w:val="es-ES"/>
        </w:rPr>
      </w:pPr>
      <w:r w:rsidRPr="00354A06">
        <w:rPr>
          <w:b/>
          <w:lang w:val="es-ES" w:bidi="fr-FR"/>
        </w:rPr>
        <w:t>Scénario idéal : 0.</w:t>
      </w:r>
    </w:p>
    <w:p w14:paraId="648E77F8" w14:textId="77777777" w:rsidR="000F60D6" w:rsidRPr="00354A06" w:rsidRDefault="00C55FAC">
      <w:pPr>
        <w:ind w:left="100"/>
        <w:rPr>
          <w:b/>
          <w:lang w:val="es-ES"/>
        </w:rPr>
      </w:pPr>
      <w:r w:rsidRPr="00354A06">
        <w:rPr>
          <w:b/>
          <w:lang w:val="es-ES" w:bidi="fr-FR"/>
        </w:rPr>
        <w:t>Scénario probable : 90 000 dollars.</w:t>
      </w:r>
    </w:p>
    <w:p w14:paraId="489D5F4D" w14:textId="77777777" w:rsidR="000F60D6" w:rsidRPr="00F07BC0" w:rsidRDefault="00C55FAC">
      <w:pPr>
        <w:ind w:left="100" w:right="154"/>
        <w:rPr>
          <w:b/>
          <w:lang w:val="fr-FR"/>
        </w:rPr>
      </w:pPr>
      <w:r>
        <w:rPr>
          <w:b/>
          <w:lang w:val="fr-FR" w:bidi="fr-FR"/>
        </w:rPr>
        <w:t>Pire scénario : 100 000 dollars (10 % de plus que les coûts du scénario probable, au cas où les coûts de l’atelier s’avèrent supérieurs en raison d’un plus grand nombre de participants).</w:t>
      </w:r>
    </w:p>
    <w:p w14:paraId="585DF0A0" w14:textId="77777777" w:rsidR="000F60D6" w:rsidRPr="00F07BC0" w:rsidRDefault="000F60D6">
      <w:pPr>
        <w:pStyle w:val="BodyText"/>
        <w:rPr>
          <w:b/>
          <w:lang w:val="fr-FR"/>
        </w:rPr>
      </w:pPr>
    </w:p>
    <w:p w14:paraId="26E51A4B" w14:textId="77777777" w:rsidR="000F60D6" w:rsidRPr="00F07BC0" w:rsidRDefault="00C55FAC">
      <w:pPr>
        <w:pStyle w:val="ListParagraph"/>
        <w:numPr>
          <w:ilvl w:val="0"/>
          <w:numId w:val="3"/>
        </w:numPr>
        <w:tabs>
          <w:tab w:val="left" w:pos="820"/>
        </w:tabs>
        <w:spacing w:before="181"/>
        <w:ind w:left="820" w:hanging="360"/>
        <w:rPr>
          <w:lang w:val="fr-FR"/>
        </w:rPr>
      </w:pPr>
      <w:r>
        <w:rPr>
          <w:lang w:val="fr-FR" w:bidi="fr-FR"/>
        </w:rPr>
        <w:t>Risque en matière de réputation : modéré</w:t>
      </w:r>
    </w:p>
    <w:p w14:paraId="3E2E85DD" w14:textId="77777777" w:rsidR="000F60D6" w:rsidRPr="00F07BC0" w:rsidRDefault="00C55FAC">
      <w:pPr>
        <w:pStyle w:val="ListParagraph"/>
        <w:numPr>
          <w:ilvl w:val="0"/>
          <w:numId w:val="3"/>
        </w:numPr>
        <w:tabs>
          <w:tab w:val="left" w:pos="820"/>
        </w:tabs>
        <w:spacing w:before="22"/>
        <w:ind w:left="820" w:hanging="360"/>
        <w:rPr>
          <w:lang w:val="fr-FR"/>
        </w:rPr>
      </w:pPr>
      <w:r>
        <w:rPr>
          <w:lang w:val="fr-FR" w:bidi="fr-FR"/>
        </w:rPr>
        <w:t>Risque en matière de sûreté et de sécurité : faible</w:t>
      </w:r>
    </w:p>
    <w:p w14:paraId="19D2483A" w14:textId="77777777" w:rsidR="000F60D6" w:rsidRDefault="00C55FAC">
      <w:pPr>
        <w:pStyle w:val="ListParagraph"/>
        <w:numPr>
          <w:ilvl w:val="0"/>
          <w:numId w:val="3"/>
        </w:numPr>
        <w:tabs>
          <w:tab w:val="left" w:pos="820"/>
        </w:tabs>
        <w:ind w:left="820" w:hanging="360"/>
      </w:pPr>
      <w:r>
        <w:rPr>
          <w:lang w:val="fr-FR" w:bidi="fr-FR"/>
        </w:rPr>
        <w:t>Risque opérationnel : modéré</w:t>
      </w:r>
    </w:p>
    <w:p w14:paraId="3329A3DA" w14:textId="77777777" w:rsidR="000F60D6" w:rsidRDefault="000F60D6">
      <w:pPr>
        <w:sectPr w:rsidR="000F60D6" w:rsidSect="001867E2">
          <w:pgSz w:w="12240" w:h="15840"/>
          <w:pgMar w:top="1700" w:right="1000" w:bottom="280" w:left="980" w:header="720" w:footer="720" w:gutter="0"/>
          <w:cols w:space="720"/>
        </w:sectPr>
      </w:pPr>
    </w:p>
    <w:p w14:paraId="5F7FA04F" w14:textId="77777777" w:rsidR="000F60D6" w:rsidRPr="00F07BC0" w:rsidRDefault="00C55FAC">
      <w:pPr>
        <w:pStyle w:val="ListParagraph"/>
        <w:numPr>
          <w:ilvl w:val="0"/>
          <w:numId w:val="3"/>
        </w:numPr>
        <w:tabs>
          <w:tab w:val="left" w:pos="820"/>
        </w:tabs>
        <w:spacing w:before="77"/>
        <w:ind w:left="820" w:hanging="360"/>
        <w:rPr>
          <w:lang w:val="fr-FR"/>
        </w:rPr>
      </w:pPr>
      <w:r>
        <w:rPr>
          <w:lang w:val="fr-FR" w:bidi="fr-FR"/>
        </w:rPr>
        <w:lastRenderedPageBreak/>
        <w:t>Risque en matière de conformité : modéré</w:t>
      </w:r>
    </w:p>
    <w:p w14:paraId="3E35E6CB" w14:textId="77777777" w:rsidR="000F60D6" w:rsidRPr="00F07BC0" w:rsidRDefault="00C55FAC">
      <w:pPr>
        <w:pStyle w:val="ListParagraph"/>
        <w:numPr>
          <w:ilvl w:val="0"/>
          <w:numId w:val="3"/>
        </w:numPr>
        <w:tabs>
          <w:tab w:val="left" w:pos="820"/>
        </w:tabs>
        <w:spacing w:before="22"/>
        <w:ind w:left="820" w:hanging="360"/>
        <w:rPr>
          <w:lang w:val="fr-FR"/>
        </w:rPr>
      </w:pPr>
      <w:r>
        <w:rPr>
          <w:lang w:val="fr-FR" w:bidi="fr-FR"/>
        </w:rPr>
        <w:t>Risque sur les résultats en matière de développement : important</w:t>
      </w:r>
    </w:p>
    <w:p w14:paraId="34E3C965" w14:textId="77777777" w:rsidR="000F60D6" w:rsidRPr="00F07BC0" w:rsidRDefault="00C55FAC">
      <w:pPr>
        <w:rPr>
          <w:sz w:val="20"/>
          <w:lang w:val="fr-FR"/>
        </w:rPr>
      </w:pPr>
      <w:r>
        <w:rPr>
          <w:lang w:val="fr-FR" w:bidi="fr-FR"/>
        </w:rPr>
        <w:br w:type="column"/>
      </w:r>
    </w:p>
    <w:p w14:paraId="21B204C1" w14:textId="77777777" w:rsidR="000F60D6" w:rsidRPr="00F07BC0" w:rsidRDefault="00C55FAC">
      <w:pPr>
        <w:pStyle w:val="BodyText"/>
        <w:spacing w:before="1"/>
        <w:rPr>
          <w:sz w:val="13"/>
          <w:lang w:val="fr-FR"/>
        </w:rPr>
      </w:pPr>
      <w:r>
        <w:rPr>
          <w:noProof/>
          <w:lang w:val="fr-FR" w:bidi="fr-FR"/>
        </w:rPr>
        <w:drawing>
          <wp:anchor distT="0" distB="0" distL="0" distR="0" simplePos="0" relativeHeight="487588352" behindDoc="1" locked="0" layoutInCell="1" allowOverlap="1" wp14:anchorId="348EB65E" wp14:editId="1A8BB83E">
            <wp:simplePos x="0" y="0"/>
            <wp:positionH relativeFrom="page">
              <wp:posOffset>4335780</wp:posOffset>
            </wp:positionH>
            <wp:positionV relativeFrom="paragraph">
              <wp:posOffset>234107</wp:posOffset>
            </wp:positionV>
            <wp:extent cx="2298308" cy="1848582"/>
            <wp:effectExtent l="0" t="0" r="6985"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8308" cy="1848582"/>
                    </a:xfrm>
                    <a:prstGeom prst="rect">
                      <a:avLst/>
                    </a:prstGeom>
                  </pic:spPr>
                </pic:pic>
              </a:graphicData>
            </a:graphic>
            <wp14:sizeRelV relativeFrom="margin">
              <wp14:pctHeight>0</wp14:pctHeight>
            </wp14:sizeRelV>
          </wp:anchor>
        </w:drawing>
      </w:r>
    </w:p>
    <w:p w14:paraId="456D2A84" w14:textId="77777777" w:rsidR="000F60D6" w:rsidRPr="00F07BC0" w:rsidRDefault="000F60D6">
      <w:pPr>
        <w:pStyle w:val="BodyText"/>
        <w:rPr>
          <w:lang w:val="fr-FR"/>
        </w:rPr>
      </w:pPr>
    </w:p>
    <w:p w14:paraId="0804F1F5" w14:textId="77777777" w:rsidR="000F60D6" w:rsidRPr="00F07BC0" w:rsidRDefault="000F60D6">
      <w:pPr>
        <w:pStyle w:val="BodyText"/>
        <w:rPr>
          <w:sz w:val="23"/>
          <w:lang w:val="fr-FR"/>
        </w:rPr>
      </w:pPr>
    </w:p>
    <w:p w14:paraId="40C2FBFA" w14:textId="6F1D0621" w:rsidR="000F60D6" w:rsidRDefault="00C55FAC" w:rsidP="00B827DA">
      <w:pPr>
        <w:ind w:left="709"/>
        <w:rPr>
          <w:b/>
        </w:rPr>
      </w:pPr>
      <w:r>
        <w:rPr>
          <w:b/>
          <w:u w:val="single"/>
          <w:lang w:val="fr-FR" w:bidi="fr-FR"/>
        </w:rPr>
        <w:t>Cartographie des risques –</w:t>
      </w:r>
      <w:r w:rsidR="00996C54">
        <w:rPr>
          <w:b/>
          <w:u w:val="single"/>
          <w:lang w:val="fr-FR" w:bidi="fr-FR"/>
        </w:rPr>
        <w:t> </w:t>
      </w:r>
      <w:r>
        <w:rPr>
          <w:b/>
          <w:u w:val="single"/>
          <w:lang w:val="fr-FR" w:bidi="fr-FR"/>
        </w:rPr>
        <w:t>Exemple 2</w:t>
      </w:r>
    </w:p>
    <w:p w14:paraId="13497399" w14:textId="77777777" w:rsidR="000F60D6" w:rsidRDefault="000F60D6">
      <w:pPr>
        <w:sectPr w:rsidR="000F60D6" w:rsidSect="001867E2">
          <w:pgSz w:w="12240" w:h="15840"/>
          <w:pgMar w:top="1360" w:right="1000" w:bottom="280" w:left="980" w:header="720" w:footer="720" w:gutter="0"/>
          <w:cols w:num="2" w:space="720" w:equalWidth="0">
            <w:col w:w="3668" w:space="1716"/>
            <w:col w:w="4876"/>
          </w:cols>
        </w:sectPr>
      </w:pPr>
    </w:p>
    <w:p w14:paraId="03E47CE4" w14:textId="77777777" w:rsidR="000F60D6" w:rsidRDefault="000F60D6">
      <w:pPr>
        <w:pStyle w:val="BodyText"/>
        <w:spacing w:before="2"/>
        <w:rPr>
          <w:b/>
          <w:sz w:val="10"/>
        </w:rPr>
      </w:pPr>
    </w:p>
    <w:p w14:paraId="6F97F52A" w14:textId="77777777" w:rsidR="000F60D6" w:rsidRDefault="00C55FAC">
      <w:pPr>
        <w:pStyle w:val="ListParagraph"/>
        <w:numPr>
          <w:ilvl w:val="0"/>
          <w:numId w:val="5"/>
        </w:numPr>
        <w:tabs>
          <w:tab w:val="left" w:pos="459"/>
        </w:tabs>
        <w:spacing w:before="56"/>
        <w:ind w:left="459" w:hanging="359"/>
        <w:rPr>
          <w:b/>
        </w:rPr>
      </w:pPr>
      <w:r>
        <w:rPr>
          <w:b/>
          <w:u w:val="single"/>
          <w:lang w:val="fr-FR" w:bidi="fr-FR"/>
        </w:rPr>
        <w:t>Catégorie : risque financier</w:t>
      </w:r>
    </w:p>
    <w:p w14:paraId="33A55142" w14:textId="77777777" w:rsidR="000F60D6" w:rsidRDefault="000F60D6">
      <w:pPr>
        <w:pStyle w:val="BodyText"/>
        <w:spacing w:before="5"/>
        <w:rPr>
          <w:b/>
          <w:sz w:val="10"/>
        </w:rPr>
      </w:pPr>
    </w:p>
    <w:p w14:paraId="682B1456" w14:textId="77777777" w:rsidR="000F60D6" w:rsidRDefault="00C55FAC">
      <w:pPr>
        <w:spacing w:before="56"/>
        <w:ind w:left="100"/>
        <w:rPr>
          <w:b/>
        </w:rPr>
      </w:pPr>
      <w:r>
        <w:rPr>
          <w:b/>
          <w:u w:val="single"/>
          <w:lang w:val="fr-FR" w:bidi="fr-FR"/>
        </w:rPr>
        <w:t>Sous-catégorie : facteur externe</w:t>
      </w:r>
    </w:p>
    <w:p w14:paraId="57B80C65" w14:textId="77777777" w:rsidR="000F60D6" w:rsidRDefault="000F60D6">
      <w:pPr>
        <w:pStyle w:val="BodyText"/>
        <w:spacing w:before="2"/>
        <w:rPr>
          <w:b/>
          <w:sz w:val="10"/>
        </w:rPr>
      </w:pPr>
    </w:p>
    <w:p w14:paraId="4AC060C6" w14:textId="77777777" w:rsidR="000F60D6" w:rsidRPr="00F07BC0" w:rsidRDefault="00C55FAC">
      <w:pPr>
        <w:pStyle w:val="BodyText"/>
        <w:spacing w:before="56"/>
        <w:ind w:left="100"/>
        <w:rPr>
          <w:lang w:val="fr-FR"/>
        </w:rPr>
      </w:pPr>
      <w:r>
        <w:rPr>
          <w:b/>
          <w:i/>
          <w:u w:val="single"/>
          <w:lang w:val="fr-FR" w:bidi="fr-FR"/>
        </w:rPr>
        <w:t>Événement :</w:t>
      </w:r>
      <w:r>
        <w:rPr>
          <w:lang w:val="fr-FR" w:bidi="fr-FR"/>
        </w:rPr>
        <w:t xml:space="preserve"> perte de change sur les comptes débiteurs en euro.</w:t>
      </w:r>
    </w:p>
    <w:p w14:paraId="514D5CDA" w14:textId="77777777" w:rsidR="000F60D6" w:rsidRPr="00F07BC0" w:rsidRDefault="00C55FAC">
      <w:pPr>
        <w:pStyle w:val="BodyText"/>
        <w:ind w:left="100" w:right="115"/>
        <w:rPr>
          <w:lang w:val="fr-FR"/>
        </w:rPr>
      </w:pPr>
      <w:r>
        <w:rPr>
          <w:b/>
          <w:u w:val="single"/>
          <w:lang w:val="fr-FR" w:bidi="fr-FR"/>
        </w:rPr>
        <w:t>Cause :</w:t>
      </w:r>
      <w:r>
        <w:rPr>
          <w:lang w:val="fr-FR" w:bidi="fr-FR"/>
        </w:rPr>
        <w:t xml:space="preserve"> incertitude économique à l’échelle mondiale et évolutions politiques dans des circonscriptions clés du Comité d’aide au développement. Les pays adoptent par conséquent des politiques de plus en plus nationalistes (en raison des forts taux de chômage, de l’augmentation de la dette et des flux migratoires et de réfugiés). Les électeurs votent plus à droite et les organisations et solutions multilatérales perdent en priorité.</w:t>
      </w:r>
    </w:p>
    <w:p w14:paraId="1FEFF7A1" w14:textId="77777777" w:rsidR="000F60D6" w:rsidRPr="00F07BC0" w:rsidRDefault="00C55FAC">
      <w:pPr>
        <w:pStyle w:val="BodyText"/>
        <w:spacing w:before="1"/>
        <w:ind w:left="100"/>
        <w:rPr>
          <w:lang w:val="fr-FR"/>
        </w:rPr>
      </w:pPr>
      <w:r>
        <w:rPr>
          <w:b/>
          <w:u w:val="single"/>
          <w:lang w:val="fr-FR" w:bidi="fr-FR"/>
        </w:rPr>
        <w:t xml:space="preserve">Impact : </w:t>
      </w:r>
      <w:r>
        <w:rPr>
          <w:lang w:val="fr-FR" w:bidi="fr-FR"/>
        </w:rPr>
        <w:t>incapacité à mettre en œuvre toutes les activités prévues.</w:t>
      </w:r>
    </w:p>
    <w:p w14:paraId="53FBAC8F" w14:textId="77777777" w:rsidR="000F60D6" w:rsidRDefault="00C55FAC">
      <w:pPr>
        <w:ind w:left="100"/>
      </w:pPr>
      <w:r>
        <w:rPr>
          <w:b/>
          <w:u w:val="single"/>
          <w:lang w:val="fr-FR" w:bidi="fr-FR"/>
        </w:rPr>
        <w:t>Probabilité :</w:t>
      </w:r>
      <w:r>
        <w:rPr>
          <w:spacing w:val="-2"/>
          <w:lang w:val="fr-FR" w:bidi="fr-FR"/>
        </w:rPr>
        <w:t xml:space="preserve"> probable.</w:t>
      </w:r>
    </w:p>
    <w:p w14:paraId="7917D851" w14:textId="77777777" w:rsidR="000F60D6" w:rsidRDefault="000F60D6">
      <w:pPr>
        <w:pStyle w:val="BodyText"/>
        <w:spacing w:before="3"/>
        <w:rPr>
          <w:sz w:val="10"/>
        </w:rPr>
      </w:pPr>
    </w:p>
    <w:p w14:paraId="22D28A9F" w14:textId="77777777" w:rsidR="000F60D6" w:rsidRDefault="00C55FAC">
      <w:pPr>
        <w:spacing w:before="56"/>
        <w:ind w:left="100"/>
        <w:rPr>
          <w:b/>
        </w:rPr>
      </w:pPr>
      <w:r>
        <w:rPr>
          <w:b/>
          <w:spacing w:val="-2"/>
          <w:u w:val="single"/>
          <w:lang w:val="fr-FR" w:bidi="fr-FR"/>
        </w:rPr>
        <w:t>Conséquences :</w:t>
      </w:r>
    </w:p>
    <w:p w14:paraId="021CBE85" w14:textId="3BA9586B" w:rsidR="000F60D6" w:rsidRDefault="00C55FAC">
      <w:pPr>
        <w:pStyle w:val="ListParagraph"/>
        <w:numPr>
          <w:ilvl w:val="0"/>
          <w:numId w:val="1"/>
        </w:numPr>
        <w:tabs>
          <w:tab w:val="left" w:pos="870"/>
        </w:tabs>
        <w:spacing w:before="180"/>
        <w:ind w:hanging="410"/>
      </w:pPr>
      <w:r>
        <w:rPr>
          <w:lang w:val="fr-FR" w:bidi="fr-FR"/>
        </w:rPr>
        <w:t>Financières –</w:t>
      </w:r>
      <w:r w:rsidR="00996C54">
        <w:rPr>
          <w:lang w:val="fr-FR" w:bidi="fr-FR"/>
        </w:rPr>
        <w:t> </w:t>
      </w:r>
      <w:r>
        <w:rPr>
          <w:lang w:val="fr-FR" w:bidi="fr-FR"/>
        </w:rPr>
        <w:t>faible</w:t>
      </w:r>
    </w:p>
    <w:p w14:paraId="23C5B61B" w14:textId="77777777" w:rsidR="000F60D6" w:rsidRPr="00F07BC0" w:rsidRDefault="00C55FAC">
      <w:pPr>
        <w:pStyle w:val="BodyText"/>
        <w:spacing w:before="183"/>
        <w:ind w:left="100"/>
        <w:rPr>
          <w:lang w:val="fr-FR"/>
        </w:rPr>
      </w:pPr>
      <w:r>
        <w:rPr>
          <w:lang w:val="fr-FR" w:bidi="fr-FR"/>
        </w:rPr>
        <w:t>Si un tel événement se produisait, quelles en seraient les conséquences financières ?</w:t>
      </w:r>
    </w:p>
    <w:p w14:paraId="72E7EFB7" w14:textId="77777777" w:rsidR="000F60D6" w:rsidRPr="00F07BC0" w:rsidRDefault="00C55FAC">
      <w:pPr>
        <w:spacing w:before="180"/>
        <w:ind w:left="150"/>
        <w:rPr>
          <w:b/>
          <w:lang w:val="fr-FR"/>
        </w:rPr>
      </w:pPr>
      <w:r>
        <w:rPr>
          <w:b/>
          <w:u w:val="single"/>
          <w:lang w:val="fr-FR" w:bidi="fr-FR"/>
        </w:rPr>
        <w:t>Exemples d’hypothèses :</w:t>
      </w:r>
    </w:p>
    <w:p w14:paraId="46E44261" w14:textId="77777777" w:rsidR="000F60D6" w:rsidRPr="00F07BC0" w:rsidRDefault="000F60D6">
      <w:pPr>
        <w:pStyle w:val="BodyText"/>
        <w:spacing w:before="1"/>
        <w:rPr>
          <w:b/>
          <w:lang w:val="fr-FR"/>
        </w:rPr>
      </w:pPr>
    </w:p>
    <w:p w14:paraId="3DD369AA" w14:textId="77777777" w:rsidR="000F60D6" w:rsidRPr="002471D4" w:rsidRDefault="00C55FAC">
      <w:pPr>
        <w:pStyle w:val="BodyText"/>
        <w:ind w:left="820" w:right="154" w:hanging="361"/>
        <w:rPr>
          <w:lang w:val="fr-FR"/>
        </w:rPr>
      </w:pPr>
      <w:r>
        <w:rPr>
          <w:noProof/>
          <w:lang w:val="fr-FR" w:bidi="fr-FR"/>
        </w:rPr>
        <w:drawing>
          <wp:inline distT="0" distB="0" distL="0" distR="0" wp14:anchorId="5B28D3E1" wp14:editId="485537FA">
            <wp:extent cx="114300" cy="106679"/>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7" cstate="print"/>
                    <a:stretch>
                      <a:fillRect/>
                    </a:stretch>
                  </pic:blipFill>
                  <pic:spPr>
                    <a:xfrm>
                      <a:off x="0" y="0"/>
                      <a:ext cx="114300" cy="106679"/>
                    </a:xfrm>
                    <a:prstGeom prst="rect">
                      <a:avLst/>
                    </a:prstGeom>
                  </pic:spPr>
                </pic:pic>
              </a:graphicData>
            </a:graphic>
          </wp:inline>
        </w:drawing>
      </w:r>
      <w:r>
        <w:rPr>
          <w:spacing w:val="80"/>
          <w:w w:val="150"/>
          <w:sz w:val="20"/>
          <w:lang w:val="fr-FR" w:bidi="fr-FR"/>
        </w:rPr>
        <w:t xml:space="preserve"> </w:t>
      </w:r>
      <w:r>
        <w:rPr>
          <w:b/>
          <w:u w:val="single"/>
          <w:lang w:val="fr-FR" w:bidi="fr-FR"/>
        </w:rPr>
        <w:t>50 millions d’euros</w:t>
      </w:r>
      <w:r>
        <w:rPr>
          <w:lang w:val="fr-FR" w:bidi="fr-FR"/>
        </w:rPr>
        <w:t xml:space="preserve"> devaient être reçus cette année, au titre d’un accord signé. Au moment de la signature de l’accord, le taux de change en dollars était de 1,35. Les revenus attendus s’élevaient donc à </w:t>
      </w:r>
      <w:r>
        <w:rPr>
          <w:b/>
          <w:u w:val="single"/>
          <w:lang w:val="fr-FR" w:bidi="fr-FR"/>
        </w:rPr>
        <w:t>67,5 millions de dollars</w:t>
      </w:r>
      <w:r>
        <w:rPr>
          <w:lang w:val="fr-FR" w:bidi="fr-FR"/>
        </w:rPr>
        <w:t>.</w:t>
      </w:r>
    </w:p>
    <w:p w14:paraId="72898435" w14:textId="77777777" w:rsidR="000F60D6" w:rsidRPr="00F07BC0" w:rsidRDefault="00C55FAC">
      <w:pPr>
        <w:pStyle w:val="BodyText"/>
        <w:ind w:left="820" w:hanging="361"/>
        <w:rPr>
          <w:lang w:val="fr-FR"/>
        </w:rPr>
      </w:pPr>
      <w:r>
        <w:rPr>
          <w:noProof/>
          <w:lang w:val="fr-FR" w:bidi="fr-FR"/>
        </w:rPr>
        <w:drawing>
          <wp:inline distT="0" distB="0" distL="0" distR="0" wp14:anchorId="0851587A" wp14:editId="33BBEDF4">
            <wp:extent cx="114300" cy="106678"/>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7" cstate="print"/>
                    <a:stretch>
                      <a:fillRect/>
                    </a:stretch>
                  </pic:blipFill>
                  <pic:spPr>
                    <a:xfrm>
                      <a:off x="0" y="0"/>
                      <a:ext cx="114300" cy="106678"/>
                    </a:xfrm>
                    <a:prstGeom prst="rect">
                      <a:avLst/>
                    </a:prstGeom>
                  </pic:spPr>
                </pic:pic>
              </a:graphicData>
            </a:graphic>
          </wp:inline>
        </w:drawing>
      </w:r>
      <w:r>
        <w:rPr>
          <w:spacing w:val="80"/>
          <w:w w:val="150"/>
          <w:sz w:val="20"/>
          <w:lang w:val="fr-FR" w:bidi="fr-FR"/>
        </w:rPr>
        <w:t xml:space="preserve"> </w:t>
      </w:r>
      <w:r>
        <w:rPr>
          <w:lang w:val="fr-FR" w:bidi="fr-FR"/>
        </w:rPr>
        <w:t xml:space="preserve">Le taux de change actuel a chuté à 1,1. La somme à percevoir a donc diminué de </w:t>
      </w:r>
      <w:r>
        <w:rPr>
          <w:b/>
          <w:u w:val="single"/>
          <w:lang w:val="fr-FR" w:bidi="fr-FR"/>
        </w:rPr>
        <w:t>12,5 millions de dollars</w:t>
      </w:r>
      <w:r>
        <w:rPr>
          <w:lang w:val="fr-FR" w:bidi="fr-FR"/>
        </w:rPr>
        <w:t> : les revenus réellement perçus sont donc de 55 millions de dollars au lieu des 67,5 initialement prévus.</w:t>
      </w:r>
    </w:p>
    <w:p w14:paraId="20A1E336" w14:textId="77777777" w:rsidR="000F60D6" w:rsidRPr="00F07BC0" w:rsidRDefault="00C55FAC">
      <w:pPr>
        <w:spacing w:before="1"/>
        <w:ind w:left="460"/>
        <w:rPr>
          <w:lang w:val="fr-FR"/>
        </w:rPr>
      </w:pPr>
      <w:r>
        <w:rPr>
          <w:noProof/>
          <w:lang w:val="fr-FR" w:bidi="fr-FR"/>
        </w:rPr>
        <w:drawing>
          <wp:inline distT="0" distB="0" distL="0" distR="0" wp14:anchorId="4BA474DE" wp14:editId="7F245092">
            <wp:extent cx="114300" cy="106678"/>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7" cstate="print"/>
                    <a:stretch>
                      <a:fillRect/>
                    </a:stretch>
                  </pic:blipFill>
                  <pic:spPr>
                    <a:xfrm>
                      <a:off x="0" y="0"/>
                      <a:ext cx="114300" cy="106678"/>
                    </a:xfrm>
                    <a:prstGeom prst="rect">
                      <a:avLst/>
                    </a:prstGeom>
                  </pic:spPr>
                </pic:pic>
              </a:graphicData>
            </a:graphic>
          </wp:inline>
        </w:drawing>
      </w:r>
      <w:r>
        <w:rPr>
          <w:spacing w:val="80"/>
          <w:w w:val="150"/>
          <w:sz w:val="20"/>
          <w:lang w:val="fr-FR" w:bidi="fr-FR"/>
        </w:rPr>
        <w:t xml:space="preserve"> </w:t>
      </w:r>
      <w:r>
        <w:rPr>
          <w:lang w:val="fr-FR" w:bidi="fr-FR"/>
        </w:rPr>
        <w:t xml:space="preserve">Le déficit de financement pour la mise en œuvre du projet est donc de </w:t>
      </w:r>
      <w:r>
        <w:rPr>
          <w:b/>
          <w:u w:val="single"/>
          <w:lang w:val="fr-FR" w:bidi="fr-FR"/>
        </w:rPr>
        <w:t>12,5 millions de dollars</w:t>
      </w:r>
      <w:r>
        <w:rPr>
          <w:lang w:val="fr-FR" w:bidi="fr-FR"/>
        </w:rPr>
        <w:t>.</w:t>
      </w:r>
    </w:p>
    <w:p w14:paraId="7D964F21" w14:textId="77777777" w:rsidR="000F60D6" w:rsidRPr="00F07BC0" w:rsidRDefault="000F60D6">
      <w:pPr>
        <w:rPr>
          <w:lang w:val="fr-FR"/>
        </w:rPr>
        <w:sectPr w:rsidR="000F60D6" w:rsidRPr="00F07BC0" w:rsidSect="001867E2">
          <w:type w:val="continuous"/>
          <w:pgSz w:w="12240" w:h="15840"/>
          <w:pgMar w:top="1820" w:right="1000" w:bottom="280" w:left="980" w:header="720" w:footer="720" w:gutter="0"/>
          <w:cols w:space="720"/>
        </w:sectPr>
      </w:pPr>
    </w:p>
    <w:p w14:paraId="0A668DE4" w14:textId="2F7AE0C4" w:rsidR="000F60D6" w:rsidRPr="00F07BC0" w:rsidRDefault="00C55FAC">
      <w:pPr>
        <w:spacing w:before="37"/>
        <w:ind w:left="100"/>
        <w:rPr>
          <w:b/>
          <w:lang w:val="fr-FR"/>
        </w:rPr>
      </w:pPr>
      <w:r>
        <w:rPr>
          <w:b/>
          <w:u w:val="single"/>
          <w:lang w:val="fr-FR" w:bidi="fr-FR"/>
        </w:rPr>
        <w:lastRenderedPageBreak/>
        <w:t>Quelles sont les conséquences financières sur le bureau de pays ?</w:t>
      </w:r>
    </w:p>
    <w:p w14:paraId="1B5E22B2" w14:textId="77777777" w:rsidR="000F60D6" w:rsidRPr="00F07BC0" w:rsidRDefault="000F60D6">
      <w:pPr>
        <w:pStyle w:val="BodyText"/>
        <w:spacing w:before="5"/>
        <w:rPr>
          <w:b/>
          <w:sz w:val="17"/>
          <w:lang w:val="fr-FR"/>
        </w:rPr>
      </w:pPr>
    </w:p>
    <w:p w14:paraId="0565C95B" w14:textId="77777777" w:rsidR="000F60D6" w:rsidRPr="002471D4" w:rsidRDefault="00C55FAC">
      <w:pPr>
        <w:spacing w:before="57"/>
        <w:ind w:left="100"/>
        <w:rPr>
          <w:b/>
          <w:lang w:val="it-IT"/>
        </w:rPr>
      </w:pPr>
      <w:r w:rsidRPr="002471D4">
        <w:rPr>
          <w:b/>
          <w:lang w:val="it-IT" w:bidi="fr-FR"/>
        </w:rPr>
        <w:t>Scénario idéal : 0.</w:t>
      </w:r>
    </w:p>
    <w:p w14:paraId="2CEA4E80" w14:textId="77777777" w:rsidR="000F60D6" w:rsidRPr="002471D4" w:rsidRDefault="00C55FAC">
      <w:pPr>
        <w:ind w:left="100"/>
        <w:rPr>
          <w:b/>
          <w:lang w:val="it-IT"/>
        </w:rPr>
      </w:pPr>
      <w:r w:rsidRPr="002471D4">
        <w:rPr>
          <w:b/>
          <w:lang w:val="it-IT" w:bidi="fr-FR"/>
        </w:rPr>
        <w:t>Scénario probable : 0.</w:t>
      </w:r>
    </w:p>
    <w:p w14:paraId="33D23EF2" w14:textId="77777777" w:rsidR="000F60D6" w:rsidRPr="002471D4" w:rsidRDefault="00C55FAC">
      <w:pPr>
        <w:ind w:left="100"/>
        <w:rPr>
          <w:b/>
          <w:lang w:val="it-IT"/>
        </w:rPr>
      </w:pPr>
      <w:r w:rsidRPr="002471D4">
        <w:rPr>
          <w:b/>
          <w:lang w:val="it-IT" w:bidi="fr-FR"/>
        </w:rPr>
        <w:t>Pire scénario : 0.</w:t>
      </w:r>
    </w:p>
    <w:p w14:paraId="23C59778" w14:textId="77777777" w:rsidR="000F60D6" w:rsidRPr="002471D4" w:rsidRDefault="000F60D6">
      <w:pPr>
        <w:pStyle w:val="BodyText"/>
        <w:spacing w:before="3"/>
        <w:rPr>
          <w:b/>
          <w:sz w:val="17"/>
          <w:lang w:val="it-IT"/>
        </w:rPr>
      </w:pPr>
    </w:p>
    <w:p w14:paraId="6E5089FE" w14:textId="77777777" w:rsidR="000F60D6" w:rsidRPr="00F07BC0" w:rsidRDefault="00C55FAC">
      <w:pPr>
        <w:spacing w:before="56"/>
        <w:ind w:left="100" w:right="154"/>
        <w:rPr>
          <w:lang w:val="fr-FR"/>
        </w:rPr>
      </w:pPr>
      <w:r>
        <w:rPr>
          <w:lang w:val="fr-FR" w:bidi="fr-FR"/>
        </w:rPr>
        <w:t xml:space="preserve">Il est important de souligner que la perte de change encourue </w:t>
      </w:r>
      <w:r>
        <w:rPr>
          <w:b/>
          <w:shd w:val="clear" w:color="auto" w:fill="FFFF00"/>
          <w:lang w:val="fr-FR" w:bidi="fr-FR"/>
        </w:rPr>
        <w:t>ne représente pas une perte financière</w:t>
      </w:r>
      <w:r>
        <w:rPr>
          <w:b/>
          <w:spacing w:val="-2"/>
          <w:shd w:val="clear" w:color="auto" w:fill="FFFF00"/>
          <w:lang w:val="fr-FR" w:bidi="fr-FR"/>
        </w:rPr>
        <w:t xml:space="preserve"> pour le PNUD</w:t>
      </w:r>
      <w:r>
        <w:rPr>
          <w:b/>
          <w:spacing w:val="-2"/>
          <w:lang w:val="fr-FR" w:bidi="fr-FR"/>
        </w:rPr>
        <w:t>*</w:t>
      </w:r>
      <w:r>
        <w:rPr>
          <w:spacing w:val="-2"/>
          <w:lang w:val="fr-FR" w:bidi="fr-FR"/>
        </w:rPr>
        <w:t>.</w:t>
      </w:r>
    </w:p>
    <w:p w14:paraId="22CAC658" w14:textId="77777777" w:rsidR="000F60D6" w:rsidRPr="00F07BC0" w:rsidRDefault="000F60D6">
      <w:pPr>
        <w:pStyle w:val="BodyText"/>
        <w:rPr>
          <w:lang w:val="fr-FR"/>
        </w:rPr>
      </w:pPr>
    </w:p>
    <w:p w14:paraId="5827D531" w14:textId="77777777" w:rsidR="000F60D6" w:rsidRPr="00F07BC0" w:rsidRDefault="00C55FAC">
      <w:pPr>
        <w:pStyle w:val="ListParagraph"/>
        <w:numPr>
          <w:ilvl w:val="0"/>
          <w:numId w:val="1"/>
        </w:numPr>
        <w:tabs>
          <w:tab w:val="left" w:pos="820"/>
        </w:tabs>
        <w:spacing w:before="184"/>
        <w:ind w:left="820" w:hanging="360"/>
        <w:rPr>
          <w:lang w:val="fr-FR"/>
        </w:rPr>
      </w:pPr>
      <w:r>
        <w:rPr>
          <w:lang w:val="fr-FR" w:bidi="fr-FR"/>
        </w:rPr>
        <w:t>Risque en matière de réputation : modéré</w:t>
      </w:r>
    </w:p>
    <w:p w14:paraId="0B2A8DA0" w14:textId="77777777" w:rsidR="000F60D6" w:rsidRPr="00F07BC0" w:rsidRDefault="00C55FAC">
      <w:pPr>
        <w:pStyle w:val="ListParagraph"/>
        <w:numPr>
          <w:ilvl w:val="0"/>
          <w:numId w:val="1"/>
        </w:numPr>
        <w:tabs>
          <w:tab w:val="left" w:pos="820"/>
        </w:tabs>
        <w:spacing w:before="19"/>
        <w:ind w:left="820" w:hanging="360"/>
        <w:rPr>
          <w:lang w:val="fr-FR"/>
        </w:rPr>
      </w:pPr>
      <w:r>
        <w:rPr>
          <w:lang w:val="fr-FR" w:bidi="fr-FR"/>
        </w:rPr>
        <w:t>Risque en matière de sûreté et de sécurité : s. o.</w:t>
      </w:r>
    </w:p>
    <w:p w14:paraId="7A87D7E9" w14:textId="77777777" w:rsidR="000F60D6" w:rsidRDefault="00C55FAC">
      <w:pPr>
        <w:pStyle w:val="ListParagraph"/>
        <w:numPr>
          <w:ilvl w:val="0"/>
          <w:numId w:val="1"/>
        </w:numPr>
        <w:tabs>
          <w:tab w:val="left" w:pos="820"/>
        </w:tabs>
        <w:spacing w:before="22"/>
        <w:ind w:left="820" w:hanging="360"/>
      </w:pPr>
      <w:r>
        <w:rPr>
          <w:lang w:val="fr-FR" w:bidi="fr-FR"/>
        </w:rPr>
        <w:t>Risque opérationnel : faible</w:t>
      </w:r>
    </w:p>
    <w:p w14:paraId="48730CF7" w14:textId="77777777" w:rsidR="000F60D6" w:rsidRPr="00F07BC0" w:rsidRDefault="00C55FAC">
      <w:pPr>
        <w:pStyle w:val="ListParagraph"/>
        <w:numPr>
          <w:ilvl w:val="0"/>
          <w:numId w:val="1"/>
        </w:numPr>
        <w:tabs>
          <w:tab w:val="left" w:pos="820"/>
        </w:tabs>
        <w:spacing w:before="23"/>
        <w:ind w:left="820" w:hanging="360"/>
        <w:rPr>
          <w:lang w:val="fr-FR"/>
        </w:rPr>
      </w:pPr>
      <w:r>
        <w:rPr>
          <w:lang w:val="fr-FR" w:bidi="fr-FR"/>
        </w:rPr>
        <w:t>Risque en matière de conformité : s. o.</w:t>
      </w:r>
    </w:p>
    <w:p w14:paraId="00C53B5F" w14:textId="77777777" w:rsidR="000F60D6" w:rsidRPr="00F07BC0" w:rsidRDefault="00C55FAC">
      <w:pPr>
        <w:pStyle w:val="ListParagraph"/>
        <w:numPr>
          <w:ilvl w:val="0"/>
          <w:numId w:val="1"/>
        </w:numPr>
        <w:tabs>
          <w:tab w:val="left" w:pos="820"/>
        </w:tabs>
        <w:ind w:left="820" w:hanging="360"/>
        <w:rPr>
          <w:lang w:val="fr-FR"/>
        </w:rPr>
      </w:pPr>
      <w:r>
        <w:rPr>
          <w:lang w:val="fr-FR" w:bidi="fr-FR"/>
        </w:rPr>
        <w:t>Risque sur les résultats en matière de développement : élevé</w:t>
      </w:r>
    </w:p>
    <w:p w14:paraId="2983649C" w14:textId="77777777" w:rsidR="000F60D6" w:rsidRPr="00F07BC0" w:rsidRDefault="00C55FAC">
      <w:pPr>
        <w:pStyle w:val="BodyText"/>
        <w:spacing w:before="4"/>
        <w:rPr>
          <w:sz w:val="15"/>
          <w:lang w:val="fr-FR"/>
        </w:rPr>
      </w:pPr>
      <w:r>
        <w:rPr>
          <w:noProof/>
          <w:lang w:val="fr-FR" w:bidi="fr-FR"/>
        </w:rPr>
        <w:drawing>
          <wp:anchor distT="0" distB="0" distL="0" distR="0" simplePos="0" relativeHeight="251660288" behindDoc="1" locked="0" layoutInCell="1" allowOverlap="1" wp14:anchorId="3AEBD5E7" wp14:editId="34A79D2B">
            <wp:simplePos x="0" y="0"/>
            <wp:positionH relativeFrom="page">
              <wp:posOffset>4579620</wp:posOffset>
            </wp:positionH>
            <wp:positionV relativeFrom="paragraph">
              <wp:posOffset>338125</wp:posOffset>
            </wp:positionV>
            <wp:extent cx="2039070" cy="1640071"/>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9070" cy="1640071"/>
                    </a:xfrm>
                    <a:prstGeom prst="rect">
                      <a:avLst/>
                    </a:prstGeom>
                  </pic:spPr>
                </pic:pic>
              </a:graphicData>
            </a:graphic>
            <wp14:sizeRelV relativeFrom="margin">
              <wp14:pctHeight>0</wp14:pctHeight>
            </wp14:sizeRelV>
          </wp:anchor>
        </w:drawing>
      </w:r>
    </w:p>
    <w:p w14:paraId="30B777E3" w14:textId="77777777" w:rsidR="000F60D6" w:rsidRPr="00F07BC0" w:rsidRDefault="000F60D6">
      <w:pPr>
        <w:pStyle w:val="BodyText"/>
        <w:spacing w:before="1"/>
        <w:rPr>
          <w:sz w:val="35"/>
          <w:lang w:val="fr-FR"/>
        </w:rPr>
      </w:pPr>
    </w:p>
    <w:p w14:paraId="097EFBD3" w14:textId="44066AF4" w:rsidR="000F60D6" w:rsidRPr="00F07BC0" w:rsidRDefault="00C55FAC" w:rsidP="008A649A">
      <w:pPr>
        <w:ind w:left="6237"/>
        <w:rPr>
          <w:b/>
          <w:sz w:val="24"/>
          <w:lang w:val="fr-FR"/>
        </w:rPr>
      </w:pPr>
      <w:r>
        <w:rPr>
          <w:b/>
          <w:sz w:val="24"/>
          <w:u w:val="single"/>
          <w:lang w:val="fr-FR" w:bidi="fr-FR"/>
        </w:rPr>
        <w:t xml:space="preserve"> Cartographie des risques –</w:t>
      </w:r>
      <w:r w:rsidR="00996C54">
        <w:rPr>
          <w:b/>
          <w:sz w:val="24"/>
          <w:u w:val="single"/>
          <w:lang w:val="fr-FR" w:bidi="fr-FR"/>
        </w:rPr>
        <w:t> </w:t>
      </w:r>
      <w:r>
        <w:rPr>
          <w:b/>
          <w:sz w:val="24"/>
          <w:u w:val="single"/>
          <w:lang w:val="fr-FR" w:bidi="fr-FR"/>
        </w:rPr>
        <w:t>Exemple 3</w:t>
      </w:r>
    </w:p>
    <w:p w14:paraId="678F79E5" w14:textId="77777777" w:rsidR="000F60D6" w:rsidRPr="00F07BC0" w:rsidRDefault="000F60D6">
      <w:pPr>
        <w:pStyle w:val="BodyText"/>
        <w:rPr>
          <w:b/>
          <w:sz w:val="20"/>
          <w:lang w:val="fr-FR"/>
        </w:rPr>
      </w:pPr>
    </w:p>
    <w:p w14:paraId="06443D25" w14:textId="77777777" w:rsidR="000F60D6" w:rsidRPr="00F07BC0" w:rsidRDefault="000F60D6">
      <w:pPr>
        <w:pStyle w:val="BodyText"/>
        <w:rPr>
          <w:b/>
          <w:sz w:val="20"/>
          <w:lang w:val="fr-FR"/>
        </w:rPr>
      </w:pPr>
    </w:p>
    <w:p w14:paraId="02EA624D" w14:textId="77777777" w:rsidR="000F60D6" w:rsidRPr="00F07BC0" w:rsidRDefault="000F60D6">
      <w:pPr>
        <w:pStyle w:val="BodyText"/>
        <w:rPr>
          <w:b/>
          <w:sz w:val="20"/>
          <w:lang w:val="fr-FR"/>
        </w:rPr>
      </w:pPr>
    </w:p>
    <w:p w14:paraId="74C9DDBD" w14:textId="77777777" w:rsidR="000F60D6" w:rsidRPr="00F07BC0" w:rsidRDefault="000F60D6">
      <w:pPr>
        <w:pStyle w:val="BodyText"/>
        <w:rPr>
          <w:b/>
          <w:sz w:val="20"/>
          <w:lang w:val="fr-FR"/>
        </w:rPr>
      </w:pPr>
    </w:p>
    <w:p w14:paraId="7F4C9D96" w14:textId="77777777" w:rsidR="000F60D6" w:rsidRPr="00F07BC0" w:rsidRDefault="000F60D6">
      <w:pPr>
        <w:pStyle w:val="BodyText"/>
        <w:rPr>
          <w:b/>
          <w:sz w:val="20"/>
          <w:lang w:val="fr-FR"/>
        </w:rPr>
      </w:pPr>
    </w:p>
    <w:p w14:paraId="39467310" w14:textId="77777777" w:rsidR="000F60D6" w:rsidRPr="00F07BC0" w:rsidRDefault="000F60D6">
      <w:pPr>
        <w:pStyle w:val="BodyText"/>
        <w:rPr>
          <w:b/>
          <w:sz w:val="20"/>
          <w:lang w:val="fr-FR"/>
        </w:rPr>
      </w:pPr>
    </w:p>
    <w:p w14:paraId="5EB8F21F" w14:textId="77777777" w:rsidR="000F60D6" w:rsidRPr="00F07BC0" w:rsidRDefault="000F60D6">
      <w:pPr>
        <w:pStyle w:val="BodyText"/>
        <w:rPr>
          <w:b/>
          <w:sz w:val="20"/>
          <w:lang w:val="fr-FR"/>
        </w:rPr>
      </w:pPr>
    </w:p>
    <w:p w14:paraId="782D69C6" w14:textId="180D8BEF" w:rsidR="000F60D6" w:rsidRPr="00F07BC0" w:rsidRDefault="003E1C99">
      <w:pPr>
        <w:pStyle w:val="BodyText"/>
        <w:spacing w:before="7"/>
        <w:rPr>
          <w:b/>
          <w:sz w:val="25"/>
          <w:lang w:val="fr-FR"/>
        </w:rPr>
      </w:pPr>
      <w:r>
        <w:rPr>
          <w:noProof/>
          <w:lang w:val="fr-FR" w:bidi="fr-FR"/>
        </w:rPr>
        <mc:AlternateContent>
          <mc:Choice Requires="wps">
            <w:drawing>
              <wp:anchor distT="0" distB="0" distL="0" distR="0" simplePos="0" relativeHeight="251656192" behindDoc="0" locked="0" layoutInCell="1" allowOverlap="1" wp14:anchorId="2F33EEC5" wp14:editId="2FBC5D09">
                <wp:simplePos x="0" y="0"/>
                <wp:positionH relativeFrom="page">
                  <wp:posOffset>228600</wp:posOffset>
                </wp:positionH>
                <wp:positionV relativeFrom="page">
                  <wp:posOffset>7234555</wp:posOffset>
                </wp:positionV>
                <wp:extent cx="736282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2825" cy="9525"/>
                        </a:xfrm>
                        <a:custGeom>
                          <a:avLst/>
                          <a:gdLst/>
                          <a:ahLst/>
                          <a:cxnLst/>
                          <a:rect l="l" t="t" r="r" b="b"/>
                          <a:pathLst>
                            <a:path w="7362825" h="9525">
                              <a:moveTo>
                                <a:pt x="0" y="9525"/>
                              </a:moveTo>
                              <a:lnTo>
                                <a:pt x="73628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DAB49" id="Graphic 16" o:spid="_x0000_s1026" style="position:absolute;margin-left:18pt;margin-top:569.65pt;width:579.75pt;height:.75pt;z-index:251656192;visibility:visible;mso-wrap-style:square;mso-wrap-distance-left:0;mso-wrap-distance-top:0;mso-wrap-distance-right:0;mso-wrap-distance-bottom:0;mso-position-horizontal:absolute;mso-position-horizontal-relative:page;mso-position-vertical:absolute;mso-position-vertical-relative:page;v-text-anchor:top" coordsize="7362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" path="m,9525l7362825,e" filled="f" strokeweight=".5pt">
                <v:path arrowok="t"/>
                <w10:wrap anchorx="page" anchory="page"/>
              </v:shape>
            </w:pict>
          </mc:Fallback>
        </mc:AlternateContent>
      </w:r>
    </w:p>
    <w:p w14:paraId="013FBAF5" w14:textId="221EC0AD" w:rsidR="000F60D6" w:rsidRPr="00F07BC0" w:rsidRDefault="00C55FAC" w:rsidP="003E1C99">
      <w:pPr>
        <w:spacing w:before="69" w:line="195" w:lineRule="exact"/>
        <w:ind w:left="100" w:right="-372"/>
        <w:rPr>
          <w:sz w:val="16"/>
          <w:lang w:val="fr-FR"/>
        </w:rPr>
      </w:pPr>
      <w:r>
        <w:rPr>
          <w:color w:val="404040"/>
          <w:sz w:val="16"/>
          <w:lang w:val="fr-FR" w:bidi="fr-FR"/>
        </w:rPr>
        <w:t>* Veuillez vous reporter à la section « Finances » :</w:t>
      </w:r>
      <w:r w:rsidR="003E1C99">
        <w:rPr>
          <w:color w:val="404040"/>
          <w:sz w:val="16"/>
          <w:lang w:val="fr-FR" w:bidi="fr-FR"/>
        </w:rPr>
        <w:t xml:space="preserve"> </w:t>
      </w:r>
      <w:hyperlink r:id="rId11" w:history="1">
        <w:r w:rsidR="003E1C99" w:rsidRPr="00EF7208">
          <w:rPr>
            <w:rStyle w:val="Hyperlink"/>
            <w:spacing w:val="-2"/>
            <w:sz w:val="16"/>
            <w:lang w:val="fr-FR" w:bidi="fr-FR"/>
          </w:rPr>
          <w:t>https://intranet.undp.org/unit/pb/resmob/rmtoolkit/financing/SitePages/6.1.7_BeforeSigningAreement.aspx</w:t>
        </w:r>
      </w:hyperlink>
      <w:r>
        <w:rPr>
          <w:color w:val="404040"/>
          <w:sz w:val="16"/>
          <w:lang w:val="fr-FR" w:bidi="fr-FR"/>
        </w:rPr>
        <w:t>.</w:t>
      </w:r>
    </w:p>
    <w:p w14:paraId="04F3FD62" w14:textId="77777777" w:rsidR="000F60D6" w:rsidRPr="00F07BC0" w:rsidRDefault="00C55FAC">
      <w:pPr>
        <w:spacing w:line="215" w:lineRule="exact"/>
        <w:ind w:left="100"/>
        <w:rPr>
          <w:rFonts w:ascii="Segoe UI" w:hAnsi="Segoe UI"/>
          <w:sz w:val="16"/>
          <w:lang w:val="fr-FR"/>
        </w:rPr>
      </w:pPr>
      <w:r>
        <w:rPr>
          <w:color w:val="444444"/>
          <w:sz w:val="16"/>
          <w:lang w:val="fr-FR" w:bidi="fr-FR"/>
        </w:rPr>
        <w:t>* Cet exemple ne couvre pas les dépenses non admissibles d’après la Commission européenne ni les éléments de préfinancement.</w:t>
      </w:r>
    </w:p>
    <w:p w14:paraId="14483840" w14:textId="77777777" w:rsidR="002471D4" w:rsidRDefault="00C55FAC">
      <w:pPr>
        <w:spacing w:line="259" w:lineRule="auto"/>
        <w:ind w:left="100" w:right="127"/>
        <w:rPr>
          <w:color w:val="444444"/>
          <w:sz w:val="16"/>
          <w:lang w:val="fr-FR" w:bidi="fr-FR"/>
        </w:rPr>
      </w:pPr>
      <w:r>
        <w:rPr>
          <w:color w:val="444444"/>
          <w:sz w:val="16"/>
          <w:lang w:val="fr-FR" w:bidi="fr-FR"/>
        </w:rPr>
        <w:t>* Les projets et programmes du PNUD financés par d’autres ressources que les ressources de base dépendent de la contribution des donateurs. D’après la décision du Conseil d’administration, les ressources ordinaires (ressources de base) du PNUD ne doivent pas être utilisées pour subventionner les projets financés par les autres ressources. Par conséquent, si un déficit de financement est constaté pour le projet en raison de fluctuations des taux de change, de facteurs inflationnistes ou d’autres circonstances non prévisibles, le PNUD contactera les donateurs pour les inciter à faire tout leur possible en vue d’obtenir des fonds supplémentaires. Si aucun financement ne peut être obtenu de la sorte, le PNUD fera de son mieux pour trouver d’autres sources de financement. En cas d’échec, le PNUD sera forcé, pour des raisons échappant à son contrôle, de réduire, de suspendre ou d’interrompre l’aide qu’il apporte au projet. Les donateurs ne sont aucunement obligés de fournir des fonds supplémentaires. L’accord mentionne uniquement les mesures que le PNUD doit prendre pour obtenir des fonds supplémentaires, le cas échéant</w:t>
      </w:r>
    </w:p>
    <w:p w14:paraId="46947364" w14:textId="77777777" w:rsidR="002471D4" w:rsidRDefault="002471D4">
      <w:pPr>
        <w:spacing w:line="259" w:lineRule="auto"/>
        <w:ind w:left="100" w:right="127"/>
        <w:rPr>
          <w:color w:val="444444"/>
          <w:sz w:val="16"/>
          <w:lang w:val="fr-FR" w:bidi="fr-FR"/>
        </w:rPr>
      </w:pPr>
    </w:p>
    <w:p w14:paraId="16F0FBF9" w14:textId="77777777" w:rsidR="002471D4" w:rsidRPr="00354A06" w:rsidRDefault="002471D4" w:rsidP="002471D4">
      <w:pPr>
        <w:spacing w:line="259" w:lineRule="auto"/>
        <w:ind w:left="100" w:right="127"/>
        <w:rPr>
          <w:color w:val="444444"/>
          <w:sz w:val="16"/>
          <w:lang w:val="en-GB" w:bidi="fr-FR"/>
        </w:rPr>
      </w:pPr>
      <w:r w:rsidRPr="00354A06">
        <w:rPr>
          <w:color w:val="444444"/>
          <w:sz w:val="16"/>
          <w:lang w:val="en-GB" w:bidi="fr-FR"/>
        </w:rPr>
        <w:t>Disclaimer: This document was translated from English into French. In the event of any discrepancy between this translation and the original English document, the original English document shall prevail.</w:t>
      </w:r>
    </w:p>
    <w:p w14:paraId="35FF3601" w14:textId="77777777" w:rsidR="002471D4" w:rsidRPr="00354A06" w:rsidRDefault="002471D4" w:rsidP="002471D4">
      <w:pPr>
        <w:spacing w:line="259" w:lineRule="auto"/>
        <w:ind w:left="100" w:right="127"/>
        <w:rPr>
          <w:color w:val="444444"/>
          <w:sz w:val="16"/>
          <w:lang w:val="en-GB" w:bidi="fr-FR"/>
        </w:rPr>
      </w:pPr>
    </w:p>
    <w:p w14:paraId="4CDE9AA2" w14:textId="1AC7A732" w:rsidR="000F60D6" w:rsidRPr="00F07BC0" w:rsidRDefault="002471D4" w:rsidP="002471D4">
      <w:pPr>
        <w:spacing w:line="259" w:lineRule="auto"/>
        <w:ind w:left="100" w:right="127"/>
        <w:rPr>
          <w:rFonts w:ascii="Segoe UI"/>
          <w:sz w:val="16"/>
          <w:lang w:val="fr-FR"/>
        </w:rPr>
      </w:pPr>
      <w:r w:rsidRPr="002471D4">
        <w:rPr>
          <w:color w:val="444444"/>
          <w:sz w:val="16"/>
          <w:lang w:val="fr-FR" w:bidi="fr-FR"/>
        </w:rPr>
        <w:t>Attention: En cas de divergence entre les textes français et anglais de cette politique, le texte anglais fait foi, sauf disposition expresse écrite contraire.</w:t>
      </w:r>
      <w:r w:rsidR="00C55FAC">
        <w:rPr>
          <w:color w:val="444444"/>
          <w:sz w:val="16"/>
          <w:lang w:val="fr-FR" w:bidi="fr-FR"/>
        </w:rPr>
        <w:t>.</w:t>
      </w:r>
    </w:p>
    <w:sectPr w:rsidR="000F60D6" w:rsidRPr="00F07BC0">
      <w:pgSz w:w="12240" w:h="15840"/>
      <w:pgMar w:top="1400" w:right="10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7676" w14:textId="77777777" w:rsidR="001867E2" w:rsidRDefault="001867E2" w:rsidP="00996C54">
      <w:r>
        <w:separator/>
      </w:r>
    </w:p>
  </w:endnote>
  <w:endnote w:type="continuationSeparator" w:id="0">
    <w:p w14:paraId="4324D61E" w14:textId="77777777" w:rsidR="001867E2" w:rsidRDefault="001867E2" w:rsidP="0099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8772" w14:textId="77777777" w:rsidR="001867E2" w:rsidRDefault="001867E2" w:rsidP="00996C54">
      <w:r>
        <w:separator/>
      </w:r>
    </w:p>
  </w:footnote>
  <w:footnote w:type="continuationSeparator" w:id="0">
    <w:p w14:paraId="103E2A49" w14:textId="77777777" w:rsidR="001867E2" w:rsidRDefault="001867E2" w:rsidP="0099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09F"/>
    <w:multiLevelType w:val="hybridMultilevel"/>
    <w:tmpl w:val="0574AF52"/>
    <w:lvl w:ilvl="0" w:tplc="8FB6AADA">
      <w:numFmt w:val="bullet"/>
      <w:lvlText w:val=""/>
      <w:lvlJc w:val="left"/>
      <w:pPr>
        <w:ind w:left="870" w:hanging="411"/>
      </w:pPr>
      <w:rPr>
        <w:rFonts w:ascii="Symbol" w:eastAsia="Symbol" w:hAnsi="Symbol" w:cs="Symbol" w:hint="default"/>
        <w:b w:val="0"/>
        <w:bCs w:val="0"/>
        <w:i w:val="0"/>
        <w:iCs w:val="0"/>
        <w:spacing w:val="0"/>
        <w:w w:val="100"/>
        <w:sz w:val="22"/>
        <w:szCs w:val="22"/>
        <w:lang w:val="en-US" w:eastAsia="en-US" w:bidi="ar-SA"/>
      </w:rPr>
    </w:lvl>
    <w:lvl w:ilvl="1" w:tplc="DFEC1B4E">
      <w:numFmt w:val="bullet"/>
      <w:lvlText w:val="•"/>
      <w:lvlJc w:val="left"/>
      <w:pPr>
        <w:ind w:left="1818" w:hanging="411"/>
      </w:pPr>
      <w:rPr>
        <w:rFonts w:hint="default"/>
        <w:lang w:val="en-US" w:eastAsia="en-US" w:bidi="ar-SA"/>
      </w:rPr>
    </w:lvl>
    <w:lvl w:ilvl="2" w:tplc="DE6A2EFA">
      <w:numFmt w:val="bullet"/>
      <w:lvlText w:val="•"/>
      <w:lvlJc w:val="left"/>
      <w:pPr>
        <w:ind w:left="2756" w:hanging="411"/>
      </w:pPr>
      <w:rPr>
        <w:rFonts w:hint="default"/>
        <w:lang w:val="en-US" w:eastAsia="en-US" w:bidi="ar-SA"/>
      </w:rPr>
    </w:lvl>
    <w:lvl w:ilvl="3" w:tplc="887C652E">
      <w:numFmt w:val="bullet"/>
      <w:lvlText w:val="•"/>
      <w:lvlJc w:val="left"/>
      <w:pPr>
        <w:ind w:left="3694" w:hanging="411"/>
      </w:pPr>
      <w:rPr>
        <w:rFonts w:hint="default"/>
        <w:lang w:val="en-US" w:eastAsia="en-US" w:bidi="ar-SA"/>
      </w:rPr>
    </w:lvl>
    <w:lvl w:ilvl="4" w:tplc="1100825A">
      <w:numFmt w:val="bullet"/>
      <w:lvlText w:val="•"/>
      <w:lvlJc w:val="left"/>
      <w:pPr>
        <w:ind w:left="4632" w:hanging="411"/>
      </w:pPr>
      <w:rPr>
        <w:rFonts w:hint="default"/>
        <w:lang w:val="en-US" w:eastAsia="en-US" w:bidi="ar-SA"/>
      </w:rPr>
    </w:lvl>
    <w:lvl w:ilvl="5" w:tplc="4C54AA66">
      <w:numFmt w:val="bullet"/>
      <w:lvlText w:val="•"/>
      <w:lvlJc w:val="left"/>
      <w:pPr>
        <w:ind w:left="5570" w:hanging="411"/>
      </w:pPr>
      <w:rPr>
        <w:rFonts w:hint="default"/>
        <w:lang w:val="en-US" w:eastAsia="en-US" w:bidi="ar-SA"/>
      </w:rPr>
    </w:lvl>
    <w:lvl w:ilvl="6" w:tplc="9A52B334">
      <w:numFmt w:val="bullet"/>
      <w:lvlText w:val="•"/>
      <w:lvlJc w:val="left"/>
      <w:pPr>
        <w:ind w:left="6508" w:hanging="411"/>
      </w:pPr>
      <w:rPr>
        <w:rFonts w:hint="default"/>
        <w:lang w:val="en-US" w:eastAsia="en-US" w:bidi="ar-SA"/>
      </w:rPr>
    </w:lvl>
    <w:lvl w:ilvl="7" w:tplc="836C66FE">
      <w:numFmt w:val="bullet"/>
      <w:lvlText w:val="•"/>
      <w:lvlJc w:val="left"/>
      <w:pPr>
        <w:ind w:left="7446" w:hanging="411"/>
      </w:pPr>
      <w:rPr>
        <w:rFonts w:hint="default"/>
        <w:lang w:val="en-US" w:eastAsia="en-US" w:bidi="ar-SA"/>
      </w:rPr>
    </w:lvl>
    <w:lvl w:ilvl="8" w:tplc="B178C054">
      <w:numFmt w:val="bullet"/>
      <w:lvlText w:val="•"/>
      <w:lvlJc w:val="left"/>
      <w:pPr>
        <w:ind w:left="8384" w:hanging="411"/>
      </w:pPr>
      <w:rPr>
        <w:rFonts w:hint="default"/>
        <w:lang w:val="en-US" w:eastAsia="en-US" w:bidi="ar-SA"/>
      </w:rPr>
    </w:lvl>
  </w:abstractNum>
  <w:abstractNum w:abstractNumId="1" w15:restartNumberingAfterBreak="0">
    <w:nsid w:val="0AFE707D"/>
    <w:multiLevelType w:val="hybridMultilevel"/>
    <w:tmpl w:val="961C458A"/>
    <w:lvl w:ilvl="0" w:tplc="548A8960">
      <w:numFmt w:val="bullet"/>
      <w:lvlText w:val=""/>
      <w:lvlJc w:val="left"/>
      <w:pPr>
        <w:ind w:left="870" w:hanging="411"/>
      </w:pPr>
      <w:rPr>
        <w:rFonts w:ascii="Symbol" w:eastAsia="Symbol" w:hAnsi="Symbol" w:cs="Symbol" w:hint="default"/>
        <w:b w:val="0"/>
        <w:bCs w:val="0"/>
        <w:i w:val="0"/>
        <w:iCs w:val="0"/>
        <w:spacing w:val="0"/>
        <w:w w:val="100"/>
        <w:sz w:val="22"/>
        <w:szCs w:val="22"/>
        <w:lang w:val="en-US" w:eastAsia="en-US" w:bidi="ar-SA"/>
      </w:rPr>
    </w:lvl>
    <w:lvl w:ilvl="1" w:tplc="9D4CF0AA">
      <w:numFmt w:val="bullet"/>
      <w:lvlText w:val="•"/>
      <w:lvlJc w:val="left"/>
      <w:pPr>
        <w:ind w:left="1818" w:hanging="411"/>
      </w:pPr>
      <w:rPr>
        <w:rFonts w:hint="default"/>
        <w:lang w:val="en-US" w:eastAsia="en-US" w:bidi="ar-SA"/>
      </w:rPr>
    </w:lvl>
    <w:lvl w:ilvl="2" w:tplc="6958C794">
      <w:numFmt w:val="bullet"/>
      <w:lvlText w:val="•"/>
      <w:lvlJc w:val="left"/>
      <w:pPr>
        <w:ind w:left="2756" w:hanging="411"/>
      </w:pPr>
      <w:rPr>
        <w:rFonts w:hint="default"/>
        <w:lang w:val="en-US" w:eastAsia="en-US" w:bidi="ar-SA"/>
      </w:rPr>
    </w:lvl>
    <w:lvl w:ilvl="3" w:tplc="0044AF86">
      <w:numFmt w:val="bullet"/>
      <w:lvlText w:val="•"/>
      <w:lvlJc w:val="left"/>
      <w:pPr>
        <w:ind w:left="3694" w:hanging="411"/>
      </w:pPr>
      <w:rPr>
        <w:rFonts w:hint="default"/>
        <w:lang w:val="en-US" w:eastAsia="en-US" w:bidi="ar-SA"/>
      </w:rPr>
    </w:lvl>
    <w:lvl w:ilvl="4" w:tplc="4D88F30C">
      <w:numFmt w:val="bullet"/>
      <w:lvlText w:val="•"/>
      <w:lvlJc w:val="left"/>
      <w:pPr>
        <w:ind w:left="4632" w:hanging="411"/>
      </w:pPr>
      <w:rPr>
        <w:rFonts w:hint="default"/>
        <w:lang w:val="en-US" w:eastAsia="en-US" w:bidi="ar-SA"/>
      </w:rPr>
    </w:lvl>
    <w:lvl w:ilvl="5" w:tplc="A4C6C8DC">
      <w:numFmt w:val="bullet"/>
      <w:lvlText w:val="•"/>
      <w:lvlJc w:val="left"/>
      <w:pPr>
        <w:ind w:left="5570" w:hanging="411"/>
      </w:pPr>
      <w:rPr>
        <w:rFonts w:hint="default"/>
        <w:lang w:val="en-US" w:eastAsia="en-US" w:bidi="ar-SA"/>
      </w:rPr>
    </w:lvl>
    <w:lvl w:ilvl="6" w:tplc="44A2870C">
      <w:numFmt w:val="bullet"/>
      <w:lvlText w:val="•"/>
      <w:lvlJc w:val="left"/>
      <w:pPr>
        <w:ind w:left="6508" w:hanging="411"/>
      </w:pPr>
      <w:rPr>
        <w:rFonts w:hint="default"/>
        <w:lang w:val="en-US" w:eastAsia="en-US" w:bidi="ar-SA"/>
      </w:rPr>
    </w:lvl>
    <w:lvl w:ilvl="7" w:tplc="400C7C7E">
      <w:numFmt w:val="bullet"/>
      <w:lvlText w:val="•"/>
      <w:lvlJc w:val="left"/>
      <w:pPr>
        <w:ind w:left="7446" w:hanging="411"/>
      </w:pPr>
      <w:rPr>
        <w:rFonts w:hint="default"/>
        <w:lang w:val="en-US" w:eastAsia="en-US" w:bidi="ar-SA"/>
      </w:rPr>
    </w:lvl>
    <w:lvl w:ilvl="8" w:tplc="660EA498">
      <w:numFmt w:val="bullet"/>
      <w:lvlText w:val="•"/>
      <w:lvlJc w:val="left"/>
      <w:pPr>
        <w:ind w:left="8384" w:hanging="411"/>
      </w:pPr>
      <w:rPr>
        <w:rFonts w:hint="default"/>
        <w:lang w:val="en-US" w:eastAsia="en-US" w:bidi="ar-SA"/>
      </w:rPr>
    </w:lvl>
  </w:abstractNum>
  <w:abstractNum w:abstractNumId="2" w15:restartNumberingAfterBreak="0">
    <w:nsid w:val="28353056"/>
    <w:multiLevelType w:val="hybridMultilevel"/>
    <w:tmpl w:val="04E2ABCA"/>
    <w:lvl w:ilvl="0" w:tplc="FAA2D85C">
      <w:numFmt w:val="bullet"/>
      <w:lvlText w:val="-"/>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1" w:tplc="F70AE8BA">
      <w:numFmt w:val="bullet"/>
      <w:lvlText w:val="•"/>
      <w:lvlJc w:val="left"/>
      <w:pPr>
        <w:ind w:left="2088" w:hanging="360"/>
      </w:pPr>
      <w:rPr>
        <w:rFonts w:hint="default"/>
        <w:lang w:val="en-US" w:eastAsia="en-US" w:bidi="ar-SA"/>
      </w:rPr>
    </w:lvl>
    <w:lvl w:ilvl="2" w:tplc="E17CDB72">
      <w:numFmt w:val="bullet"/>
      <w:lvlText w:val="•"/>
      <w:lvlJc w:val="left"/>
      <w:pPr>
        <w:ind w:left="2996" w:hanging="360"/>
      </w:pPr>
      <w:rPr>
        <w:rFonts w:hint="default"/>
        <w:lang w:val="en-US" w:eastAsia="en-US" w:bidi="ar-SA"/>
      </w:rPr>
    </w:lvl>
    <w:lvl w:ilvl="3" w:tplc="3A2058CA">
      <w:numFmt w:val="bullet"/>
      <w:lvlText w:val="•"/>
      <w:lvlJc w:val="left"/>
      <w:pPr>
        <w:ind w:left="3904" w:hanging="360"/>
      </w:pPr>
      <w:rPr>
        <w:rFonts w:hint="default"/>
        <w:lang w:val="en-US" w:eastAsia="en-US" w:bidi="ar-SA"/>
      </w:rPr>
    </w:lvl>
    <w:lvl w:ilvl="4" w:tplc="B3100D16">
      <w:numFmt w:val="bullet"/>
      <w:lvlText w:val="•"/>
      <w:lvlJc w:val="left"/>
      <w:pPr>
        <w:ind w:left="4812" w:hanging="360"/>
      </w:pPr>
      <w:rPr>
        <w:rFonts w:hint="default"/>
        <w:lang w:val="en-US" w:eastAsia="en-US" w:bidi="ar-SA"/>
      </w:rPr>
    </w:lvl>
    <w:lvl w:ilvl="5" w:tplc="70C23C08">
      <w:numFmt w:val="bullet"/>
      <w:lvlText w:val="•"/>
      <w:lvlJc w:val="left"/>
      <w:pPr>
        <w:ind w:left="5720" w:hanging="360"/>
      </w:pPr>
      <w:rPr>
        <w:rFonts w:hint="default"/>
        <w:lang w:val="en-US" w:eastAsia="en-US" w:bidi="ar-SA"/>
      </w:rPr>
    </w:lvl>
    <w:lvl w:ilvl="6" w:tplc="63B21898">
      <w:numFmt w:val="bullet"/>
      <w:lvlText w:val="•"/>
      <w:lvlJc w:val="left"/>
      <w:pPr>
        <w:ind w:left="6628" w:hanging="360"/>
      </w:pPr>
      <w:rPr>
        <w:rFonts w:hint="default"/>
        <w:lang w:val="en-US" w:eastAsia="en-US" w:bidi="ar-SA"/>
      </w:rPr>
    </w:lvl>
    <w:lvl w:ilvl="7" w:tplc="F0E2962E">
      <w:numFmt w:val="bullet"/>
      <w:lvlText w:val="•"/>
      <w:lvlJc w:val="left"/>
      <w:pPr>
        <w:ind w:left="7536" w:hanging="360"/>
      </w:pPr>
      <w:rPr>
        <w:rFonts w:hint="default"/>
        <w:lang w:val="en-US" w:eastAsia="en-US" w:bidi="ar-SA"/>
      </w:rPr>
    </w:lvl>
    <w:lvl w:ilvl="8" w:tplc="CB16BCDA">
      <w:numFmt w:val="bullet"/>
      <w:lvlText w:val="•"/>
      <w:lvlJc w:val="left"/>
      <w:pPr>
        <w:ind w:left="8444" w:hanging="360"/>
      </w:pPr>
      <w:rPr>
        <w:rFonts w:hint="default"/>
        <w:lang w:val="en-US" w:eastAsia="en-US" w:bidi="ar-SA"/>
      </w:rPr>
    </w:lvl>
  </w:abstractNum>
  <w:abstractNum w:abstractNumId="3" w15:restartNumberingAfterBreak="0">
    <w:nsid w:val="69D55D67"/>
    <w:multiLevelType w:val="hybridMultilevel"/>
    <w:tmpl w:val="268628DE"/>
    <w:lvl w:ilvl="0" w:tplc="1794CDD0">
      <w:start w:val="1"/>
      <w:numFmt w:val="upperRoman"/>
      <w:lvlText w:val="%1."/>
      <w:lvlJc w:val="left"/>
      <w:pPr>
        <w:ind w:left="1180" w:hanging="471"/>
        <w:jc w:val="left"/>
      </w:pPr>
      <w:rPr>
        <w:rFonts w:ascii="Calibri" w:eastAsia="Calibri" w:hAnsi="Calibri" w:cs="Calibri" w:hint="default"/>
        <w:b w:val="0"/>
        <w:bCs w:val="0"/>
        <w:i w:val="0"/>
        <w:iCs w:val="0"/>
        <w:spacing w:val="-1"/>
        <w:w w:val="100"/>
        <w:sz w:val="22"/>
        <w:szCs w:val="22"/>
        <w:lang w:val="en-US" w:eastAsia="en-US" w:bidi="ar-SA"/>
      </w:rPr>
    </w:lvl>
    <w:lvl w:ilvl="1" w:tplc="62AE4ACE">
      <w:numFmt w:val="bullet"/>
      <w:lvlText w:val="•"/>
      <w:lvlJc w:val="left"/>
      <w:pPr>
        <w:ind w:left="2088" w:hanging="471"/>
      </w:pPr>
      <w:rPr>
        <w:rFonts w:hint="default"/>
        <w:lang w:val="en-US" w:eastAsia="en-US" w:bidi="ar-SA"/>
      </w:rPr>
    </w:lvl>
    <w:lvl w:ilvl="2" w:tplc="19F08A70">
      <w:numFmt w:val="bullet"/>
      <w:lvlText w:val="•"/>
      <w:lvlJc w:val="left"/>
      <w:pPr>
        <w:ind w:left="2996" w:hanging="471"/>
      </w:pPr>
      <w:rPr>
        <w:rFonts w:hint="default"/>
        <w:lang w:val="en-US" w:eastAsia="en-US" w:bidi="ar-SA"/>
      </w:rPr>
    </w:lvl>
    <w:lvl w:ilvl="3" w:tplc="6FDCEBD4">
      <w:numFmt w:val="bullet"/>
      <w:lvlText w:val="•"/>
      <w:lvlJc w:val="left"/>
      <w:pPr>
        <w:ind w:left="3904" w:hanging="471"/>
      </w:pPr>
      <w:rPr>
        <w:rFonts w:hint="default"/>
        <w:lang w:val="en-US" w:eastAsia="en-US" w:bidi="ar-SA"/>
      </w:rPr>
    </w:lvl>
    <w:lvl w:ilvl="4" w:tplc="D994AEE4">
      <w:numFmt w:val="bullet"/>
      <w:lvlText w:val="•"/>
      <w:lvlJc w:val="left"/>
      <w:pPr>
        <w:ind w:left="4812" w:hanging="471"/>
      </w:pPr>
      <w:rPr>
        <w:rFonts w:hint="default"/>
        <w:lang w:val="en-US" w:eastAsia="en-US" w:bidi="ar-SA"/>
      </w:rPr>
    </w:lvl>
    <w:lvl w:ilvl="5" w:tplc="FE12894A">
      <w:numFmt w:val="bullet"/>
      <w:lvlText w:val="•"/>
      <w:lvlJc w:val="left"/>
      <w:pPr>
        <w:ind w:left="5720" w:hanging="471"/>
      </w:pPr>
      <w:rPr>
        <w:rFonts w:hint="default"/>
        <w:lang w:val="en-US" w:eastAsia="en-US" w:bidi="ar-SA"/>
      </w:rPr>
    </w:lvl>
    <w:lvl w:ilvl="6" w:tplc="5D6EB9C8">
      <w:numFmt w:val="bullet"/>
      <w:lvlText w:val="•"/>
      <w:lvlJc w:val="left"/>
      <w:pPr>
        <w:ind w:left="6628" w:hanging="471"/>
      </w:pPr>
      <w:rPr>
        <w:rFonts w:hint="default"/>
        <w:lang w:val="en-US" w:eastAsia="en-US" w:bidi="ar-SA"/>
      </w:rPr>
    </w:lvl>
    <w:lvl w:ilvl="7" w:tplc="9E7454B4">
      <w:numFmt w:val="bullet"/>
      <w:lvlText w:val="•"/>
      <w:lvlJc w:val="left"/>
      <w:pPr>
        <w:ind w:left="7536" w:hanging="471"/>
      </w:pPr>
      <w:rPr>
        <w:rFonts w:hint="default"/>
        <w:lang w:val="en-US" w:eastAsia="en-US" w:bidi="ar-SA"/>
      </w:rPr>
    </w:lvl>
    <w:lvl w:ilvl="8" w:tplc="DB001280">
      <w:numFmt w:val="bullet"/>
      <w:lvlText w:val="•"/>
      <w:lvlJc w:val="left"/>
      <w:pPr>
        <w:ind w:left="8444" w:hanging="471"/>
      </w:pPr>
      <w:rPr>
        <w:rFonts w:hint="default"/>
        <w:lang w:val="en-US" w:eastAsia="en-US" w:bidi="ar-SA"/>
      </w:rPr>
    </w:lvl>
  </w:abstractNum>
  <w:abstractNum w:abstractNumId="4" w15:restartNumberingAfterBreak="0">
    <w:nsid w:val="77A708E2"/>
    <w:multiLevelType w:val="hybridMultilevel"/>
    <w:tmpl w:val="FDECD682"/>
    <w:lvl w:ilvl="0" w:tplc="BDFCEEF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B59E1F0C">
      <w:numFmt w:val="bullet"/>
      <w:lvlText w:val="•"/>
      <w:lvlJc w:val="left"/>
      <w:pPr>
        <w:ind w:left="1764" w:hanging="360"/>
      </w:pPr>
      <w:rPr>
        <w:rFonts w:hint="default"/>
        <w:lang w:val="en-US" w:eastAsia="en-US" w:bidi="ar-SA"/>
      </w:rPr>
    </w:lvl>
    <w:lvl w:ilvl="2" w:tplc="62C6C80A">
      <w:numFmt w:val="bullet"/>
      <w:lvlText w:val="•"/>
      <w:lvlJc w:val="left"/>
      <w:pPr>
        <w:ind w:left="2708" w:hanging="360"/>
      </w:pPr>
      <w:rPr>
        <w:rFonts w:hint="default"/>
        <w:lang w:val="en-US" w:eastAsia="en-US" w:bidi="ar-SA"/>
      </w:rPr>
    </w:lvl>
    <w:lvl w:ilvl="3" w:tplc="D7FA33AA">
      <w:numFmt w:val="bullet"/>
      <w:lvlText w:val="•"/>
      <w:lvlJc w:val="left"/>
      <w:pPr>
        <w:ind w:left="3652" w:hanging="360"/>
      </w:pPr>
      <w:rPr>
        <w:rFonts w:hint="default"/>
        <w:lang w:val="en-US" w:eastAsia="en-US" w:bidi="ar-SA"/>
      </w:rPr>
    </w:lvl>
    <w:lvl w:ilvl="4" w:tplc="7D140490">
      <w:numFmt w:val="bullet"/>
      <w:lvlText w:val="•"/>
      <w:lvlJc w:val="left"/>
      <w:pPr>
        <w:ind w:left="4596" w:hanging="360"/>
      </w:pPr>
      <w:rPr>
        <w:rFonts w:hint="default"/>
        <w:lang w:val="en-US" w:eastAsia="en-US" w:bidi="ar-SA"/>
      </w:rPr>
    </w:lvl>
    <w:lvl w:ilvl="5" w:tplc="43A2F0C4">
      <w:numFmt w:val="bullet"/>
      <w:lvlText w:val="•"/>
      <w:lvlJc w:val="left"/>
      <w:pPr>
        <w:ind w:left="5540" w:hanging="360"/>
      </w:pPr>
      <w:rPr>
        <w:rFonts w:hint="default"/>
        <w:lang w:val="en-US" w:eastAsia="en-US" w:bidi="ar-SA"/>
      </w:rPr>
    </w:lvl>
    <w:lvl w:ilvl="6" w:tplc="4B8A504A">
      <w:numFmt w:val="bullet"/>
      <w:lvlText w:val="•"/>
      <w:lvlJc w:val="left"/>
      <w:pPr>
        <w:ind w:left="6484" w:hanging="360"/>
      </w:pPr>
      <w:rPr>
        <w:rFonts w:hint="default"/>
        <w:lang w:val="en-US" w:eastAsia="en-US" w:bidi="ar-SA"/>
      </w:rPr>
    </w:lvl>
    <w:lvl w:ilvl="7" w:tplc="90A44A74">
      <w:numFmt w:val="bullet"/>
      <w:lvlText w:val="•"/>
      <w:lvlJc w:val="left"/>
      <w:pPr>
        <w:ind w:left="7428" w:hanging="360"/>
      </w:pPr>
      <w:rPr>
        <w:rFonts w:hint="default"/>
        <w:lang w:val="en-US" w:eastAsia="en-US" w:bidi="ar-SA"/>
      </w:rPr>
    </w:lvl>
    <w:lvl w:ilvl="8" w:tplc="BC2ED92C">
      <w:numFmt w:val="bullet"/>
      <w:lvlText w:val="•"/>
      <w:lvlJc w:val="left"/>
      <w:pPr>
        <w:ind w:left="8372" w:hanging="360"/>
      </w:pPr>
      <w:rPr>
        <w:rFonts w:hint="default"/>
        <w:lang w:val="en-US" w:eastAsia="en-US" w:bidi="ar-SA"/>
      </w:rPr>
    </w:lvl>
  </w:abstractNum>
  <w:abstractNum w:abstractNumId="5" w15:restartNumberingAfterBreak="0">
    <w:nsid w:val="787737EE"/>
    <w:multiLevelType w:val="hybridMultilevel"/>
    <w:tmpl w:val="BCA6DBAE"/>
    <w:lvl w:ilvl="0" w:tplc="522CB490">
      <w:start w:val="1"/>
      <w:numFmt w:val="decimal"/>
      <w:lvlText w:val="%1-"/>
      <w:lvlJc w:val="left"/>
      <w:pPr>
        <w:ind w:left="460" w:hanging="361"/>
        <w:jc w:val="left"/>
      </w:pPr>
      <w:rPr>
        <w:rFonts w:ascii="Calibri" w:eastAsia="Calibri" w:hAnsi="Calibri" w:cs="Calibri" w:hint="default"/>
        <w:b w:val="0"/>
        <w:bCs w:val="0"/>
        <w:i w:val="0"/>
        <w:iCs w:val="0"/>
        <w:spacing w:val="0"/>
        <w:w w:val="100"/>
        <w:sz w:val="22"/>
        <w:szCs w:val="22"/>
        <w:lang w:val="en-US" w:eastAsia="en-US" w:bidi="ar-SA"/>
      </w:rPr>
    </w:lvl>
    <w:lvl w:ilvl="1" w:tplc="8672502C">
      <w:start w:val="1"/>
      <w:numFmt w:val="decimal"/>
      <w:lvlText w:val="%2-"/>
      <w:lvlJc w:val="left"/>
      <w:pPr>
        <w:ind w:left="566" w:hanging="361"/>
        <w:jc w:val="left"/>
      </w:pPr>
      <w:rPr>
        <w:rFonts w:ascii="Calibri" w:eastAsia="Calibri" w:hAnsi="Calibri" w:cs="Calibri" w:hint="default"/>
        <w:b w:val="0"/>
        <w:bCs w:val="0"/>
        <w:i w:val="0"/>
        <w:iCs w:val="0"/>
        <w:spacing w:val="0"/>
        <w:w w:val="100"/>
        <w:sz w:val="22"/>
        <w:szCs w:val="22"/>
        <w:lang w:val="en-US" w:eastAsia="en-US" w:bidi="ar-SA"/>
      </w:rPr>
    </w:lvl>
    <w:lvl w:ilvl="2" w:tplc="063A3936">
      <w:start w:val="1"/>
      <w:numFmt w:val="upperRoman"/>
      <w:lvlText w:val="%3."/>
      <w:lvlJc w:val="left"/>
      <w:pPr>
        <w:ind w:left="820" w:hanging="471"/>
        <w:jc w:val="right"/>
      </w:pPr>
      <w:rPr>
        <w:rFonts w:ascii="Calibri" w:eastAsia="Calibri" w:hAnsi="Calibri" w:cs="Calibri" w:hint="default"/>
        <w:b w:val="0"/>
        <w:bCs w:val="0"/>
        <w:i w:val="0"/>
        <w:iCs w:val="0"/>
        <w:spacing w:val="-1"/>
        <w:w w:val="100"/>
        <w:sz w:val="22"/>
        <w:szCs w:val="22"/>
        <w:lang w:val="en-US" w:eastAsia="en-US" w:bidi="ar-SA"/>
      </w:rPr>
    </w:lvl>
    <w:lvl w:ilvl="3" w:tplc="3D44B86A">
      <w:start w:val="1"/>
      <w:numFmt w:val="lowerLetter"/>
      <w:lvlText w:val="%4."/>
      <w:lvlJc w:val="left"/>
      <w:pPr>
        <w:ind w:left="1540" w:hanging="360"/>
        <w:jc w:val="left"/>
      </w:pPr>
      <w:rPr>
        <w:rFonts w:ascii="Calibri" w:eastAsia="Calibri" w:hAnsi="Calibri" w:cs="Calibri" w:hint="default"/>
        <w:b w:val="0"/>
        <w:bCs w:val="0"/>
        <w:i w:val="0"/>
        <w:iCs w:val="0"/>
        <w:spacing w:val="-1"/>
        <w:w w:val="100"/>
        <w:sz w:val="22"/>
        <w:szCs w:val="22"/>
        <w:lang w:val="en-US" w:eastAsia="en-US" w:bidi="ar-SA"/>
      </w:rPr>
    </w:lvl>
    <w:lvl w:ilvl="4" w:tplc="41909C94">
      <w:numFmt w:val="bullet"/>
      <w:lvlText w:val="•"/>
      <w:lvlJc w:val="left"/>
      <w:pPr>
        <w:ind w:left="2785" w:hanging="360"/>
      </w:pPr>
      <w:rPr>
        <w:rFonts w:hint="default"/>
        <w:lang w:val="en-US" w:eastAsia="en-US" w:bidi="ar-SA"/>
      </w:rPr>
    </w:lvl>
    <w:lvl w:ilvl="5" w:tplc="7B865360">
      <w:numFmt w:val="bullet"/>
      <w:lvlText w:val="•"/>
      <w:lvlJc w:val="left"/>
      <w:pPr>
        <w:ind w:left="4031" w:hanging="360"/>
      </w:pPr>
      <w:rPr>
        <w:rFonts w:hint="default"/>
        <w:lang w:val="en-US" w:eastAsia="en-US" w:bidi="ar-SA"/>
      </w:rPr>
    </w:lvl>
    <w:lvl w:ilvl="6" w:tplc="03A2BA6E">
      <w:numFmt w:val="bullet"/>
      <w:lvlText w:val="•"/>
      <w:lvlJc w:val="left"/>
      <w:pPr>
        <w:ind w:left="5277" w:hanging="360"/>
      </w:pPr>
      <w:rPr>
        <w:rFonts w:hint="default"/>
        <w:lang w:val="en-US" w:eastAsia="en-US" w:bidi="ar-SA"/>
      </w:rPr>
    </w:lvl>
    <w:lvl w:ilvl="7" w:tplc="8766F916">
      <w:numFmt w:val="bullet"/>
      <w:lvlText w:val="•"/>
      <w:lvlJc w:val="left"/>
      <w:pPr>
        <w:ind w:left="6522" w:hanging="360"/>
      </w:pPr>
      <w:rPr>
        <w:rFonts w:hint="default"/>
        <w:lang w:val="en-US" w:eastAsia="en-US" w:bidi="ar-SA"/>
      </w:rPr>
    </w:lvl>
    <w:lvl w:ilvl="8" w:tplc="854AFE60">
      <w:numFmt w:val="bullet"/>
      <w:lvlText w:val="•"/>
      <w:lvlJc w:val="left"/>
      <w:pPr>
        <w:ind w:left="7768" w:hanging="360"/>
      </w:pPr>
      <w:rPr>
        <w:rFonts w:hint="default"/>
        <w:lang w:val="en-US" w:eastAsia="en-US" w:bidi="ar-SA"/>
      </w:rPr>
    </w:lvl>
  </w:abstractNum>
  <w:num w:numId="1" w16cid:durableId="1831868673">
    <w:abstractNumId w:val="0"/>
  </w:num>
  <w:num w:numId="2" w16cid:durableId="332147861">
    <w:abstractNumId w:val="3"/>
  </w:num>
  <w:num w:numId="3" w16cid:durableId="142622264">
    <w:abstractNumId w:val="1"/>
  </w:num>
  <w:num w:numId="4" w16cid:durableId="598105664">
    <w:abstractNumId w:val="4"/>
  </w:num>
  <w:num w:numId="5" w16cid:durableId="292440393">
    <w:abstractNumId w:val="5"/>
  </w:num>
  <w:num w:numId="6" w16cid:durableId="56276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60D6"/>
    <w:rsid w:val="00016951"/>
    <w:rsid w:val="00044299"/>
    <w:rsid w:val="00093A2A"/>
    <w:rsid w:val="000F60D6"/>
    <w:rsid w:val="00146756"/>
    <w:rsid w:val="001867E2"/>
    <w:rsid w:val="002471D4"/>
    <w:rsid w:val="00354A06"/>
    <w:rsid w:val="003E1C99"/>
    <w:rsid w:val="004A3B42"/>
    <w:rsid w:val="005410FE"/>
    <w:rsid w:val="00571A11"/>
    <w:rsid w:val="00593E3F"/>
    <w:rsid w:val="008926AF"/>
    <w:rsid w:val="008A649A"/>
    <w:rsid w:val="008C54BC"/>
    <w:rsid w:val="009701E6"/>
    <w:rsid w:val="00996C54"/>
    <w:rsid w:val="00B827DA"/>
    <w:rsid w:val="00C55FAC"/>
    <w:rsid w:val="00CF4FE0"/>
    <w:rsid w:val="00D72582"/>
    <w:rsid w:val="00EA7AE6"/>
    <w:rsid w:val="00EC61F4"/>
    <w:rsid w:val="00F07BC0"/>
    <w:rsid w:val="00F31C79"/>
    <w:rsid w:val="00FE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B604"/>
  <w15:docId w15:val="{885EE659-C1F4-4430-8B50-BF475BDB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6C54"/>
    <w:pPr>
      <w:tabs>
        <w:tab w:val="center" w:pos="4513"/>
        <w:tab w:val="right" w:pos="9026"/>
      </w:tabs>
    </w:pPr>
  </w:style>
  <w:style w:type="character" w:customStyle="1" w:styleId="HeaderChar">
    <w:name w:val="Header Char"/>
    <w:basedOn w:val="DefaultParagraphFont"/>
    <w:link w:val="Header"/>
    <w:uiPriority w:val="99"/>
    <w:rsid w:val="00996C54"/>
    <w:rPr>
      <w:rFonts w:ascii="Calibri" w:eastAsia="Calibri" w:hAnsi="Calibri" w:cs="Calibri"/>
      <w:lang w:val="en-US"/>
    </w:rPr>
  </w:style>
  <w:style w:type="paragraph" w:styleId="Footer">
    <w:name w:val="footer"/>
    <w:basedOn w:val="Normal"/>
    <w:link w:val="FooterChar"/>
    <w:uiPriority w:val="99"/>
    <w:unhideWhenUsed/>
    <w:rsid w:val="00996C54"/>
    <w:pPr>
      <w:tabs>
        <w:tab w:val="center" w:pos="4513"/>
        <w:tab w:val="right" w:pos="9026"/>
      </w:tabs>
    </w:pPr>
  </w:style>
  <w:style w:type="character" w:customStyle="1" w:styleId="FooterChar">
    <w:name w:val="Footer Char"/>
    <w:basedOn w:val="DefaultParagraphFont"/>
    <w:link w:val="Footer"/>
    <w:uiPriority w:val="99"/>
    <w:rsid w:val="00996C54"/>
    <w:rPr>
      <w:rFonts w:ascii="Calibri" w:eastAsia="Calibri" w:hAnsi="Calibri" w:cs="Calibri"/>
      <w:lang w:val="en-US"/>
    </w:rPr>
  </w:style>
  <w:style w:type="character" w:styleId="Hyperlink">
    <w:name w:val="Hyperlink"/>
    <w:basedOn w:val="DefaultParagraphFont"/>
    <w:uiPriority w:val="99"/>
    <w:unhideWhenUsed/>
    <w:rsid w:val="003E1C99"/>
    <w:rPr>
      <w:color w:val="0000FF" w:themeColor="hyperlink"/>
      <w:u w:val="single"/>
    </w:rPr>
  </w:style>
  <w:style w:type="character" w:styleId="UnresolvedMention">
    <w:name w:val="Unresolved Mention"/>
    <w:basedOn w:val="DefaultParagraphFont"/>
    <w:uiPriority w:val="99"/>
    <w:semiHidden/>
    <w:unhideWhenUsed/>
    <w:rsid w:val="003E1C99"/>
    <w:rPr>
      <w:color w:val="605E5C"/>
      <w:shd w:val="clear" w:color="auto" w:fill="E1DFDD"/>
    </w:rPr>
  </w:style>
  <w:style w:type="character" w:styleId="CommentReference">
    <w:name w:val="annotation reference"/>
    <w:basedOn w:val="DefaultParagraphFont"/>
    <w:uiPriority w:val="99"/>
    <w:semiHidden/>
    <w:unhideWhenUsed/>
    <w:rsid w:val="00CF4FE0"/>
    <w:rPr>
      <w:sz w:val="16"/>
      <w:szCs w:val="16"/>
    </w:rPr>
  </w:style>
  <w:style w:type="paragraph" w:styleId="CommentText">
    <w:name w:val="annotation text"/>
    <w:basedOn w:val="Normal"/>
    <w:link w:val="CommentTextChar"/>
    <w:uiPriority w:val="99"/>
    <w:unhideWhenUsed/>
    <w:rsid w:val="00CF4FE0"/>
    <w:rPr>
      <w:sz w:val="20"/>
      <w:szCs w:val="20"/>
    </w:rPr>
  </w:style>
  <w:style w:type="character" w:customStyle="1" w:styleId="CommentTextChar">
    <w:name w:val="Comment Text Char"/>
    <w:basedOn w:val="DefaultParagraphFont"/>
    <w:link w:val="CommentText"/>
    <w:uiPriority w:val="99"/>
    <w:rsid w:val="00CF4FE0"/>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CF4FE0"/>
    <w:rPr>
      <w:b/>
      <w:bCs/>
    </w:rPr>
  </w:style>
  <w:style w:type="character" w:customStyle="1" w:styleId="CommentSubjectChar">
    <w:name w:val="Comment Subject Char"/>
    <w:basedOn w:val="CommentTextChar"/>
    <w:link w:val="CommentSubject"/>
    <w:uiPriority w:val="99"/>
    <w:semiHidden/>
    <w:rsid w:val="00CF4FE0"/>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undp.org/unit/pb/resmob/rmtoolkit/financing/SitePages/6.1.7_BeforeSigningAreement.aspx"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Nesreen Al-Hebshi</dc:creator>
  <cp:lastModifiedBy>French Team</cp:lastModifiedBy>
  <cp:revision>23</cp:revision>
  <dcterms:created xsi:type="dcterms:W3CDTF">2024-01-29T15:14:00Z</dcterms:created>
  <dcterms:modified xsi:type="dcterms:W3CDTF">2024-02-01T09:37:00Z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2013</vt:lpwstr>
  </property>
  <property fmtid="{D5CDD505-2E9C-101B-9397-08002B2CF9AE}" pid="4" name="LastSaved">
    <vt:filetime>2023-12-22T00:00:00Z</vt:filetime>
  </property>
  <property fmtid="{D5CDD505-2E9C-101B-9397-08002B2CF9AE}" pid="5" name="Producer">
    <vt:lpwstr>Microsoft® Word 2013</vt:lpwstr>
  </property>
</Properties>
</file>