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2C6BA" w14:textId="77777777" w:rsidR="002D3334" w:rsidRPr="002D3334" w:rsidRDefault="002D3334" w:rsidP="002D3334">
      <w:pPr>
        <w:shd w:val="clear" w:color="auto" w:fill="FFFFFF"/>
        <w:spacing w:line="240" w:lineRule="auto"/>
        <w:contextualSpacing/>
        <w:jc w:val="both"/>
        <w:textAlignment w:val="top"/>
        <w:rPr>
          <w:rFonts w:ascii="Calibri" w:eastAsia="Times New Roman" w:hAnsi="Calibri" w:cs="Calibri"/>
          <w:b/>
          <w:bCs/>
          <w:kern w:val="0"/>
          <w:sz w:val="22"/>
          <w:szCs w:val="22"/>
          <w:lang w:val="fr-FR" w:eastAsia="ja-JP"/>
          <w14:ligatures w14:val="none"/>
        </w:rPr>
      </w:pPr>
      <w:r w:rsidRPr="002D3334">
        <w:rPr>
          <w:rFonts w:ascii="Calibri" w:eastAsia="MS Mincho" w:hAnsi="Calibri" w:cs="Times New Roman"/>
          <w:b/>
          <w:bCs/>
          <w:kern w:val="0"/>
          <w:sz w:val="28"/>
          <w:szCs w:val="28"/>
          <w:lang w:val="fr-FR" w:eastAsia="ja-JP"/>
          <w14:ligatures w14:val="none"/>
        </w:rPr>
        <w:t>Autorisation d’une implantation locale</w:t>
      </w:r>
    </w:p>
    <w:p w14:paraId="6D217D28" w14:textId="040AE06C" w:rsidR="002D3334" w:rsidRPr="002D3334" w:rsidRDefault="002D3334" w:rsidP="003E6B8A">
      <w:pPr>
        <w:shd w:val="clear" w:color="auto" w:fill="FFFFFF"/>
        <w:spacing w:line="240" w:lineRule="auto"/>
        <w:contextualSpacing/>
        <w:jc w:val="both"/>
        <w:textAlignment w:val="top"/>
        <w:rPr>
          <w:rFonts w:ascii="Calibri" w:eastAsia="Times New Roman" w:hAnsi="Calibri" w:cs="Calibri"/>
          <w:kern w:val="0"/>
          <w:sz w:val="22"/>
          <w:szCs w:val="22"/>
          <w:lang w:val="fr-FR" w:eastAsia="ja-JP"/>
          <w14:ligatures w14:val="none"/>
        </w:rPr>
      </w:pPr>
      <w:r w:rsidRPr="002D3334">
        <w:rPr>
          <w:rFonts w:ascii="Calibri" w:eastAsia="Times New Roman" w:hAnsi="Calibri" w:cs="Calibri"/>
          <w:b/>
          <w:bCs/>
          <w:noProof/>
          <w:kern w:val="0"/>
          <w:sz w:val="22"/>
          <w:szCs w:val="22"/>
          <w14:ligatures w14:val="none"/>
        </w:rPr>
        <w:drawing>
          <wp:inline distT="0" distB="0" distL="0" distR="0" wp14:anchorId="7FB18B01" wp14:editId="592E94A1">
            <wp:extent cx="3291840" cy="2305685"/>
            <wp:effectExtent l="0" t="0" r="3810" b="0"/>
            <wp:docPr id="4" name="Imagen 4" descr="C:\Users\Usuario\Desktop\Nueva carpeta\Admin Service_Management of Local Presence_Clearing a Local Presence 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uario\Desktop\Nueva carpeta\Admin Service_Management of Local Presence_Clearing a Local Presence F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91840" cy="2305685"/>
                    </a:xfrm>
                    <a:prstGeom prst="rect">
                      <a:avLst/>
                    </a:prstGeom>
                    <a:noFill/>
                    <a:ln>
                      <a:noFill/>
                    </a:ln>
                  </pic:spPr>
                </pic:pic>
              </a:graphicData>
            </a:graphic>
          </wp:inline>
        </w:drawing>
      </w:r>
    </w:p>
    <w:p w14:paraId="38CB480A" w14:textId="77777777" w:rsidR="002D3334" w:rsidRDefault="002D3334" w:rsidP="003E6B8A">
      <w:pPr>
        <w:shd w:val="clear" w:color="auto" w:fill="FFFFFF"/>
        <w:spacing w:after="0" w:line="240" w:lineRule="auto"/>
        <w:jc w:val="both"/>
        <w:textAlignment w:val="top"/>
        <w:rPr>
          <w:rFonts w:ascii="Calibri" w:eastAsia="MS Mincho" w:hAnsi="Calibri" w:cs="Times New Roman"/>
          <w:b/>
          <w:bCs/>
          <w:i/>
          <w:iCs/>
          <w:kern w:val="0"/>
          <w:sz w:val="22"/>
          <w:szCs w:val="22"/>
          <w:lang w:val="fr-FR" w:eastAsia="ja-JP"/>
          <w14:ligatures w14:val="none"/>
        </w:rPr>
      </w:pPr>
      <w:r w:rsidRPr="002D3334">
        <w:rPr>
          <w:rFonts w:ascii="Calibri" w:eastAsia="MS Mincho" w:hAnsi="Calibri" w:cs="Times New Roman"/>
          <w:b/>
          <w:bCs/>
          <w:i/>
          <w:iCs/>
          <w:kern w:val="0"/>
          <w:sz w:val="22"/>
          <w:szCs w:val="22"/>
          <w:lang w:val="fr-FR" w:eastAsia="ja-JP"/>
          <w14:ligatures w14:val="none"/>
        </w:rPr>
        <w:t>Consultations avec les homologues et les partenaires</w:t>
      </w:r>
    </w:p>
    <w:p w14:paraId="45A6E5D4" w14:textId="77777777" w:rsidR="002D3334" w:rsidRPr="002D3334" w:rsidRDefault="002D3334" w:rsidP="003E6B8A">
      <w:p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p>
    <w:p w14:paraId="69977FAC" w14:textId="77777777" w:rsidR="002D3334" w:rsidRPr="002D3334" w:rsidRDefault="002D3334" w:rsidP="003E6B8A">
      <w:pPr>
        <w:numPr>
          <w:ilvl w:val="0"/>
          <w:numId w:val="2"/>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2D3334">
        <w:rPr>
          <w:rFonts w:ascii="Calibri" w:eastAsia="MS Mincho" w:hAnsi="Calibri" w:cs="Times New Roman"/>
          <w:kern w:val="0"/>
          <w:sz w:val="22"/>
          <w:szCs w:val="22"/>
          <w:lang w:val="fr-FR" w:eastAsia="ja-JP"/>
          <w14:ligatures w14:val="none"/>
        </w:rPr>
        <w:t xml:space="preserve">Il est nécessaire d’engager des consultations avec les homologues et partenaires compétents avant de prendre toute décision relative à l’établissement d’une implantation locale. Cette exigence vise à assurer une communication et une coordination efficaces, à identifier les synergies potentielles et à éviter les obstacles ultérieurement. </w:t>
      </w:r>
    </w:p>
    <w:p w14:paraId="7409D3BB" w14:textId="77777777" w:rsidR="002D3334" w:rsidRPr="002D3334" w:rsidRDefault="002D3334" w:rsidP="002D3334">
      <w:pPr>
        <w:shd w:val="clear" w:color="auto" w:fill="FFFFFF"/>
        <w:spacing w:before="100" w:beforeAutospacing="1" w:after="0" w:line="240" w:lineRule="auto"/>
        <w:ind w:left="720"/>
        <w:contextualSpacing/>
        <w:jc w:val="both"/>
        <w:textAlignment w:val="top"/>
        <w:rPr>
          <w:rFonts w:ascii="Calibri" w:eastAsia="Times New Roman" w:hAnsi="Calibri" w:cs="Calibri"/>
          <w:kern w:val="0"/>
          <w:sz w:val="22"/>
          <w:szCs w:val="22"/>
          <w:lang w:val="fr-FR" w:eastAsia="ja-JP"/>
          <w14:ligatures w14:val="none"/>
        </w:rPr>
      </w:pPr>
    </w:p>
    <w:p w14:paraId="380C9C81" w14:textId="77777777" w:rsidR="002D3334" w:rsidRPr="002D3334" w:rsidRDefault="002D3334" w:rsidP="002D3334">
      <w:pPr>
        <w:numPr>
          <w:ilvl w:val="0"/>
          <w:numId w:val="2"/>
        </w:num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val="fr-FR" w:eastAsia="ja-JP"/>
          <w14:ligatures w14:val="none"/>
        </w:rPr>
      </w:pPr>
      <w:r w:rsidRPr="002D3334">
        <w:rPr>
          <w:rFonts w:ascii="Calibri" w:eastAsia="MS Mincho" w:hAnsi="Calibri" w:cs="Times New Roman"/>
          <w:kern w:val="0"/>
          <w:sz w:val="22"/>
          <w:szCs w:val="22"/>
          <w:lang w:val="fr-FR" w:eastAsia="ja-JP"/>
          <w14:ligatures w14:val="none"/>
        </w:rPr>
        <w:t xml:space="preserve">L’établissement d’implantations locales ne requiert pas une renégociation officielle des activités du PNUD dans le Programme pays. </w:t>
      </w:r>
      <w:r w:rsidRPr="002D3334">
        <w:rPr>
          <w:rFonts w:ascii="Calibri" w:eastAsia="MS Mincho" w:hAnsi="Calibri" w:cs="Times New Roman"/>
          <w:b/>
          <w:kern w:val="0"/>
          <w:sz w:val="22"/>
          <w:szCs w:val="22"/>
          <w:lang w:val="fr-FR" w:eastAsia="ja-JP"/>
          <w14:ligatures w14:val="none"/>
        </w:rPr>
        <w:t>L’accord écrit de l’homologue national (par exemple, par échange de lettres) est suffisant.</w:t>
      </w:r>
      <w:r w:rsidRPr="002D3334">
        <w:rPr>
          <w:rFonts w:ascii="Calibri" w:eastAsia="MS Mincho" w:hAnsi="Calibri" w:cs="Times New Roman"/>
          <w:kern w:val="0"/>
          <w:sz w:val="22"/>
          <w:szCs w:val="22"/>
          <w:lang w:val="fr-FR" w:eastAsia="ja-JP"/>
          <w14:ligatures w14:val="none"/>
        </w:rPr>
        <w:t xml:space="preserve"> Toute dérogation à cette approche standard nécessite l’accord écrit du Directeur du Bureau régional.</w:t>
      </w:r>
    </w:p>
    <w:p w14:paraId="56DCC62C" w14:textId="77777777" w:rsidR="002D3334" w:rsidRPr="002D3334" w:rsidRDefault="002D3334" w:rsidP="002D3334">
      <w:pPr>
        <w:shd w:val="clear" w:color="auto" w:fill="FFFFFF"/>
        <w:spacing w:before="100" w:beforeAutospacing="1" w:after="0" w:line="240" w:lineRule="auto"/>
        <w:ind w:left="720"/>
        <w:contextualSpacing/>
        <w:jc w:val="both"/>
        <w:textAlignment w:val="top"/>
        <w:rPr>
          <w:rFonts w:ascii="Calibri" w:eastAsia="Times New Roman" w:hAnsi="Calibri" w:cs="Calibri"/>
          <w:kern w:val="0"/>
          <w:sz w:val="22"/>
          <w:szCs w:val="22"/>
          <w:lang w:val="fr-FR" w:eastAsia="ja-JP"/>
          <w14:ligatures w14:val="none"/>
        </w:rPr>
      </w:pPr>
    </w:p>
    <w:p w14:paraId="6EAB607F" w14:textId="77777777" w:rsidR="002D3334" w:rsidRPr="002D3334" w:rsidRDefault="002D3334" w:rsidP="002D3334">
      <w:pPr>
        <w:numPr>
          <w:ilvl w:val="0"/>
          <w:numId w:val="2"/>
        </w:num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val="fr-FR" w:eastAsia="ja-JP"/>
          <w14:ligatures w14:val="none"/>
        </w:rPr>
      </w:pPr>
      <w:r w:rsidRPr="002D3334">
        <w:rPr>
          <w:rFonts w:ascii="Calibri" w:eastAsia="MS Mincho" w:hAnsi="Calibri" w:cs="Times New Roman"/>
          <w:kern w:val="0"/>
          <w:sz w:val="22"/>
          <w:szCs w:val="22"/>
          <w:lang w:val="fr-FR" w:eastAsia="ja-JP"/>
          <w14:ligatures w14:val="none"/>
        </w:rPr>
        <w:t xml:space="preserve">Le bureau de pays peut également consulter d’autres partenaires et homologues, y compris (mais sans s’y limiter nécessairement) : </w:t>
      </w:r>
    </w:p>
    <w:p w14:paraId="3FA1D229" w14:textId="77777777" w:rsidR="002D3334" w:rsidRPr="002D3334" w:rsidRDefault="002D3334" w:rsidP="002D3334">
      <w:pPr>
        <w:numPr>
          <w:ilvl w:val="0"/>
          <w:numId w:val="1"/>
        </w:numPr>
        <w:shd w:val="clear" w:color="auto" w:fill="FFFFFF"/>
        <w:spacing w:beforeAutospacing="1" w:after="100" w:afterAutospacing="1" w:line="240" w:lineRule="auto"/>
        <w:ind w:left="1276"/>
        <w:jc w:val="both"/>
        <w:textAlignment w:val="top"/>
        <w:rPr>
          <w:rFonts w:ascii="Calibri" w:eastAsia="Times New Roman" w:hAnsi="Calibri" w:cs="Calibri"/>
          <w:kern w:val="0"/>
          <w:sz w:val="22"/>
          <w:szCs w:val="22"/>
          <w:lang w:val="fr-FR" w:eastAsia="ja-JP"/>
          <w14:ligatures w14:val="none"/>
        </w:rPr>
      </w:pPr>
      <w:r w:rsidRPr="002D3334">
        <w:rPr>
          <w:rFonts w:ascii="Calibri" w:eastAsia="MS Mincho" w:hAnsi="Calibri" w:cs="Times New Roman"/>
          <w:kern w:val="0"/>
          <w:sz w:val="22"/>
          <w:szCs w:val="22"/>
          <w:lang w:val="fr-FR" w:eastAsia="ja-JP"/>
          <w14:ligatures w14:val="none"/>
        </w:rPr>
        <w:t>Les administrations/autorités locales</w:t>
      </w:r>
    </w:p>
    <w:p w14:paraId="3E0849A2" w14:textId="77777777" w:rsidR="002D3334" w:rsidRPr="002D3334" w:rsidRDefault="002D3334" w:rsidP="002D3334">
      <w:pPr>
        <w:numPr>
          <w:ilvl w:val="0"/>
          <w:numId w:val="1"/>
        </w:numPr>
        <w:shd w:val="clear" w:color="auto" w:fill="FFFFFF"/>
        <w:spacing w:beforeAutospacing="1" w:after="100" w:afterAutospacing="1" w:line="240" w:lineRule="auto"/>
        <w:ind w:left="1276"/>
        <w:jc w:val="both"/>
        <w:textAlignment w:val="top"/>
        <w:rPr>
          <w:rFonts w:ascii="Calibri" w:eastAsia="Times New Roman" w:hAnsi="Calibri" w:cs="Calibri"/>
          <w:kern w:val="0"/>
          <w:sz w:val="22"/>
          <w:szCs w:val="22"/>
          <w:lang w:val="fr-FR" w:eastAsia="ja-JP"/>
          <w14:ligatures w14:val="none"/>
        </w:rPr>
      </w:pPr>
      <w:r w:rsidRPr="002D3334">
        <w:rPr>
          <w:rFonts w:ascii="Calibri" w:eastAsia="MS Mincho" w:hAnsi="Calibri" w:cs="Times New Roman"/>
          <w:kern w:val="0"/>
          <w:sz w:val="22"/>
          <w:szCs w:val="22"/>
          <w:lang w:val="fr-FR" w:eastAsia="ja-JP"/>
          <w14:ligatures w14:val="none"/>
        </w:rPr>
        <w:t>Les principaux donateurs</w:t>
      </w:r>
    </w:p>
    <w:p w14:paraId="5EFDA46A" w14:textId="77777777" w:rsidR="002D3334" w:rsidRPr="002D3334" w:rsidRDefault="002D3334" w:rsidP="002D3334">
      <w:pPr>
        <w:numPr>
          <w:ilvl w:val="0"/>
          <w:numId w:val="1"/>
        </w:numPr>
        <w:shd w:val="clear" w:color="auto" w:fill="FFFFFF"/>
        <w:spacing w:beforeAutospacing="1" w:after="100" w:afterAutospacing="1" w:line="240" w:lineRule="auto"/>
        <w:ind w:left="1276"/>
        <w:jc w:val="both"/>
        <w:textAlignment w:val="top"/>
        <w:rPr>
          <w:rFonts w:ascii="Calibri" w:eastAsia="Times New Roman" w:hAnsi="Calibri" w:cs="Calibri"/>
          <w:kern w:val="0"/>
          <w:sz w:val="22"/>
          <w:szCs w:val="22"/>
          <w:lang w:val="fr-FR" w:eastAsia="ja-JP"/>
          <w14:ligatures w14:val="none"/>
        </w:rPr>
      </w:pPr>
      <w:r w:rsidRPr="002D3334">
        <w:rPr>
          <w:rFonts w:ascii="Calibri" w:eastAsia="MS Mincho" w:hAnsi="Calibri" w:cs="Times New Roman"/>
          <w:kern w:val="0"/>
          <w:sz w:val="22"/>
          <w:szCs w:val="22"/>
          <w:lang w:val="fr-FR" w:eastAsia="ja-JP"/>
          <w14:ligatures w14:val="none"/>
        </w:rPr>
        <w:t>Les partenaires de développement (agences, ONG, etc.)</w:t>
      </w:r>
    </w:p>
    <w:p w14:paraId="43996B2C" w14:textId="77777777" w:rsidR="002D3334" w:rsidRPr="002D3334" w:rsidRDefault="002D3334" w:rsidP="002D3334">
      <w:pPr>
        <w:numPr>
          <w:ilvl w:val="0"/>
          <w:numId w:val="1"/>
        </w:numPr>
        <w:shd w:val="clear" w:color="auto" w:fill="FFFFFF"/>
        <w:spacing w:beforeAutospacing="1" w:after="100" w:afterAutospacing="1" w:line="240" w:lineRule="auto"/>
        <w:ind w:left="1276"/>
        <w:jc w:val="both"/>
        <w:textAlignment w:val="top"/>
        <w:rPr>
          <w:rFonts w:ascii="Calibri" w:eastAsia="Times New Roman" w:hAnsi="Calibri" w:cs="Calibri"/>
          <w:kern w:val="0"/>
          <w:sz w:val="22"/>
          <w:szCs w:val="22"/>
          <w:lang w:val="fr-FR" w:eastAsia="ja-JP"/>
          <w14:ligatures w14:val="none"/>
        </w:rPr>
      </w:pPr>
      <w:r w:rsidRPr="002D3334">
        <w:rPr>
          <w:rFonts w:ascii="Calibri" w:eastAsia="MS Mincho" w:hAnsi="Calibri" w:cs="Times New Roman"/>
          <w:kern w:val="0"/>
          <w:sz w:val="22"/>
          <w:szCs w:val="22"/>
          <w:lang w:val="fr-FR" w:eastAsia="ja-JP"/>
          <w14:ligatures w14:val="none"/>
        </w:rPr>
        <w:t>La population locale (groupes cibles/bénéficiaires)</w:t>
      </w:r>
    </w:p>
    <w:p w14:paraId="69037A17" w14:textId="3050476F" w:rsidR="002D3334" w:rsidRPr="002D3334" w:rsidRDefault="002D3334" w:rsidP="003E6B8A">
      <w:pPr>
        <w:shd w:val="clear" w:color="auto" w:fill="FFFFFF"/>
        <w:spacing w:before="100" w:beforeAutospacing="1" w:after="0" w:line="240" w:lineRule="auto"/>
        <w:ind w:left="720"/>
        <w:contextualSpacing/>
        <w:jc w:val="both"/>
        <w:textAlignment w:val="top"/>
        <w:rPr>
          <w:rFonts w:ascii="Calibri" w:eastAsia="Times New Roman" w:hAnsi="Calibri" w:cs="Calibri"/>
          <w:kern w:val="0"/>
          <w:sz w:val="22"/>
          <w:szCs w:val="22"/>
          <w:lang w:val="fr-FR" w:eastAsia="ja-JP"/>
          <w14:ligatures w14:val="none"/>
        </w:rPr>
      </w:pPr>
      <w:r w:rsidRPr="002D3334">
        <w:rPr>
          <w:rFonts w:ascii="Calibri" w:eastAsia="MS Mincho" w:hAnsi="Calibri" w:cs="Times New Roman"/>
          <w:kern w:val="0"/>
          <w:sz w:val="22"/>
          <w:szCs w:val="22"/>
          <w:lang w:val="fr-FR" w:eastAsia="ja-JP"/>
          <w14:ligatures w14:val="none"/>
        </w:rPr>
        <w:t>Les éléments du plan de rentabilité complet peuvent être utilisés à cette fin, le cas échéant. Les consultations devraient être consignées dans des procès-verbaux, des échanges de lettres, etc., et conservées dans un dossier.</w:t>
      </w:r>
    </w:p>
    <w:p w14:paraId="6C158DBD" w14:textId="77777777" w:rsidR="002D3334" w:rsidRPr="002D3334" w:rsidRDefault="002D3334" w:rsidP="002D3334">
      <w:pPr>
        <w:shd w:val="clear" w:color="auto" w:fill="FFFFFF"/>
        <w:spacing w:before="100" w:beforeAutospacing="1" w:after="0" w:line="240" w:lineRule="auto"/>
        <w:ind w:left="720"/>
        <w:contextualSpacing/>
        <w:jc w:val="both"/>
        <w:textAlignment w:val="top"/>
        <w:rPr>
          <w:rFonts w:ascii="Calibri" w:eastAsia="Times New Roman" w:hAnsi="Calibri" w:cs="Calibri"/>
          <w:kern w:val="0"/>
          <w:sz w:val="22"/>
          <w:szCs w:val="22"/>
          <w:lang w:val="fr-FR" w:eastAsia="ja-JP"/>
          <w14:ligatures w14:val="none"/>
        </w:rPr>
      </w:pPr>
    </w:p>
    <w:p w14:paraId="11EB8233" w14:textId="77777777" w:rsidR="002D3334" w:rsidRDefault="002D3334" w:rsidP="003E6B8A">
      <w:pPr>
        <w:shd w:val="clear" w:color="auto" w:fill="FFFFFF"/>
        <w:spacing w:after="0" w:line="240" w:lineRule="auto"/>
        <w:jc w:val="both"/>
        <w:textAlignment w:val="top"/>
        <w:rPr>
          <w:rFonts w:ascii="Calibri" w:eastAsia="MS Mincho" w:hAnsi="Calibri" w:cs="Times New Roman"/>
          <w:b/>
          <w:bCs/>
          <w:i/>
          <w:iCs/>
          <w:kern w:val="0"/>
          <w:sz w:val="22"/>
          <w:szCs w:val="22"/>
          <w:lang w:val="fr-FR" w:eastAsia="ja-JP"/>
          <w14:ligatures w14:val="none"/>
        </w:rPr>
      </w:pPr>
      <w:r w:rsidRPr="002D3334">
        <w:rPr>
          <w:rFonts w:ascii="Calibri" w:eastAsia="MS Mincho" w:hAnsi="Calibri" w:cs="Times New Roman"/>
          <w:b/>
          <w:bCs/>
          <w:i/>
          <w:iCs/>
          <w:kern w:val="0"/>
          <w:sz w:val="22"/>
          <w:szCs w:val="22"/>
          <w:lang w:val="fr-FR" w:eastAsia="ja-JP"/>
          <w14:ligatures w14:val="none"/>
        </w:rPr>
        <w:t>Approbation et habilitation de sécurité</w:t>
      </w:r>
    </w:p>
    <w:p w14:paraId="772237A9" w14:textId="77777777" w:rsidR="002D3334" w:rsidRPr="002D3334" w:rsidRDefault="002D3334" w:rsidP="003E6B8A">
      <w:p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p>
    <w:p w14:paraId="12EE9FCB" w14:textId="77777777" w:rsidR="002D3334" w:rsidRPr="002D3334" w:rsidRDefault="002D3334" w:rsidP="003E6B8A">
      <w:pPr>
        <w:numPr>
          <w:ilvl w:val="0"/>
          <w:numId w:val="2"/>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2D3334">
        <w:rPr>
          <w:rFonts w:ascii="Calibri" w:eastAsia="MS Mincho" w:hAnsi="Calibri" w:cs="Times New Roman"/>
          <w:kern w:val="0"/>
          <w:sz w:val="22"/>
          <w:szCs w:val="22"/>
          <w:lang w:val="fr-FR" w:eastAsia="ja-JP"/>
          <w14:ligatures w14:val="none"/>
        </w:rPr>
        <w:t xml:space="preserve">L’approbation d’une implantation locale comprend deux étapes : Premièrement, le plan de rentabilité est approuvé par le Bureau régional. </w:t>
      </w:r>
      <w:r w:rsidRPr="002D3334">
        <w:rPr>
          <w:rFonts w:ascii="Calibri" w:eastAsia="MS Mincho" w:hAnsi="Calibri" w:cs="Times New Roman"/>
          <w:kern w:val="0"/>
          <w:sz w:val="22"/>
          <w:szCs w:val="22"/>
          <w:shd w:val="clear" w:color="auto" w:fill="FFFFFF"/>
          <w:lang w:val="fr-FR" w:eastAsia="ja-JP"/>
          <w14:ligatures w14:val="none"/>
        </w:rPr>
        <w:t>Deuxièmement, l’habilitation de sécurité est délivrée par le Responsable de sécurité senior du Siège.</w:t>
      </w:r>
    </w:p>
    <w:p w14:paraId="6774EA3D" w14:textId="77777777" w:rsidR="002D3334" w:rsidRPr="002D3334" w:rsidRDefault="002D3334" w:rsidP="002D3334">
      <w:pPr>
        <w:shd w:val="clear" w:color="auto" w:fill="FFFFFF"/>
        <w:spacing w:before="100" w:beforeAutospacing="1" w:after="100" w:afterAutospacing="1" w:line="240" w:lineRule="auto"/>
        <w:ind w:left="720"/>
        <w:contextualSpacing/>
        <w:jc w:val="both"/>
        <w:textAlignment w:val="top"/>
        <w:rPr>
          <w:rFonts w:ascii="Calibri" w:eastAsia="Times New Roman" w:hAnsi="Calibri" w:cs="Calibri"/>
          <w:kern w:val="0"/>
          <w:sz w:val="22"/>
          <w:szCs w:val="22"/>
          <w:lang w:val="fr-FR" w:eastAsia="ja-JP"/>
          <w14:ligatures w14:val="none"/>
        </w:rPr>
      </w:pPr>
    </w:p>
    <w:p w14:paraId="0B4B088B" w14:textId="77777777" w:rsidR="002D3334" w:rsidRPr="002D3334" w:rsidRDefault="002D3334" w:rsidP="002D3334">
      <w:pPr>
        <w:numPr>
          <w:ilvl w:val="0"/>
          <w:numId w:val="2"/>
        </w:numPr>
        <w:shd w:val="clear" w:color="auto" w:fill="FFFFFF"/>
        <w:spacing w:before="100" w:beforeAutospacing="1" w:after="100" w:afterAutospacing="1" w:line="240" w:lineRule="auto"/>
        <w:contextualSpacing/>
        <w:jc w:val="both"/>
        <w:textAlignment w:val="top"/>
        <w:rPr>
          <w:rFonts w:ascii="Calibri" w:eastAsia="Times New Roman" w:hAnsi="Calibri" w:cs="Calibri"/>
          <w:kern w:val="0"/>
          <w:sz w:val="22"/>
          <w:szCs w:val="22"/>
          <w:lang w:val="fr-FR" w:eastAsia="ja-JP"/>
          <w14:ligatures w14:val="none"/>
        </w:rPr>
      </w:pPr>
      <w:r w:rsidRPr="002D3334">
        <w:rPr>
          <w:rFonts w:ascii="Calibri" w:eastAsia="MS Mincho" w:hAnsi="Calibri" w:cs="Times New Roman"/>
          <w:kern w:val="0"/>
          <w:sz w:val="22"/>
          <w:szCs w:val="22"/>
          <w:lang w:val="fr-FR" w:eastAsia="ja-JP"/>
          <w14:ligatures w14:val="none"/>
        </w:rPr>
        <w:lastRenderedPageBreak/>
        <w:t xml:space="preserve">Pour gagner du temps, les bureaux de pays peuvent demander simultanément l’approbation du plan de rentabilité et l’habilitation de sécurité. À cet effet, il est nécessaire de trouver les locaux potentiels et de procéder à une évaluation complète des risques pour la sécurité et des effets de souffle avant que le plan de rentabilité ne soit finalisé et approuvé. Cette mesure est particulièrement recommandée dans les zones à risque. </w:t>
      </w:r>
    </w:p>
    <w:p w14:paraId="589382ED" w14:textId="77777777" w:rsidR="002D3334" w:rsidRPr="002D3334" w:rsidRDefault="002D3334" w:rsidP="002D3334">
      <w:pPr>
        <w:shd w:val="clear" w:color="auto" w:fill="FFFFFF"/>
        <w:spacing w:before="100" w:beforeAutospacing="1" w:after="100" w:afterAutospacing="1" w:line="240" w:lineRule="auto"/>
        <w:ind w:firstLine="720"/>
        <w:jc w:val="both"/>
        <w:textAlignment w:val="top"/>
        <w:rPr>
          <w:rFonts w:ascii="Calibri" w:eastAsia="Times New Roman" w:hAnsi="Calibri" w:cs="Calibri"/>
          <w:kern w:val="0"/>
          <w:sz w:val="22"/>
          <w:szCs w:val="22"/>
          <w:lang w:val="fr-FR" w:eastAsia="ja-JP"/>
          <w14:ligatures w14:val="none"/>
        </w:rPr>
      </w:pPr>
      <w:r w:rsidRPr="002D3334">
        <w:rPr>
          <w:rFonts w:ascii="Calibri" w:eastAsia="MS Mincho" w:hAnsi="Calibri" w:cs="Times New Roman"/>
          <w:i/>
          <w:iCs/>
          <w:kern w:val="0"/>
          <w:sz w:val="22"/>
          <w:szCs w:val="22"/>
          <w:lang w:val="fr-FR" w:eastAsia="ja-JP"/>
          <w14:ligatures w14:val="none"/>
        </w:rPr>
        <w:t>Approbation du plan de rentabilité</w:t>
      </w:r>
      <w:r w:rsidRPr="002D3334">
        <w:rPr>
          <w:rFonts w:ascii="Calibri" w:eastAsia="MS Mincho" w:hAnsi="Calibri" w:cs="Times New Roman"/>
          <w:kern w:val="0"/>
          <w:sz w:val="22"/>
          <w:szCs w:val="22"/>
          <w:lang w:val="fr-FR" w:eastAsia="ja-JP"/>
          <w14:ligatures w14:val="none"/>
        </w:rPr>
        <w:t> </w:t>
      </w:r>
    </w:p>
    <w:p w14:paraId="1E9FF2B8" w14:textId="12D129A5" w:rsidR="002D3334" w:rsidRPr="002D3334" w:rsidRDefault="002D3334" w:rsidP="003E6B8A">
      <w:pPr>
        <w:numPr>
          <w:ilvl w:val="0"/>
          <w:numId w:val="2"/>
        </w:numPr>
        <w:shd w:val="clear" w:color="auto" w:fill="FFFFFF"/>
        <w:spacing w:before="100" w:beforeAutospacing="1" w:after="100" w:afterAutospacing="1" w:line="240" w:lineRule="auto"/>
        <w:contextualSpacing/>
        <w:jc w:val="both"/>
        <w:textAlignment w:val="top"/>
        <w:rPr>
          <w:rFonts w:ascii="Calibri" w:eastAsia="Times New Roman" w:hAnsi="Calibri" w:cs="Calibri"/>
          <w:kern w:val="0"/>
          <w:sz w:val="22"/>
          <w:szCs w:val="22"/>
          <w:lang w:val="fr-FR" w:eastAsia="ja-JP"/>
          <w14:ligatures w14:val="none"/>
        </w:rPr>
      </w:pPr>
      <w:r w:rsidRPr="002D3334">
        <w:rPr>
          <w:rFonts w:ascii="Calibri" w:eastAsia="MS Mincho" w:hAnsi="Calibri" w:cs="Times New Roman"/>
          <w:kern w:val="0"/>
          <w:sz w:val="22"/>
          <w:szCs w:val="22"/>
          <w:lang w:val="fr-FR" w:eastAsia="ja-JP"/>
          <w14:ligatures w14:val="none"/>
        </w:rPr>
        <w:t xml:space="preserve">Dans le cas des </w:t>
      </w:r>
      <w:r w:rsidRPr="002D3334">
        <w:rPr>
          <w:rFonts w:ascii="Calibri" w:eastAsia="MS Mincho" w:hAnsi="Calibri" w:cs="Times New Roman"/>
          <w:kern w:val="0"/>
          <w:sz w:val="22"/>
          <w:szCs w:val="22"/>
          <w:u w:val="single"/>
          <w:lang w:val="fr-FR" w:eastAsia="ja-JP"/>
          <w14:ligatures w14:val="none"/>
        </w:rPr>
        <w:t>bureaux auxiliaires</w:t>
      </w:r>
      <w:r w:rsidRPr="002D3334">
        <w:rPr>
          <w:rFonts w:ascii="Calibri" w:eastAsia="MS Mincho" w:hAnsi="Calibri" w:cs="Times New Roman"/>
          <w:kern w:val="0"/>
          <w:sz w:val="22"/>
          <w:szCs w:val="22"/>
          <w:lang w:val="fr-FR" w:eastAsia="ja-JP"/>
          <w14:ligatures w14:val="none"/>
        </w:rPr>
        <w:t xml:space="preserve"> et des, le plan de rentabilité complet est soumis par le Représentant résident du PNUD au Bureau régional compétent pour approbation.   (</w:t>
      </w:r>
      <w:proofErr w:type="gramStart"/>
      <w:r w:rsidRPr="002D3334">
        <w:rPr>
          <w:rFonts w:ascii="Calibri" w:eastAsia="MS Mincho" w:hAnsi="Calibri" w:cs="Times New Roman"/>
          <w:kern w:val="0"/>
          <w:sz w:val="22"/>
          <w:szCs w:val="22"/>
          <w:lang w:val="fr-FR" w:eastAsia="ja-JP"/>
          <w14:ligatures w14:val="none"/>
        </w:rPr>
        <w:t>voir</w:t>
      </w:r>
      <w:proofErr w:type="gramEnd"/>
      <w:r w:rsidRPr="002D3334">
        <w:rPr>
          <w:rFonts w:ascii="Calibri" w:eastAsia="MS Mincho" w:hAnsi="Calibri" w:cs="Times New Roman"/>
          <w:kern w:val="0"/>
          <w:sz w:val="22"/>
          <w:szCs w:val="22"/>
          <w:lang w:val="fr-FR" w:eastAsia="ja-JP"/>
          <w14:ligatures w14:val="none"/>
        </w:rPr>
        <w:t xml:space="preserve"> le modèle d’analyse coûts-avantages). Le Bureau de la sécurité, les Opérations générales, le Bureau des opérations, le Bureau des Services de Gestion sont chargés, en ce qui les concerne, d’assurer des services d’examen pour cette demande. Il revient ensuite au Bureau régional de valider ou de rejeter l’approbation dans un délai de 10 jours ouvrables. </w:t>
      </w:r>
    </w:p>
    <w:p w14:paraId="792F36C3" w14:textId="77777777" w:rsidR="002D3334" w:rsidRPr="002D3334" w:rsidRDefault="002D3334" w:rsidP="002D3334">
      <w:pPr>
        <w:shd w:val="clear" w:color="auto" w:fill="FFFFFF"/>
        <w:spacing w:before="100" w:beforeAutospacing="1" w:after="100" w:afterAutospacing="1" w:line="240" w:lineRule="auto"/>
        <w:ind w:left="720"/>
        <w:contextualSpacing/>
        <w:jc w:val="both"/>
        <w:textAlignment w:val="top"/>
        <w:rPr>
          <w:rFonts w:ascii="Calibri" w:eastAsia="Times New Roman" w:hAnsi="Calibri" w:cs="Calibri"/>
          <w:kern w:val="0"/>
          <w:sz w:val="22"/>
          <w:szCs w:val="22"/>
          <w:lang w:val="fr-FR" w:eastAsia="ja-JP"/>
          <w14:ligatures w14:val="none"/>
        </w:rPr>
      </w:pPr>
    </w:p>
    <w:p w14:paraId="2354C057" w14:textId="77777777" w:rsidR="002D3334" w:rsidRPr="002D3334" w:rsidRDefault="002D3334" w:rsidP="002D3334">
      <w:pPr>
        <w:numPr>
          <w:ilvl w:val="0"/>
          <w:numId w:val="2"/>
        </w:numPr>
        <w:shd w:val="clear" w:color="auto" w:fill="FFFFFF"/>
        <w:spacing w:before="100" w:beforeAutospacing="1" w:after="100" w:afterAutospacing="1" w:line="240" w:lineRule="auto"/>
        <w:contextualSpacing/>
        <w:jc w:val="both"/>
        <w:textAlignment w:val="top"/>
        <w:rPr>
          <w:rFonts w:ascii="Calibri" w:eastAsia="Times New Roman" w:hAnsi="Calibri" w:cs="Calibri"/>
          <w:kern w:val="0"/>
          <w:sz w:val="22"/>
          <w:szCs w:val="22"/>
          <w:lang w:val="fr-FR" w:eastAsia="ja-JP"/>
          <w14:ligatures w14:val="none"/>
        </w:rPr>
      </w:pPr>
      <w:r w:rsidRPr="002D3334">
        <w:rPr>
          <w:rFonts w:ascii="Calibri" w:eastAsia="MS Mincho" w:hAnsi="Calibri" w:cs="Times New Roman"/>
          <w:kern w:val="0"/>
          <w:sz w:val="22"/>
          <w:szCs w:val="22"/>
          <w:lang w:val="fr-FR" w:eastAsia="ja-JP"/>
          <w14:ligatures w14:val="none"/>
        </w:rPr>
        <w:t xml:space="preserve">Dans le cas des </w:t>
      </w:r>
      <w:r w:rsidRPr="002D3334">
        <w:rPr>
          <w:rFonts w:ascii="Calibri" w:eastAsia="MS Mincho" w:hAnsi="Calibri" w:cs="Times New Roman"/>
          <w:kern w:val="0"/>
          <w:sz w:val="22"/>
          <w:szCs w:val="22"/>
          <w:u w:val="single"/>
          <w:lang w:val="fr-FR" w:eastAsia="ja-JP"/>
          <w14:ligatures w14:val="none"/>
        </w:rPr>
        <w:t>Bureaux de projet</w:t>
      </w:r>
      <w:r w:rsidRPr="002D3334">
        <w:rPr>
          <w:rFonts w:ascii="Calibri" w:eastAsia="MS Mincho" w:hAnsi="Calibri" w:cs="Times New Roman"/>
          <w:kern w:val="0"/>
          <w:sz w:val="22"/>
          <w:szCs w:val="22"/>
          <w:lang w:val="fr-FR" w:eastAsia="ja-JP"/>
          <w14:ligatures w14:val="none"/>
        </w:rPr>
        <w:t xml:space="preserve">, il revient au Représentant résident du PNUD d’approuver une implantation par écrit à l’issue de consultations avec ses homologues et sur la base d’un examen minutieux des documents pertinents concernant le projet qui comprennent tous les détails du Bureau de projet (ou d’un plan de rentabilité distinct selon le cas). Le </w:t>
      </w:r>
      <w:proofErr w:type="spellStart"/>
      <w:r w:rsidRPr="002D3334">
        <w:rPr>
          <w:rFonts w:ascii="Calibri" w:eastAsia="MS Mincho" w:hAnsi="Calibri" w:cs="Times New Roman"/>
          <w:kern w:val="0"/>
          <w:sz w:val="22"/>
          <w:szCs w:val="22"/>
          <w:lang w:val="fr-FR" w:eastAsia="ja-JP"/>
          <w14:ligatures w14:val="none"/>
        </w:rPr>
        <w:t>Représentant</w:t>
      </w:r>
      <w:proofErr w:type="spellEnd"/>
      <w:r w:rsidRPr="002D3334">
        <w:rPr>
          <w:rFonts w:ascii="Calibri" w:eastAsia="MS Mincho" w:hAnsi="Calibri" w:cs="Times New Roman"/>
          <w:kern w:val="0"/>
          <w:sz w:val="22"/>
          <w:szCs w:val="22"/>
          <w:lang w:val="fr-FR" w:eastAsia="ja-JP"/>
          <w14:ligatures w14:val="none"/>
        </w:rPr>
        <w:t xml:space="preserve"> </w:t>
      </w:r>
      <w:proofErr w:type="spellStart"/>
      <w:r w:rsidRPr="002D3334">
        <w:rPr>
          <w:rFonts w:ascii="Calibri" w:eastAsia="MS Mincho" w:hAnsi="Calibri" w:cs="Times New Roman"/>
          <w:kern w:val="0"/>
          <w:sz w:val="22"/>
          <w:szCs w:val="22"/>
          <w:lang w:val="fr-FR" w:eastAsia="ja-JP"/>
          <w14:ligatures w14:val="none"/>
        </w:rPr>
        <w:t>résident</w:t>
      </w:r>
      <w:proofErr w:type="spellEnd"/>
      <w:r w:rsidRPr="002D3334">
        <w:rPr>
          <w:rFonts w:ascii="Calibri" w:eastAsia="MS Mincho" w:hAnsi="Calibri" w:cs="Times New Roman"/>
          <w:kern w:val="0"/>
          <w:sz w:val="22"/>
          <w:szCs w:val="22"/>
          <w:lang w:val="fr-FR" w:eastAsia="ja-JP"/>
          <w14:ligatures w14:val="none"/>
        </w:rPr>
        <w:t xml:space="preserve"> peut déléguer ses pouvoirs au Directeur de pays. </w:t>
      </w:r>
    </w:p>
    <w:p w14:paraId="056399DC" w14:textId="77777777" w:rsidR="002D3334" w:rsidRPr="002D3334" w:rsidRDefault="002D3334" w:rsidP="002D3334">
      <w:pPr>
        <w:shd w:val="clear" w:color="auto" w:fill="FFFFFF"/>
        <w:spacing w:before="100" w:beforeAutospacing="1" w:after="100" w:afterAutospacing="1" w:line="240" w:lineRule="auto"/>
        <w:ind w:left="720"/>
        <w:contextualSpacing/>
        <w:jc w:val="both"/>
        <w:textAlignment w:val="top"/>
        <w:rPr>
          <w:rFonts w:ascii="Calibri" w:eastAsia="Times New Roman" w:hAnsi="Calibri" w:cs="Calibri"/>
          <w:kern w:val="0"/>
          <w:sz w:val="22"/>
          <w:szCs w:val="22"/>
          <w:lang w:val="fr-FR" w:eastAsia="ja-JP"/>
          <w14:ligatures w14:val="none"/>
        </w:rPr>
      </w:pPr>
    </w:p>
    <w:p w14:paraId="59122EA3" w14:textId="77777777" w:rsidR="002D3334" w:rsidRPr="002D3334" w:rsidRDefault="002D3334" w:rsidP="002D3334">
      <w:pPr>
        <w:numPr>
          <w:ilvl w:val="0"/>
          <w:numId w:val="2"/>
        </w:numPr>
        <w:shd w:val="clear" w:color="auto" w:fill="FFFFFF"/>
        <w:spacing w:before="100" w:beforeAutospacing="1" w:after="100" w:afterAutospacing="1" w:line="240" w:lineRule="auto"/>
        <w:contextualSpacing/>
        <w:jc w:val="both"/>
        <w:textAlignment w:val="top"/>
        <w:rPr>
          <w:rFonts w:ascii="Calibri" w:eastAsia="Times New Roman" w:hAnsi="Calibri" w:cs="Calibri"/>
          <w:kern w:val="0"/>
          <w:sz w:val="22"/>
          <w:szCs w:val="22"/>
          <w:lang w:val="fr-FR" w:eastAsia="ja-JP"/>
          <w14:ligatures w14:val="none"/>
        </w:rPr>
      </w:pPr>
      <w:r w:rsidRPr="002D3334">
        <w:rPr>
          <w:rFonts w:ascii="Calibri" w:eastAsia="MS Mincho" w:hAnsi="Calibri" w:cs="Times New Roman"/>
          <w:kern w:val="0"/>
          <w:sz w:val="22"/>
          <w:szCs w:val="22"/>
          <w:lang w:val="fr-FR" w:eastAsia="ja-JP"/>
          <w14:ligatures w14:val="none"/>
        </w:rPr>
        <w:t xml:space="preserve">Les implantations locales ne sont approuvées que pour une durée limitée, comme définie à la section « h » du plan de rentabilité. Toute prolongation de cette durée est accordée sur la base d’un examen documenté et de l’approbation d’un plan de rentabilité nouveau ou révisé. </w:t>
      </w:r>
    </w:p>
    <w:p w14:paraId="29941961" w14:textId="77777777" w:rsidR="002D3334" w:rsidRPr="002D3334" w:rsidRDefault="002D3334" w:rsidP="002D3334">
      <w:pPr>
        <w:shd w:val="clear" w:color="auto" w:fill="FFFFFF"/>
        <w:spacing w:before="100" w:beforeAutospacing="1" w:after="0" w:line="240" w:lineRule="auto"/>
        <w:ind w:firstLine="720"/>
        <w:jc w:val="both"/>
        <w:textAlignment w:val="top"/>
        <w:rPr>
          <w:rFonts w:ascii="Calibri" w:eastAsia="Times New Roman" w:hAnsi="Calibri" w:cs="Calibri"/>
          <w:kern w:val="0"/>
          <w:sz w:val="22"/>
          <w:szCs w:val="22"/>
          <w:lang w:val="fr-FR" w:eastAsia="ja-JP"/>
          <w14:ligatures w14:val="none"/>
        </w:rPr>
      </w:pPr>
      <w:r w:rsidRPr="002D3334">
        <w:rPr>
          <w:rFonts w:ascii="Calibri" w:eastAsia="MS Mincho" w:hAnsi="Calibri" w:cs="Times New Roman"/>
          <w:i/>
          <w:iCs/>
          <w:kern w:val="0"/>
          <w:sz w:val="22"/>
          <w:szCs w:val="22"/>
          <w:lang w:val="fr-FR" w:eastAsia="ja-JP"/>
          <w14:ligatures w14:val="none"/>
        </w:rPr>
        <w:t>Habilitation de sécurité et approbation des locaux</w:t>
      </w:r>
    </w:p>
    <w:p w14:paraId="319E62E0" w14:textId="503A34BA" w:rsidR="002D3334" w:rsidRPr="002D3334" w:rsidRDefault="002D3334" w:rsidP="002D3334">
      <w:pPr>
        <w:numPr>
          <w:ilvl w:val="0"/>
          <w:numId w:val="2"/>
        </w:numPr>
        <w:shd w:val="clear" w:color="auto" w:fill="FFFFFF"/>
        <w:spacing w:before="100" w:beforeAutospacing="1" w:after="100" w:afterAutospacing="1" w:line="240" w:lineRule="auto"/>
        <w:contextualSpacing/>
        <w:jc w:val="both"/>
        <w:textAlignment w:val="top"/>
        <w:rPr>
          <w:rFonts w:ascii="Calibri" w:eastAsia="Times New Roman" w:hAnsi="Calibri" w:cs="Calibri"/>
          <w:kern w:val="0"/>
          <w:sz w:val="22"/>
          <w:szCs w:val="22"/>
          <w:lang w:val="fr-FR" w:eastAsia="ja-JP"/>
          <w14:ligatures w14:val="none"/>
        </w:rPr>
      </w:pPr>
      <w:r w:rsidRPr="002D3334">
        <w:rPr>
          <w:rFonts w:ascii="Calibri" w:eastAsia="MS Mincho" w:hAnsi="Calibri" w:cs="Times New Roman"/>
          <w:kern w:val="0"/>
          <w:sz w:val="22"/>
          <w:szCs w:val="22"/>
          <w:lang w:val="fr-FR" w:eastAsia="ja-JP"/>
          <w14:ligatures w14:val="none"/>
        </w:rPr>
        <w:t xml:space="preserve">Conformément aux exigences du </w:t>
      </w:r>
      <w:hyperlink r:id="rId9" w:history="1">
        <w:r w:rsidRPr="002D3334">
          <w:rPr>
            <w:rFonts w:ascii="Calibri" w:eastAsia="MS Mincho" w:hAnsi="Calibri" w:cs="Times New Roman"/>
            <w:color w:val="0563C1"/>
            <w:kern w:val="0"/>
            <w:sz w:val="22"/>
            <w:szCs w:val="22"/>
            <w:u w:val="single"/>
            <w:lang w:val="fr-FR" w:eastAsia="ja-JP"/>
            <w14:ligatures w14:val="none"/>
          </w:rPr>
          <w:t>« Cadre de responsabilité pour le système de gestion de la sécurité des organismes des Nations Unies sur le terrain »</w:t>
        </w:r>
      </w:hyperlink>
      <w:r w:rsidRPr="002D3334">
        <w:rPr>
          <w:rFonts w:ascii="Calibri" w:eastAsia="MS Mincho" w:hAnsi="Calibri" w:cs="Times New Roman"/>
          <w:color w:val="333333"/>
          <w:kern w:val="0"/>
          <w:sz w:val="22"/>
          <w:szCs w:val="22"/>
          <w:lang w:val="fr-FR" w:eastAsia="ja-JP"/>
          <w14:ligatures w14:val="none"/>
        </w:rPr>
        <w:t xml:space="preserve"> </w:t>
      </w:r>
      <w:r>
        <w:rPr>
          <w:rFonts w:ascii="Calibri" w:eastAsia="MS Mincho" w:hAnsi="Calibri" w:cs="Times New Roman"/>
          <w:color w:val="333333"/>
          <w:kern w:val="0"/>
          <w:sz w:val="22"/>
          <w:szCs w:val="22"/>
          <w:lang w:val="fr-FR" w:eastAsia="ja-JP"/>
          <w14:ligatures w14:val="none"/>
        </w:rPr>
        <w:t xml:space="preserve">(en anglais) </w:t>
      </w:r>
      <w:r w:rsidRPr="002D3334">
        <w:rPr>
          <w:rFonts w:ascii="Calibri" w:eastAsia="MS Mincho" w:hAnsi="Calibri" w:cs="Times New Roman"/>
          <w:kern w:val="0"/>
          <w:sz w:val="22"/>
          <w:szCs w:val="22"/>
          <w:lang w:val="fr-FR" w:eastAsia="ja-JP"/>
          <w14:ligatures w14:val="none"/>
        </w:rPr>
        <w:t xml:space="preserve">(A/57/365), les Représentants résidents sont tenus de demander une habilitation de sécurité au fonctionnaire désigné et au Responsable de sécurité senior (SSM) du Siège avant d’établir toute implantation locale. Les implantations doivent être évaluées conformément à la </w:t>
      </w:r>
      <w:hyperlink r:id="rId10" w:history="1">
        <w:r w:rsidRPr="002D3334">
          <w:rPr>
            <w:rFonts w:ascii="Calibri" w:eastAsia="MS Mincho" w:hAnsi="Calibri" w:cs="Times New Roman"/>
            <w:color w:val="0563C1"/>
            <w:kern w:val="0"/>
            <w:sz w:val="22"/>
            <w:szCs w:val="22"/>
            <w:u w:val="single"/>
            <w:lang w:val="fr-FR" w:eastAsia="ja-JP"/>
            <w14:ligatures w14:val="none"/>
          </w:rPr>
          <w:t>Méthode d’évaluation des risques en matière de sécurité approuvée par le Système de gestion de la sécurité des Nations Unies (UNSMS)</w:t>
        </w:r>
      </w:hyperlink>
      <w:r w:rsidRPr="002D3334">
        <w:rPr>
          <w:rFonts w:ascii="Calibri" w:eastAsia="MS Mincho" w:hAnsi="Calibri" w:cs="Times New Roman"/>
          <w:color w:val="333333"/>
          <w:kern w:val="0"/>
          <w:sz w:val="22"/>
          <w:szCs w:val="22"/>
          <w:lang w:val="fr-FR" w:eastAsia="ja-JP"/>
          <w14:ligatures w14:val="none"/>
        </w:rPr>
        <w:t xml:space="preserve"> </w:t>
      </w:r>
      <w:r>
        <w:rPr>
          <w:rFonts w:ascii="Calibri" w:eastAsia="MS Mincho" w:hAnsi="Calibri" w:cs="Times New Roman"/>
          <w:color w:val="333333"/>
          <w:kern w:val="0"/>
          <w:sz w:val="22"/>
          <w:szCs w:val="22"/>
          <w:lang w:val="fr-FR" w:eastAsia="ja-JP"/>
          <w14:ligatures w14:val="none"/>
        </w:rPr>
        <w:t xml:space="preserve">(en anglais) </w:t>
      </w:r>
      <w:r w:rsidRPr="002D3334">
        <w:rPr>
          <w:rFonts w:ascii="Calibri" w:eastAsia="MS Mincho" w:hAnsi="Calibri" w:cs="Times New Roman"/>
          <w:kern w:val="0"/>
          <w:sz w:val="22"/>
          <w:szCs w:val="22"/>
          <w:lang w:val="fr-FR" w:eastAsia="ja-JP"/>
          <w14:ligatures w14:val="none"/>
        </w:rPr>
        <w:t>et satisfaire aux Normes minimales de sécurité opérationnelle (MOSS) avant le déploiement du personnel.</w:t>
      </w:r>
    </w:p>
    <w:p w14:paraId="2443ED8A" w14:textId="77777777" w:rsidR="002D3334" w:rsidRPr="002D3334" w:rsidRDefault="002D3334" w:rsidP="002D3334">
      <w:pPr>
        <w:shd w:val="clear" w:color="auto" w:fill="FFFFFF"/>
        <w:spacing w:before="100" w:beforeAutospacing="1" w:after="100" w:afterAutospacing="1" w:line="240" w:lineRule="auto"/>
        <w:ind w:left="720"/>
        <w:contextualSpacing/>
        <w:jc w:val="both"/>
        <w:textAlignment w:val="top"/>
        <w:rPr>
          <w:rFonts w:ascii="Calibri" w:eastAsia="Times New Roman" w:hAnsi="Calibri" w:cs="Calibri"/>
          <w:kern w:val="0"/>
          <w:sz w:val="22"/>
          <w:szCs w:val="22"/>
          <w:lang w:val="fr-FR" w:eastAsia="ja-JP"/>
          <w14:ligatures w14:val="none"/>
        </w:rPr>
      </w:pPr>
    </w:p>
    <w:p w14:paraId="5CFC8985" w14:textId="77777777" w:rsidR="002D3334" w:rsidRPr="002D3334" w:rsidRDefault="002D3334" w:rsidP="002D3334">
      <w:pPr>
        <w:shd w:val="clear" w:color="auto" w:fill="FFFFFF"/>
        <w:spacing w:before="100" w:beforeAutospacing="1" w:after="100" w:afterAutospacing="1" w:line="240" w:lineRule="auto"/>
        <w:ind w:left="720"/>
        <w:contextualSpacing/>
        <w:jc w:val="both"/>
        <w:textAlignment w:val="top"/>
        <w:rPr>
          <w:rFonts w:ascii="Calibri" w:eastAsia="Times New Roman" w:hAnsi="Calibri" w:cs="Calibri"/>
          <w:kern w:val="0"/>
          <w:sz w:val="22"/>
          <w:szCs w:val="22"/>
          <w:lang w:val="fr-FR" w:eastAsia="ja-JP"/>
          <w14:ligatures w14:val="none"/>
        </w:rPr>
      </w:pPr>
    </w:p>
    <w:p w14:paraId="5F348A9B" w14:textId="7D375AE1" w:rsidR="002D3334" w:rsidRPr="002D3334" w:rsidRDefault="002D3334" w:rsidP="002D3334">
      <w:pPr>
        <w:numPr>
          <w:ilvl w:val="0"/>
          <w:numId w:val="2"/>
        </w:numPr>
        <w:shd w:val="clear" w:color="auto" w:fill="FFFFFF"/>
        <w:spacing w:before="100" w:beforeAutospacing="1" w:after="100" w:afterAutospacing="1" w:line="240" w:lineRule="auto"/>
        <w:contextualSpacing/>
        <w:jc w:val="both"/>
        <w:textAlignment w:val="top"/>
        <w:rPr>
          <w:rFonts w:ascii="Calibri" w:eastAsia="Times New Roman" w:hAnsi="Calibri" w:cs="Calibri"/>
          <w:color w:val="333333"/>
          <w:kern w:val="0"/>
          <w:sz w:val="22"/>
          <w:szCs w:val="22"/>
          <w:lang w:val="fr-FR" w:eastAsia="ja-JP"/>
          <w14:ligatures w14:val="none"/>
        </w:rPr>
      </w:pPr>
      <w:r w:rsidRPr="002D3334">
        <w:rPr>
          <w:rFonts w:ascii="Calibri" w:eastAsia="MS Mincho" w:hAnsi="Calibri" w:cs="Times New Roman"/>
          <w:kern w:val="0"/>
          <w:sz w:val="22"/>
          <w:szCs w:val="22"/>
          <w:lang w:val="fr-FR" w:eastAsia="ja-JP"/>
          <w14:ligatures w14:val="none"/>
        </w:rPr>
        <w:t>À cet effet, le bureau de pays est chargé de trouver les locaux potentiels et de procéder à une évaluation des risques pour la sécurité et à une évaluation des effets de souffle. Les deux évaluations et, dans le cas des bureaux auxiliaires, le plan des locaux ainsi que le contrat proposé doivent être soumis au Directeur du Bureau régional avec une copie adressée au Responsable de sécurité senior (SSM) et au Coordonnateur des opérations.</w:t>
      </w:r>
      <w:r w:rsidRPr="002D3334">
        <w:rPr>
          <w:rFonts w:ascii="Calibri" w:eastAsia="MS Mincho" w:hAnsi="Calibri" w:cs="Times New Roman"/>
          <w:color w:val="333333"/>
          <w:kern w:val="0"/>
          <w:sz w:val="22"/>
          <w:szCs w:val="22"/>
          <w:lang w:val="fr-FR" w:eastAsia="ja-JP"/>
          <w14:ligatures w14:val="none"/>
        </w:rPr>
        <w:t xml:space="preserve"> </w:t>
      </w:r>
    </w:p>
    <w:p w14:paraId="7DB64D99" w14:textId="77777777" w:rsidR="002D3334" w:rsidRPr="002D3334" w:rsidRDefault="002D3334" w:rsidP="002D3334">
      <w:pPr>
        <w:shd w:val="clear" w:color="auto" w:fill="FFFFFF"/>
        <w:spacing w:before="100" w:beforeAutospacing="1" w:after="100" w:afterAutospacing="1" w:line="240" w:lineRule="auto"/>
        <w:ind w:left="720"/>
        <w:contextualSpacing/>
        <w:jc w:val="both"/>
        <w:textAlignment w:val="top"/>
        <w:rPr>
          <w:rFonts w:ascii="Calibri" w:eastAsia="Times New Roman" w:hAnsi="Calibri" w:cs="Calibri"/>
          <w:color w:val="333333"/>
          <w:kern w:val="0"/>
          <w:sz w:val="22"/>
          <w:szCs w:val="22"/>
          <w:lang w:val="fr-FR" w:eastAsia="ja-JP"/>
          <w14:ligatures w14:val="none"/>
        </w:rPr>
      </w:pPr>
    </w:p>
    <w:p w14:paraId="55CBD8FF" w14:textId="77777777" w:rsidR="002D3334" w:rsidRPr="002D3334" w:rsidRDefault="002D3334" w:rsidP="002D3334">
      <w:pPr>
        <w:numPr>
          <w:ilvl w:val="0"/>
          <w:numId w:val="2"/>
        </w:numPr>
        <w:shd w:val="clear" w:color="auto" w:fill="FFFFFF"/>
        <w:spacing w:before="100" w:beforeAutospacing="1" w:after="100" w:afterAutospacing="1" w:line="240" w:lineRule="auto"/>
        <w:contextualSpacing/>
        <w:jc w:val="both"/>
        <w:textAlignment w:val="top"/>
        <w:rPr>
          <w:rFonts w:ascii="Calibri" w:eastAsia="Times New Roman" w:hAnsi="Calibri" w:cs="Calibri"/>
          <w:kern w:val="0"/>
          <w:sz w:val="22"/>
          <w:szCs w:val="22"/>
          <w:lang w:val="fr-FR" w:eastAsia="ja-JP"/>
          <w14:ligatures w14:val="none"/>
        </w:rPr>
      </w:pPr>
      <w:r w:rsidRPr="002D3334">
        <w:rPr>
          <w:rFonts w:ascii="Calibri" w:eastAsia="MS Mincho" w:hAnsi="Calibri" w:cs="Times New Roman"/>
          <w:kern w:val="0"/>
          <w:sz w:val="22"/>
          <w:szCs w:val="22"/>
          <w:lang w:val="fr-FR" w:eastAsia="ja-JP"/>
          <w14:ligatures w14:val="none"/>
        </w:rPr>
        <w:t xml:space="preserve">Le Bureau des Services de Gestion (Administrateur hors classe responsable de la sécurité, Opérations générales, etc.) examinera la demande et, sous réserve de la transmission de documents complets par le bureau de pays, délivrera l’autorisation technique dans un délai de 10 jours ouvrables. </w:t>
      </w:r>
    </w:p>
    <w:p w14:paraId="4E599EA9" w14:textId="77777777" w:rsidR="002D3334" w:rsidRDefault="002D3334" w:rsidP="002D3334">
      <w:pPr>
        <w:shd w:val="clear" w:color="auto" w:fill="FFFFFF"/>
        <w:spacing w:before="100" w:beforeAutospacing="1" w:after="0" w:line="240" w:lineRule="auto"/>
        <w:jc w:val="both"/>
        <w:textAlignment w:val="top"/>
        <w:rPr>
          <w:rFonts w:ascii="Calibri" w:eastAsia="MS Mincho" w:hAnsi="Calibri" w:cs="Times New Roman"/>
          <w:b/>
          <w:bCs/>
          <w:i/>
          <w:iCs/>
          <w:kern w:val="0"/>
          <w:sz w:val="22"/>
          <w:szCs w:val="22"/>
          <w:lang w:val="fr-FR" w:eastAsia="ja-JP"/>
          <w14:ligatures w14:val="none"/>
        </w:rPr>
      </w:pPr>
    </w:p>
    <w:p w14:paraId="43117178" w14:textId="77777777" w:rsidR="002D3334" w:rsidRDefault="002D3334" w:rsidP="002D3334">
      <w:pPr>
        <w:shd w:val="clear" w:color="auto" w:fill="FFFFFF"/>
        <w:spacing w:after="0" w:line="240" w:lineRule="auto"/>
        <w:jc w:val="both"/>
        <w:textAlignment w:val="top"/>
        <w:rPr>
          <w:rFonts w:ascii="Calibri" w:eastAsia="MS Mincho" w:hAnsi="Calibri" w:cs="Times New Roman"/>
          <w:b/>
          <w:bCs/>
          <w:i/>
          <w:iCs/>
          <w:kern w:val="0"/>
          <w:sz w:val="22"/>
          <w:szCs w:val="22"/>
          <w:lang w:val="fr-FR" w:eastAsia="ja-JP"/>
          <w14:ligatures w14:val="none"/>
        </w:rPr>
      </w:pPr>
    </w:p>
    <w:p w14:paraId="08509691" w14:textId="7C9A35DE" w:rsidR="002D3334" w:rsidRDefault="002D3334" w:rsidP="003E6B8A">
      <w:pPr>
        <w:shd w:val="clear" w:color="auto" w:fill="FFFFFF"/>
        <w:spacing w:after="0" w:line="240" w:lineRule="auto"/>
        <w:jc w:val="both"/>
        <w:textAlignment w:val="top"/>
        <w:rPr>
          <w:rFonts w:ascii="Calibri" w:eastAsia="MS Mincho" w:hAnsi="Calibri" w:cs="Times New Roman"/>
          <w:b/>
          <w:bCs/>
          <w:i/>
          <w:iCs/>
          <w:kern w:val="0"/>
          <w:sz w:val="22"/>
          <w:szCs w:val="22"/>
          <w:lang w:val="fr-FR" w:eastAsia="ja-JP"/>
          <w14:ligatures w14:val="none"/>
        </w:rPr>
      </w:pPr>
      <w:r w:rsidRPr="002D3334">
        <w:rPr>
          <w:rFonts w:ascii="Calibri" w:eastAsia="MS Mincho" w:hAnsi="Calibri" w:cs="Times New Roman"/>
          <w:b/>
          <w:bCs/>
          <w:i/>
          <w:iCs/>
          <w:kern w:val="0"/>
          <w:sz w:val="22"/>
          <w:szCs w:val="22"/>
          <w:lang w:val="fr-FR" w:eastAsia="ja-JP"/>
          <w14:ligatures w14:val="none"/>
        </w:rPr>
        <w:lastRenderedPageBreak/>
        <w:t>Examen de conformité</w:t>
      </w:r>
    </w:p>
    <w:p w14:paraId="65DF24A9" w14:textId="77777777" w:rsidR="002D3334" w:rsidRPr="002D3334" w:rsidRDefault="002D3334" w:rsidP="003E6B8A">
      <w:p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p>
    <w:p w14:paraId="16ACE9AF" w14:textId="77777777" w:rsidR="002D3334" w:rsidRPr="002D3334" w:rsidRDefault="002D3334" w:rsidP="003E6B8A">
      <w:pPr>
        <w:numPr>
          <w:ilvl w:val="0"/>
          <w:numId w:val="2"/>
        </w:numPr>
        <w:shd w:val="clear" w:color="auto" w:fill="FFFFFF"/>
        <w:spacing w:after="100" w:afterAutospacing="1" w:line="240" w:lineRule="auto"/>
        <w:contextualSpacing/>
        <w:jc w:val="both"/>
        <w:textAlignment w:val="top"/>
        <w:rPr>
          <w:rFonts w:ascii="Calibri" w:eastAsia="Times New Roman" w:hAnsi="Calibri" w:cs="Calibri"/>
          <w:kern w:val="0"/>
          <w:sz w:val="22"/>
          <w:szCs w:val="22"/>
          <w:lang w:val="fr-FR" w:eastAsia="ja-JP"/>
          <w14:ligatures w14:val="none"/>
        </w:rPr>
      </w:pPr>
      <w:r w:rsidRPr="002D3334">
        <w:rPr>
          <w:rFonts w:ascii="Calibri" w:eastAsia="MS Mincho" w:hAnsi="Calibri" w:cs="Times New Roman"/>
          <w:kern w:val="0"/>
          <w:sz w:val="22"/>
          <w:szCs w:val="22"/>
          <w:lang w:val="fr-FR" w:eastAsia="ja-JP"/>
          <w14:ligatures w14:val="none"/>
        </w:rPr>
        <w:t xml:space="preserve">Le bureau de pays doit veiller à ce que l’implantation locale respecte toutes les politiques et procédures institutionnelles. Le Bureau régional est chargé de veiller à ce que les bureaux de pays se conforment aux dispositions de la politique et des procédures décrites dans le présent chapitre, dans le cadre de ses fonctions de suivi et de supervision décrites dans le Guide organisationnel. </w:t>
      </w:r>
    </w:p>
    <w:p w14:paraId="028D8A1D" w14:textId="77777777" w:rsidR="002D3334" w:rsidRPr="002D3334" w:rsidRDefault="002D3334" w:rsidP="002D3334">
      <w:pPr>
        <w:shd w:val="clear" w:color="auto" w:fill="FFFFFF"/>
        <w:spacing w:before="100" w:beforeAutospacing="1" w:after="0" w:line="240" w:lineRule="auto"/>
        <w:ind w:left="720"/>
        <w:contextualSpacing/>
        <w:jc w:val="both"/>
        <w:textAlignment w:val="top"/>
        <w:rPr>
          <w:rFonts w:ascii="Calibri" w:eastAsia="Times New Roman" w:hAnsi="Calibri" w:cs="Calibri"/>
          <w:kern w:val="0"/>
          <w:sz w:val="22"/>
          <w:szCs w:val="22"/>
          <w:lang w:val="fr-FR" w:eastAsia="ja-JP"/>
          <w14:ligatures w14:val="none"/>
        </w:rPr>
      </w:pPr>
    </w:p>
    <w:p w14:paraId="0AF81C1B" w14:textId="77777777" w:rsidR="002D3334" w:rsidRPr="002D3334" w:rsidRDefault="002D3334" w:rsidP="002D3334">
      <w:pPr>
        <w:numPr>
          <w:ilvl w:val="0"/>
          <w:numId w:val="2"/>
        </w:num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val="fr-FR" w:eastAsia="ja-JP"/>
          <w14:ligatures w14:val="none"/>
        </w:rPr>
      </w:pPr>
      <w:r w:rsidRPr="002D3334">
        <w:rPr>
          <w:rFonts w:ascii="Calibri" w:eastAsia="MS Mincho" w:hAnsi="Calibri" w:cs="Times New Roman"/>
          <w:kern w:val="0"/>
          <w:sz w:val="22"/>
          <w:szCs w:val="22"/>
          <w:lang w:val="fr-FR" w:eastAsia="ja-JP"/>
          <w14:ligatures w14:val="none"/>
        </w:rPr>
        <w:t xml:space="preserve">Les bureaux de pays doivent déposer le plan de rentabilité (ou les documents du projet dans le cas d’un Bureau de projet), l’approbation écrite, l’accord écrit des homologues ainsi que les documents de supervision et de rapport (au minimum : des rapports semestriels sur les opérations et les missions de supervision du programme, approuvés par le </w:t>
      </w:r>
      <w:proofErr w:type="spellStart"/>
      <w:r w:rsidRPr="002D3334">
        <w:rPr>
          <w:rFonts w:ascii="Calibri" w:eastAsia="MS Mincho" w:hAnsi="Calibri" w:cs="Times New Roman"/>
          <w:kern w:val="0"/>
          <w:sz w:val="22"/>
          <w:szCs w:val="22"/>
          <w:lang w:val="fr-FR" w:eastAsia="ja-JP"/>
          <w14:ligatures w14:val="none"/>
        </w:rPr>
        <w:t>Représentant</w:t>
      </w:r>
      <w:proofErr w:type="spellEnd"/>
      <w:r w:rsidRPr="002D3334">
        <w:rPr>
          <w:rFonts w:ascii="Calibri" w:eastAsia="MS Mincho" w:hAnsi="Calibri" w:cs="Times New Roman"/>
          <w:kern w:val="0"/>
          <w:sz w:val="22"/>
          <w:szCs w:val="22"/>
          <w:lang w:val="fr-FR" w:eastAsia="ja-JP"/>
          <w14:ligatures w14:val="none"/>
        </w:rPr>
        <w:t xml:space="preserve"> </w:t>
      </w:r>
      <w:proofErr w:type="spellStart"/>
      <w:r w:rsidRPr="002D3334">
        <w:rPr>
          <w:rFonts w:ascii="Calibri" w:eastAsia="MS Mincho" w:hAnsi="Calibri" w:cs="Times New Roman"/>
          <w:kern w:val="0"/>
          <w:sz w:val="22"/>
          <w:szCs w:val="22"/>
          <w:lang w:val="fr-FR" w:eastAsia="ja-JP"/>
          <w14:ligatures w14:val="none"/>
        </w:rPr>
        <w:t>résident</w:t>
      </w:r>
      <w:proofErr w:type="spellEnd"/>
      <w:r w:rsidRPr="002D3334">
        <w:rPr>
          <w:rFonts w:ascii="Calibri" w:eastAsia="MS Mincho" w:hAnsi="Calibri" w:cs="Times New Roman"/>
          <w:kern w:val="0"/>
          <w:sz w:val="22"/>
          <w:szCs w:val="22"/>
          <w:lang w:val="fr-FR" w:eastAsia="ja-JP"/>
          <w14:ligatures w14:val="none"/>
        </w:rPr>
        <w:t>) aux fins d’un audit ultérieur.</w:t>
      </w:r>
    </w:p>
    <w:p w14:paraId="6B5AF9AC" w14:textId="77777777" w:rsidR="002D3334" w:rsidRPr="002D3334" w:rsidRDefault="002D3334" w:rsidP="002D3334">
      <w:pPr>
        <w:spacing w:line="259" w:lineRule="auto"/>
        <w:ind w:left="720"/>
        <w:contextualSpacing/>
        <w:rPr>
          <w:rFonts w:ascii="Calibri" w:eastAsia="Times New Roman" w:hAnsi="Calibri" w:cs="Calibri"/>
          <w:kern w:val="0"/>
          <w:sz w:val="22"/>
          <w:szCs w:val="22"/>
          <w:lang w:val="fr-FR" w:eastAsia="ja-JP"/>
          <w14:ligatures w14:val="none"/>
        </w:rPr>
      </w:pPr>
    </w:p>
    <w:p w14:paraId="1C291F5B" w14:textId="77777777" w:rsidR="002D3334" w:rsidRPr="002D3334" w:rsidRDefault="002D3334" w:rsidP="002D3334">
      <w:pPr>
        <w:numPr>
          <w:ilvl w:val="0"/>
          <w:numId w:val="2"/>
        </w:num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val="fr-FR" w:eastAsia="ja-JP"/>
          <w14:ligatures w14:val="none"/>
        </w:rPr>
      </w:pPr>
      <w:r w:rsidRPr="002D3334">
        <w:rPr>
          <w:rFonts w:ascii="Calibri" w:eastAsia="MS Mincho" w:hAnsi="Calibri" w:cs="Times New Roman"/>
          <w:kern w:val="0"/>
          <w:sz w:val="22"/>
          <w:szCs w:val="22"/>
          <w:lang w:val="fr-FR" w:eastAsia="ja-JP"/>
          <w14:ligatures w14:val="none"/>
        </w:rPr>
        <w:t xml:space="preserve">Les politiques et règlements institutionnels suivants sont pertinents pour le sous-processus « Approbation d’une implantation locale à l’extérieur du bureau de pays » : </w:t>
      </w:r>
    </w:p>
    <w:p w14:paraId="70A4B58E" w14:textId="77777777" w:rsidR="002D3334" w:rsidRPr="002D3334" w:rsidRDefault="002D3334" w:rsidP="002D3334">
      <w:pPr>
        <w:shd w:val="clear" w:color="auto" w:fill="FFFFFF"/>
        <w:spacing w:after="0" w:line="240" w:lineRule="auto"/>
        <w:jc w:val="both"/>
        <w:textAlignment w:val="top"/>
        <w:rPr>
          <w:rFonts w:ascii="Calibri" w:eastAsia="Times New Roman" w:hAnsi="Calibri" w:cs="Calibri"/>
          <w:b/>
          <w:bCs/>
          <w:kern w:val="0"/>
          <w:sz w:val="22"/>
          <w:szCs w:val="22"/>
          <w:lang w:val="fr-FR" w:eastAsia="ja-JP"/>
          <w14:ligatures w14:val="none"/>
        </w:rPr>
      </w:pPr>
    </w:p>
    <w:p w14:paraId="79D5FE12" w14:textId="77777777" w:rsidR="002D3334" w:rsidRPr="002D3334" w:rsidRDefault="002D3334" w:rsidP="002D3334">
      <w:pPr>
        <w:shd w:val="clear" w:color="auto" w:fill="FFFFFF"/>
        <w:spacing w:after="0" w:line="240" w:lineRule="auto"/>
        <w:jc w:val="both"/>
        <w:textAlignment w:val="top"/>
        <w:rPr>
          <w:rFonts w:ascii="Calibri" w:eastAsia="Times New Roman" w:hAnsi="Calibri" w:cs="Calibri"/>
          <w:b/>
          <w:bCs/>
          <w:kern w:val="0"/>
          <w:sz w:val="22"/>
          <w:szCs w:val="22"/>
          <w:lang w:val="fr-FR" w:eastAsia="ja-JP"/>
          <w14:ligatures w14:val="none"/>
        </w:rPr>
      </w:pPr>
      <w:r w:rsidRPr="002D3334">
        <w:rPr>
          <w:rFonts w:ascii="Calibri" w:eastAsia="MS Mincho" w:hAnsi="Calibri" w:cs="Times New Roman"/>
          <w:b/>
          <w:bCs/>
          <w:kern w:val="0"/>
          <w:sz w:val="22"/>
          <w:szCs w:val="22"/>
          <w:lang w:val="fr-FR" w:eastAsia="ja-JP"/>
          <w14:ligatures w14:val="none"/>
        </w:rPr>
        <w:t xml:space="preserve">Cadre de responsabilité et d’obligations </w:t>
      </w:r>
    </w:p>
    <w:p w14:paraId="2180F18D" w14:textId="77777777" w:rsidR="002D3334" w:rsidRPr="002D3334" w:rsidRDefault="002D3334" w:rsidP="002D3334">
      <w:pPr>
        <w:numPr>
          <w:ilvl w:val="1"/>
          <w:numId w:val="3"/>
        </w:num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val="fr-FR" w:eastAsia="ja-JP"/>
          <w14:ligatures w14:val="none"/>
        </w:rPr>
      </w:pPr>
      <w:r w:rsidRPr="002D3334">
        <w:rPr>
          <w:rFonts w:ascii="Calibri" w:eastAsia="MS Mincho" w:hAnsi="Calibri" w:cs="Times New Roman"/>
          <w:i/>
          <w:kern w:val="0"/>
          <w:sz w:val="22"/>
          <w:szCs w:val="22"/>
          <w:lang w:val="fr-FR" w:eastAsia="ja-JP"/>
          <w14:ligatures w14:val="none"/>
        </w:rPr>
        <w:t xml:space="preserve">Le Représentant </w:t>
      </w:r>
      <w:proofErr w:type="gramStart"/>
      <w:r w:rsidRPr="002D3334">
        <w:rPr>
          <w:rFonts w:ascii="Calibri" w:eastAsia="MS Mincho" w:hAnsi="Calibri" w:cs="Times New Roman"/>
          <w:i/>
          <w:kern w:val="0"/>
          <w:sz w:val="22"/>
          <w:szCs w:val="22"/>
          <w:lang w:val="fr-FR" w:eastAsia="ja-JP"/>
          <w14:ligatures w14:val="none"/>
        </w:rPr>
        <w:t>résident</w:t>
      </w:r>
      <w:proofErr w:type="gramEnd"/>
      <w:r w:rsidRPr="002D3334">
        <w:rPr>
          <w:rFonts w:ascii="Calibri" w:eastAsia="MS Mincho" w:hAnsi="Calibri" w:cs="Times New Roman"/>
          <w:i/>
          <w:kern w:val="0"/>
          <w:sz w:val="22"/>
          <w:szCs w:val="22"/>
          <w:lang w:val="fr-FR" w:eastAsia="ja-JP"/>
          <w14:ligatures w14:val="none"/>
        </w:rPr>
        <w:t xml:space="preserve"> (ou Directeur de pays si délégué)</w:t>
      </w:r>
      <w:r w:rsidRPr="002D3334">
        <w:rPr>
          <w:rFonts w:ascii="Calibri" w:eastAsia="MS Mincho" w:hAnsi="Calibri" w:cs="Times New Roman"/>
          <w:kern w:val="0"/>
          <w:sz w:val="22"/>
          <w:szCs w:val="22"/>
          <w:lang w:val="fr-FR" w:eastAsia="ja-JP"/>
          <w14:ligatures w14:val="none"/>
        </w:rPr>
        <w:t xml:space="preserve"> : approuve le plan de rentabilité des Bureaux de projet ; examine et approuve le plan de rentabilité du bureau auxiliaire du PNUD ; engage des consultations avec ses homologues ; </w:t>
      </w:r>
    </w:p>
    <w:p w14:paraId="6ABF6F2F" w14:textId="77777777" w:rsidR="002D3334" w:rsidRPr="002D3334" w:rsidRDefault="002D3334" w:rsidP="002D3334">
      <w:pPr>
        <w:numPr>
          <w:ilvl w:val="1"/>
          <w:numId w:val="3"/>
        </w:num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val="fr-FR" w:eastAsia="ja-JP"/>
          <w14:ligatures w14:val="none"/>
        </w:rPr>
      </w:pPr>
      <w:r w:rsidRPr="002D3334">
        <w:rPr>
          <w:rFonts w:ascii="Calibri" w:eastAsia="MS Mincho" w:hAnsi="Calibri" w:cs="Times New Roman"/>
          <w:i/>
          <w:iCs/>
          <w:kern w:val="0"/>
          <w:sz w:val="22"/>
          <w:szCs w:val="22"/>
          <w:lang w:val="fr-FR" w:eastAsia="ja-JP"/>
          <w14:ligatures w14:val="none"/>
        </w:rPr>
        <w:t xml:space="preserve">Bureau régional : </w:t>
      </w:r>
      <w:r w:rsidRPr="002D3334">
        <w:rPr>
          <w:rFonts w:ascii="Calibri" w:eastAsia="MS Mincho" w:hAnsi="Calibri" w:cs="Times New Roman"/>
          <w:kern w:val="0"/>
          <w:sz w:val="22"/>
          <w:szCs w:val="22"/>
          <w:lang w:val="fr-FR" w:eastAsia="ja-JP"/>
          <w14:ligatures w14:val="none"/>
        </w:rPr>
        <w:t xml:space="preserve">examine et approuve les demandes d’approbation pour les bureaux </w:t>
      </w:r>
      <w:proofErr w:type="gramStart"/>
      <w:r w:rsidRPr="002D3334">
        <w:rPr>
          <w:rFonts w:ascii="Calibri" w:eastAsia="MS Mincho" w:hAnsi="Calibri" w:cs="Times New Roman"/>
          <w:kern w:val="0"/>
          <w:sz w:val="22"/>
          <w:szCs w:val="22"/>
          <w:lang w:val="fr-FR" w:eastAsia="ja-JP"/>
          <w14:ligatures w14:val="none"/>
        </w:rPr>
        <w:t>auxiliaires;</w:t>
      </w:r>
      <w:proofErr w:type="gramEnd"/>
      <w:r w:rsidRPr="002D3334">
        <w:rPr>
          <w:rFonts w:ascii="Calibri" w:eastAsia="MS Mincho" w:hAnsi="Calibri" w:cs="Times New Roman"/>
          <w:kern w:val="0"/>
          <w:sz w:val="22"/>
          <w:szCs w:val="22"/>
          <w:lang w:val="fr-FR" w:eastAsia="ja-JP"/>
          <w14:ligatures w14:val="none"/>
        </w:rPr>
        <w:t xml:space="preserve"> assure la coordination avec les unités pertinentes du Siège ; assure la coordination avec la TTCP + FS (Équipe spéciale du GNUD sur les locaux communs + services aux </w:t>
      </w:r>
      <w:proofErr w:type="gramStart"/>
      <w:r w:rsidRPr="002D3334">
        <w:rPr>
          <w:rFonts w:ascii="Calibri" w:eastAsia="MS Mincho" w:hAnsi="Calibri" w:cs="Times New Roman"/>
          <w:kern w:val="0"/>
          <w:sz w:val="22"/>
          <w:szCs w:val="22"/>
          <w:lang w:val="fr-FR" w:eastAsia="ja-JP"/>
          <w14:ligatures w14:val="none"/>
        </w:rPr>
        <w:t>installations )</w:t>
      </w:r>
      <w:proofErr w:type="gramEnd"/>
      <w:r w:rsidRPr="002D3334">
        <w:rPr>
          <w:rFonts w:ascii="Calibri" w:eastAsia="MS Mincho" w:hAnsi="Calibri" w:cs="Times New Roman"/>
          <w:kern w:val="0"/>
          <w:sz w:val="22"/>
          <w:szCs w:val="22"/>
          <w:lang w:val="fr-FR" w:eastAsia="ja-JP"/>
          <w14:ligatures w14:val="none"/>
        </w:rPr>
        <w:t xml:space="preserve"> par l’intermédiaire des Opérations générales (OG), le cas échéant, et l’équipe de directeurs régionaux (RDT) ; veille à la supervision continue de la conformité ; </w:t>
      </w:r>
    </w:p>
    <w:p w14:paraId="4D194A6C" w14:textId="77777777" w:rsidR="002D3334" w:rsidRPr="002D3334" w:rsidRDefault="002D3334" w:rsidP="002D3334">
      <w:pPr>
        <w:numPr>
          <w:ilvl w:val="1"/>
          <w:numId w:val="3"/>
        </w:num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val="fr-FR" w:eastAsia="ja-JP"/>
          <w14:ligatures w14:val="none"/>
        </w:rPr>
      </w:pPr>
      <w:r w:rsidRPr="002D3334">
        <w:rPr>
          <w:rFonts w:ascii="Calibri" w:eastAsia="MS Mincho" w:hAnsi="Calibri" w:cs="Times New Roman"/>
          <w:i/>
          <w:iCs/>
          <w:kern w:val="0"/>
          <w:sz w:val="22"/>
          <w:szCs w:val="22"/>
          <w:lang w:val="fr-FR" w:eastAsia="ja-JP"/>
          <w14:ligatures w14:val="none"/>
        </w:rPr>
        <w:t xml:space="preserve">Responsable de sécurité senior (SSM) du Siège : </w:t>
      </w:r>
      <w:r w:rsidRPr="002D3334">
        <w:rPr>
          <w:rFonts w:ascii="Calibri" w:eastAsia="MS Mincho" w:hAnsi="Calibri" w:cs="Times New Roman"/>
          <w:kern w:val="0"/>
          <w:sz w:val="22"/>
          <w:szCs w:val="22"/>
          <w:lang w:val="fr-FR" w:eastAsia="ja-JP"/>
          <w14:ligatures w14:val="none"/>
        </w:rPr>
        <w:t>examine et approuve la demande d’habilitation de sécurité de l’implantation locale ;</w:t>
      </w:r>
    </w:p>
    <w:p w14:paraId="5E48DDBC" w14:textId="77777777" w:rsidR="002D3334" w:rsidRPr="002D3334" w:rsidRDefault="002D3334" w:rsidP="002D3334">
      <w:pPr>
        <w:numPr>
          <w:ilvl w:val="1"/>
          <w:numId w:val="3"/>
        </w:num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val="fr-FR" w:eastAsia="ja-JP"/>
          <w14:ligatures w14:val="none"/>
        </w:rPr>
      </w:pPr>
      <w:r w:rsidRPr="002D3334">
        <w:rPr>
          <w:rFonts w:ascii="Calibri" w:eastAsia="MS Mincho" w:hAnsi="Calibri" w:cs="Times New Roman"/>
          <w:i/>
          <w:iCs/>
          <w:kern w:val="0"/>
          <w:sz w:val="22"/>
          <w:szCs w:val="22"/>
          <w:lang w:val="fr-FR" w:eastAsia="ja-JP"/>
          <w14:ligatures w14:val="none"/>
        </w:rPr>
        <w:t xml:space="preserve">Directeur désigné : </w:t>
      </w:r>
      <w:r w:rsidRPr="002D3334">
        <w:rPr>
          <w:rFonts w:ascii="Calibri" w:eastAsia="MS Mincho" w:hAnsi="Calibri" w:cs="Times New Roman"/>
          <w:kern w:val="0"/>
          <w:sz w:val="22"/>
          <w:szCs w:val="22"/>
          <w:lang w:val="fr-FR" w:eastAsia="ja-JP"/>
          <w14:ligatures w14:val="none"/>
        </w:rPr>
        <w:t xml:space="preserve">procède au plan de rentabilité ; prépare la demande de financement institutionnelle (facultatif) ; prépare la demande d’habilitation de sécurité ; assure la coordination avec toutes les unités pertinentes des bureaux de pays ; </w:t>
      </w:r>
    </w:p>
    <w:p w14:paraId="6B63F789" w14:textId="1307F3BA" w:rsidR="002D3334" w:rsidRPr="002D3334" w:rsidRDefault="002D3334" w:rsidP="002D3334">
      <w:pPr>
        <w:numPr>
          <w:ilvl w:val="1"/>
          <w:numId w:val="3"/>
        </w:num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val="fr-FR" w:eastAsia="ja-JP"/>
          <w14:ligatures w14:val="none"/>
        </w:rPr>
      </w:pPr>
      <w:r w:rsidRPr="002D3334">
        <w:rPr>
          <w:rFonts w:ascii="Calibri" w:eastAsia="MS Mincho" w:hAnsi="Calibri" w:cs="Times New Roman"/>
          <w:i/>
          <w:kern w:val="0"/>
          <w:sz w:val="22"/>
          <w:szCs w:val="22"/>
          <w:lang w:val="fr-FR" w:eastAsia="ja-JP"/>
          <w14:ligatures w14:val="none"/>
        </w:rPr>
        <w:t>L’équipe spéciale</w:t>
      </w:r>
      <w:r w:rsidRPr="002D3334">
        <w:rPr>
          <w:rFonts w:ascii="Calibri" w:eastAsia="MS Mincho" w:hAnsi="Calibri" w:cs="Times New Roman"/>
          <w:kern w:val="0"/>
          <w:sz w:val="22"/>
          <w:szCs w:val="22"/>
          <w:lang w:val="fr-FR" w:eastAsia="ja-JP"/>
          <w14:ligatures w14:val="none"/>
        </w:rPr>
        <w:t> : aide le Directeur désigné à réaliser le plan de rentabilité grâce à des apports techniques basés sur l’expertise des membres individuels de l’équipe ; veille à la réception de remarques appropriées de la part des unités de chaque bureau de pays et à la tenue de consultations appropriées au sein de celles-ci ; et</w:t>
      </w:r>
    </w:p>
    <w:p w14:paraId="47D98541" w14:textId="5174351D" w:rsidR="002D3334" w:rsidRPr="003E6B8A" w:rsidRDefault="002D3334" w:rsidP="003E6B8A">
      <w:pPr>
        <w:pStyle w:val="ListParagraph"/>
        <w:numPr>
          <w:ilvl w:val="2"/>
          <w:numId w:val="4"/>
        </w:numPr>
        <w:rPr>
          <w:rStyle w:val="Hyperlink"/>
          <w:rFonts w:ascii="Calibri" w:hAnsi="Calibri" w:cs="Calibri"/>
          <w:sz w:val="22"/>
          <w:szCs w:val="22"/>
        </w:rPr>
      </w:pPr>
      <w:r w:rsidRPr="003E6B8A">
        <w:rPr>
          <w:rFonts w:ascii="Calibri" w:hAnsi="Calibri" w:cs="Calibri"/>
          <w:sz w:val="22"/>
          <w:szCs w:val="22"/>
        </w:rPr>
        <w:fldChar w:fldCharType="begin"/>
      </w:r>
      <w:r w:rsidRPr="003E6B8A">
        <w:rPr>
          <w:rFonts w:ascii="Calibri" w:hAnsi="Calibri" w:cs="Calibri"/>
          <w:sz w:val="22"/>
          <w:szCs w:val="22"/>
        </w:rPr>
        <w:instrText>HYPERLINK "https://popp.undp.org/fr/document/contrat-de-bail-entre-locataire-et-le-programme-des-nations-unies-pour-le-developpement"</w:instrText>
      </w:r>
      <w:r w:rsidRPr="003E6B8A">
        <w:rPr>
          <w:rFonts w:ascii="Calibri" w:hAnsi="Calibri" w:cs="Calibri"/>
          <w:sz w:val="22"/>
          <w:szCs w:val="22"/>
        </w:rPr>
      </w:r>
      <w:r w:rsidRPr="003E6B8A">
        <w:rPr>
          <w:rFonts w:ascii="Calibri" w:hAnsi="Calibri" w:cs="Calibri"/>
          <w:sz w:val="22"/>
          <w:szCs w:val="22"/>
        </w:rPr>
        <w:fldChar w:fldCharType="separate"/>
      </w:r>
      <w:proofErr w:type="spellStart"/>
      <w:r w:rsidRPr="003E6B8A">
        <w:rPr>
          <w:rStyle w:val="Hyperlink"/>
          <w:rFonts w:ascii="Calibri" w:hAnsi="Calibri" w:cs="Calibri"/>
          <w:sz w:val="22"/>
          <w:szCs w:val="22"/>
        </w:rPr>
        <w:t>Contrat</w:t>
      </w:r>
      <w:proofErr w:type="spellEnd"/>
      <w:r w:rsidRPr="003E6B8A">
        <w:rPr>
          <w:rStyle w:val="Hyperlink"/>
          <w:rFonts w:ascii="Calibri" w:hAnsi="Calibri" w:cs="Calibri"/>
          <w:sz w:val="22"/>
          <w:szCs w:val="22"/>
        </w:rPr>
        <w:t xml:space="preserve"> type de location</w:t>
      </w:r>
    </w:p>
    <w:p w14:paraId="7ED9E6E0" w14:textId="50227F1F" w:rsidR="002D3334" w:rsidRPr="003E6B8A" w:rsidRDefault="002D3334" w:rsidP="003E6B8A">
      <w:pPr>
        <w:pStyle w:val="ListParagraph"/>
        <w:numPr>
          <w:ilvl w:val="2"/>
          <w:numId w:val="4"/>
        </w:numPr>
        <w:rPr>
          <w:rFonts w:ascii="Calibri" w:hAnsi="Calibri" w:cs="Calibri"/>
          <w:sz w:val="22"/>
          <w:szCs w:val="22"/>
        </w:rPr>
      </w:pPr>
      <w:r w:rsidRPr="003E6B8A">
        <w:rPr>
          <w:rFonts w:ascii="Calibri" w:hAnsi="Calibri" w:cs="Calibri"/>
          <w:sz w:val="22"/>
          <w:szCs w:val="22"/>
        </w:rPr>
        <w:fldChar w:fldCharType="end"/>
      </w:r>
      <w:hyperlink r:id="rId11" w:history="1">
        <w:proofErr w:type="spellStart"/>
        <w:r w:rsidRPr="003E6B8A">
          <w:rPr>
            <w:rStyle w:val="Hyperlink"/>
            <w:rFonts w:ascii="Calibri" w:hAnsi="Calibri" w:cs="Calibri"/>
            <w:sz w:val="22"/>
            <w:szCs w:val="22"/>
          </w:rPr>
          <w:t>Modèle</w:t>
        </w:r>
        <w:proofErr w:type="spellEnd"/>
        <w:r w:rsidRPr="003E6B8A">
          <w:rPr>
            <w:rStyle w:val="Hyperlink"/>
            <w:rFonts w:ascii="Calibri" w:hAnsi="Calibri" w:cs="Calibri"/>
            <w:sz w:val="22"/>
            <w:szCs w:val="22"/>
          </w:rPr>
          <w:t xml:space="preserve"> </w:t>
        </w:r>
        <w:proofErr w:type="spellStart"/>
        <w:r w:rsidRPr="003E6B8A">
          <w:rPr>
            <w:rStyle w:val="Hyperlink"/>
            <w:rFonts w:ascii="Calibri" w:hAnsi="Calibri" w:cs="Calibri"/>
            <w:sz w:val="22"/>
            <w:szCs w:val="22"/>
          </w:rPr>
          <w:t>d’échange</w:t>
        </w:r>
        <w:proofErr w:type="spellEnd"/>
        <w:r w:rsidRPr="003E6B8A">
          <w:rPr>
            <w:rStyle w:val="Hyperlink"/>
            <w:rFonts w:ascii="Calibri" w:hAnsi="Calibri" w:cs="Calibri"/>
            <w:sz w:val="22"/>
            <w:szCs w:val="22"/>
          </w:rPr>
          <w:t xml:space="preserve"> de </w:t>
        </w:r>
        <w:proofErr w:type="spellStart"/>
        <w:r w:rsidRPr="003E6B8A">
          <w:rPr>
            <w:rStyle w:val="Hyperlink"/>
            <w:rFonts w:ascii="Calibri" w:hAnsi="Calibri" w:cs="Calibri"/>
            <w:sz w:val="22"/>
            <w:szCs w:val="22"/>
          </w:rPr>
          <w:t>lettres</w:t>
        </w:r>
        <w:proofErr w:type="spellEnd"/>
        <w:r w:rsidRPr="003E6B8A">
          <w:rPr>
            <w:rStyle w:val="Hyperlink"/>
            <w:rFonts w:ascii="Calibri" w:hAnsi="Calibri" w:cs="Calibri"/>
            <w:sz w:val="22"/>
            <w:szCs w:val="22"/>
          </w:rPr>
          <w:t xml:space="preserve"> avec le </w:t>
        </w:r>
        <w:proofErr w:type="spellStart"/>
        <w:r w:rsidRPr="003E6B8A">
          <w:rPr>
            <w:rStyle w:val="Hyperlink"/>
            <w:rFonts w:ascii="Calibri" w:hAnsi="Calibri" w:cs="Calibri"/>
            <w:sz w:val="22"/>
            <w:szCs w:val="22"/>
          </w:rPr>
          <w:t>gouvernement</w:t>
        </w:r>
        <w:proofErr w:type="spellEnd"/>
        <w:r w:rsidRPr="003E6B8A">
          <w:rPr>
            <w:rStyle w:val="Hyperlink"/>
            <w:rFonts w:ascii="Calibri" w:hAnsi="Calibri" w:cs="Calibri"/>
            <w:sz w:val="22"/>
            <w:szCs w:val="22"/>
          </w:rPr>
          <w:t xml:space="preserve"> </w:t>
        </w:r>
        <w:proofErr w:type="spellStart"/>
        <w:r w:rsidRPr="003E6B8A">
          <w:rPr>
            <w:rStyle w:val="Hyperlink"/>
            <w:rFonts w:ascii="Calibri" w:hAnsi="Calibri" w:cs="Calibri"/>
            <w:sz w:val="22"/>
            <w:szCs w:val="22"/>
          </w:rPr>
          <w:t>hôte</w:t>
        </w:r>
        <w:proofErr w:type="spellEnd"/>
      </w:hyperlink>
      <w:r w:rsidRPr="003E6B8A">
        <w:rPr>
          <w:rFonts w:ascii="Calibri" w:hAnsi="Calibri" w:cs="Calibri"/>
          <w:sz w:val="22"/>
          <w:szCs w:val="22"/>
        </w:rPr>
        <w:t xml:space="preserve"> (</w:t>
      </w:r>
      <w:proofErr w:type="spellStart"/>
      <w:r w:rsidRPr="003E6B8A">
        <w:rPr>
          <w:rFonts w:ascii="Calibri" w:hAnsi="Calibri" w:cs="Calibri"/>
          <w:sz w:val="22"/>
          <w:szCs w:val="22"/>
        </w:rPr>
        <w:t>en</w:t>
      </w:r>
      <w:proofErr w:type="spellEnd"/>
      <w:r w:rsidRPr="003E6B8A">
        <w:rPr>
          <w:rFonts w:ascii="Calibri" w:hAnsi="Calibri" w:cs="Calibri"/>
          <w:sz w:val="22"/>
          <w:szCs w:val="22"/>
        </w:rPr>
        <w:t xml:space="preserve"> anglais)</w:t>
      </w:r>
    </w:p>
    <w:p w14:paraId="087B1E88" w14:textId="4FA675EE" w:rsidR="002D3334" w:rsidRPr="003E6B8A" w:rsidRDefault="00AC7166" w:rsidP="003E6B8A">
      <w:pPr>
        <w:pStyle w:val="ListParagraph"/>
        <w:numPr>
          <w:ilvl w:val="2"/>
          <w:numId w:val="4"/>
        </w:numPr>
        <w:rPr>
          <w:rFonts w:ascii="Calibri" w:hAnsi="Calibri" w:cs="Calibri"/>
          <w:sz w:val="22"/>
          <w:szCs w:val="22"/>
        </w:rPr>
      </w:pPr>
      <w:hyperlink r:id="rId12" w:history="1">
        <w:proofErr w:type="spellStart"/>
        <w:r w:rsidR="002D3334" w:rsidRPr="003E6B8A">
          <w:rPr>
            <w:rStyle w:val="Hyperlink"/>
            <w:rFonts w:ascii="Calibri" w:hAnsi="Calibri" w:cs="Calibri"/>
            <w:sz w:val="22"/>
            <w:szCs w:val="22"/>
          </w:rPr>
          <w:t>Analyse</w:t>
        </w:r>
        <w:proofErr w:type="spellEnd"/>
        <w:r w:rsidR="002D3334" w:rsidRPr="003E6B8A">
          <w:rPr>
            <w:rStyle w:val="Hyperlink"/>
            <w:rFonts w:ascii="Calibri" w:hAnsi="Calibri" w:cs="Calibri"/>
            <w:sz w:val="22"/>
            <w:szCs w:val="22"/>
          </w:rPr>
          <w:t xml:space="preserve"> </w:t>
        </w:r>
        <w:proofErr w:type="spellStart"/>
        <w:r w:rsidR="002D3334" w:rsidRPr="003E6B8A">
          <w:rPr>
            <w:rStyle w:val="Hyperlink"/>
            <w:rFonts w:ascii="Calibri" w:hAnsi="Calibri" w:cs="Calibri"/>
            <w:sz w:val="22"/>
            <w:szCs w:val="22"/>
          </w:rPr>
          <w:t>coûts-avantages</w:t>
        </w:r>
        <w:proofErr w:type="spellEnd"/>
      </w:hyperlink>
      <w:r w:rsidRPr="003E6B8A">
        <w:rPr>
          <w:rFonts w:ascii="Calibri" w:hAnsi="Calibri" w:cs="Calibri"/>
          <w:sz w:val="22"/>
          <w:szCs w:val="22"/>
        </w:rPr>
        <w:t xml:space="preserve"> (</w:t>
      </w:r>
      <w:proofErr w:type="spellStart"/>
      <w:r w:rsidRPr="003E6B8A">
        <w:rPr>
          <w:rFonts w:ascii="Calibri" w:hAnsi="Calibri" w:cs="Calibri"/>
          <w:sz w:val="22"/>
          <w:szCs w:val="22"/>
        </w:rPr>
        <w:t>en</w:t>
      </w:r>
      <w:proofErr w:type="spellEnd"/>
      <w:r w:rsidRPr="003E6B8A">
        <w:rPr>
          <w:rFonts w:ascii="Calibri" w:hAnsi="Calibri" w:cs="Calibri"/>
          <w:sz w:val="22"/>
          <w:szCs w:val="22"/>
        </w:rPr>
        <w:t xml:space="preserve"> anglais)</w:t>
      </w:r>
    </w:p>
    <w:p w14:paraId="2ACAFCD5" w14:textId="6480D055" w:rsidR="00AC7166" w:rsidRPr="003E6B8A" w:rsidRDefault="00AC7166" w:rsidP="003E6B8A">
      <w:pPr>
        <w:pStyle w:val="ListParagraph"/>
        <w:numPr>
          <w:ilvl w:val="2"/>
          <w:numId w:val="4"/>
        </w:numPr>
        <w:rPr>
          <w:rFonts w:ascii="Calibri" w:hAnsi="Calibri" w:cs="Calibri"/>
          <w:sz w:val="22"/>
          <w:szCs w:val="22"/>
        </w:rPr>
      </w:pPr>
      <w:hyperlink r:id="rId13" w:history="1">
        <w:r w:rsidRPr="003E6B8A">
          <w:rPr>
            <w:rStyle w:val="Hyperlink"/>
            <w:rFonts w:ascii="Calibri" w:hAnsi="Calibri" w:cs="Calibri"/>
            <w:sz w:val="22"/>
            <w:szCs w:val="22"/>
          </w:rPr>
          <w:t xml:space="preserve">Étude de </w:t>
        </w:r>
        <w:proofErr w:type="spellStart"/>
        <w:proofErr w:type="gramStart"/>
        <w:r w:rsidRPr="003E6B8A">
          <w:rPr>
            <w:rStyle w:val="Hyperlink"/>
            <w:rFonts w:ascii="Calibri" w:hAnsi="Calibri" w:cs="Calibri"/>
            <w:sz w:val="22"/>
            <w:szCs w:val="22"/>
          </w:rPr>
          <w:t>faisabilité</w:t>
        </w:r>
        <w:proofErr w:type="spellEnd"/>
        <w:r w:rsidRPr="003E6B8A">
          <w:rPr>
            <w:rStyle w:val="Hyperlink"/>
            <w:rFonts w:ascii="Calibri" w:hAnsi="Calibri" w:cs="Calibri"/>
            <w:sz w:val="22"/>
            <w:szCs w:val="22"/>
          </w:rPr>
          <w:t xml:space="preserve"> :</w:t>
        </w:r>
        <w:proofErr w:type="gramEnd"/>
        <w:r w:rsidRPr="003E6B8A">
          <w:rPr>
            <w:rStyle w:val="Hyperlink"/>
            <w:rFonts w:ascii="Calibri" w:hAnsi="Calibri" w:cs="Calibri"/>
            <w:sz w:val="22"/>
            <w:szCs w:val="22"/>
          </w:rPr>
          <w:t xml:space="preserve"> </w:t>
        </w:r>
        <w:proofErr w:type="spellStart"/>
        <w:r w:rsidRPr="003E6B8A">
          <w:rPr>
            <w:rStyle w:val="Hyperlink"/>
            <w:rFonts w:ascii="Calibri" w:hAnsi="Calibri" w:cs="Calibri"/>
            <w:sz w:val="22"/>
            <w:szCs w:val="22"/>
          </w:rPr>
          <w:t>analyse</w:t>
        </w:r>
        <w:proofErr w:type="spellEnd"/>
        <w:r w:rsidRPr="003E6B8A">
          <w:rPr>
            <w:rStyle w:val="Hyperlink"/>
            <w:rFonts w:ascii="Calibri" w:hAnsi="Calibri" w:cs="Calibri"/>
            <w:sz w:val="22"/>
            <w:szCs w:val="22"/>
          </w:rPr>
          <w:t xml:space="preserve"> </w:t>
        </w:r>
        <w:proofErr w:type="spellStart"/>
        <w:r w:rsidRPr="003E6B8A">
          <w:rPr>
            <w:rStyle w:val="Hyperlink"/>
            <w:rFonts w:ascii="Calibri" w:hAnsi="Calibri" w:cs="Calibri"/>
            <w:sz w:val="22"/>
            <w:szCs w:val="22"/>
          </w:rPr>
          <w:t>coûts-avantages</w:t>
        </w:r>
        <w:proofErr w:type="spellEnd"/>
      </w:hyperlink>
      <w:r w:rsidRPr="003E6B8A">
        <w:rPr>
          <w:rFonts w:ascii="Calibri" w:hAnsi="Calibri" w:cs="Calibri"/>
          <w:sz w:val="22"/>
          <w:szCs w:val="22"/>
        </w:rPr>
        <w:t xml:space="preserve"> (</w:t>
      </w:r>
      <w:proofErr w:type="spellStart"/>
      <w:r w:rsidRPr="003E6B8A">
        <w:rPr>
          <w:rFonts w:ascii="Calibri" w:hAnsi="Calibri" w:cs="Calibri"/>
          <w:sz w:val="22"/>
          <w:szCs w:val="22"/>
        </w:rPr>
        <w:t>en</w:t>
      </w:r>
      <w:proofErr w:type="spellEnd"/>
      <w:r w:rsidRPr="003E6B8A">
        <w:rPr>
          <w:rFonts w:ascii="Calibri" w:hAnsi="Calibri" w:cs="Calibri"/>
          <w:sz w:val="22"/>
          <w:szCs w:val="22"/>
        </w:rPr>
        <w:t xml:space="preserve"> anglais)</w:t>
      </w:r>
    </w:p>
    <w:p w14:paraId="764F0452" w14:textId="79E6FF46" w:rsidR="002D3334" w:rsidRPr="003E6B8A" w:rsidRDefault="00AC7166" w:rsidP="003E6B8A">
      <w:pPr>
        <w:pStyle w:val="ListParagraph"/>
        <w:numPr>
          <w:ilvl w:val="2"/>
          <w:numId w:val="4"/>
        </w:numPr>
        <w:rPr>
          <w:rFonts w:ascii="Calibri" w:hAnsi="Calibri" w:cs="Calibri"/>
          <w:sz w:val="22"/>
          <w:szCs w:val="22"/>
        </w:rPr>
      </w:pPr>
      <w:hyperlink r:id="rId14" w:history="1">
        <w:proofErr w:type="spellStart"/>
        <w:r w:rsidR="002D3334" w:rsidRPr="003E6B8A">
          <w:rPr>
            <w:rStyle w:val="Hyperlink"/>
            <w:rFonts w:ascii="Calibri" w:hAnsi="Calibri" w:cs="Calibri"/>
            <w:sz w:val="22"/>
            <w:szCs w:val="22"/>
          </w:rPr>
          <w:t>Lignes</w:t>
        </w:r>
        <w:proofErr w:type="spellEnd"/>
        <w:r w:rsidR="002D3334" w:rsidRPr="003E6B8A">
          <w:rPr>
            <w:rStyle w:val="Hyperlink"/>
            <w:rFonts w:ascii="Calibri" w:hAnsi="Calibri" w:cs="Calibri"/>
            <w:sz w:val="22"/>
            <w:szCs w:val="22"/>
          </w:rPr>
          <w:t xml:space="preserve"> directrices du plan </w:t>
        </w:r>
        <w:proofErr w:type="spellStart"/>
        <w:r w:rsidR="002D3334" w:rsidRPr="003E6B8A">
          <w:rPr>
            <w:rStyle w:val="Hyperlink"/>
            <w:rFonts w:ascii="Calibri" w:hAnsi="Calibri" w:cs="Calibri"/>
            <w:sz w:val="22"/>
            <w:szCs w:val="22"/>
          </w:rPr>
          <w:t>directeur</w:t>
        </w:r>
        <w:proofErr w:type="spellEnd"/>
        <w:r w:rsidR="002D3334" w:rsidRPr="003E6B8A">
          <w:rPr>
            <w:rStyle w:val="Hyperlink"/>
            <w:rFonts w:ascii="Calibri" w:hAnsi="Calibri" w:cs="Calibri"/>
            <w:sz w:val="22"/>
            <w:szCs w:val="22"/>
          </w:rPr>
          <w:t xml:space="preserve"> sur les </w:t>
        </w:r>
        <w:proofErr w:type="spellStart"/>
        <w:r w:rsidR="002D3334" w:rsidRPr="003E6B8A">
          <w:rPr>
            <w:rStyle w:val="Hyperlink"/>
            <w:rFonts w:ascii="Calibri" w:hAnsi="Calibri" w:cs="Calibri"/>
            <w:sz w:val="22"/>
            <w:szCs w:val="22"/>
          </w:rPr>
          <w:t>locaux</w:t>
        </w:r>
        <w:proofErr w:type="spellEnd"/>
      </w:hyperlink>
      <w:r w:rsidRPr="003E6B8A">
        <w:rPr>
          <w:rFonts w:ascii="Calibri" w:hAnsi="Calibri" w:cs="Calibri"/>
          <w:sz w:val="22"/>
          <w:szCs w:val="22"/>
        </w:rPr>
        <w:t xml:space="preserve"> (</w:t>
      </w:r>
      <w:proofErr w:type="spellStart"/>
      <w:r w:rsidRPr="003E6B8A">
        <w:rPr>
          <w:rFonts w:ascii="Calibri" w:hAnsi="Calibri" w:cs="Calibri"/>
          <w:sz w:val="22"/>
          <w:szCs w:val="22"/>
        </w:rPr>
        <w:t>en</w:t>
      </w:r>
      <w:proofErr w:type="spellEnd"/>
      <w:r w:rsidRPr="003E6B8A">
        <w:rPr>
          <w:rFonts w:ascii="Calibri" w:hAnsi="Calibri" w:cs="Calibri"/>
          <w:sz w:val="22"/>
          <w:szCs w:val="22"/>
        </w:rPr>
        <w:t xml:space="preserve"> anglais)</w:t>
      </w:r>
    </w:p>
    <w:p w14:paraId="5065B17A" w14:textId="47238BC5" w:rsidR="002D3334" w:rsidRPr="003E6B8A" w:rsidRDefault="002D3334" w:rsidP="003E6B8A">
      <w:pPr>
        <w:pStyle w:val="ListParagraph"/>
        <w:numPr>
          <w:ilvl w:val="2"/>
          <w:numId w:val="4"/>
        </w:numPr>
        <w:rPr>
          <w:rFonts w:ascii="Calibri" w:hAnsi="Calibri" w:cs="Calibri"/>
          <w:sz w:val="22"/>
          <w:szCs w:val="22"/>
        </w:rPr>
      </w:pPr>
      <w:hyperlink r:id="rId15" w:history="1">
        <w:proofErr w:type="spellStart"/>
        <w:r w:rsidRPr="003E6B8A">
          <w:rPr>
            <w:rStyle w:val="Hyperlink"/>
            <w:rFonts w:ascii="Calibri" w:hAnsi="Calibri" w:cs="Calibri"/>
            <w:sz w:val="22"/>
            <w:szCs w:val="22"/>
          </w:rPr>
          <w:t>Mémorandum</w:t>
        </w:r>
        <w:proofErr w:type="spellEnd"/>
        <w:r w:rsidRPr="003E6B8A">
          <w:rPr>
            <w:rStyle w:val="Hyperlink"/>
            <w:rFonts w:ascii="Calibri" w:hAnsi="Calibri" w:cs="Calibri"/>
            <w:sz w:val="22"/>
            <w:szCs w:val="22"/>
          </w:rPr>
          <w:t xml:space="preserve"> </w:t>
        </w:r>
        <w:proofErr w:type="spellStart"/>
        <w:r w:rsidRPr="003E6B8A">
          <w:rPr>
            <w:rStyle w:val="Hyperlink"/>
            <w:rFonts w:ascii="Calibri" w:hAnsi="Calibri" w:cs="Calibri"/>
            <w:sz w:val="22"/>
            <w:szCs w:val="22"/>
          </w:rPr>
          <w:t>d’accord</w:t>
        </w:r>
        <w:proofErr w:type="spellEnd"/>
      </w:hyperlink>
      <w:r w:rsidRPr="003E6B8A">
        <w:rPr>
          <w:rFonts w:ascii="Calibri" w:hAnsi="Calibri" w:cs="Calibri"/>
          <w:sz w:val="22"/>
          <w:szCs w:val="22"/>
        </w:rPr>
        <w:t xml:space="preserve"> (</w:t>
      </w:r>
      <w:proofErr w:type="spellStart"/>
      <w:r w:rsidRPr="003E6B8A">
        <w:rPr>
          <w:rFonts w:ascii="Calibri" w:hAnsi="Calibri" w:cs="Calibri"/>
          <w:sz w:val="22"/>
          <w:szCs w:val="22"/>
        </w:rPr>
        <w:t>en</w:t>
      </w:r>
      <w:proofErr w:type="spellEnd"/>
      <w:r w:rsidRPr="003E6B8A">
        <w:rPr>
          <w:rFonts w:ascii="Calibri" w:hAnsi="Calibri" w:cs="Calibri"/>
          <w:sz w:val="22"/>
          <w:szCs w:val="22"/>
        </w:rPr>
        <w:t xml:space="preserve"> anglais)</w:t>
      </w:r>
    </w:p>
    <w:p w14:paraId="6856808A" w14:textId="253EBA7E" w:rsidR="002D3334" w:rsidRPr="003E6B8A" w:rsidRDefault="002D3334" w:rsidP="003E6B8A">
      <w:pPr>
        <w:pStyle w:val="ListParagraph"/>
        <w:numPr>
          <w:ilvl w:val="2"/>
          <w:numId w:val="4"/>
        </w:numPr>
        <w:rPr>
          <w:rFonts w:ascii="Calibri" w:hAnsi="Calibri" w:cs="Calibri"/>
          <w:sz w:val="22"/>
          <w:szCs w:val="22"/>
        </w:rPr>
      </w:pPr>
      <w:hyperlink r:id="rId16" w:history="1">
        <w:proofErr w:type="spellStart"/>
        <w:r w:rsidRPr="003E6B8A">
          <w:rPr>
            <w:rStyle w:val="Hyperlink"/>
            <w:rFonts w:ascii="Calibri" w:hAnsi="Calibri" w:cs="Calibri"/>
            <w:sz w:val="22"/>
            <w:szCs w:val="22"/>
          </w:rPr>
          <w:t>Protocole</w:t>
        </w:r>
        <w:proofErr w:type="spellEnd"/>
        <w:r w:rsidRPr="003E6B8A">
          <w:rPr>
            <w:rStyle w:val="Hyperlink"/>
            <w:rFonts w:ascii="Calibri" w:hAnsi="Calibri" w:cs="Calibri"/>
            <w:sz w:val="22"/>
            <w:szCs w:val="22"/>
          </w:rPr>
          <w:t xml:space="preserve"> </w:t>
        </w:r>
        <w:proofErr w:type="spellStart"/>
        <w:r w:rsidRPr="003E6B8A">
          <w:rPr>
            <w:rStyle w:val="Hyperlink"/>
            <w:rFonts w:ascii="Calibri" w:hAnsi="Calibri" w:cs="Calibri"/>
            <w:sz w:val="22"/>
            <w:szCs w:val="22"/>
          </w:rPr>
          <w:t>d’accord</w:t>
        </w:r>
        <w:proofErr w:type="spellEnd"/>
      </w:hyperlink>
      <w:r w:rsidRPr="003E6B8A">
        <w:rPr>
          <w:rFonts w:ascii="Calibri" w:hAnsi="Calibri" w:cs="Calibri"/>
          <w:sz w:val="22"/>
          <w:szCs w:val="22"/>
        </w:rPr>
        <w:t xml:space="preserve"> (</w:t>
      </w:r>
      <w:proofErr w:type="spellStart"/>
      <w:r w:rsidRPr="003E6B8A">
        <w:rPr>
          <w:rFonts w:ascii="Calibri" w:hAnsi="Calibri" w:cs="Calibri"/>
          <w:sz w:val="22"/>
          <w:szCs w:val="22"/>
        </w:rPr>
        <w:t>en</w:t>
      </w:r>
      <w:proofErr w:type="spellEnd"/>
      <w:r w:rsidRPr="003E6B8A">
        <w:rPr>
          <w:rFonts w:ascii="Calibri" w:hAnsi="Calibri" w:cs="Calibri"/>
          <w:sz w:val="22"/>
          <w:szCs w:val="22"/>
        </w:rPr>
        <w:t xml:space="preserve"> anglais)</w:t>
      </w:r>
    </w:p>
    <w:p w14:paraId="598E2B90" w14:textId="3BD1CD49" w:rsidR="002D3334" w:rsidRPr="003E6B8A" w:rsidRDefault="002D3334" w:rsidP="003E6B8A">
      <w:pPr>
        <w:pStyle w:val="ListParagraph"/>
        <w:numPr>
          <w:ilvl w:val="2"/>
          <w:numId w:val="4"/>
        </w:numPr>
        <w:rPr>
          <w:rFonts w:ascii="Calibri" w:hAnsi="Calibri" w:cs="Calibri"/>
          <w:sz w:val="22"/>
          <w:szCs w:val="22"/>
        </w:rPr>
      </w:pPr>
      <w:hyperlink r:id="rId17" w:history="1">
        <w:proofErr w:type="spellStart"/>
        <w:r w:rsidRPr="003E6B8A">
          <w:rPr>
            <w:rStyle w:val="Hyperlink"/>
            <w:rFonts w:ascii="Calibri" w:hAnsi="Calibri" w:cs="Calibri"/>
            <w:sz w:val="22"/>
            <w:szCs w:val="22"/>
          </w:rPr>
          <w:t>Lettre</w:t>
        </w:r>
        <w:proofErr w:type="spellEnd"/>
        <w:r w:rsidRPr="003E6B8A">
          <w:rPr>
            <w:rStyle w:val="Hyperlink"/>
            <w:rFonts w:ascii="Calibri" w:hAnsi="Calibri" w:cs="Calibri"/>
            <w:sz w:val="22"/>
            <w:szCs w:val="22"/>
          </w:rPr>
          <w:t xml:space="preserve"> </w:t>
        </w:r>
        <w:proofErr w:type="spellStart"/>
        <w:r w:rsidRPr="003E6B8A">
          <w:rPr>
            <w:rStyle w:val="Hyperlink"/>
            <w:rFonts w:ascii="Calibri" w:hAnsi="Calibri" w:cs="Calibri"/>
            <w:sz w:val="22"/>
            <w:szCs w:val="22"/>
          </w:rPr>
          <w:t>d’intérêt</w:t>
        </w:r>
        <w:proofErr w:type="spellEnd"/>
        <w:r w:rsidRPr="003E6B8A">
          <w:rPr>
            <w:rStyle w:val="Hyperlink"/>
            <w:rFonts w:ascii="Calibri" w:hAnsi="Calibri" w:cs="Calibri"/>
            <w:sz w:val="22"/>
            <w:szCs w:val="22"/>
          </w:rPr>
          <w:t xml:space="preserve"> entre </w:t>
        </w:r>
        <w:proofErr w:type="spellStart"/>
        <w:r w:rsidRPr="003E6B8A">
          <w:rPr>
            <w:rStyle w:val="Hyperlink"/>
            <w:rFonts w:ascii="Calibri" w:hAnsi="Calibri" w:cs="Calibri"/>
            <w:sz w:val="22"/>
            <w:szCs w:val="22"/>
          </w:rPr>
          <w:t>organismes</w:t>
        </w:r>
        <w:proofErr w:type="spellEnd"/>
      </w:hyperlink>
      <w:r w:rsidRPr="003E6B8A">
        <w:rPr>
          <w:rFonts w:ascii="Calibri" w:hAnsi="Calibri" w:cs="Calibri"/>
          <w:sz w:val="22"/>
          <w:szCs w:val="22"/>
        </w:rPr>
        <w:t xml:space="preserve"> (</w:t>
      </w:r>
      <w:proofErr w:type="spellStart"/>
      <w:r w:rsidRPr="003E6B8A">
        <w:rPr>
          <w:rFonts w:ascii="Calibri" w:hAnsi="Calibri" w:cs="Calibri"/>
          <w:sz w:val="22"/>
          <w:szCs w:val="22"/>
        </w:rPr>
        <w:t>en</w:t>
      </w:r>
      <w:proofErr w:type="spellEnd"/>
      <w:r w:rsidRPr="003E6B8A">
        <w:rPr>
          <w:rFonts w:ascii="Calibri" w:hAnsi="Calibri" w:cs="Calibri"/>
          <w:sz w:val="22"/>
          <w:szCs w:val="22"/>
        </w:rPr>
        <w:t xml:space="preserve"> anglais)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1"/>
        <w:gridCol w:w="3217"/>
        <w:gridCol w:w="1879"/>
        <w:gridCol w:w="3653"/>
      </w:tblGrid>
      <w:tr w:rsidR="002D3334" w:rsidRPr="002D3334" w14:paraId="1052B66C" w14:textId="77777777" w:rsidTr="003E6B8A">
        <w:trPr>
          <w:trHeight w:val="92"/>
        </w:trPr>
        <w:tc>
          <w:tcPr>
            <w:tcW w:w="611" w:type="dxa"/>
            <w:shd w:val="clear" w:color="auto" w:fill="17365D"/>
            <w:tcMar>
              <w:top w:w="0" w:type="dxa"/>
              <w:left w:w="108" w:type="dxa"/>
              <w:bottom w:w="0" w:type="dxa"/>
              <w:right w:w="108" w:type="dxa"/>
            </w:tcMar>
            <w:hideMark/>
          </w:tcPr>
          <w:p w14:paraId="3E2A0FB3"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FFFFFF"/>
                <w:kern w:val="0"/>
                <w:sz w:val="22"/>
                <w:szCs w:val="22"/>
                <w:lang w:val="fr-FR" w:eastAsia="ja-JP"/>
                <w14:ligatures w14:val="none"/>
              </w:rPr>
              <w:lastRenderedPageBreak/>
              <w:t xml:space="preserve">Réf </w:t>
            </w:r>
          </w:p>
          <w:p w14:paraId="6EA91E71"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 </w:t>
            </w:r>
          </w:p>
        </w:tc>
        <w:tc>
          <w:tcPr>
            <w:tcW w:w="3217" w:type="dxa"/>
            <w:shd w:val="clear" w:color="auto" w:fill="17365D"/>
            <w:tcMar>
              <w:top w:w="0" w:type="dxa"/>
              <w:left w:w="108" w:type="dxa"/>
              <w:bottom w:w="0" w:type="dxa"/>
              <w:right w:w="108" w:type="dxa"/>
            </w:tcMar>
            <w:hideMark/>
          </w:tcPr>
          <w:p w14:paraId="6901BBC6"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FFFFFF"/>
                <w:kern w:val="0"/>
                <w:sz w:val="22"/>
                <w:szCs w:val="22"/>
                <w:lang w:val="fr-FR" w:eastAsia="ja-JP"/>
                <w14:ligatures w14:val="none"/>
              </w:rPr>
              <w:t xml:space="preserve">Tâches </w:t>
            </w:r>
          </w:p>
          <w:p w14:paraId="028D9C56"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 </w:t>
            </w:r>
          </w:p>
        </w:tc>
        <w:tc>
          <w:tcPr>
            <w:tcW w:w="1879" w:type="dxa"/>
            <w:shd w:val="clear" w:color="auto" w:fill="17365D"/>
            <w:tcMar>
              <w:top w:w="0" w:type="dxa"/>
              <w:left w:w="108" w:type="dxa"/>
              <w:bottom w:w="0" w:type="dxa"/>
              <w:right w:w="108" w:type="dxa"/>
            </w:tcMar>
            <w:hideMark/>
          </w:tcPr>
          <w:p w14:paraId="0DB336F5"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FFFFFF"/>
                <w:kern w:val="0"/>
                <w:sz w:val="22"/>
                <w:szCs w:val="22"/>
                <w:lang w:val="fr-FR" w:eastAsia="ja-JP"/>
                <w14:ligatures w14:val="none"/>
              </w:rPr>
              <w:t>Qui</w:t>
            </w:r>
          </w:p>
          <w:p w14:paraId="2F5012D3"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 </w:t>
            </w:r>
          </w:p>
        </w:tc>
        <w:tc>
          <w:tcPr>
            <w:tcW w:w="3653" w:type="dxa"/>
            <w:shd w:val="clear" w:color="auto" w:fill="17365D"/>
            <w:tcMar>
              <w:top w:w="0" w:type="dxa"/>
              <w:left w:w="108" w:type="dxa"/>
              <w:bottom w:w="0" w:type="dxa"/>
              <w:right w:w="108" w:type="dxa"/>
            </w:tcMar>
            <w:hideMark/>
          </w:tcPr>
          <w:p w14:paraId="2DEEED83"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FFFFFF"/>
                <w:kern w:val="0"/>
                <w:sz w:val="22"/>
                <w:szCs w:val="22"/>
                <w:lang w:val="fr-FR" w:eastAsia="ja-JP"/>
                <w14:ligatures w14:val="none"/>
              </w:rPr>
              <w:t>Notes</w:t>
            </w:r>
          </w:p>
          <w:p w14:paraId="421A91A8"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 </w:t>
            </w:r>
          </w:p>
        </w:tc>
      </w:tr>
      <w:tr w:rsidR="002D3334" w:rsidRPr="002D3334" w14:paraId="3FAF90F2" w14:textId="77777777" w:rsidTr="003E6B8A">
        <w:trPr>
          <w:trHeight w:val="92"/>
        </w:trPr>
        <w:tc>
          <w:tcPr>
            <w:tcW w:w="611" w:type="dxa"/>
            <w:shd w:val="clear" w:color="auto" w:fill="FFFFFF"/>
            <w:tcMar>
              <w:top w:w="0" w:type="dxa"/>
              <w:left w:w="108" w:type="dxa"/>
              <w:bottom w:w="0" w:type="dxa"/>
              <w:right w:w="108" w:type="dxa"/>
            </w:tcMar>
            <w:vAlign w:val="center"/>
            <w:hideMark/>
          </w:tcPr>
          <w:p w14:paraId="502CFF49"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1</w:t>
            </w:r>
          </w:p>
          <w:p w14:paraId="694A7A3E"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 </w:t>
            </w:r>
          </w:p>
        </w:tc>
        <w:tc>
          <w:tcPr>
            <w:tcW w:w="3217" w:type="dxa"/>
            <w:shd w:val="clear" w:color="auto" w:fill="FFFFFF"/>
            <w:tcMar>
              <w:top w:w="0" w:type="dxa"/>
              <w:left w:w="108" w:type="dxa"/>
              <w:bottom w:w="0" w:type="dxa"/>
              <w:right w:w="108" w:type="dxa"/>
            </w:tcMar>
            <w:vAlign w:val="center"/>
            <w:hideMark/>
          </w:tcPr>
          <w:p w14:paraId="69409DD9"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Engage des consultations avec ses homologues</w:t>
            </w:r>
          </w:p>
          <w:p w14:paraId="6EF47B4D"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 </w:t>
            </w:r>
          </w:p>
        </w:tc>
        <w:tc>
          <w:tcPr>
            <w:tcW w:w="1879" w:type="dxa"/>
            <w:shd w:val="clear" w:color="auto" w:fill="FFFFFF"/>
            <w:tcMar>
              <w:top w:w="0" w:type="dxa"/>
              <w:left w:w="108" w:type="dxa"/>
              <w:bottom w:w="0" w:type="dxa"/>
              <w:right w:w="108" w:type="dxa"/>
            </w:tcMar>
            <w:vAlign w:val="center"/>
            <w:hideMark/>
          </w:tcPr>
          <w:p w14:paraId="342B2146"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Représentant résident (bureau auxiliaire) </w:t>
            </w:r>
          </w:p>
        </w:tc>
        <w:tc>
          <w:tcPr>
            <w:tcW w:w="3653" w:type="dxa"/>
            <w:shd w:val="clear" w:color="auto" w:fill="FFFFFF"/>
            <w:tcMar>
              <w:top w:w="0" w:type="dxa"/>
              <w:left w:w="108" w:type="dxa"/>
              <w:bottom w:w="0" w:type="dxa"/>
              <w:right w:w="108" w:type="dxa"/>
            </w:tcMar>
            <w:vAlign w:val="center"/>
            <w:hideMark/>
          </w:tcPr>
          <w:p w14:paraId="75A84E46" w14:textId="4006FF9B"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Les consultations doivent être étayées par des documents</w:t>
            </w:r>
          </w:p>
          <w:p w14:paraId="54CFB715"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 </w:t>
            </w:r>
          </w:p>
        </w:tc>
      </w:tr>
      <w:tr w:rsidR="002D3334" w:rsidRPr="002D3334" w14:paraId="3351553E" w14:textId="77777777" w:rsidTr="003E6B8A">
        <w:trPr>
          <w:trHeight w:val="92"/>
        </w:trPr>
        <w:tc>
          <w:tcPr>
            <w:tcW w:w="611" w:type="dxa"/>
            <w:shd w:val="clear" w:color="auto" w:fill="F2F2F2"/>
            <w:tcMar>
              <w:top w:w="0" w:type="dxa"/>
              <w:left w:w="108" w:type="dxa"/>
              <w:bottom w:w="0" w:type="dxa"/>
              <w:right w:w="108" w:type="dxa"/>
            </w:tcMar>
            <w:vAlign w:val="center"/>
            <w:hideMark/>
          </w:tcPr>
          <w:p w14:paraId="4D587878"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1.a</w:t>
            </w:r>
          </w:p>
          <w:p w14:paraId="5612644A"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 </w:t>
            </w:r>
          </w:p>
        </w:tc>
        <w:tc>
          <w:tcPr>
            <w:tcW w:w="3217" w:type="dxa"/>
            <w:shd w:val="clear" w:color="auto" w:fill="F2F2F2"/>
            <w:tcMar>
              <w:top w:w="0" w:type="dxa"/>
              <w:left w:w="108" w:type="dxa"/>
              <w:bottom w:w="0" w:type="dxa"/>
              <w:right w:w="108" w:type="dxa"/>
            </w:tcMar>
            <w:vAlign w:val="center"/>
            <w:hideMark/>
          </w:tcPr>
          <w:p w14:paraId="1A9E5CC7"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Bureaux de projet : Soumettent la demande d’autorisation et les documents nécessaires (documents et annexes du projet) au Représentant résident</w:t>
            </w:r>
          </w:p>
          <w:p w14:paraId="4859F55D"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 </w:t>
            </w:r>
          </w:p>
        </w:tc>
        <w:tc>
          <w:tcPr>
            <w:tcW w:w="1879" w:type="dxa"/>
            <w:shd w:val="clear" w:color="auto" w:fill="F2F2F2"/>
            <w:tcMar>
              <w:top w:w="0" w:type="dxa"/>
              <w:left w:w="108" w:type="dxa"/>
              <w:bottom w:w="0" w:type="dxa"/>
              <w:right w:w="108" w:type="dxa"/>
            </w:tcMar>
            <w:vAlign w:val="center"/>
            <w:hideMark/>
          </w:tcPr>
          <w:p w14:paraId="3E26DE08"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Directeur désigné</w:t>
            </w:r>
          </w:p>
          <w:p w14:paraId="7420AC4C"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 </w:t>
            </w:r>
          </w:p>
        </w:tc>
        <w:tc>
          <w:tcPr>
            <w:tcW w:w="3653" w:type="dxa"/>
            <w:shd w:val="clear" w:color="auto" w:fill="F2F2F2"/>
            <w:tcMar>
              <w:top w:w="0" w:type="dxa"/>
              <w:left w:w="108" w:type="dxa"/>
              <w:bottom w:w="0" w:type="dxa"/>
              <w:right w:w="108" w:type="dxa"/>
            </w:tcMar>
            <w:vAlign w:val="center"/>
          </w:tcPr>
          <w:p w14:paraId="247EE62F"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p>
        </w:tc>
      </w:tr>
      <w:tr w:rsidR="002D3334" w:rsidRPr="002D3334" w14:paraId="06E001A7" w14:textId="77777777" w:rsidTr="003E6B8A">
        <w:trPr>
          <w:trHeight w:val="92"/>
        </w:trPr>
        <w:tc>
          <w:tcPr>
            <w:tcW w:w="611" w:type="dxa"/>
            <w:shd w:val="clear" w:color="auto" w:fill="D9D9D9"/>
            <w:tcMar>
              <w:top w:w="0" w:type="dxa"/>
              <w:left w:w="108" w:type="dxa"/>
              <w:bottom w:w="0" w:type="dxa"/>
              <w:right w:w="108" w:type="dxa"/>
            </w:tcMar>
            <w:vAlign w:val="center"/>
            <w:hideMark/>
          </w:tcPr>
          <w:p w14:paraId="523FFFE4"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1.b</w:t>
            </w:r>
          </w:p>
          <w:p w14:paraId="7C48BBE5"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 </w:t>
            </w:r>
          </w:p>
        </w:tc>
        <w:tc>
          <w:tcPr>
            <w:tcW w:w="3217" w:type="dxa"/>
            <w:shd w:val="clear" w:color="auto" w:fill="D9D9D9"/>
            <w:tcMar>
              <w:top w:w="0" w:type="dxa"/>
              <w:left w:w="108" w:type="dxa"/>
              <w:bottom w:w="0" w:type="dxa"/>
              <w:right w:w="108" w:type="dxa"/>
            </w:tcMar>
            <w:vAlign w:val="center"/>
            <w:hideMark/>
          </w:tcPr>
          <w:p w14:paraId="0D5D39E1"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Les Bureaux auxiliaires et Bureau de coordination des Nations Unies : Soumettent la demande d’autorisation et le plan de rentabilité au Bureau régional et en font parvenir une copie au Bureau de la gestion</w:t>
            </w:r>
          </w:p>
          <w:p w14:paraId="4C821F9D"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 </w:t>
            </w:r>
          </w:p>
        </w:tc>
        <w:tc>
          <w:tcPr>
            <w:tcW w:w="1879" w:type="dxa"/>
            <w:shd w:val="clear" w:color="auto" w:fill="D9D9D9"/>
            <w:tcMar>
              <w:top w:w="0" w:type="dxa"/>
              <w:left w:w="108" w:type="dxa"/>
              <w:bottom w:w="0" w:type="dxa"/>
              <w:right w:w="108" w:type="dxa"/>
            </w:tcMar>
            <w:vAlign w:val="center"/>
            <w:hideMark/>
          </w:tcPr>
          <w:p w14:paraId="3703B0B0"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Représentant résident (bureau auxiliaire) </w:t>
            </w:r>
          </w:p>
        </w:tc>
        <w:tc>
          <w:tcPr>
            <w:tcW w:w="3653" w:type="dxa"/>
            <w:shd w:val="clear" w:color="auto" w:fill="D9D9D9"/>
            <w:tcMar>
              <w:top w:w="0" w:type="dxa"/>
              <w:left w:w="108" w:type="dxa"/>
              <w:bottom w:w="0" w:type="dxa"/>
              <w:right w:w="108" w:type="dxa"/>
            </w:tcMar>
            <w:vAlign w:val="center"/>
            <w:hideMark/>
          </w:tcPr>
          <w:p w14:paraId="239E23EF" w14:textId="6788B679"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p>
          <w:p w14:paraId="04D5530E"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 </w:t>
            </w:r>
          </w:p>
        </w:tc>
      </w:tr>
      <w:tr w:rsidR="002D3334" w:rsidRPr="002D3334" w14:paraId="143CE7B5" w14:textId="77777777" w:rsidTr="003E6B8A">
        <w:trPr>
          <w:trHeight w:val="92"/>
        </w:trPr>
        <w:tc>
          <w:tcPr>
            <w:tcW w:w="611" w:type="dxa"/>
            <w:shd w:val="clear" w:color="auto" w:fill="F2F2F2"/>
            <w:tcMar>
              <w:top w:w="0" w:type="dxa"/>
              <w:left w:w="108" w:type="dxa"/>
              <w:bottom w:w="0" w:type="dxa"/>
              <w:right w:w="108" w:type="dxa"/>
            </w:tcMar>
            <w:vAlign w:val="center"/>
            <w:hideMark/>
          </w:tcPr>
          <w:p w14:paraId="5AAC14AB"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2.a</w:t>
            </w:r>
          </w:p>
          <w:p w14:paraId="16A1DC62"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 </w:t>
            </w:r>
          </w:p>
        </w:tc>
        <w:tc>
          <w:tcPr>
            <w:tcW w:w="3217" w:type="dxa"/>
            <w:shd w:val="clear" w:color="auto" w:fill="F2F2F2"/>
            <w:tcMar>
              <w:top w:w="0" w:type="dxa"/>
              <w:left w:w="108" w:type="dxa"/>
              <w:bottom w:w="0" w:type="dxa"/>
              <w:right w:w="108" w:type="dxa"/>
            </w:tcMar>
            <w:vAlign w:val="center"/>
            <w:hideMark/>
          </w:tcPr>
          <w:p w14:paraId="5A906388"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Bureaux de projet : Examinent les documents et approuvent la création d’un Bureau de projet</w:t>
            </w:r>
          </w:p>
          <w:p w14:paraId="704740A1"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 </w:t>
            </w:r>
          </w:p>
        </w:tc>
        <w:tc>
          <w:tcPr>
            <w:tcW w:w="1879" w:type="dxa"/>
            <w:shd w:val="clear" w:color="auto" w:fill="F2F2F2"/>
            <w:tcMar>
              <w:top w:w="0" w:type="dxa"/>
              <w:left w:w="108" w:type="dxa"/>
              <w:bottom w:w="0" w:type="dxa"/>
              <w:right w:w="108" w:type="dxa"/>
            </w:tcMar>
            <w:vAlign w:val="center"/>
            <w:hideMark/>
          </w:tcPr>
          <w:p w14:paraId="788753BA"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Représentant résident </w:t>
            </w:r>
          </w:p>
        </w:tc>
        <w:tc>
          <w:tcPr>
            <w:tcW w:w="3653" w:type="dxa"/>
            <w:shd w:val="clear" w:color="auto" w:fill="F2F2F2"/>
            <w:tcMar>
              <w:top w:w="0" w:type="dxa"/>
              <w:left w:w="108" w:type="dxa"/>
              <w:bottom w:w="0" w:type="dxa"/>
              <w:right w:w="108" w:type="dxa"/>
            </w:tcMar>
            <w:vAlign w:val="center"/>
            <w:hideMark/>
          </w:tcPr>
          <w:p w14:paraId="7AA3EE7E" w14:textId="02CD1FA5"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 xml:space="preserve">Approbation par écrit </w:t>
            </w:r>
          </w:p>
          <w:p w14:paraId="7E015593"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 </w:t>
            </w:r>
          </w:p>
        </w:tc>
      </w:tr>
      <w:tr w:rsidR="002D3334" w:rsidRPr="002D3334" w14:paraId="470A8D66" w14:textId="77777777" w:rsidTr="003E6B8A">
        <w:trPr>
          <w:trHeight w:val="92"/>
        </w:trPr>
        <w:tc>
          <w:tcPr>
            <w:tcW w:w="611" w:type="dxa"/>
            <w:shd w:val="clear" w:color="auto" w:fill="D9D9D9"/>
            <w:tcMar>
              <w:top w:w="0" w:type="dxa"/>
              <w:left w:w="108" w:type="dxa"/>
              <w:bottom w:w="0" w:type="dxa"/>
              <w:right w:w="108" w:type="dxa"/>
            </w:tcMar>
            <w:vAlign w:val="center"/>
            <w:hideMark/>
          </w:tcPr>
          <w:p w14:paraId="7F91D59B"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02.b</w:t>
            </w:r>
          </w:p>
          <w:p w14:paraId="18BC86C2"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 </w:t>
            </w:r>
          </w:p>
        </w:tc>
        <w:tc>
          <w:tcPr>
            <w:tcW w:w="3217" w:type="dxa"/>
            <w:shd w:val="clear" w:color="auto" w:fill="D9D9D9"/>
            <w:tcMar>
              <w:top w:w="0" w:type="dxa"/>
              <w:left w:w="108" w:type="dxa"/>
              <w:bottom w:w="0" w:type="dxa"/>
              <w:right w:w="108" w:type="dxa"/>
            </w:tcMar>
            <w:vAlign w:val="center"/>
            <w:hideMark/>
          </w:tcPr>
          <w:p w14:paraId="138A863D"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Les Bureaux auxiliaires Approuvent le plan de rentabilité</w:t>
            </w:r>
          </w:p>
          <w:p w14:paraId="444C89C2"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 </w:t>
            </w:r>
          </w:p>
        </w:tc>
        <w:tc>
          <w:tcPr>
            <w:tcW w:w="1879" w:type="dxa"/>
            <w:shd w:val="clear" w:color="auto" w:fill="D9D9D9"/>
            <w:tcMar>
              <w:top w:w="0" w:type="dxa"/>
              <w:left w:w="108" w:type="dxa"/>
              <w:bottom w:w="0" w:type="dxa"/>
              <w:right w:w="108" w:type="dxa"/>
            </w:tcMar>
            <w:vAlign w:val="center"/>
            <w:hideMark/>
          </w:tcPr>
          <w:p w14:paraId="474DA8C6"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Directeur régional</w:t>
            </w:r>
          </w:p>
          <w:p w14:paraId="095090D8"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 </w:t>
            </w:r>
          </w:p>
        </w:tc>
        <w:tc>
          <w:tcPr>
            <w:tcW w:w="3653" w:type="dxa"/>
            <w:shd w:val="clear" w:color="auto" w:fill="D9D9D9"/>
            <w:tcMar>
              <w:top w:w="0" w:type="dxa"/>
              <w:left w:w="108" w:type="dxa"/>
              <w:bottom w:w="0" w:type="dxa"/>
              <w:right w:w="108" w:type="dxa"/>
            </w:tcMar>
            <w:vAlign w:val="center"/>
            <w:hideMark/>
          </w:tcPr>
          <w:p w14:paraId="72D16AEF" w14:textId="1243AEB2"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Dans un délai de 15 jours</w:t>
            </w:r>
          </w:p>
          <w:p w14:paraId="67004311"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 </w:t>
            </w:r>
          </w:p>
          <w:p w14:paraId="1019C0EA"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 </w:t>
            </w:r>
          </w:p>
        </w:tc>
      </w:tr>
      <w:tr w:rsidR="002D3334" w:rsidRPr="002D3334" w14:paraId="7FAC7789" w14:textId="77777777" w:rsidTr="003E6B8A">
        <w:trPr>
          <w:trHeight w:val="92"/>
        </w:trPr>
        <w:tc>
          <w:tcPr>
            <w:tcW w:w="611" w:type="dxa"/>
            <w:shd w:val="clear" w:color="auto" w:fill="FFFFFF"/>
            <w:tcMar>
              <w:top w:w="0" w:type="dxa"/>
              <w:left w:w="108" w:type="dxa"/>
              <w:bottom w:w="0" w:type="dxa"/>
              <w:right w:w="108" w:type="dxa"/>
            </w:tcMar>
            <w:vAlign w:val="center"/>
            <w:hideMark/>
          </w:tcPr>
          <w:p w14:paraId="7ADF6B53"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03</w:t>
            </w:r>
          </w:p>
          <w:p w14:paraId="68255738"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 </w:t>
            </w:r>
          </w:p>
        </w:tc>
        <w:tc>
          <w:tcPr>
            <w:tcW w:w="3217" w:type="dxa"/>
            <w:shd w:val="clear" w:color="auto" w:fill="FFFFFF"/>
            <w:tcMar>
              <w:top w:w="0" w:type="dxa"/>
              <w:left w:w="108" w:type="dxa"/>
              <w:bottom w:w="0" w:type="dxa"/>
              <w:right w:w="108" w:type="dxa"/>
            </w:tcMar>
            <w:vAlign w:val="center"/>
            <w:hideMark/>
          </w:tcPr>
          <w:p w14:paraId="7B8FFA26"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Trouve les locaux et procède à une évaluation des risques pour la sécurité et à une évaluation des effets de souffle.</w:t>
            </w:r>
          </w:p>
          <w:p w14:paraId="5D7C78D7"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 </w:t>
            </w:r>
          </w:p>
        </w:tc>
        <w:tc>
          <w:tcPr>
            <w:tcW w:w="1879" w:type="dxa"/>
            <w:shd w:val="clear" w:color="auto" w:fill="FFFFFF"/>
            <w:tcMar>
              <w:top w:w="0" w:type="dxa"/>
              <w:left w:w="108" w:type="dxa"/>
              <w:bottom w:w="0" w:type="dxa"/>
              <w:right w:w="108" w:type="dxa"/>
            </w:tcMar>
            <w:vAlign w:val="center"/>
            <w:hideMark/>
          </w:tcPr>
          <w:p w14:paraId="0B34C5D2"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Directeur désigné</w:t>
            </w:r>
          </w:p>
          <w:p w14:paraId="0295CA7B"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 </w:t>
            </w:r>
          </w:p>
        </w:tc>
        <w:tc>
          <w:tcPr>
            <w:tcW w:w="3653" w:type="dxa"/>
            <w:shd w:val="clear" w:color="auto" w:fill="FFFFFF"/>
            <w:tcMar>
              <w:top w:w="0" w:type="dxa"/>
              <w:left w:w="108" w:type="dxa"/>
              <w:bottom w:w="0" w:type="dxa"/>
              <w:right w:w="108" w:type="dxa"/>
            </w:tcMar>
            <w:vAlign w:val="center"/>
            <w:hideMark/>
          </w:tcPr>
          <w:p w14:paraId="47858535" w14:textId="74BAA366"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 xml:space="preserve">Conformément à la </w:t>
            </w:r>
            <w:hyperlink r:id="rId18" w:history="1">
              <w:r w:rsidRPr="002D3334">
                <w:rPr>
                  <w:rFonts w:ascii="Calibri" w:eastAsia="MS Mincho" w:hAnsi="Calibri" w:cs="Times New Roman"/>
                  <w:color w:val="0072BC"/>
                  <w:kern w:val="0"/>
                  <w:sz w:val="22"/>
                  <w:szCs w:val="22"/>
                  <w:lang w:val="fr-FR" w:eastAsia="ja-JP"/>
                  <w14:ligatures w14:val="none"/>
                </w:rPr>
                <w:t>Méthode d’évaluation des risques en matière de sécurité approuvée par le Système de gestion de la sécurité des Nations Unies (UNSMS)</w:t>
              </w:r>
            </w:hyperlink>
            <w:r>
              <w:rPr>
                <w:rFonts w:ascii="Calibri" w:eastAsia="MS Mincho" w:hAnsi="Calibri" w:cs="Times New Roman"/>
                <w:kern w:val="0"/>
                <w:sz w:val="22"/>
                <w:szCs w:val="22"/>
                <w:lang w:val="fr-FR" w:eastAsia="ja-JP"/>
                <w14:ligatures w14:val="none"/>
              </w:rPr>
              <w:t xml:space="preserve"> (en anglais)</w:t>
            </w:r>
          </w:p>
          <w:p w14:paraId="685428C2"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 </w:t>
            </w:r>
          </w:p>
        </w:tc>
      </w:tr>
      <w:tr w:rsidR="002D3334" w:rsidRPr="002D3334" w14:paraId="0D7CB3E8" w14:textId="77777777" w:rsidTr="003E6B8A">
        <w:trPr>
          <w:trHeight w:val="92"/>
        </w:trPr>
        <w:tc>
          <w:tcPr>
            <w:tcW w:w="611" w:type="dxa"/>
            <w:shd w:val="clear" w:color="auto" w:fill="FFFFFF"/>
            <w:tcMar>
              <w:top w:w="0" w:type="dxa"/>
              <w:left w:w="108" w:type="dxa"/>
              <w:bottom w:w="0" w:type="dxa"/>
              <w:right w:w="108" w:type="dxa"/>
            </w:tcMar>
            <w:vAlign w:val="center"/>
            <w:hideMark/>
          </w:tcPr>
          <w:p w14:paraId="1672B38A"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04</w:t>
            </w:r>
          </w:p>
          <w:p w14:paraId="495E76D8"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 </w:t>
            </w:r>
          </w:p>
        </w:tc>
        <w:tc>
          <w:tcPr>
            <w:tcW w:w="3217" w:type="dxa"/>
            <w:shd w:val="clear" w:color="auto" w:fill="FFFFFF"/>
            <w:tcMar>
              <w:top w:w="0" w:type="dxa"/>
              <w:left w:w="108" w:type="dxa"/>
              <w:bottom w:w="0" w:type="dxa"/>
              <w:right w:w="108" w:type="dxa"/>
            </w:tcMar>
            <w:vAlign w:val="center"/>
            <w:hideMark/>
          </w:tcPr>
          <w:p w14:paraId="480221C6"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Prépare la demande d’habilitation de sécurité</w:t>
            </w:r>
          </w:p>
          <w:p w14:paraId="14D67296"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 </w:t>
            </w:r>
          </w:p>
        </w:tc>
        <w:tc>
          <w:tcPr>
            <w:tcW w:w="1879" w:type="dxa"/>
            <w:shd w:val="clear" w:color="auto" w:fill="FFFFFF"/>
            <w:tcMar>
              <w:top w:w="0" w:type="dxa"/>
              <w:left w:w="108" w:type="dxa"/>
              <w:bottom w:w="0" w:type="dxa"/>
              <w:right w:w="108" w:type="dxa"/>
            </w:tcMar>
            <w:vAlign w:val="center"/>
            <w:hideMark/>
          </w:tcPr>
          <w:p w14:paraId="01F6AD2D"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Directeur désigné</w:t>
            </w:r>
          </w:p>
          <w:p w14:paraId="6F5E522A"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 </w:t>
            </w:r>
          </w:p>
        </w:tc>
        <w:tc>
          <w:tcPr>
            <w:tcW w:w="3653" w:type="dxa"/>
            <w:shd w:val="clear" w:color="auto" w:fill="FFFFFF"/>
            <w:tcMar>
              <w:top w:w="0" w:type="dxa"/>
              <w:left w:w="108" w:type="dxa"/>
              <w:bottom w:w="0" w:type="dxa"/>
              <w:right w:w="108" w:type="dxa"/>
            </w:tcMar>
            <w:vAlign w:val="center"/>
            <w:hideMark/>
          </w:tcPr>
          <w:p w14:paraId="108305A8"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p>
        </w:tc>
      </w:tr>
      <w:tr w:rsidR="002D3334" w:rsidRPr="002D3334" w14:paraId="1F0AD0B7" w14:textId="77777777" w:rsidTr="003E6B8A">
        <w:trPr>
          <w:trHeight w:val="92"/>
        </w:trPr>
        <w:tc>
          <w:tcPr>
            <w:tcW w:w="611" w:type="dxa"/>
            <w:shd w:val="clear" w:color="auto" w:fill="FFFFFF"/>
            <w:tcMar>
              <w:top w:w="0" w:type="dxa"/>
              <w:left w:w="108" w:type="dxa"/>
              <w:bottom w:w="0" w:type="dxa"/>
              <w:right w:w="108" w:type="dxa"/>
            </w:tcMar>
            <w:vAlign w:val="center"/>
            <w:hideMark/>
          </w:tcPr>
          <w:p w14:paraId="040E95C4"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lastRenderedPageBreak/>
              <w:t>05</w:t>
            </w:r>
          </w:p>
          <w:p w14:paraId="3E942272"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 </w:t>
            </w:r>
          </w:p>
        </w:tc>
        <w:tc>
          <w:tcPr>
            <w:tcW w:w="3217" w:type="dxa"/>
            <w:shd w:val="clear" w:color="auto" w:fill="FFFFFF"/>
            <w:tcMar>
              <w:top w:w="0" w:type="dxa"/>
              <w:left w:w="108" w:type="dxa"/>
              <w:bottom w:w="0" w:type="dxa"/>
              <w:right w:w="108" w:type="dxa"/>
            </w:tcMar>
            <w:vAlign w:val="center"/>
            <w:hideMark/>
          </w:tcPr>
          <w:p w14:paraId="53FA49A0"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 xml:space="preserve">Soumet la demande d’habilitation de sécurité et d’autorisation des locaux au Bureau régional </w:t>
            </w:r>
          </w:p>
          <w:p w14:paraId="43E773A3"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 </w:t>
            </w:r>
          </w:p>
        </w:tc>
        <w:tc>
          <w:tcPr>
            <w:tcW w:w="1879" w:type="dxa"/>
            <w:shd w:val="clear" w:color="auto" w:fill="FFFFFF"/>
            <w:tcMar>
              <w:top w:w="0" w:type="dxa"/>
              <w:left w:w="108" w:type="dxa"/>
              <w:bottom w:w="0" w:type="dxa"/>
              <w:right w:w="108" w:type="dxa"/>
            </w:tcMar>
            <w:vAlign w:val="center"/>
            <w:hideMark/>
          </w:tcPr>
          <w:p w14:paraId="214C1F5D"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Représentant résident/Directeur de pays</w:t>
            </w:r>
          </w:p>
          <w:p w14:paraId="005C02E3"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 </w:t>
            </w:r>
          </w:p>
        </w:tc>
        <w:tc>
          <w:tcPr>
            <w:tcW w:w="3653" w:type="dxa"/>
            <w:shd w:val="clear" w:color="auto" w:fill="FFFFFF"/>
            <w:tcMar>
              <w:top w:w="0" w:type="dxa"/>
              <w:left w:w="108" w:type="dxa"/>
              <w:bottom w:w="0" w:type="dxa"/>
              <w:right w:w="108" w:type="dxa"/>
            </w:tcMar>
            <w:vAlign w:val="center"/>
            <w:hideMark/>
          </w:tcPr>
          <w:p w14:paraId="64E7789B"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 xml:space="preserve">Avec copie adressée au Bureau de la sécurité, à l’Unité de coordination des opérations et au Bureau des Services de Gestion </w:t>
            </w:r>
          </w:p>
        </w:tc>
      </w:tr>
      <w:tr w:rsidR="002D3334" w:rsidRPr="002D3334" w14:paraId="02579737" w14:textId="77777777" w:rsidTr="003E6B8A">
        <w:trPr>
          <w:trHeight w:val="92"/>
        </w:trPr>
        <w:tc>
          <w:tcPr>
            <w:tcW w:w="611" w:type="dxa"/>
            <w:shd w:val="clear" w:color="auto" w:fill="FFFFFF"/>
            <w:tcMar>
              <w:top w:w="0" w:type="dxa"/>
              <w:left w:w="108" w:type="dxa"/>
              <w:bottom w:w="0" w:type="dxa"/>
              <w:right w:w="108" w:type="dxa"/>
            </w:tcMar>
            <w:vAlign w:val="center"/>
          </w:tcPr>
          <w:p w14:paraId="7CF5CEC0"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p>
        </w:tc>
        <w:tc>
          <w:tcPr>
            <w:tcW w:w="3217" w:type="dxa"/>
            <w:shd w:val="clear" w:color="auto" w:fill="FFFFFF"/>
            <w:tcMar>
              <w:top w:w="0" w:type="dxa"/>
              <w:left w:w="108" w:type="dxa"/>
              <w:bottom w:w="0" w:type="dxa"/>
              <w:right w:w="108" w:type="dxa"/>
            </w:tcMar>
            <w:vAlign w:val="center"/>
          </w:tcPr>
          <w:p w14:paraId="7D098685"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 xml:space="preserve">Examine le plan de rentabilité </w:t>
            </w:r>
          </w:p>
        </w:tc>
        <w:tc>
          <w:tcPr>
            <w:tcW w:w="1879" w:type="dxa"/>
            <w:shd w:val="clear" w:color="auto" w:fill="FFFFFF"/>
            <w:tcMar>
              <w:top w:w="0" w:type="dxa"/>
              <w:left w:w="108" w:type="dxa"/>
              <w:bottom w:w="0" w:type="dxa"/>
              <w:right w:w="108" w:type="dxa"/>
            </w:tcMar>
            <w:vAlign w:val="center"/>
          </w:tcPr>
          <w:p w14:paraId="717A965F"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Bureau de la sécurité</w:t>
            </w:r>
          </w:p>
        </w:tc>
        <w:tc>
          <w:tcPr>
            <w:tcW w:w="3653" w:type="dxa"/>
            <w:shd w:val="clear" w:color="auto" w:fill="FFFFFF"/>
            <w:tcMar>
              <w:top w:w="0" w:type="dxa"/>
              <w:left w:w="108" w:type="dxa"/>
              <w:bottom w:w="0" w:type="dxa"/>
              <w:right w:w="108" w:type="dxa"/>
            </w:tcMar>
            <w:vAlign w:val="center"/>
          </w:tcPr>
          <w:p w14:paraId="06E7B6AC"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 xml:space="preserve">Le coordonnateur des opérations assurera la coordination des examens internes (par les Opérations générales, le Bureau de la sécurité et au-delà). </w:t>
            </w:r>
          </w:p>
        </w:tc>
      </w:tr>
      <w:tr w:rsidR="002D3334" w:rsidRPr="002D3334" w14:paraId="59549C07" w14:textId="77777777" w:rsidTr="003E6B8A">
        <w:trPr>
          <w:trHeight w:val="92"/>
        </w:trPr>
        <w:tc>
          <w:tcPr>
            <w:tcW w:w="611" w:type="dxa"/>
            <w:shd w:val="clear" w:color="auto" w:fill="FFFFFF"/>
            <w:tcMar>
              <w:top w:w="0" w:type="dxa"/>
              <w:left w:w="108" w:type="dxa"/>
              <w:bottom w:w="0" w:type="dxa"/>
              <w:right w:w="108" w:type="dxa"/>
            </w:tcMar>
            <w:vAlign w:val="center"/>
            <w:hideMark/>
          </w:tcPr>
          <w:p w14:paraId="325B6BFA"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06</w:t>
            </w:r>
          </w:p>
          <w:p w14:paraId="784A13A2"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 </w:t>
            </w:r>
          </w:p>
        </w:tc>
        <w:tc>
          <w:tcPr>
            <w:tcW w:w="3217" w:type="dxa"/>
            <w:shd w:val="clear" w:color="auto" w:fill="FFFFFF"/>
            <w:tcMar>
              <w:top w:w="0" w:type="dxa"/>
              <w:left w:w="108" w:type="dxa"/>
              <w:bottom w:w="0" w:type="dxa"/>
              <w:right w:w="108" w:type="dxa"/>
            </w:tcMar>
            <w:vAlign w:val="center"/>
            <w:hideMark/>
          </w:tcPr>
          <w:p w14:paraId="4CE0286F"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Approuve la demande d’habilitation de sécurité et d’autorisation des locaux</w:t>
            </w:r>
          </w:p>
          <w:p w14:paraId="4E7C0A75"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 </w:t>
            </w:r>
          </w:p>
        </w:tc>
        <w:tc>
          <w:tcPr>
            <w:tcW w:w="1879" w:type="dxa"/>
            <w:shd w:val="clear" w:color="auto" w:fill="FFFFFF"/>
            <w:tcMar>
              <w:top w:w="0" w:type="dxa"/>
              <w:left w:w="108" w:type="dxa"/>
              <w:bottom w:w="0" w:type="dxa"/>
              <w:right w:w="108" w:type="dxa"/>
            </w:tcMar>
            <w:vAlign w:val="center"/>
            <w:hideMark/>
          </w:tcPr>
          <w:p w14:paraId="07AA0612"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Bureau de la sécurité (SO)</w:t>
            </w:r>
          </w:p>
          <w:p w14:paraId="20B792AB"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 </w:t>
            </w:r>
          </w:p>
        </w:tc>
        <w:tc>
          <w:tcPr>
            <w:tcW w:w="3653" w:type="dxa"/>
            <w:shd w:val="clear" w:color="auto" w:fill="FFFFFF"/>
            <w:tcMar>
              <w:top w:w="0" w:type="dxa"/>
              <w:left w:w="108" w:type="dxa"/>
              <w:bottom w:w="0" w:type="dxa"/>
              <w:right w:w="108" w:type="dxa"/>
            </w:tcMar>
            <w:vAlign w:val="center"/>
            <w:hideMark/>
          </w:tcPr>
          <w:p w14:paraId="3D827174"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  Dans un délai de 10 jours</w:t>
            </w:r>
          </w:p>
          <w:p w14:paraId="504745FB"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 </w:t>
            </w:r>
          </w:p>
        </w:tc>
      </w:tr>
      <w:tr w:rsidR="002D3334" w:rsidRPr="002D3334" w14:paraId="652FACD0" w14:textId="77777777" w:rsidTr="003E6B8A">
        <w:trPr>
          <w:trHeight w:val="92"/>
        </w:trPr>
        <w:tc>
          <w:tcPr>
            <w:tcW w:w="611" w:type="dxa"/>
            <w:shd w:val="clear" w:color="auto" w:fill="FFFFFF"/>
            <w:tcMar>
              <w:top w:w="0" w:type="dxa"/>
              <w:left w:w="108" w:type="dxa"/>
              <w:bottom w:w="0" w:type="dxa"/>
              <w:right w:w="108" w:type="dxa"/>
            </w:tcMar>
            <w:vAlign w:val="center"/>
            <w:hideMark/>
          </w:tcPr>
          <w:p w14:paraId="1DF29D53"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07</w:t>
            </w:r>
          </w:p>
          <w:p w14:paraId="7F8A3863"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 </w:t>
            </w:r>
          </w:p>
        </w:tc>
        <w:tc>
          <w:tcPr>
            <w:tcW w:w="3217" w:type="dxa"/>
            <w:shd w:val="clear" w:color="auto" w:fill="FFFFFF"/>
            <w:tcMar>
              <w:top w:w="0" w:type="dxa"/>
              <w:left w:w="108" w:type="dxa"/>
              <w:bottom w:w="0" w:type="dxa"/>
              <w:right w:w="108" w:type="dxa"/>
            </w:tcMar>
            <w:vAlign w:val="center"/>
            <w:hideMark/>
          </w:tcPr>
          <w:p w14:paraId="74A239DA"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Transmet les documents d’approbation</w:t>
            </w:r>
          </w:p>
          <w:p w14:paraId="0E926532"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 </w:t>
            </w:r>
          </w:p>
        </w:tc>
        <w:tc>
          <w:tcPr>
            <w:tcW w:w="1879" w:type="dxa"/>
            <w:shd w:val="clear" w:color="auto" w:fill="FFFFFF"/>
            <w:tcMar>
              <w:top w:w="0" w:type="dxa"/>
              <w:left w:w="108" w:type="dxa"/>
              <w:bottom w:w="0" w:type="dxa"/>
              <w:right w:w="108" w:type="dxa"/>
            </w:tcMar>
            <w:vAlign w:val="center"/>
            <w:hideMark/>
          </w:tcPr>
          <w:p w14:paraId="2140F287"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Directeur désigné</w:t>
            </w:r>
          </w:p>
          <w:p w14:paraId="53A4E3D5"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 </w:t>
            </w:r>
          </w:p>
        </w:tc>
        <w:tc>
          <w:tcPr>
            <w:tcW w:w="3653" w:type="dxa"/>
            <w:shd w:val="clear" w:color="auto" w:fill="FFFFFF"/>
            <w:tcMar>
              <w:top w:w="0" w:type="dxa"/>
              <w:left w:w="108" w:type="dxa"/>
              <w:bottom w:w="0" w:type="dxa"/>
              <w:right w:w="108" w:type="dxa"/>
            </w:tcMar>
            <w:vAlign w:val="center"/>
            <w:hideMark/>
          </w:tcPr>
          <w:p w14:paraId="77C54475"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  Établit un dossier spécifique aux fins de l’examen de la conformité ; le dossier comprendra également les rapports des missions de supervision.</w:t>
            </w:r>
          </w:p>
          <w:p w14:paraId="65E033CA" w14:textId="77777777" w:rsidR="002D3334" w:rsidRPr="002D3334" w:rsidRDefault="002D3334" w:rsidP="002D3334">
            <w:pPr>
              <w:spacing w:before="100" w:beforeAutospacing="1" w:after="100" w:afterAutospacing="1" w:line="240" w:lineRule="auto"/>
              <w:rPr>
                <w:rFonts w:ascii="Calibri" w:eastAsia="Times New Roman" w:hAnsi="Calibri" w:cs="Arial"/>
                <w:color w:val="333333"/>
                <w:kern w:val="0"/>
                <w:sz w:val="22"/>
                <w:szCs w:val="22"/>
                <w:lang w:val="fr-FR" w:eastAsia="ja-JP"/>
                <w14:ligatures w14:val="none"/>
              </w:rPr>
            </w:pPr>
            <w:r w:rsidRPr="002D3334">
              <w:rPr>
                <w:rFonts w:ascii="Calibri" w:eastAsia="MS Mincho" w:hAnsi="Calibri" w:cs="Times New Roman"/>
                <w:color w:val="333333"/>
                <w:kern w:val="0"/>
                <w:sz w:val="22"/>
                <w:szCs w:val="22"/>
                <w:lang w:val="fr-FR" w:eastAsia="ja-JP"/>
                <w14:ligatures w14:val="none"/>
              </w:rPr>
              <w:t> </w:t>
            </w:r>
          </w:p>
        </w:tc>
      </w:tr>
    </w:tbl>
    <w:p w14:paraId="70ED6612" w14:textId="77777777" w:rsidR="00AC7166" w:rsidRDefault="00AC7166" w:rsidP="002D3334">
      <w:pPr>
        <w:shd w:val="clear" w:color="auto" w:fill="FFFFFF"/>
        <w:spacing w:before="100" w:beforeAutospacing="1" w:after="100" w:afterAutospacing="1" w:line="240" w:lineRule="auto"/>
        <w:jc w:val="both"/>
        <w:textAlignment w:val="top"/>
        <w:rPr>
          <w:rFonts w:ascii="Calibri" w:eastAsia="MS Mincho" w:hAnsi="Calibri" w:cs="Calibri"/>
          <w:kern w:val="0"/>
          <w:sz w:val="22"/>
          <w:szCs w:val="22"/>
          <w:lang w:val="fr-FR" w:eastAsia="ja-JP"/>
          <w14:ligatures w14:val="none"/>
        </w:rPr>
      </w:pPr>
    </w:p>
    <w:p w14:paraId="5AEFFC41" w14:textId="77777777" w:rsidR="00AC7166" w:rsidRPr="003E6B8A" w:rsidRDefault="00AC7166" w:rsidP="003E6B8A">
      <w:pPr>
        <w:spacing w:before="100" w:beforeAutospacing="1" w:after="100" w:afterAutospacing="1" w:line="240" w:lineRule="auto"/>
        <w:rPr>
          <w:rFonts w:ascii="Calibri" w:eastAsia="Times New Roman" w:hAnsi="Calibri" w:cs="Calibri"/>
          <w:i/>
          <w:iCs/>
          <w:kern w:val="0"/>
          <w:sz w:val="22"/>
          <w:szCs w:val="22"/>
          <w:lang w:val="fr-FR" w:eastAsia="ja-JP"/>
          <w14:ligatures w14:val="none"/>
        </w:rPr>
      </w:pPr>
      <w:r w:rsidRPr="003E6B8A">
        <w:rPr>
          <w:rFonts w:ascii="Calibri" w:eastAsia="Times New Roman" w:hAnsi="Calibri" w:cs="Calibri"/>
          <w:b/>
          <w:bCs/>
          <w:i/>
          <w:iCs/>
          <w:kern w:val="0"/>
          <w:sz w:val="22"/>
          <w:szCs w:val="22"/>
          <w:u w:val="single"/>
          <w:lang w:val="fr-FR" w:eastAsia="ja-JP"/>
          <w14:ligatures w14:val="none"/>
        </w:rPr>
        <w:t>Avertissement :</w:t>
      </w:r>
      <w:r w:rsidRPr="003E6B8A">
        <w:rPr>
          <w:rFonts w:ascii="Calibri" w:eastAsia="Times New Roman" w:hAnsi="Calibri" w:cs="Calibri"/>
          <w:i/>
          <w:iCs/>
          <w:kern w:val="0"/>
          <w:sz w:val="22"/>
          <w:szCs w:val="22"/>
          <w:lang w:val="fr-FR" w:eastAsia="ja-JP"/>
          <w14:ligatures w14:val="none"/>
        </w:rPr>
        <w:t xml:space="preserve"> Ce document a été traduit de l'anglais vers le français. En cas de divergence entre cette traduction et le document anglais original, le document anglais original prévaudra.</w:t>
      </w:r>
    </w:p>
    <w:p w14:paraId="7E3460B6" w14:textId="0B35D6B1" w:rsidR="00AC7166" w:rsidRPr="003E6B8A" w:rsidRDefault="00AC7166" w:rsidP="003E6B8A">
      <w:pPr>
        <w:shd w:val="clear" w:color="auto" w:fill="FFFFFF"/>
        <w:spacing w:after="0" w:line="240" w:lineRule="auto"/>
        <w:textAlignment w:val="top"/>
        <w:rPr>
          <w:rFonts w:ascii="Calibri" w:eastAsia="Times New Roman" w:hAnsi="Calibri" w:cs="Calibri"/>
          <w:kern w:val="0"/>
          <w:sz w:val="22"/>
          <w:szCs w:val="22"/>
          <w:lang w:val="fr-FR" w:eastAsia="ja-JP"/>
          <w14:ligatures w14:val="none"/>
        </w:rPr>
      </w:pPr>
      <w:r w:rsidRPr="003E6B8A">
        <w:rPr>
          <w:rFonts w:ascii="Calibri" w:eastAsia="Times New Roman" w:hAnsi="Calibri" w:cs="Calibri"/>
          <w:b/>
          <w:bCs/>
          <w:i/>
          <w:iCs/>
          <w:kern w:val="0"/>
          <w:sz w:val="22"/>
          <w:szCs w:val="22"/>
          <w:u w:val="single"/>
          <w:lang w:eastAsia="ja-JP"/>
          <w14:ligatures w14:val="none"/>
        </w:rPr>
        <w:t>Disclaimer:</w:t>
      </w:r>
      <w:r w:rsidRPr="003E6B8A">
        <w:rPr>
          <w:rFonts w:ascii="Calibri" w:eastAsia="Times New Roman" w:hAnsi="Calibri" w:cs="Calibri"/>
          <w:i/>
          <w:iCs/>
          <w:kern w:val="0"/>
          <w:sz w:val="22"/>
          <w:szCs w:val="22"/>
          <w:lang w:eastAsia="ja-JP"/>
          <w14:ligatures w14:val="none"/>
        </w:rPr>
        <w:t xml:space="preserve"> This document was translated from English into French. In the event of any discrepancy between this translation and the original English document, the original English document shall prevail.</w:t>
      </w:r>
    </w:p>
    <w:p w14:paraId="57F797C4" w14:textId="77777777" w:rsidR="00DA504D" w:rsidRDefault="00DA504D" w:rsidP="003E6B8A">
      <w:pPr>
        <w:shd w:val="clear" w:color="auto" w:fill="FFFFFF"/>
        <w:spacing w:before="100" w:beforeAutospacing="1" w:after="100" w:afterAutospacing="1" w:line="240" w:lineRule="auto"/>
        <w:jc w:val="both"/>
        <w:textAlignment w:val="top"/>
      </w:pPr>
    </w:p>
    <w:sectPr w:rsidR="00DA504D" w:rsidSect="002D3334">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D5A9C" w14:textId="77777777" w:rsidR="007F2C9C" w:rsidRDefault="007F2C9C" w:rsidP="002D3334">
      <w:pPr>
        <w:spacing w:after="0" w:line="240" w:lineRule="auto"/>
      </w:pPr>
      <w:r>
        <w:separator/>
      </w:r>
    </w:p>
  </w:endnote>
  <w:endnote w:type="continuationSeparator" w:id="0">
    <w:p w14:paraId="63C5F880" w14:textId="77777777" w:rsidR="007F2C9C" w:rsidRDefault="007F2C9C" w:rsidP="002D3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DE6C4" w14:textId="36700600" w:rsidR="002D3334" w:rsidRPr="003E6B8A" w:rsidRDefault="002D3334">
    <w:pPr>
      <w:pStyle w:val="Footer"/>
      <w:rPr>
        <w:rFonts w:ascii="Calibri" w:hAnsi="Calibri" w:cs="Calibri"/>
        <w:sz w:val="22"/>
        <w:szCs w:val="22"/>
      </w:rPr>
    </w:pPr>
    <w:r w:rsidRPr="003E6B8A">
      <w:rPr>
        <w:rFonts w:ascii="Calibri" w:hAnsi="Calibri" w:cs="Calibri"/>
        <w:sz w:val="22"/>
        <w:szCs w:val="22"/>
      </w:rPr>
      <w:t xml:space="preserve">Page </w:t>
    </w:r>
    <w:r w:rsidRPr="003E6B8A">
      <w:rPr>
        <w:rFonts w:ascii="Calibri" w:hAnsi="Calibri" w:cs="Calibri"/>
        <w:b/>
        <w:bCs/>
        <w:sz w:val="22"/>
        <w:szCs w:val="22"/>
      </w:rPr>
      <w:fldChar w:fldCharType="begin"/>
    </w:r>
    <w:r w:rsidRPr="003E6B8A">
      <w:rPr>
        <w:rFonts w:ascii="Calibri" w:hAnsi="Calibri" w:cs="Calibri"/>
        <w:b/>
        <w:bCs/>
        <w:sz w:val="22"/>
        <w:szCs w:val="22"/>
      </w:rPr>
      <w:instrText>PAGE  \* Arabic  \* MERGEFORMAT</w:instrText>
    </w:r>
    <w:r w:rsidRPr="003E6B8A">
      <w:rPr>
        <w:rFonts w:ascii="Calibri" w:hAnsi="Calibri" w:cs="Calibri"/>
        <w:b/>
        <w:bCs/>
        <w:sz w:val="22"/>
        <w:szCs w:val="22"/>
      </w:rPr>
      <w:fldChar w:fldCharType="separate"/>
    </w:r>
    <w:r w:rsidRPr="003E6B8A">
      <w:rPr>
        <w:rFonts w:ascii="Calibri" w:hAnsi="Calibri" w:cs="Calibri"/>
        <w:b/>
        <w:bCs/>
        <w:noProof/>
        <w:sz w:val="22"/>
        <w:szCs w:val="22"/>
      </w:rPr>
      <w:t>6</w:t>
    </w:r>
    <w:r w:rsidRPr="003E6B8A">
      <w:rPr>
        <w:rFonts w:ascii="Calibri" w:hAnsi="Calibri" w:cs="Calibri"/>
        <w:b/>
        <w:bCs/>
        <w:sz w:val="22"/>
        <w:szCs w:val="22"/>
      </w:rPr>
      <w:fldChar w:fldCharType="end"/>
    </w:r>
    <w:r w:rsidRPr="003E6B8A">
      <w:rPr>
        <w:rFonts w:ascii="Calibri" w:hAnsi="Calibri" w:cs="Calibri"/>
        <w:sz w:val="22"/>
        <w:szCs w:val="22"/>
      </w:rPr>
      <w:t xml:space="preserve"> sur </w:t>
    </w:r>
    <w:r w:rsidRPr="003E6B8A">
      <w:rPr>
        <w:rFonts w:ascii="Calibri" w:hAnsi="Calibri" w:cs="Calibri"/>
        <w:b/>
        <w:bCs/>
        <w:sz w:val="22"/>
        <w:szCs w:val="22"/>
      </w:rPr>
      <w:fldChar w:fldCharType="begin"/>
    </w:r>
    <w:r w:rsidRPr="003E6B8A">
      <w:rPr>
        <w:rFonts w:ascii="Calibri" w:hAnsi="Calibri" w:cs="Calibri"/>
        <w:b/>
        <w:bCs/>
        <w:sz w:val="22"/>
        <w:szCs w:val="22"/>
      </w:rPr>
      <w:instrText>NUMPAGES  \* Arabic  \* MERGEFORMAT</w:instrText>
    </w:r>
    <w:r w:rsidRPr="003E6B8A">
      <w:rPr>
        <w:rFonts w:ascii="Calibri" w:hAnsi="Calibri" w:cs="Calibri"/>
        <w:b/>
        <w:bCs/>
        <w:sz w:val="22"/>
        <w:szCs w:val="22"/>
      </w:rPr>
      <w:fldChar w:fldCharType="separate"/>
    </w:r>
    <w:r w:rsidRPr="003E6B8A">
      <w:rPr>
        <w:rFonts w:ascii="Calibri" w:hAnsi="Calibri" w:cs="Calibri"/>
        <w:b/>
        <w:bCs/>
        <w:noProof/>
        <w:sz w:val="22"/>
        <w:szCs w:val="22"/>
      </w:rPr>
      <w:t>6</w:t>
    </w:r>
    <w:r w:rsidRPr="003E6B8A">
      <w:rPr>
        <w:rFonts w:ascii="Calibri" w:hAnsi="Calibri" w:cs="Calibri"/>
        <w:b/>
        <w:bCs/>
        <w:sz w:val="22"/>
        <w:szCs w:val="22"/>
      </w:rPr>
      <w:fldChar w:fldCharType="end"/>
    </w:r>
    <w:r w:rsidRPr="003E6B8A">
      <w:rPr>
        <w:rFonts w:ascii="Calibri" w:hAnsi="Calibri" w:cs="Calibri"/>
        <w:sz w:val="22"/>
        <w:szCs w:val="22"/>
      </w:rPr>
      <w:ptab w:relativeTo="margin" w:alignment="center" w:leader="none"/>
    </w:r>
    <w:r w:rsidRPr="003E6B8A">
      <w:rPr>
        <w:rFonts w:ascii="Calibri" w:hAnsi="Calibri" w:cs="Calibri"/>
        <w:sz w:val="22"/>
        <w:szCs w:val="22"/>
      </w:rPr>
      <w:t xml:space="preserve">Date </w:t>
    </w:r>
    <w:proofErr w:type="spellStart"/>
    <w:r w:rsidRPr="003E6B8A">
      <w:rPr>
        <w:rFonts w:ascii="Calibri" w:hAnsi="Calibri" w:cs="Calibri"/>
        <w:sz w:val="22"/>
        <w:szCs w:val="22"/>
      </w:rPr>
      <w:t>d’entrée</w:t>
    </w:r>
    <w:proofErr w:type="spellEnd"/>
    <w:r w:rsidRPr="003E6B8A">
      <w:rPr>
        <w:rFonts w:ascii="Calibri" w:hAnsi="Calibri" w:cs="Calibri"/>
        <w:sz w:val="22"/>
        <w:szCs w:val="22"/>
      </w:rPr>
      <w:t xml:space="preserve"> </w:t>
    </w:r>
    <w:proofErr w:type="spellStart"/>
    <w:r w:rsidRPr="003E6B8A">
      <w:rPr>
        <w:rFonts w:ascii="Calibri" w:hAnsi="Calibri" w:cs="Calibri"/>
        <w:sz w:val="22"/>
        <w:szCs w:val="22"/>
      </w:rPr>
      <w:t>en</w:t>
    </w:r>
    <w:proofErr w:type="spellEnd"/>
    <w:r w:rsidRPr="003E6B8A">
      <w:rPr>
        <w:rFonts w:ascii="Calibri" w:hAnsi="Calibri" w:cs="Calibri"/>
        <w:sz w:val="22"/>
        <w:szCs w:val="22"/>
      </w:rPr>
      <w:t xml:space="preserve"> </w:t>
    </w:r>
    <w:proofErr w:type="spellStart"/>
    <w:proofErr w:type="gramStart"/>
    <w:r w:rsidRPr="003E6B8A">
      <w:rPr>
        <w:rFonts w:ascii="Calibri" w:hAnsi="Calibri" w:cs="Calibri"/>
        <w:sz w:val="22"/>
        <w:szCs w:val="22"/>
      </w:rPr>
      <w:t>vigueur</w:t>
    </w:r>
    <w:proofErr w:type="spellEnd"/>
    <w:r w:rsidRPr="003E6B8A">
      <w:rPr>
        <w:rFonts w:ascii="Calibri" w:hAnsi="Calibri" w:cs="Calibri"/>
        <w:sz w:val="22"/>
        <w:szCs w:val="22"/>
      </w:rPr>
      <w:t> :</w:t>
    </w:r>
    <w:proofErr w:type="gramEnd"/>
    <w:r w:rsidRPr="003E6B8A">
      <w:rPr>
        <w:rFonts w:ascii="Calibri" w:hAnsi="Calibri" w:cs="Calibri"/>
        <w:sz w:val="22"/>
        <w:szCs w:val="22"/>
      </w:rPr>
      <w:t xml:space="preserve"> </w:t>
    </w:r>
    <w:sdt>
      <w:sdtPr>
        <w:rPr>
          <w:rFonts w:ascii="Calibri" w:hAnsi="Calibri" w:cs="Calibri"/>
          <w:sz w:val="22"/>
          <w:szCs w:val="22"/>
        </w:rPr>
        <w:alias w:val="Date d’entrée en vigueur"/>
        <w:tag w:val="UNDP_POPP_EFFECTIVEDATE"/>
        <w:id w:val="6493640"/>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45DD1BFF-45AC-4F48-95D9-1EA533BE66B0}"/>
        <w:date w:fullDate="2016-07-26T00:00:00Z">
          <w:dateFormat w:val="dd/MM/yyyy"/>
          <w:lid w:val="fr-FR"/>
          <w:storeMappedDataAs w:val="dateTime"/>
          <w:calendar w:val="gregorian"/>
        </w:date>
      </w:sdtPr>
      <w:sdtContent>
        <w:r w:rsidRPr="003E6B8A">
          <w:rPr>
            <w:rFonts w:ascii="Calibri" w:hAnsi="Calibri" w:cs="Calibri"/>
            <w:sz w:val="22"/>
            <w:szCs w:val="22"/>
          </w:rPr>
          <w:t>26/07/2016</w:t>
        </w:r>
      </w:sdtContent>
    </w:sdt>
    <w:r w:rsidRPr="003E6B8A">
      <w:rPr>
        <w:rFonts w:ascii="Calibri" w:hAnsi="Calibri" w:cs="Calibri"/>
        <w:sz w:val="22"/>
        <w:szCs w:val="22"/>
      </w:rPr>
      <w:ptab w:relativeTo="margin" w:alignment="right" w:leader="none"/>
    </w:r>
    <w:r w:rsidRPr="003E6B8A">
      <w:rPr>
        <w:rFonts w:ascii="Calibri" w:hAnsi="Calibri" w:cs="Calibri"/>
        <w:sz w:val="22"/>
        <w:szCs w:val="22"/>
      </w:rPr>
      <w:t xml:space="preserve">Version </w:t>
    </w:r>
    <w:proofErr w:type="gramStart"/>
    <w:r w:rsidRPr="003E6B8A">
      <w:rPr>
        <w:rFonts w:ascii="Calibri" w:hAnsi="Calibri" w:cs="Calibri"/>
        <w:sz w:val="22"/>
        <w:szCs w:val="22"/>
      </w:rPr>
      <w:t># :</w:t>
    </w:r>
    <w:proofErr w:type="gramEnd"/>
    <w:r w:rsidRPr="003E6B8A">
      <w:rPr>
        <w:rFonts w:ascii="Calibri" w:hAnsi="Calibri" w:cs="Calibri"/>
        <w:sz w:val="22"/>
        <w:szCs w:val="22"/>
      </w:rPr>
      <w:t xml:space="preserve"> </w:t>
    </w:r>
    <w:sdt>
      <w:sdtPr>
        <w:rPr>
          <w:rFonts w:ascii="Calibri" w:hAnsi="Calibri" w:cs="Calibri"/>
          <w:sz w:val="22"/>
          <w:szCs w:val="22"/>
        </w:rPr>
        <w:alias w:val="POPPRefItemVersion"/>
        <w:tag w:val="UNDP_POPP_REFITEM_VERSION"/>
        <w:id w:val="-635725825"/>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45DD1BFF-45AC-4F48-95D9-1EA533BE66B0}"/>
        <w:text/>
      </w:sdtPr>
      <w:sdtContent>
        <w:r w:rsidRPr="003E6B8A">
          <w:rPr>
            <w:rFonts w:ascii="Calibri" w:hAnsi="Calibri" w:cs="Calibri"/>
            <w:sz w:val="22"/>
            <w:szCs w:val="22"/>
          </w:rPr>
          <w:t>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E6F5B" w14:textId="77777777" w:rsidR="007F2C9C" w:rsidRDefault="007F2C9C" w:rsidP="002D3334">
      <w:pPr>
        <w:spacing w:after="0" w:line="240" w:lineRule="auto"/>
      </w:pPr>
      <w:r>
        <w:separator/>
      </w:r>
    </w:p>
  </w:footnote>
  <w:footnote w:type="continuationSeparator" w:id="0">
    <w:p w14:paraId="182C655B" w14:textId="77777777" w:rsidR="007F2C9C" w:rsidRDefault="007F2C9C" w:rsidP="002D33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A5B7F" w14:textId="371B8953" w:rsidR="002D3334" w:rsidRDefault="002D3334" w:rsidP="000F3945">
    <w:pPr>
      <w:pStyle w:val="Header"/>
      <w:jc w:val="right"/>
    </w:pPr>
    <w:r>
      <w:rPr>
        <w:noProof/>
      </w:rPr>
      <w:drawing>
        <wp:inline distT="0" distB="0" distL="0" distR="0" wp14:anchorId="738BEC18" wp14:editId="59ED4556">
          <wp:extent cx="292227" cy="594360"/>
          <wp:effectExtent l="0" t="0" r="0" b="0"/>
          <wp:docPr id="770030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572" cy="607265"/>
                  </a:xfrm>
                  <a:prstGeom prst="rect">
                    <a:avLst/>
                  </a:prstGeom>
                  <a:noFill/>
                  <a:ln>
                    <a:noFill/>
                  </a:ln>
                </pic:spPr>
              </pic:pic>
            </a:graphicData>
          </a:graphic>
        </wp:inline>
      </w:drawing>
    </w:r>
  </w:p>
  <w:p w14:paraId="6FF4FFE2" w14:textId="77777777" w:rsidR="002D3334" w:rsidRDefault="002D33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E6A02"/>
    <w:multiLevelType w:val="hybridMultilevel"/>
    <w:tmpl w:val="AA28565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054CE68">
      <w:start w:val="1"/>
      <w:numFmt w:val="bullet"/>
      <w:lvlText w:val=""/>
      <w:lvlJc w:val="left"/>
      <w:pPr>
        <w:ind w:left="2160" w:hanging="360"/>
      </w:pPr>
      <w:rPr>
        <w:rFonts w:ascii="Wingdings" w:hAnsi="Wingdings" w:hint="default"/>
        <w:color w:val="auto"/>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34521A0"/>
    <w:multiLevelType w:val="hybridMultilevel"/>
    <w:tmpl w:val="7C88FF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0817AF5"/>
    <w:multiLevelType w:val="hybridMultilevel"/>
    <w:tmpl w:val="436C0C30"/>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color w:val="auto"/>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49D22EE"/>
    <w:multiLevelType w:val="multilevel"/>
    <w:tmpl w:val="8A6CB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8961316">
    <w:abstractNumId w:val="3"/>
  </w:num>
  <w:num w:numId="2" w16cid:durableId="1061058174">
    <w:abstractNumId w:val="1"/>
  </w:num>
  <w:num w:numId="3" w16cid:durableId="877206175">
    <w:abstractNumId w:val="0"/>
  </w:num>
  <w:num w:numId="4" w16cid:durableId="12978297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334"/>
    <w:rsid w:val="00134B50"/>
    <w:rsid w:val="002D3334"/>
    <w:rsid w:val="0033400C"/>
    <w:rsid w:val="003E6B8A"/>
    <w:rsid w:val="007F2C9C"/>
    <w:rsid w:val="00875F5A"/>
    <w:rsid w:val="00AC7166"/>
    <w:rsid w:val="00C61B9D"/>
    <w:rsid w:val="00DA504D"/>
    <w:rsid w:val="00E45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E56AD"/>
  <w15:chartTrackingRefBased/>
  <w15:docId w15:val="{9ED4D081-719D-4534-8CEC-7B07E5F96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33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33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33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33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33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33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33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33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33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3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33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33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33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33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33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33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33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3334"/>
    <w:rPr>
      <w:rFonts w:eastAsiaTheme="majorEastAsia" w:cstheme="majorBidi"/>
      <w:color w:val="272727" w:themeColor="text1" w:themeTint="D8"/>
    </w:rPr>
  </w:style>
  <w:style w:type="paragraph" w:styleId="Title">
    <w:name w:val="Title"/>
    <w:basedOn w:val="Normal"/>
    <w:next w:val="Normal"/>
    <w:link w:val="TitleChar"/>
    <w:uiPriority w:val="10"/>
    <w:qFormat/>
    <w:rsid w:val="002D33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3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3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33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3334"/>
    <w:pPr>
      <w:spacing w:before="160"/>
      <w:jc w:val="center"/>
    </w:pPr>
    <w:rPr>
      <w:i/>
      <w:iCs/>
      <w:color w:val="404040" w:themeColor="text1" w:themeTint="BF"/>
    </w:rPr>
  </w:style>
  <w:style w:type="character" w:customStyle="1" w:styleId="QuoteChar">
    <w:name w:val="Quote Char"/>
    <w:basedOn w:val="DefaultParagraphFont"/>
    <w:link w:val="Quote"/>
    <w:uiPriority w:val="29"/>
    <w:rsid w:val="002D3334"/>
    <w:rPr>
      <w:i/>
      <w:iCs/>
      <w:color w:val="404040" w:themeColor="text1" w:themeTint="BF"/>
    </w:rPr>
  </w:style>
  <w:style w:type="paragraph" w:styleId="ListParagraph">
    <w:name w:val="List Paragraph"/>
    <w:basedOn w:val="Normal"/>
    <w:uiPriority w:val="34"/>
    <w:qFormat/>
    <w:rsid w:val="002D3334"/>
    <w:pPr>
      <w:ind w:left="720"/>
      <w:contextualSpacing/>
    </w:pPr>
  </w:style>
  <w:style w:type="character" w:styleId="IntenseEmphasis">
    <w:name w:val="Intense Emphasis"/>
    <w:basedOn w:val="DefaultParagraphFont"/>
    <w:uiPriority w:val="21"/>
    <w:qFormat/>
    <w:rsid w:val="002D3334"/>
    <w:rPr>
      <w:i/>
      <w:iCs/>
      <w:color w:val="0F4761" w:themeColor="accent1" w:themeShade="BF"/>
    </w:rPr>
  </w:style>
  <w:style w:type="paragraph" w:styleId="IntenseQuote">
    <w:name w:val="Intense Quote"/>
    <w:basedOn w:val="Normal"/>
    <w:next w:val="Normal"/>
    <w:link w:val="IntenseQuoteChar"/>
    <w:uiPriority w:val="30"/>
    <w:qFormat/>
    <w:rsid w:val="002D33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3334"/>
    <w:rPr>
      <w:i/>
      <w:iCs/>
      <w:color w:val="0F4761" w:themeColor="accent1" w:themeShade="BF"/>
    </w:rPr>
  </w:style>
  <w:style w:type="character" w:styleId="IntenseReference">
    <w:name w:val="Intense Reference"/>
    <w:basedOn w:val="DefaultParagraphFont"/>
    <w:uiPriority w:val="32"/>
    <w:qFormat/>
    <w:rsid w:val="002D3334"/>
    <w:rPr>
      <w:b/>
      <w:bCs/>
      <w:smallCaps/>
      <w:color w:val="0F4761" w:themeColor="accent1" w:themeShade="BF"/>
      <w:spacing w:val="5"/>
    </w:rPr>
  </w:style>
  <w:style w:type="paragraph" w:styleId="Header">
    <w:name w:val="header"/>
    <w:basedOn w:val="Normal"/>
    <w:link w:val="HeaderChar"/>
    <w:uiPriority w:val="99"/>
    <w:unhideWhenUsed/>
    <w:rsid w:val="002D33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334"/>
  </w:style>
  <w:style w:type="paragraph" w:styleId="Footer">
    <w:name w:val="footer"/>
    <w:basedOn w:val="Normal"/>
    <w:link w:val="FooterChar"/>
    <w:uiPriority w:val="99"/>
    <w:unhideWhenUsed/>
    <w:rsid w:val="002D33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334"/>
  </w:style>
  <w:style w:type="paragraph" w:styleId="Revision">
    <w:name w:val="Revision"/>
    <w:hidden/>
    <w:uiPriority w:val="99"/>
    <w:semiHidden/>
    <w:rsid w:val="002D3334"/>
    <w:pPr>
      <w:spacing w:after="0" w:line="240" w:lineRule="auto"/>
    </w:pPr>
  </w:style>
  <w:style w:type="character" w:styleId="Hyperlink">
    <w:name w:val="Hyperlink"/>
    <w:basedOn w:val="DefaultParagraphFont"/>
    <w:uiPriority w:val="99"/>
    <w:unhideWhenUsed/>
    <w:rsid w:val="002D3334"/>
    <w:rPr>
      <w:color w:val="467886" w:themeColor="hyperlink"/>
      <w:u w:val="single"/>
    </w:rPr>
  </w:style>
  <w:style w:type="character" w:styleId="UnresolvedMention">
    <w:name w:val="Unresolved Mention"/>
    <w:basedOn w:val="DefaultParagraphFont"/>
    <w:uiPriority w:val="99"/>
    <w:semiHidden/>
    <w:unhideWhenUsed/>
    <w:rsid w:val="002D3334"/>
    <w:rPr>
      <w:color w:val="605E5C"/>
      <w:shd w:val="clear" w:color="auto" w:fill="E1DFDD"/>
    </w:rPr>
  </w:style>
  <w:style w:type="character" w:styleId="FollowedHyperlink">
    <w:name w:val="FollowedHyperlink"/>
    <w:basedOn w:val="DefaultParagraphFont"/>
    <w:uiPriority w:val="99"/>
    <w:semiHidden/>
    <w:unhideWhenUsed/>
    <w:rsid w:val="00AC716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opp.undp.org/document/feasibility-study-cost-benefit-analysis" TargetMode="External"/><Relationship Id="rId18" Type="http://schemas.openxmlformats.org/officeDocument/2006/relationships/hyperlink" Target="https://popp.undp.org/document/security-risk-management-proces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opp.undp.org/document/premises-cost-benefit-analysis-user-manual" TargetMode="External"/><Relationship Id="rId17" Type="http://schemas.openxmlformats.org/officeDocument/2006/relationships/hyperlink" Target="https://popp.undp.org/node/6176" TargetMode="External"/><Relationship Id="rId2" Type="http://schemas.openxmlformats.org/officeDocument/2006/relationships/numbering" Target="numbering.xml"/><Relationship Id="rId16" Type="http://schemas.openxmlformats.org/officeDocument/2006/relationships/hyperlink" Target="https://popp.undp.org/node/343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pp.undp.org/node/121" TargetMode="External"/><Relationship Id="rId5" Type="http://schemas.openxmlformats.org/officeDocument/2006/relationships/webSettings" Target="webSettings.xml"/><Relationship Id="rId15" Type="http://schemas.openxmlformats.org/officeDocument/2006/relationships/hyperlink" Target="https://popp.undp.org/node/4531" TargetMode="External"/><Relationship Id="rId10" Type="http://schemas.openxmlformats.org/officeDocument/2006/relationships/hyperlink" Target="https://popp.undp.org/node/4526"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opp.undp.org/node/3421" TargetMode="External"/><Relationship Id="rId14" Type="http://schemas.openxmlformats.org/officeDocument/2006/relationships/hyperlink" Target="https://popp.undp.org/node/3746"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5829C-E3D4-4E57-944E-92D7586E4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1607</Words>
  <Characters>9166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4</cp:revision>
  <dcterms:created xsi:type="dcterms:W3CDTF">2026-04-20T10:43:00Z</dcterms:created>
  <dcterms:modified xsi:type="dcterms:W3CDTF">2026-04-29T01:09:00Z</dcterms:modified>
</cp:coreProperties>
</file>