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B113" w14:textId="77777777" w:rsidR="00BE48AA" w:rsidRPr="00BE48AA" w:rsidRDefault="00BE48AA" w:rsidP="00BE48AA">
      <w:pPr>
        <w:spacing w:after="0" w:line="23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b/>
          <w:color w:val="000000"/>
          <w:kern w:val="0"/>
          <w:sz w:val="28"/>
          <w:szCs w:val="22"/>
          <w:lang w:val="es-ES" w:eastAsia="es-ES" w:bidi="es-ES"/>
          <w14:ligatures w14:val="none"/>
        </w:rPr>
        <w:t xml:space="preserve">Activos Intangibles: Amortizaciones, Conciliaciones, Informes y Funciones Centralizadas  </w:t>
      </w:r>
    </w:p>
    <w:p w14:paraId="7340DE05" w14:textId="77777777" w:rsidR="00BE48AA" w:rsidRPr="00BE48AA" w:rsidRDefault="00BE48AA" w:rsidP="00BE48AA">
      <w:pPr>
        <w:spacing w:after="0"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 </w:t>
      </w:r>
    </w:p>
    <w:p w14:paraId="1A9267E5" w14:textId="77777777" w:rsidR="00BE48AA" w:rsidRPr="00BE48AA" w:rsidRDefault="00BE48AA" w:rsidP="00BE48AA">
      <w:pPr>
        <w:numPr>
          <w:ilvl w:val="0"/>
          <w:numId w:val="1"/>
        </w:numPr>
        <w:spacing w:after="5" w:line="249" w:lineRule="auto"/>
        <w:ind w:right="5" w:hanging="36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La amortización es la asignación sistemática del monto amortizable de un Activo Intangible a lo largo de su vida útil. La amortización contabiliza el costo del activo en cuotas iguales (método de amortización lineal) durante la vida del activo, y no cuando se paga el activo. </w:t>
      </w:r>
    </w:p>
    <w:p w14:paraId="7DA87C40" w14:textId="77777777" w:rsidR="00BE48AA" w:rsidRPr="00BE48AA" w:rsidRDefault="00BE48AA" w:rsidP="00BE48AA">
      <w:pPr>
        <w:spacing w:after="21"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43B3AF11" w14:textId="77777777" w:rsidR="00BE48AA" w:rsidRPr="00BE48AA" w:rsidRDefault="00BE48AA" w:rsidP="00BE48AA">
      <w:pPr>
        <w:numPr>
          <w:ilvl w:val="0"/>
          <w:numId w:val="1"/>
        </w:numPr>
        <w:spacing w:after="5" w:line="249" w:lineRule="auto"/>
        <w:ind w:right="5" w:hanging="36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La amortización es la asignación sistemática del monto amortizable de un Activo Intangible a lo largo de su vida útil. La amortización contabiliza el costo del activo en cuotas iguales (método de amortización lineal) durante la vida del activo, y no cuando se paga el activo. El monto amortizable es el costo de un activo u otro monto que sustituya al costo, menos su valor residual y el valor residual de un activo es el monto estimado que se obtendría actualmente de la enajenación del activo, después de deducir los costos estimados de enajenación, si el activo tuviese ya la antigüedad y estuviese en las condiciones esperadas al final de su vida útil. En el PNUD (Programa de las Naciones Unidas para el Desarrollo), todos los intangibles tendrán una vida residual de cero. </w:t>
      </w:r>
    </w:p>
    <w:p w14:paraId="5F4FF6EA" w14:textId="77777777" w:rsidR="00BE48AA" w:rsidRPr="00BE48AA" w:rsidRDefault="00BE48AA" w:rsidP="00BE48AA">
      <w:pPr>
        <w:spacing w:after="20" w:line="259" w:lineRule="auto"/>
        <w:ind w:left="46"/>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19C063C0" w14:textId="77777777" w:rsidR="00BE48AA" w:rsidRPr="00BE48AA" w:rsidRDefault="00BE48AA" w:rsidP="00BE48AA">
      <w:pPr>
        <w:numPr>
          <w:ilvl w:val="0"/>
          <w:numId w:val="1"/>
        </w:numPr>
        <w:spacing w:after="5" w:line="249" w:lineRule="auto"/>
        <w:ind w:right="5" w:hanging="36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Dado que el gasto de amortización se contabilizará en el Plan de Cuentas (COA) dentro del cual se registra un activo, es importante que no se utilicen COA temporales, dado que los cargos por amortización se realizarán contra estos COA temporales, lo que requiere una serie de asientos correctivos en el libro mayor cuando el activo se registre finalmente en el COA correcto y final.   </w:t>
      </w:r>
    </w:p>
    <w:p w14:paraId="04BF7014" w14:textId="77777777" w:rsidR="00BE48AA" w:rsidRPr="00BE48AA" w:rsidRDefault="00BE48AA" w:rsidP="00BE48AA">
      <w:pPr>
        <w:spacing w:after="21" w:line="259" w:lineRule="auto"/>
        <w:ind w:left="46"/>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3F3B7300" w14:textId="77777777" w:rsidR="00BE48AA" w:rsidRPr="00BE48AA" w:rsidRDefault="00BE48AA" w:rsidP="00BE48AA">
      <w:pPr>
        <w:numPr>
          <w:ilvl w:val="0"/>
          <w:numId w:val="1"/>
        </w:numPr>
        <w:spacing w:after="5" w:line="249" w:lineRule="auto"/>
        <w:ind w:right="5" w:hanging="36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El gasto por amortización no afecta los recursos, dado que el costo inicial del Activo Intangible se carga totalmente en el presupuesto. Es un gasto sin salida de efectivo que asigna este costo durante la vida del Activo Intangible. </w:t>
      </w:r>
    </w:p>
    <w:p w14:paraId="66B7A8A1" w14:textId="77777777" w:rsidR="00BE48AA" w:rsidRPr="00BE48AA" w:rsidRDefault="00BE48AA" w:rsidP="00BE48AA">
      <w:pPr>
        <w:spacing w:after="20" w:line="259" w:lineRule="auto"/>
        <w:ind w:left="46"/>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2ECD1C54" w14:textId="77777777" w:rsidR="00BE48AA" w:rsidRPr="00BE48AA" w:rsidRDefault="00BE48AA" w:rsidP="00BE48AA">
      <w:pPr>
        <w:numPr>
          <w:ilvl w:val="0"/>
          <w:numId w:val="1"/>
        </w:numPr>
        <w:spacing w:after="5" w:line="249" w:lineRule="auto"/>
        <w:ind w:right="5" w:hanging="36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Las vidas útiles estimadas para los activos intangibles son las siguientes:  </w:t>
      </w:r>
    </w:p>
    <w:p w14:paraId="0DC49551" w14:textId="77777777" w:rsidR="00BE48AA" w:rsidRPr="00BE48AA" w:rsidRDefault="00BE48AA" w:rsidP="00BE48AA">
      <w:pPr>
        <w:spacing w:after="0"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tbl>
      <w:tblPr>
        <w:tblStyle w:val="TableGrid"/>
        <w:tblW w:w="8640" w:type="dxa"/>
        <w:tblInd w:w="710" w:type="dxa"/>
        <w:tblCellMar>
          <w:top w:w="50" w:type="dxa"/>
          <w:left w:w="29" w:type="dxa"/>
          <w:right w:w="115" w:type="dxa"/>
        </w:tblCellMar>
        <w:tblLook w:val="04A0" w:firstRow="1" w:lastRow="0" w:firstColumn="1" w:lastColumn="0" w:noHBand="0" w:noVBand="1"/>
      </w:tblPr>
      <w:tblGrid>
        <w:gridCol w:w="3752"/>
        <w:gridCol w:w="4888"/>
      </w:tblGrid>
      <w:tr w:rsidR="00BD7C34" w:rsidRPr="00BE48AA" w14:paraId="4A917D4E" w14:textId="77777777" w:rsidTr="00BD7C34">
        <w:trPr>
          <w:trHeight w:val="288"/>
        </w:trPr>
        <w:tc>
          <w:tcPr>
            <w:tcW w:w="3752" w:type="dxa"/>
            <w:tcBorders>
              <w:top w:val="single" w:sz="8" w:space="0" w:color="000000"/>
              <w:left w:val="single" w:sz="8" w:space="0" w:color="000000"/>
              <w:bottom w:val="single" w:sz="8" w:space="0" w:color="000000"/>
              <w:right w:val="single" w:sz="8" w:space="0" w:color="000000"/>
            </w:tcBorders>
          </w:tcPr>
          <w:p w14:paraId="49A0ECE3" w14:textId="77777777" w:rsidR="00BD7C34" w:rsidRPr="00BE48AA" w:rsidRDefault="00BD7C34" w:rsidP="00BE48AA">
            <w:pPr>
              <w:spacing w:line="259" w:lineRule="auto"/>
              <w:ind w:left="79"/>
              <w:rPr>
                <w:rFonts w:ascii="Calibri" w:eastAsia="Calibri" w:hAnsi="Calibri" w:cs="Calibri"/>
                <w:b/>
                <w:bCs/>
                <w:color w:val="000000"/>
              </w:rPr>
            </w:pPr>
            <w:r w:rsidRPr="00BE48AA">
              <w:rPr>
                <w:rFonts w:ascii="Calibri" w:eastAsia="Calibri" w:hAnsi="Calibri" w:cs="Calibri"/>
                <w:b/>
                <w:bCs/>
                <w:color w:val="000000"/>
              </w:rPr>
              <w:t xml:space="preserve">Clase </w:t>
            </w:r>
          </w:p>
        </w:tc>
        <w:tc>
          <w:tcPr>
            <w:tcW w:w="4888" w:type="dxa"/>
            <w:tcBorders>
              <w:top w:val="single" w:sz="8" w:space="0" w:color="000000"/>
              <w:left w:val="single" w:sz="8" w:space="0" w:color="000000"/>
              <w:bottom w:val="single" w:sz="8" w:space="0" w:color="000000"/>
              <w:right w:val="single" w:sz="8" w:space="0" w:color="000000"/>
            </w:tcBorders>
          </w:tcPr>
          <w:p w14:paraId="3DAC9D9A" w14:textId="77777777" w:rsidR="00BD7C34" w:rsidRPr="00BE48AA" w:rsidRDefault="00BD7C34" w:rsidP="00BE48AA">
            <w:pPr>
              <w:spacing w:line="259" w:lineRule="auto"/>
              <w:ind w:left="79"/>
              <w:rPr>
                <w:rFonts w:ascii="Calibri" w:eastAsia="Calibri" w:hAnsi="Calibri" w:cs="Calibri"/>
                <w:b/>
                <w:bCs/>
                <w:color w:val="000000"/>
              </w:rPr>
            </w:pPr>
            <w:r w:rsidRPr="00BE48AA">
              <w:rPr>
                <w:rFonts w:ascii="Calibri" w:eastAsia="Calibri" w:hAnsi="Calibri" w:cs="Calibri"/>
                <w:b/>
                <w:bCs/>
                <w:color w:val="000000"/>
              </w:rPr>
              <w:t xml:space="preserve">Vida útil estimada (años) </w:t>
            </w:r>
          </w:p>
        </w:tc>
      </w:tr>
      <w:tr w:rsidR="00BD7C34" w:rsidRPr="00BE48AA" w14:paraId="692480A8" w14:textId="77777777" w:rsidTr="00BD7C34">
        <w:trPr>
          <w:trHeight w:val="290"/>
        </w:trPr>
        <w:tc>
          <w:tcPr>
            <w:tcW w:w="3752" w:type="dxa"/>
            <w:tcBorders>
              <w:top w:val="single" w:sz="8" w:space="0" w:color="000000"/>
              <w:left w:val="single" w:sz="8" w:space="0" w:color="000000"/>
              <w:bottom w:val="single" w:sz="8" w:space="0" w:color="000000"/>
              <w:right w:val="single" w:sz="8" w:space="0" w:color="000000"/>
            </w:tcBorders>
          </w:tcPr>
          <w:p w14:paraId="4A80F80C"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Software adquirido </w:t>
            </w:r>
          </w:p>
        </w:tc>
        <w:tc>
          <w:tcPr>
            <w:tcW w:w="4888" w:type="dxa"/>
            <w:tcBorders>
              <w:top w:val="single" w:sz="8" w:space="0" w:color="000000"/>
              <w:left w:val="single" w:sz="8" w:space="0" w:color="000000"/>
              <w:bottom w:val="single" w:sz="8" w:space="0" w:color="000000"/>
              <w:right w:val="single" w:sz="8" w:space="0" w:color="000000"/>
            </w:tcBorders>
          </w:tcPr>
          <w:p w14:paraId="50B8AE9D"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3-6 </w:t>
            </w:r>
          </w:p>
        </w:tc>
      </w:tr>
      <w:tr w:rsidR="00BD7C34" w:rsidRPr="00BE48AA" w14:paraId="1C09EB1A" w14:textId="77777777" w:rsidTr="00BD7C34">
        <w:trPr>
          <w:trHeight w:val="288"/>
        </w:trPr>
        <w:tc>
          <w:tcPr>
            <w:tcW w:w="3752" w:type="dxa"/>
            <w:tcBorders>
              <w:top w:val="single" w:sz="8" w:space="0" w:color="000000"/>
              <w:left w:val="single" w:sz="8" w:space="0" w:color="000000"/>
              <w:bottom w:val="single" w:sz="8" w:space="0" w:color="000000"/>
              <w:right w:val="single" w:sz="8" w:space="0" w:color="000000"/>
            </w:tcBorders>
          </w:tcPr>
          <w:p w14:paraId="3868A06C"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Software desarrollado en forma interna </w:t>
            </w:r>
          </w:p>
        </w:tc>
        <w:tc>
          <w:tcPr>
            <w:tcW w:w="4888" w:type="dxa"/>
            <w:tcBorders>
              <w:top w:val="single" w:sz="8" w:space="0" w:color="000000"/>
              <w:left w:val="single" w:sz="8" w:space="0" w:color="000000"/>
              <w:bottom w:val="single" w:sz="8" w:space="0" w:color="000000"/>
              <w:right w:val="single" w:sz="8" w:space="0" w:color="000000"/>
            </w:tcBorders>
          </w:tcPr>
          <w:p w14:paraId="20DF1E96"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3-6 </w:t>
            </w:r>
          </w:p>
        </w:tc>
      </w:tr>
      <w:tr w:rsidR="00BD7C34" w:rsidRPr="00BE48AA" w14:paraId="5E83657A" w14:textId="77777777" w:rsidTr="00BD7C34">
        <w:trPr>
          <w:trHeight w:val="288"/>
        </w:trPr>
        <w:tc>
          <w:tcPr>
            <w:tcW w:w="3752" w:type="dxa"/>
            <w:tcBorders>
              <w:top w:val="single" w:sz="8" w:space="0" w:color="000000"/>
              <w:left w:val="single" w:sz="8" w:space="0" w:color="000000"/>
              <w:bottom w:val="single" w:sz="8" w:space="0" w:color="000000"/>
              <w:right w:val="single" w:sz="8" w:space="0" w:color="000000"/>
            </w:tcBorders>
          </w:tcPr>
          <w:p w14:paraId="438D0496"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Marcas comerciales </w:t>
            </w:r>
          </w:p>
        </w:tc>
        <w:tc>
          <w:tcPr>
            <w:tcW w:w="4888" w:type="dxa"/>
            <w:tcBorders>
              <w:top w:val="single" w:sz="8" w:space="0" w:color="000000"/>
              <w:left w:val="single" w:sz="8" w:space="0" w:color="000000"/>
              <w:bottom w:val="single" w:sz="8" w:space="0" w:color="000000"/>
              <w:right w:val="single" w:sz="8" w:space="0" w:color="000000"/>
            </w:tcBorders>
          </w:tcPr>
          <w:p w14:paraId="13F5B48E"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2-6 </w:t>
            </w:r>
          </w:p>
        </w:tc>
      </w:tr>
      <w:tr w:rsidR="00BD7C34" w:rsidRPr="00BE48AA" w14:paraId="345E5FA4" w14:textId="77777777" w:rsidTr="00BD7C34">
        <w:trPr>
          <w:trHeight w:val="288"/>
        </w:trPr>
        <w:tc>
          <w:tcPr>
            <w:tcW w:w="3752" w:type="dxa"/>
            <w:tcBorders>
              <w:top w:val="single" w:sz="8" w:space="0" w:color="000000"/>
              <w:left w:val="single" w:sz="8" w:space="0" w:color="000000"/>
              <w:bottom w:val="single" w:sz="8" w:space="0" w:color="000000"/>
              <w:right w:val="single" w:sz="8" w:space="0" w:color="000000"/>
            </w:tcBorders>
          </w:tcPr>
          <w:p w14:paraId="71D8D7BA"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Derechos de autor </w:t>
            </w:r>
          </w:p>
        </w:tc>
        <w:tc>
          <w:tcPr>
            <w:tcW w:w="4888" w:type="dxa"/>
            <w:tcBorders>
              <w:top w:val="single" w:sz="8" w:space="0" w:color="000000"/>
              <w:left w:val="single" w:sz="8" w:space="0" w:color="000000"/>
              <w:bottom w:val="single" w:sz="8" w:space="0" w:color="000000"/>
              <w:right w:val="single" w:sz="8" w:space="0" w:color="000000"/>
            </w:tcBorders>
          </w:tcPr>
          <w:p w14:paraId="26D8F5AE"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3-10 </w:t>
            </w:r>
          </w:p>
        </w:tc>
      </w:tr>
      <w:tr w:rsidR="00BD7C34" w:rsidRPr="00BE48AA" w14:paraId="711E3E63" w14:textId="77777777" w:rsidTr="00BD7C34">
        <w:trPr>
          <w:trHeight w:val="288"/>
        </w:trPr>
        <w:tc>
          <w:tcPr>
            <w:tcW w:w="3752" w:type="dxa"/>
            <w:tcBorders>
              <w:top w:val="single" w:sz="8" w:space="0" w:color="000000"/>
              <w:left w:val="single" w:sz="8" w:space="0" w:color="000000"/>
              <w:bottom w:val="single" w:sz="8" w:space="0" w:color="000000"/>
              <w:right w:val="single" w:sz="8" w:space="0" w:color="000000"/>
            </w:tcBorders>
          </w:tcPr>
          <w:p w14:paraId="2387EDB9"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Patentes </w:t>
            </w:r>
          </w:p>
        </w:tc>
        <w:tc>
          <w:tcPr>
            <w:tcW w:w="4888" w:type="dxa"/>
            <w:tcBorders>
              <w:top w:val="single" w:sz="8" w:space="0" w:color="000000"/>
              <w:left w:val="single" w:sz="8" w:space="0" w:color="000000"/>
              <w:bottom w:val="single" w:sz="8" w:space="0" w:color="000000"/>
              <w:right w:val="single" w:sz="8" w:space="0" w:color="000000"/>
            </w:tcBorders>
          </w:tcPr>
          <w:p w14:paraId="30B78F33"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2-6 </w:t>
            </w:r>
          </w:p>
        </w:tc>
      </w:tr>
      <w:tr w:rsidR="00BD7C34" w:rsidRPr="00BE48AA" w14:paraId="6FDA03FD" w14:textId="77777777" w:rsidTr="00BD7C34">
        <w:trPr>
          <w:trHeight w:val="293"/>
        </w:trPr>
        <w:tc>
          <w:tcPr>
            <w:tcW w:w="3752" w:type="dxa"/>
            <w:tcBorders>
              <w:top w:val="single" w:sz="8" w:space="0" w:color="000000"/>
              <w:left w:val="single" w:sz="8" w:space="0" w:color="000000"/>
              <w:bottom w:val="single" w:sz="8" w:space="0" w:color="000000"/>
              <w:right w:val="single" w:sz="8" w:space="0" w:color="000000"/>
            </w:tcBorders>
          </w:tcPr>
          <w:p w14:paraId="304C59C5"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Licencias y otros </w:t>
            </w:r>
          </w:p>
        </w:tc>
        <w:tc>
          <w:tcPr>
            <w:tcW w:w="4888" w:type="dxa"/>
            <w:tcBorders>
              <w:top w:val="single" w:sz="8" w:space="0" w:color="000000"/>
              <w:left w:val="single" w:sz="8" w:space="0" w:color="000000"/>
              <w:bottom w:val="single" w:sz="8" w:space="0" w:color="000000"/>
              <w:right w:val="single" w:sz="8" w:space="0" w:color="000000"/>
            </w:tcBorders>
          </w:tcPr>
          <w:p w14:paraId="7C1CB381" w14:textId="77777777" w:rsidR="00BD7C34" w:rsidRPr="00BE48AA" w:rsidRDefault="00BD7C34" w:rsidP="00BE48AA">
            <w:pPr>
              <w:spacing w:line="259" w:lineRule="auto"/>
              <w:ind w:left="79"/>
              <w:rPr>
                <w:rFonts w:ascii="Calibri" w:eastAsia="Calibri" w:hAnsi="Calibri" w:cs="Calibri"/>
                <w:color w:val="000000"/>
              </w:rPr>
            </w:pPr>
            <w:r w:rsidRPr="00BE48AA">
              <w:rPr>
                <w:rFonts w:ascii="Calibri" w:eastAsia="Calibri" w:hAnsi="Calibri" w:cs="Calibri"/>
                <w:color w:val="000000"/>
              </w:rPr>
              <w:t xml:space="preserve">2-6 </w:t>
            </w:r>
          </w:p>
        </w:tc>
      </w:tr>
    </w:tbl>
    <w:p w14:paraId="19D7FF04" w14:textId="77777777" w:rsidR="00BE48AA" w:rsidRPr="00BE48AA" w:rsidRDefault="00BE48AA" w:rsidP="00BE48A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p>
    <w:p w14:paraId="0E5F0AE8" w14:textId="77777777" w:rsidR="00BE48AA" w:rsidRPr="00BE48AA" w:rsidRDefault="00BE48AA" w:rsidP="00BE48A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Conciliación  </w:t>
      </w:r>
    </w:p>
    <w:p w14:paraId="6F322093" w14:textId="77777777" w:rsidR="00BE48AA" w:rsidRPr="00BE48AA" w:rsidRDefault="00BE48AA" w:rsidP="00BE48AA">
      <w:pPr>
        <w:spacing w:after="21"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 </w:t>
      </w:r>
    </w:p>
    <w:p w14:paraId="71188D61" w14:textId="77777777" w:rsidR="00BE48AA" w:rsidRPr="00BE48AA" w:rsidRDefault="00BE48AA" w:rsidP="00BE48AA">
      <w:pPr>
        <w:spacing w:after="202" w:line="249" w:lineRule="auto"/>
        <w:ind w:left="715" w:hanging="37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6.</w:t>
      </w:r>
      <w:r w:rsidRPr="00BE48AA">
        <w:rPr>
          <w:rFonts w:ascii="Arial" w:eastAsia="Calibri" w:hAnsi="Arial" w:cs="Calibri"/>
          <w:color w:val="000000"/>
          <w:kern w:val="0"/>
          <w:sz w:val="22"/>
          <w:szCs w:val="22"/>
          <w:lang w:val="es-ES" w:eastAsia="es-ES" w:bidi="es-ES"/>
          <w14:ligatures w14:val="none"/>
        </w:rPr>
        <w:t xml:space="preserve">   </w:t>
      </w:r>
      <w:r w:rsidRPr="00BE48AA">
        <w:rPr>
          <w:rFonts w:ascii="Calibri" w:eastAsia="Calibri" w:hAnsi="Calibri" w:cs="Calibri"/>
          <w:color w:val="000000"/>
          <w:kern w:val="0"/>
          <w:sz w:val="22"/>
          <w:szCs w:val="22"/>
          <w:lang w:val="es-ES" w:eastAsia="es-ES" w:bidi="es-ES"/>
          <w14:ligatures w14:val="none"/>
        </w:rPr>
        <w:t xml:space="preserve">La conciliación es el proceso contable utilizado para comparar como mínimo dos conjuntos de registros para asegurar que las cifras concuerden y sean precisas. Dado que los datos de los Activos Intangibles se iniciarán en un módulo y se registrarán finalmente en el Módulo Activos de Quantum además de en la Cuenta de Libro Mayor, será necesario conciliar los datos y la </w:t>
      </w:r>
      <w:r w:rsidRPr="00BE48AA">
        <w:rPr>
          <w:rFonts w:ascii="Calibri" w:eastAsia="Calibri" w:hAnsi="Calibri" w:cs="Calibri"/>
          <w:color w:val="000000"/>
          <w:kern w:val="0"/>
          <w:sz w:val="22"/>
          <w:szCs w:val="22"/>
          <w:lang w:val="es-ES" w:eastAsia="es-ES" w:bidi="es-ES"/>
          <w14:ligatures w14:val="none"/>
        </w:rPr>
        <w:lastRenderedPageBreak/>
        <w:t xml:space="preserve">información en los tres módulos. Esto será realizado por la dependencia de Operaciones Generales de la BMS (Dirección de Servicios de Gestión). Además de las conciliaciones de datos contables, también se deberán conciliar los resultados del ejercicio de verificación física con los registros de Activos Intangibles para cada CO o Dependencia de la Sede. Esto será realizado por cada CO o Dependencia de la Sede. </w:t>
      </w:r>
    </w:p>
    <w:p w14:paraId="55F4A452" w14:textId="77777777" w:rsidR="00BE48AA" w:rsidRPr="00BE48AA" w:rsidRDefault="00BE48AA" w:rsidP="00BE48AA">
      <w:pPr>
        <w:spacing w:after="0" w:line="259" w:lineRule="auto"/>
        <w:rPr>
          <w:rFonts w:ascii="Calibri" w:eastAsia="Calibri" w:hAnsi="Calibri" w:cs="Calibri"/>
          <w:b/>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Informes  </w:t>
      </w:r>
    </w:p>
    <w:p w14:paraId="2550AECA" w14:textId="77777777" w:rsidR="00BE48AA" w:rsidRPr="00BE48AA" w:rsidRDefault="00BE48AA" w:rsidP="00BE48AA">
      <w:pPr>
        <w:spacing w:after="21"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 </w:t>
      </w:r>
    </w:p>
    <w:p w14:paraId="234E3C6C" w14:textId="77777777" w:rsidR="00BE48AA" w:rsidRPr="00BE48AA" w:rsidRDefault="00BE48AA" w:rsidP="00BE48AA">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7.</w:t>
      </w:r>
      <w:r w:rsidRPr="00BE48AA">
        <w:rPr>
          <w:rFonts w:ascii="Arial" w:eastAsia="Calibri" w:hAnsi="Arial" w:cs="Calibri"/>
          <w:color w:val="000000"/>
          <w:kern w:val="0"/>
          <w:sz w:val="22"/>
          <w:szCs w:val="22"/>
          <w:lang w:val="es-ES" w:eastAsia="es-ES" w:bidi="es-ES"/>
          <w14:ligatures w14:val="none"/>
        </w:rPr>
        <w:t xml:space="preserve">   </w:t>
      </w:r>
      <w:r w:rsidRPr="00BE48AA">
        <w:rPr>
          <w:rFonts w:ascii="Calibri" w:eastAsia="Calibri" w:hAnsi="Calibri" w:cs="Calibri"/>
          <w:color w:val="000000"/>
          <w:kern w:val="0"/>
          <w:sz w:val="22"/>
          <w:szCs w:val="22"/>
          <w:lang w:val="es-ES" w:eastAsia="es-ES" w:bidi="es-ES"/>
          <w14:ligatures w14:val="none"/>
        </w:rPr>
        <w:t xml:space="preserve">Debido a la necesidad de verificar la precisión de los registros mediante conciliaciones y con el fin de preparar información precisa de los activos para la presentación de informes financieros, habrá varios informes designados para asistir en el desempeño de las funciones de conciliación y revisión de registros de activos. Por ejemplo, los informes de detalles de transacciones, el informe de conciliación del Módulo Activos (AM)-Libro mayor (GL) por departamento y clase de activo, etc. Para obtener más información, consulte la POPP (Políticas y Procedimientos de Operaciones y Programas) sobre Mobiliario y Equipo. </w:t>
      </w:r>
    </w:p>
    <w:p w14:paraId="0B70C830" w14:textId="77777777" w:rsidR="00BE48AA" w:rsidRPr="00BE48AA" w:rsidRDefault="00BE48AA" w:rsidP="00BE48AA">
      <w:pPr>
        <w:spacing w:after="0"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00BCA1D3" w14:textId="77777777" w:rsidR="00BE48AA" w:rsidRPr="00BE48AA" w:rsidRDefault="00BE48AA" w:rsidP="00BE48A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Funciones Centralizadas </w:t>
      </w:r>
      <w:r w:rsidRPr="00BE48AA">
        <w:rPr>
          <w:rFonts w:ascii="Calibri" w:eastAsia="Calibri" w:hAnsi="Calibri" w:cs="Calibri"/>
          <w:color w:val="000000"/>
          <w:kern w:val="0"/>
          <w:sz w:val="22"/>
          <w:szCs w:val="22"/>
          <w:lang w:val="es-ES" w:eastAsia="es-ES" w:bidi="es-ES"/>
          <w14:ligatures w14:val="none"/>
        </w:rPr>
        <w:t xml:space="preserve">  </w:t>
      </w:r>
    </w:p>
    <w:p w14:paraId="5F98BA99" w14:textId="77777777" w:rsidR="00BE48AA" w:rsidRPr="00BE48AA" w:rsidRDefault="00BE48AA" w:rsidP="00BE48AA">
      <w:pPr>
        <w:spacing w:after="20"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 </w:t>
      </w:r>
    </w:p>
    <w:p w14:paraId="013B5A1A" w14:textId="77777777" w:rsidR="00BE48AA" w:rsidRPr="00BE48AA" w:rsidRDefault="00BE48AA" w:rsidP="00BE48AA">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8.</w:t>
      </w:r>
      <w:r w:rsidRPr="00BE48AA">
        <w:rPr>
          <w:rFonts w:ascii="Arial" w:eastAsia="Calibri" w:hAnsi="Arial" w:cs="Calibri"/>
          <w:color w:val="000000"/>
          <w:kern w:val="0"/>
          <w:sz w:val="22"/>
          <w:szCs w:val="22"/>
          <w:lang w:val="es-ES" w:eastAsia="es-ES" w:bidi="es-ES"/>
          <w14:ligatures w14:val="none"/>
        </w:rPr>
        <w:t xml:space="preserve">   </w:t>
      </w:r>
      <w:r w:rsidRPr="00BE48AA">
        <w:rPr>
          <w:rFonts w:ascii="Calibri" w:eastAsia="Calibri" w:hAnsi="Calibri" w:cs="Calibri"/>
          <w:color w:val="000000"/>
          <w:kern w:val="0"/>
          <w:sz w:val="22"/>
          <w:szCs w:val="22"/>
          <w:lang w:val="es-ES" w:eastAsia="es-ES" w:bidi="es-ES"/>
          <w14:ligatures w14:val="none"/>
        </w:rPr>
        <w:t xml:space="preserve">Las funciones centralizadas son las funciones desempeñadas solamente por el Centro Mundial de Servicios Compartidos (CGSC y la Sede de Nueva York (NYHQ) del PNUD a través de la División de Cuentas, la OIST (Oficina de Sistemas y Tecnología de la Información) o la dependencia de Operaciones Generales de la BMS. Consulte la POPP sobre Mobiliario y Equipo para conocer más detalles. </w:t>
      </w:r>
    </w:p>
    <w:p w14:paraId="5CFC4034" w14:textId="77777777" w:rsidR="00BE48AA" w:rsidRPr="00BE48AA" w:rsidRDefault="00BE48AA" w:rsidP="00BE48AA">
      <w:pPr>
        <w:spacing w:after="0"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543803E6" w14:textId="77777777" w:rsidR="00BE48AA" w:rsidRPr="00BE48AA" w:rsidRDefault="00BE48AA" w:rsidP="00BE48A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 Amortización de Activos Intangibles </w:t>
      </w:r>
      <w:r w:rsidRPr="00BE48AA">
        <w:rPr>
          <w:rFonts w:ascii="Calibri" w:eastAsia="Calibri" w:hAnsi="Calibri" w:cs="Calibri"/>
          <w:color w:val="000000"/>
          <w:kern w:val="0"/>
          <w:sz w:val="22"/>
          <w:szCs w:val="22"/>
          <w:lang w:val="es-ES" w:eastAsia="es-ES" w:bidi="es-ES"/>
          <w14:ligatures w14:val="none"/>
        </w:rPr>
        <w:t xml:space="preserve"> </w:t>
      </w:r>
    </w:p>
    <w:p w14:paraId="03FA8146" w14:textId="77777777" w:rsidR="00BE48AA" w:rsidRPr="00BE48AA" w:rsidRDefault="00BE48AA" w:rsidP="00BE48AA">
      <w:pPr>
        <w:spacing w:after="21"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3C3E116D" w14:textId="77777777" w:rsidR="00BE48AA" w:rsidRPr="00BE48AA" w:rsidRDefault="00BE48AA" w:rsidP="00BE48AA">
      <w:pPr>
        <w:numPr>
          <w:ilvl w:val="0"/>
          <w:numId w:val="2"/>
        </w:numPr>
        <w:spacing w:after="5" w:line="249" w:lineRule="auto"/>
        <w:ind w:right="5" w:hanging="36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La amortización es la provisión para el agotamiento de un activo gastable a lo largo de su vida útil predeterminada.  En el PNUD, la amortización se aplica en cuotas mensuales iguales durante la vida útil del activo, mediante el método de amortización lineal (costo histórico menos valor residual, dividido por la vida útil). La amortización es un proceso del sistema que ejecuta mensualmente la Sede y se contabiliza en el Plan de Cuentas (COA) correspondiente desde el cual se adquirió o de otro modo se capitalizó el activo. Por este motivo, es importante que los COA temporales no se utilicen para el registro de activos intangibles dado que los cargos por amortización se realizarán contra estos COA temporales lo que requiere una serie de asientos correctivos en el libro mayor cuando el activo se registre finalmente en el COA correcto y final.   </w:t>
      </w:r>
    </w:p>
    <w:p w14:paraId="342F68E0" w14:textId="77777777" w:rsidR="00BE48AA" w:rsidRPr="00BE48AA" w:rsidRDefault="00BE48AA" w:rsidP="00BE48AA">
      <w:pPr>
        <w:spacing w:after="22" w:line="259" w:lineRule="auto"/>
        <w:ind w:left="46"/>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19D730E5" w14:textId="77777777" w:rsidR="00BE48AA" w:rsidRPr="00BE48AA" w:rsidRDefault="00BE48AA" w:rsidP="00BE48AA">
      <w:pPr>
        <w:numPr>
          <w:ilvl w:val="0"/>
          <w:numId w:val="2"/>
        </w:numPr>
        <w:spacing w:after="5" w:line="249" w:lineRule="auto"/>
        <w:ind w:right="5" w:hanging="360"/>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La amortización se aplica a los </w:t>
      </w:r>
      <w:r w:rsidRPr="00BE48AA">
        <w:rPr>
          <w:rFonts w:ascii="Calibri" w:eastAsia="Calibri" w:hAnsi="Calibri" w:cs="Calibri"/>
          <w:color w:val="000000"/>
          <w:kern w:val="0"/>
          <w:sz w:val="22"/>
          <w:szCs w:val="22"/>
          <w:u w:val="single" w:color="000000"/>
          <w:lang w:val="es-ES" w:eastAsia="es-ES" w:bidi="es-ES"/>
          <w14:ligatures w14:val="none"/>
        </w:rPr>
        <w:t>Activos Intangibles</w:t>
      </w:r>
      <w:r w:rsidRPr="00BE48AA">
        <w:rPr>
          <w:rFonts w:ascii="Calibri" w:eastAsia="Calibri" w:hAnsi="Calibri" w:cs="Calibri"/>
          <w:color w:val="000000"/>
          <w:kern w:val="0"/>
          <w:sz w:val="22"/>
          <w:szCs w:val="22"/>
          <w:lang w:val="es-ES" w:eastAsia="es-ES" w:bidi="es-ES"/>
          <w14:ligatures w14:val="none"/>
        </w:rPr>
        <w:t xml:space="preserve"> u obligaciones, mientras que la Depreciación se aplica a los </w:t>
      </w:r>
      <w:r w:rsidRPr="00BE48AA">
        <w:rPr>
          <w:rFonts w:ascii="Calibri" w:eastAsia="Calibri" w:hAnsi="Calibri" w:cs="Calibri"/>
          <w:color w:val="000000"/>
          <w:kern w:val="0"/>
          <w:sz w:val="22"/>
          <w:szCs w:val="22"/>
          <w:u w:val="single" w:color="000000"/>
          <w:lang w:val="es-ES" w:eastAsia="es-ES" w:bidi="es-ES"/>
          <w14:ligatures w14:val="none"/>
        </w:rPr>
        <w:t>Activos Tangibles</w:t>
      </w:r>
      <w:r w:rsidRPr="00BE48AA">
        <w:rPr>
          <w:rFonts w:ascii="Calibri" w:eastAsia="Calibri" w:hAnsi="Calibri" w:cs="Calibri"/>
          <w:color w:val="000000"/>
          <w:kern w:val="0"/>
          <w:sz w:val="22"/>
          <w:szCs w:val="22"/>
          <w:lang w:val="es-ES" w:eastAsia="es-ES" w:bidi="es-ES"/>
          <w14:ligatures w14:val="none"/>
        </w:rPr>
        <w:t xml:space="preserve">.    </w:t>
      </w:r>
    </w:p>
    <w:p w14:paraId="6F7B7AA9" w14:textId="77777777" w:rsidR="00BE48AA" w:rsidRDefault="00BE48AA" w:rsidP="00BE48AA">
      <w:pPr>
        <w:spacing w:after="0"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t xml:space="preserve"> </w:t>
      </w:r>
      <w:r w:rsidRPr="00BE48AA">
        <w:rPr>
          <w:rFonts w:ascii="Calibri" w:eastAsia="Calibri" w:hAnsi="Calibri" w:cs="Calibri"/>
          <w:color w:val="000000"/>
          <w:kern w:val="0"/>
          <w:sz w:val="22"/>
          <w:szCs w:val="22"/>
          <w:lang w:val="es-ES" w:eastAsia="es-ES" w:bidi="es-ES"/>
          <w14:ligatures w14:val="none"/>
        </w:rPr>
        <w:t xml:space="preserve"> </w:t>
      </w:r>
    </w:p>
    <w:p w14:paraId="5FA6273B" w14:textId="77777777" w:rsidR="00BD7C34" w:rsidRDefault="00BD7C34" w:rsidP="00BE48AA">
      <w:pPr>
        <w:spacing w:after="0" w:line="259" w:lineRule="auto"/>
        <w:rPr>
          <w:rFonts w:ascii="Calibri" w:eastAsia="Calibri" w:hAnsi="Calibri" w:cs="Calibri"/>
          <w:color w:val="000000"/>
          <w:kern w:val="0"/>
          <w:sz w:val="22"/>
          <w:szCs w:val="22"/>
          <w:lang w:val="es-ES" w:eastAsia="es-ES" w:bidi="es-ES"/>
          <w14:ligatures w14:val="none"/>
        </w:rPr>
      </w:pPr>
    </w:p>
    <w:p w14:paraId="0B1051FB" w14:textId="77777777" w:rsidR="00BD7C34" w:rsidRDefault="00BD7C34" w:rsidP="00BE48AA">
      <w:pPr>
        <w:spacing w:after="0" w:line="259" w:lineRule="auto"/>
        <w:rPr>
          <w:rFonts w:ascii="Calibri" w:eastAsia="Calibri" w:hAnsi="Calibri" w:cs="Calibri"/>
          <w:color w:val="000000"/>
          <w:kern w:val="0"/>
          <w:sz w:val="22"/>
          <w:szCs w:val="22"/>
          <w:lang w:val="es-ES" w:eastAsia="es-ES" w:bidi="es-ES"/>
          <w14:ligatures w14:val="none"/>
        </w:rPr>
      </w:pPr>
    </w:p>
    <w:p w14:paraId="1DECD973" w14:textId="77777777" w:rsidR="00BD7C34" w:rsidRDefault="00BD7C34" w:rsidP="00BE48AA">
      <w:pPr>
        <w:spacing w:after="0" w:line="259" w:lineRule="auto"/>
        <w:rPr>
          <w:rFonts w:ascii="Calibri" w:eastAsia="Calibri" w:hAnsi="Calibri" w:cs="Calibri"/>
          <w:color w:val="000000"/>
          <w:kern w:val="0"/>
          <w:sz w:val="22"/>
          <w:szCs w:val="22"/>
          <w:lang w:val="es-ES" w:eastAsia="es-ES" w:bidi="es-ES"/>
          <w14:ligatures w14:val="none"/>
        </w:rPr>
      </w:pPr>
    </w:p>
    <w:p w14:paraId="2B25660F" w14:textId="77777777" w:rsidR="00BD7C34" w:rsidRPr="00BE48AA" w:rsidRDefault="00BD7C34" w:rsidP="00BE48AA">
      <w:pPr>
        <w:spacing w:after="0" w:line="259" w:lineRule="auto"/>
        <w:rPr>
          <w:rFonts w:ascii="Calibri" w:eastAsia="Calibri" w:hAnsi="Calibri" w:cs="Calibri"/>
          <w:color w:val="000000"/>
          <w:kern w:val="0"/>
          <w:sz w:val="22"/>
          <w:szCs w:val="22"/>
          <w:lang w:val="es-ES" w:eastAsia="es-ES" w:bidi="es-ES"/>
          <w14:ligatures w14:val="none"/>
        </w:rPr>
      </w:pPr>
    </w:p>
    <w:p w14:paraId="6F1D8B72" w14:textId="77777777" w:rsidR="00BE48AA" w:rsidRPr="00BE48AA" w:rsidRDefault="00BE48AA" w:rsidP="00BE48AA">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BE48AA">
        <w:rPr>
          <w:rFonts w:ascii="Calibri" w:eastAsia="Calibri" w:hAnsi="Calibri" w:cs="Calibri"/>
          <w:b/>
          <w:color w:val="000000"/>
          <w:kern w:val="0"/>
          <w:sz w:val="22"/>
          <w:szCs w:val="22"/>
          <w:lang w:val="es-ES" w:eastAsia="es-ES" w:bidi="es-ES"/>
          <w14:ligatures w14:val="none"/>
        </w:rPr>
        <w:lastRenderedPageBreak/>
        <w:t xml:space="preserve">Conciliación, Informes y Funciones Centralizadas </w:t>
      </w:r>
    </w:p>
    <w:p w14:paraId="5B7B7D8A" w14:textId="77777777" w:rsidR="00BE48AA" w:rsidRPr="00BE48AA" w:rsidRDefault="00BE48AA" w:rsidP="00BE48AA">
      <w:pPr>
        <w:spacing w:after="22" w:line="259" w:lineRule="auto"/>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 xml:space="preserve"> </w:t>
      </w:r>
    </w:p>
    <w:p w14:paraId="2B8BEAFB" w14:textId="77777777" w:rsidR="00BE48AA" w:rsidRPr="00BE48AA" w:rsidRDefault="00BE48AA" w:rsidP="00BE48AA">
      <w:pPr>
        <w:numPr>
          <w:ilvl w:val="0"/>
          <w:numId w:val="2"/>
        </w:numPr>
        <w:spacing w:after="5" w:line="249" w:lineRule="auto"/>
        <w:ind w:right="5" w:hanging="370"/>
        <w:contextualSpacing/>
        <w:jc w:val="both"/>
        <w:rPr>
          <w:rFonts w:ascii="Calibri" w:eastAsia="Calibri" w:hAnsi="Calibri" w:cs="Calibri"/>
          <w:color w:val="000000"/>
          <w:kern w:val="0"/>
          <w:sz w:val="22"/>
          <w:szCs w:val="22"/>
          <w:lang w:val="es-ES" w:eastAsia="es-ES" w:bidi="es-ES"/>
          <w14:ligatures w14:val="none"/>
        </w:rPr>
      </w:pPr>
      <w:r w:rsidRPr="00BE48AA">
        <w:rPr>
          <w:rFonts w:ascii="Calibri" w:eastAsia="Calibri" w:hAnsi="Calibri" w:cs="Calibri"/>
          <w:color w:val="000000"/>
          <w:kern w:val="0"/>
          <w:sz w:val="22"/>
          <w:szCs w:val="22"/>
          <w:lang w:val="es-ES" w:eastAsia="es-ES" w:bidi="es-ES"/>
          <w14:ligatures w14:val="none"/>
        </w:rPr>
        <w:t>Consulte las POPP sobre</w:t>
      </w:r>
      <w:hyperlink r:id="rId7" w:history="1">
        <w:r w:rsidRPr="00BE48AA">
          <w:rPr>
            <w:rFonts w:ascii="Calibri" w:eastAsia="Calibri" w:hAnsi="Calibri" w:cs="Calibri"/>
            <w:color w:val="0563C1"/>
            <w:kern w:val="0"/>
            <w:sz w:val="22"/>
            <w:szCs w:val="22"/>
            <w:u w:val="single"/>
            <w:lang w:val="es-ES" w:eastAsia="es-ES" w:bidi="es-ES"/>
            <w14:ligatures w14:val="none"/>
          </w:rPr>
          <w:t xml:space="preserve"> Mobiliario y Equipo</w:t>
        </w:r>
      </w:hyperlink>
      <w:r w:rsidRPr="00BE48AA">
        <w:rPr>
          <w:rFonts w:ascii="Calibri" w:eastAsia="Calibri" w:hAnsi="Calibri" w:cs="Calibri"/>
          <w:color w:val="000000"/>
          <w:kern w:val="0"/>
          <w:sz w:val="22"/>
          <w:szCs w:val="22"/>
          <w:lang w:val="es-ES" w:eastAsia="es-ES" w:bidi="es-ES"/>
          <w14:ligatures w14:val="none"/>
        </w:rPr>
        <w:t xml:space="preserve"> para ver la lista de informes y conciliaciones que pueden ser útiles. El CGSC tendrá un rol fundamental en el registro de deterioros de Activos Intangibles cuando sea necesario reajustar la vida útil de un Activo Intangible.   </w:t>
      </w:r>
    </w:p>
    <w:p w14:paraId="31C25C7A" w14:textId="77777777" w:rsidR="00BE48AA" w:rsidRPr="00BE48AA" w:rsidRDefault="00BE48AA" w:rsidP="00BE48AA">
      <w:pPr>
        <w:spacing w:after="0" w:line="240" w:lineRule="auto"/>
        <w:jc w:val="center"/>
        <w:rPr>
          <w:rFonts w:ascii="Calibri" w:eastAsia="Calibri" w:hAnsi="Calibri" w:cs="Calibri"/>
          <w:i/>
          <w:iCs/>
          <w:color w:val="000000"/>
          <w:kern w:val="0"/>
          <w:sz w:val="22"/>
          <w:szCs w:val="22"/>
          <w:lang w:val="es-ES" w:eastAsia="es-ES" w:bidi="es-ES"/>
          <w14:ligatures w14:val="none"/>
        </w:rPr>
      </w:pPr>
    </w:p>
    <w:p w14:paraId="424BA6B2" w14:textId="77777777" w:rsidR="00BD7C34" w:rsidRDefault="00BD7C34" w:rsidP="00BE48AA">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16AC720A" w14:textId="77777777" w:rsidR="00BD7C34" w:rsidRDefault="00BD7C34" w:rsidP="00BE48AA">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379CFE5C" w14:textId="77777777" w:rsidR="00BD7C34" w:rsidRDefault="00BD7C34" w:rsidP="00BE48AA">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7B860398" w14:textId="77777777" w:rsidR="00BD7C34" w:rsidRDefault="00BD7C34" w:rsidP="00BE48AA">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44618927" w14:textId="1CD6E7C4" w:rsidR="00BE48AA" w:rsidRPr="00BD7C34" w:rsidRDefault="00BE48AA" w:rsidP="00BE48AA">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BD7C34">
        <w:rPr>
          <w:rFonts w:ascii="Calibri" w:hAnsi="Calibri" w:cs="Calibri"/>
          <w:b/>
          <w:bCs/>
          <w:i/>
          <w:iCs/>
          <w:sz w:val="22"/>
          <w:szCs w:val="22"/>
          <w:lang w:val="en-GB"/>
        </w:rPr>
        <w:t>Disclaimer</w:t>
      </w:r>
      <w:r w:rsidRPr="00BD7C34">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5529FF02" w14:textId="228A16A5" w:rsidR="00BE48AA" w:rsidRPr="00BD7C34" w:rsidRDefault="00BE48AA" w:rsidP="00BD7C34">
      <w:pPr>
        <w:spacing w:after="3451" w:line="259" w:lineRule="auto"/>
        <w:rPr>
          <w:rFonts w:ascii="Calibri" w:eastAsia="Calibri" w:hAnsi="Calibri" w:cs="Calibri"/>
          <w:i/>
          <w:iCs/>
          <w:kern w:val="0"/>
          <w:sz w:val="22"/>
          <w:szCs w:val="22"/>
          <w:lang w:val="es-ES_tradnl" w:eastAsia="es-ES" w:bidi="es-ES"/>
          <w14:ligatures w14:val="none"/>
        </w:rPr>
      </w:pPr>
      <w:proofErr w:type="spellStart"/>
      <w:r w:rsidRPr="00BD7C34">
        <w:rPr>
          <w:rFonts w:ascii="Calibri" w:hAnsi="Calibri" w:cs="Calibri"/>
          <w:b/>
          <w:bCs/>
          <w:i/>
          <w:iCs/>
          <w:sz w:val="22"/>
          <w:szCs w:val="22"/>
        </w:rPr>
        <w:t>Descargo</w:t>
      </w:r>
      <w:proofErr w:type="spellEnd"/>
      <w:r w:rsidRPr="00BD7C34">
        <w:rPr>
          <w:rFonts w:ascii="Calibri" w:hAnsi="Calibri" w:cs="Calibri"/>
          <w:b/>
          <w:bCs/>
          <w:i/>
          <w:iCs/>
          <w:sz w:val="22"/>
          <w:szCs w:val="22"/>
        </w:rPr>
        <w:t xml:space="preserve"> de </w:t>
      </w:r>
      <w:proofErr w:type="spellStart"/>
      <w:r w:rsidRPr="00BD7C34">
        <w:rPr>
          <w:rFonts w:ascii="Calibri" w:hAnsi="Calibri" w:cs="Calibri"/>
          <w:b/>
          <w:bCs/>
          <w:i/>
          <w:iCs/>
          <w:sz w:val="22"/>
          <w:szCs w:val="22"/>
        </w:rPr>
        <w:t>responsabilidad</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esta</w:t>
      </w:r>
      <w:proofErr w:type="spellEnd"/>
      <w:r w:rsidRPr="00BD7C34">
        <w:rPr>
          <w:rFonts w:ascii="Calibri" w:hAnsi="Calibri" w:cs="Calibri"/>
          <w:i/>
          <w:iCs/>
          <w:sz w:val="22"/>
          <w:szCs w:val="22"/>
        </w:rPr>
        <w:t xml:space="preserve"> es </w:t>
      </w:r>
      <w:proofErr w:type="spellStart"/>
      <w:r w:rsidRPr="00BD7C34">
        <w:rPr>
          <w:rFonts w:ascii="Calibri" w:hAnsi="Calibri" w:cs="Calibri"/>
          <w:i/>
          <w:iCs/>
          <w:sz w:val="22"/>
          <w:szCs w:val="22"/>
        </w:rPr>
        <w:t>una</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traducción</w:t>
      </w:r>
      <w:proofErr w:type="spellEnd"/>
      <w:r w:rsidRPr="00BD7C34">
        <w:rPr>
          <w:rFonts w:ascii="Calibri" w:hAnsi="Calibri" w:cs="Calibri"/>
          <w:i/>
          <w:iCs/>
          <w:sz w:val="22"/>
          <w:szCs w:val="22"/>
        </w:rPr>
        <w:t xml:space="preserve"> de un </w:t>
      </w:r>
      <w:proofErr w:type="spellStart"/>
      <w:r w:rsidRPr="00BD7C34">
        <w:rPr>
          <w:rFonts w:ascii="Calibri" w:hAnsi="Calibri" w:cs="Calibri"/>
          <w:i/>
          <w:iCs/>
          <w:sz w:val="22"/>
          <w:szCs w:val="22"/>
        </w:rPr>
        <w:t>documento</w:t>
      </w:r>
      <w:proofErr w:type="spellEnd"/>
      <w:r w:rsidRPr="00BD7C34">
        <w:rPr>
          <w:rFonts w:ascii="Calibri" w:hAnsi="Calibri" w:cs="Calibri"/>
          <w:i/>
          <w:iCs/>
          <w:sz w:val="22"/>
          <w:szCs w:val="22"/>
        </w:rPr>
        <w:t xml:space="preserve"> original </w:t>
      </w:r>
      <w:proofErr w:type="spellStart"/>
      <w:r w:rsidRPr="00BD7C34">
        <w:rPr>
          <w:rFonts w:ascii="Calibri" w:hAnsi="Calibri" w:cs="Calibri"/>
          <w:i/>
          <w:iCs/>
          <w:sz w:val="22"/>
          <w:szCs w:val="22"/>
        </w:rPr>
        <w:t>en</w:t>
      </w:r>
      <w:proofErr w:type="spellEnd"/>
      <w:r w:rsidRPr="00BD7C34">
        <w:rPr>
          <w:rFonts w:ascii="Calibri" w:hAnsi="Calibri" w:cs="Calibri"/>
          <w:i/>
          <w:iCs/>
          <w:sz w:val="22"/>
          <w:szCs w:val="22"/>
        </w:rPr>
        <w:t xml:space="preserve"> Inglés. En </w:t>
      </w:r>
      <w:proofErr w:type="spellStart"/>
      <w:r w:rsidRPr="00BD7C34">
        <w:rPr>
          <w:rFonts w:ascii="Calibri" w:hAnsi="Calibri" w:cs="Calibri"/>
          <w:i/>
          <w:iCs/>
          <w:sz w:val="22"/>
          <w:szCs w:val="22"/>
        </w:rPr>
        <w:t>caso</w:t>
      </w:r>
      <w:proofErr w:type="spellEnd"/>
      <w:r w:rsidRPr="00BD7C34">
        <w:rPr>
          <w:rFonts w:ascii="Calibri" w:hAnsi="Calibri" w:cs="Calibri"/>
          <w:i/>
          <w:iCs/>
          <w:sz w:val="22"/>
          <w:szCs w:val="22"/>
        </w:rPr>
        <w:t xml:space="preserve"> de </w:t>
      </w:r>
      <w:proofErr w:type="spellStart"/>
      <w:r w:rsidRPr="00BD7C34">
        <w:rPr>
          <w:rFonts w:ascii="Calibri" w:hAnsi="Calibri" w:cs="Calibri"/>
          <w:i/>
          <w:iCs/>
          <w:sz w:val="22"/>
          <w:szCs w:val="22"/>
        </w:rPr>
        <w:t>discrepancias</w:t>
      </w:r>
      <w:proofErr w:type="spellEnd"/>
      <w:r w:rsidRPr="00BD7C34">
        <w:rPr>
          <w:rFonts w:ascii="Calibri" w:hAnsi="Calibri" w:cs="Calibri"/>
          <w:i/>
          <w:iCs/>
          <w:sz w:val="22"/>
          <w:szCs w:val="22"/>
        </w:rPr>
        <w:t xml:space="preserve"> entre </w:t>
      </w:r>
      <w:proofErr w:type="spellStart"/>
      <w:r w:rsidRPr="00BD7C34">
        <w:rPr>
          <w:rFonts w:ascii="Calibri" w:hAnsi="Calibri" w:cs="Calibri"/>
          <w:i/>
          <w:iCs/>
          <w:sz w:val="22"/>
          <w:szCs w:val="22"/>
        </w:rPr>
        <w:t>esta</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traducción</w:t>
      </w:r>
      <w:proofErr w:type="spellEnd"/>
      <w:r w:rsidRPr="00BD7C34">
        <w:rPr>
          <w:rFonts w:ascii="Calibri" w:hAnsi="Calibri" w:cs="Calibri"/>
          <w:i/>
          <w:iCs/>
          <w:sz w:val="22"/>
          <w:szCs w:val="22"/>
        </w:rPr>
        <w:t xml:space="preserve"> y </w:t>
      </w:r>
      <w:proofErr w:type="spellStart"/>
      <w:r w:rsidRPr="00BD7C34">
        <w:rPr>
          <w:rFonts w:ascii="Calibri" w:hAnsi="Calibri" w:cs="Calibri"/>
          <w:i/>
          <w:iCs/>
          <w:sz w:val="22"/>
          <w:szCs w:val="22"/>
        </w:rPr>
        <w:t>el</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documento</w:t>
      </w:r>
      <w:proofErr w:type="spellEnd"/>
      <w:r w:rsidRPr="00BD7C34">
        <w:rPr>
          <w:rFonts w:ascii="Calibri" w:hAnsi="Calibri" w:cs="Calibri"/>
          <w:i/>
          <w:iCs/>
          <w:sz w:val="22"/>
          <w:szCs w:val="22"/>
        </w:rPr>
        <w:t xml:space="preserve"> original </w:t>
      </w:r>
      <w:proofErr w:type="spellStart"/>
      <w:r w:rsidRPr="00BD7C34">
        <w:rPr>
          <w:rFonts w:ascii="Calibri" w:hAnsi="Calibri" w:cs="Calibri"/>
          <w:i/>
          <w:iCs/>
          <w:sz w:val="22"/>
          <w:szCs w:val="22"/>
        </w:rPr>
        <w:t>en</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inglés</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prevalecerá</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el</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documento</w:t>
      </w:r>
      <w:proofErr w:type="spellEnd"/>
      <w:r w:rsidRPr="00BD7C34">
        <w:rPr>
          <w:rFonts w:ascii="Calibri" w:hAnsi="Calibri" w:cs="Calibri"/>
          <w:i/>
          <w:iCs/>
          <w:sz w:val="22"/>
          <w:szCs w:val="22"/>
        </w:rPr>
        <w:t xml:space="preserve"> original </w:t>
      </w:r>
      <w:proofErr w:type="spellStart"/>
      <w:r w:rsidRPr="00BD7C34">
        <w:rPr>
          <w:rFonts w:ascii="Calibri" w:hAnsi="Calibri" w:cs="Calibri"/>
          <w:i/>
          <w:iCs/>
          <w:sz w:val="22"/>
          <w:szCs w:val="22"/>
        </w:rPr>
        <w:t>en</w:t>
      </w:r>
      <w:proofErr w:type="spellEnd"/>
      <w:r w:rsidRPr="00BD7C34">
        <w:rPr>
          <w:rFonts w:ascii="Calibri" w:hAnsi="Calibri" w:cs="Calibri"/>
          <w:i/>
          <w:iCs/>
          <w:sz w:val="22"/>
          <w:szCs w:val="22"/>
        </w:rPr>
        <w:t xml:space="preserve"> </w:t>
      </w:r>
      <w:proofErr w:type="spellStart"/>
      <w:r w:rsidRPr="00BD7C34">
        <w:rPr>
          <w:rFonts w:ascii="Calibri" w:hAnsi="Calibri" w:cs="Calibri"/>
          <w:i/>
          <w:iCs/>
          <w:sz w:val="22"/>
          <w:szCs w:val="22"/>
        </w:rPr>
        <w:t>inglés</w:t>
      </w:r>
      <w:proofErr w:type="spellEnd"/>
      <w:r w:rsidRPr="00BD7C34">
        <w:rPr>
          <w:rFonts w:ascii="Calibri" w:hAnsi="Calibri" w:cs="Calibri"/>
          <w:i/>
          <w:iCs/>
          <w:sz w:val="22"/>
          <w:szCs w:val="22"/>
        </w:rPr>
        <w:t>.</w:t>
      </w:r>
    </w:p>
    <w:p w14:paraId="617A54F3" w14:textId="77777777" w:rsidR="00DA504D" w:rsidRDefault="00DA504D"/>
    <w:sectPr w:rsidR="00DA504D" w:rsidSect="00BE48AA">
      <w:headerReference w:type="default" r:id="rId8"/>
      <w:footerReference w:type="default" r:id="rId9"/>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F20B" w14:textId="77777777" w:rsidR="000274D2" w:rsidRDefault="000274D2" w:rsidP="00BE48AA">
      <w:pPr>
        <w:spacing w:after="0" w:line="240" w:lineRule="auto"/>
      </w:pPr>
      <w:r>
        <w:separator/>
      </w:r>
    </w:p>
  </w:endnote>
  <w:endnote w:type="continuationSeparator" w:id="0">
    <w:p w14:paraId="46874EC4" w14:textId="77777777" w:rsidR="000274D2" w:rsidRDefault="000274D2" w:rsidP="00BE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43FD" w14:textId="77777777" w:rsidR="00BE48AA" w:rsidRDefault="00BE48AA">
    <w:pPr>
      <w:pStyle w:val="Footer"/>
    </w:pPr>
  </w:p>
  <w:p w14:paraId="5745F92E" w14:textId="059FFF17" w:rsidR="00BE48AA" w:rsidRDefault="00BE48AA">
    <w:pPr>
      <w:pStyle w:val="Footer"/>
    </w:pPr>
    <w:r>
      <w:t xml:space="preserve">Página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t xml:space="preserve">Fecha de entrada en vigor: </w:t>
    </w:r>
    <w:r w:rsidRPr="008C305D">
      <w:t xml:space="preserve">25/07/2016 </w:t>
    </w:r>
    <w:r>
      <w:ptab w:relativeTo="margin" w:alignment="right" w:leader="none"/>
    </w:r>
    <w:r>
      <w:t xml:space="preserve">Versión #: </w:t>
    </w:r>
    <w:sdt>
      <w:sdtPr>
        <w:alias w:val="POPPRefItemVersion"/>
        <w:tag w:val="UNDP_POPP_REFITEM_VERSION"/>
        <w:id w:val="100793895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415B5FE9-6B11-4F26-B6A0-1B4F7CA598CA}"/>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940D" w14:textId="77777777" w:rsidR="000274D2" w:rsidRDefault="000274D2" w:rsidP="00BE48AA">
      <w:pPr>
        <w:spacing w:after="0" w:line="240" w:lineRule="auto"/>
      </w:pPr>
      <w:r>
        <w:separator/>
      </w:r>
    </w:p>
  </w:footnote>
  <w:footnote w:type="continuationSeparator" w:id="0">
    <w:p w14:paraId="73901154" w14:textId="77777777" w:rsidR="000274D2" w:rsidRDefault="000274D2" w:rsidP="00BE4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9932" w14:textId="26938D49" w:rsidR="00BE48AA" w:rsidRDefault="00BE48AA" w:rsidP="0002045B">
    <w:pPr>
      <w:pStyle w:val="Header"/>
      <w:jc w:val="right"/>
    </w:pPr>
    <w:r>
      <w:rPr>
        <w:noProof/>
      </w:rPr>
      <w:drawing>
        <wp:inline distT="0" distB="0" distL="0" distR="0" wp14:anchorId="0DC06228" wp14:editId="288242DE">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A49F039" w14:textId="77777777" w:rsidR="00BE48AA" w:rsidRDefault="00BE48AA" w:rsidP="000204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AB5"/>
    <w:multiLevelType w:val="hybridMultilevel"/>
    <w:tmpl w:val="A4C6D94C"/>
    <w:lvl w:ilvl="0" w:tplc="D4A676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7059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CE2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8ED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254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E9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A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0A6B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86DB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241629"/>
    <w:multiLevelType w:val="hybridMultilevel"/>
    <w:tmpl w:val="C6A646E4"/>
    <w:lvl w:ilvl="0" w:tplc="2A74070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869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E4B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000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261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6F3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0F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DA1B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2E2F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9360460">
    <w:abstractNumId w:val="0"/>
  </w:num>
  <w:num w:numId="2" w16cid:durableId="119662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AA"/>
    <w:rsid w:val="000274D2"/>
    <w:rsid w:val="00917827"/>
    <w:rsid w:val="00957B0A"/>
    <w:rsid w:val="00B8613A"/>
    <w:rsid w:val="00BD7C34"/>
    <w:rsid w:val="00BE48AA"/>
    <w:rsid w:val="00C11272"/>
    <w:rsid w:val="00C61B9D"/>
    <w:rsid w:val="00DA504D"/>
    <w:rsid w:val="00FD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04E8"/>
  <w15:chartTrackingRefBased/>
  <w15:docId w15:val="{1B0C82F5-A7D3-4125-A80D-FC8300CC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8AA"/>
    <w:rPr>
      <w:rFonts w:eastAsiaTheme="majorEastAsia" w:cstheme="majorBidi"/>
      <w:color w:val="272727" w:themeColor="text1" w:themeTint="D8"/>
    </w:rPr>
  </w:style>
  <w:style w:type="paragraph" w:styleId="Title">
    <w:name w:val="Title"/>
    <w:basedOn w:val="Normal"/>
    <w:next w:val="Normal"/>
    <w:link w:val="TitleChar"/>
    <w:uiPriority w:val="10"/>
    <w:qFormat/>
    <w:rsid w:val="00BE4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8AA"/>
    <w:pPr>
      <w:spacing w:before="160"/>
      <w:jc w:val="center"/>
    </w:pPr>
    <w:rPr>
      <w:i/>
      <w:iCs/>
      <w:color w:val="404040" w:themeColor="text1" w:themeTint="BF"/>
    </w:rPr>
  </w:style>
  <w:style w:type="character" w:customStyle="1" w:styleId="QuoteChar">
    <w:name w:val="Quote Char"/>
    <w:basedOn w:val="DefaultParagraphFont"/>
    <w:link w:val="Quote"/>
    <w:uiPriority w:val="29"/>
    <w:rsid w:val="00BE48AA"/>
    <w:rPr>
      <w:i/>
      <w:iCs/>
      <w:color w:val="404040" w:themeColor="text1" w:themeTint="BF"/>
    </w:rPr>
  </w:style>
  <w:style w:type="paragraph" w:styleId="ListParagraph">
    <w:name w:val="List Paragraph"/>
    <w:basedOn w:val="Normal"/>
    <w:uiPriority w:val="34"/>
    <w:qFormat/>
    <w:rsid w:val="00BE48AA"/>
    <w:pPr>
      <w:ind w:left="720"/>
      <w:contextualSpacing/>
    </w:pPr>
  </w:style>
  <w:style w:type="character" w:styleId="IntenseEmphasis">
    <w:name w:val="Intense Emphasis"/>
    <w:basedOn w:val="DefaultParagraphFont"/>
    <w:uiPriority w:val="21"/>
    <w:qFormat/>
    <w:rsid w:val="00BE48AA"/>
    <w:rPr>
      <w:i/>
      <w:iCs/>
      <w:color w:val="0F4761" w:themeColor="accent1" w:themeShade="BF"/>
    </w:rPr>
  </w:style>
  <w:style w:type="paragraph" w:styleId="IntenseQuote">
    <w:name w:val="Intense Quote"/>
    <w:basedOn w:val="Normal"/>
    <w:next w:val="Normal"/>
    <w:link w:val="IntenseQuoteChar"/>
    <w:uiPriority w:val="30"/>
    <w:qFormat/>
    <w:rsid w:val="00BE4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8AA"/>
    <w:rPr>
      <w:i/>
      <w:iCs/>
      <w:color w:val="0F4761" w:themeColor="accent1" w:themeShade="BF"/>
    </w:rPr>
  </w:style>
  <w:style w:type="character" w:styleId="IntenseReference">
    <w:name w:val="Intense Reference"/>
    <w:basedOn w:val="DefaultParagraphFont"/>
    <w:uiPriority w:val="32"/>
    <w:qFormat/>
    <w:rsid w:val="00BE48AA"/>
    <w:rPr>
      <w:b/>
      <w:bCs/>
      <w:smallCaps/>
      <w:color w:val="0F4761" w:themeColor="accent1" w:themeShade="BF"/>
      <w:spacing w:val="5"/>
    </w:rPr>
  </w:style>
  <w:style w:type="table" w:customStyle="1" w:styleId="TableGrid">
    <w:name w:val="TableGrid"/>
    <w:rsid w:val="00BE48AA"/>
    <w:pPr>
      <w:spacing w:after="0" w:line="240" w:lineRule="auto"/>
    </w:pPr>
    <w:rPr>
      <w:rFonts w:eastAsia="Yu Mincho"/>
      <w:kern w:val="0"/>
      <w:sz w:val="22"/>
      <w:szCs w:val="22"/>
      <w:lang w:val="es-ES" w:eastAsia="es-ES" w:bidi="es-E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BE48AA"/>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lang w:val="es-ES" w:eastAsia="es-ES" w:bidi="es-ES"/>
      <w14:ligatures w14:val="none"/>
    </w:rPr>
  </w:style>
  <w:style w:type="character" w:customStyle="1" w:styleId="HeaderChar">
    <w:name w:val="Header Char"/>
    <w:basedOn w:val="DefaultParagraphFont"/>
    <w:link w:val="Header"/>
    <w:uiPriority w:val="99"/>
    <w:rsid w:val="00BE48AA"/>
    <w:rPr>
      <w:rFonts w:ascii="Calibri" w:eastAsia="Calibri" w:hAnsi="Calibri" w:cs="Calibri"/>
      <w:color w:val="000000"/>
      <w:kern w:val="0"/>
      <w:sz w:val="22"/>
      <w:szCs w:val="22"/>
      <w:lang w:val="es-ES" w:eastAsia="es-ES" w:bidi="es-ES"/>
      <w14:ligatures w14:val="none"/>
    </w:rPr>
  </w:style>
  <w:style w:type="paragraph" w:styleId="Footer">
    <w:name w:val="footer"/>
    <w:basedOn w:val="Normal"/>
    <w:link w:val="FooterChar"/>
    <w:uiPriority w:val="99"/>
    <w:unhideWhenUsed/>
    <w:rsid w:val="00BE48AA"/>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lang w:val="es-ES" w:eastAsia="es-ES" w:bidi="es-ES"/>
      <w14:ligatures w14:val="none"/>
    </w:rPr>
  </w:style>
  <w:style w:type="character" w:customStyle="1" w:styleId="FooterChar">
    <w:name w:val="Footer Char"/>
    <w:basedOn w:val="DefaultParagraphFont"/>
    <w:link w:val="Footer"/>
    <w:uiPriority w:val="99"/>
    <w:rsid w:val="00BE48AA"/>
    <w:rPr>
      <w:rFonts w:ascii="Calibri" w:eastAsia="Calibri" w:hAnsi="Calibri" w:cs="Calibri"/>
      <w:color w:val="000000"/>
      <w:kern w:val="0"/>
      <w:sz w:val="22"/>
      <w:szCs w:val="22"/>
      <w:lang w:val="es-ES" w:eastAsia="es-ES" w:bidi="es-ES"/>
      <w14:ligatures w14:val="none"/>
    </w:rPr>
  </w:style>
  <w:style w:type="paragraph" w:styleId="Revision">
    <w:name w:val="Revision"/>
    <w:hidden/>
    <w:uiPriority w:val="99"/>
    <w:semiHidden/>
    <w:rsid w:val="00BE4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es/taxonomy/term/4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2026-04-27T13:17:00Z</dcterms:created>
  <dcterms:modified xsi:type="dcterms:W3CDTF">2026-04-29T00:19:00Z</dcterms:modified>
</cp:coreProperties>
</file>