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41493" w14:textId="77777777" w:rsidR="007A5B6E" w:rsidRPr="007A5B6E" w:rsidRDefault="007A5B6E" w:rsidP="007A5B6E">
      <w:pPr>
        <w:spacing w:after="0" w:line="259" w:lineRule="auto"/>
        <w:rPr>
          <w:rFonts w:ascii="Calibri" w:eastAsia="Calibri" w:hAnsi="Calibri" w:cs="Calibri"/>
          <w:color w:val="333333"/>
          <w:kern w:val="0"/>
          <w:sz w:val="22"/>
          <w:szCs w:val="22"/>
          <w:lang w:val="es-ES"/>
          <w14:ligatures w14:val="none"/>
        </w:rPr>
      </w:pPr>
      <w:r w:rsidRPr="007A5B6E">
        <w:rPr>
          <w:rFonts w:ascii="Calibri" w:eastAsia="Calibri" w:hAnsi="Calibri" w:cs="Calibri"/>
          <w:b/>
          <w:color w:val="000000"/>
          <w:kern w:val="0"/>
          <w:sz w:val="28"/>
          <w:szCs w:val="22"/>
          <w:lang w:val="es-ES"/>
          <w14:ligatures w14:val="none"/>
        </w:rPr>
        <w:t xml:space="preserve">Arrendamiento de equipos  </w:t>
      </w:r>
    </w:p>
    <w:p w14:paraId="28061E5A" w14:textId="77777777" w:rsidR="007A5B6E" w:rsidRPr="007A5B6E" w:rsidRDefault="007A5B6E" w:rsidP="007A5B6E">
      <w:pPr>
        <w:spacing w:after="20" w:line="259" w:lineRule="auto"/>
        <w:rPr>
          <w:rFonts w:ascii="Calibri" w:eastAsia="Calibri" w:hAnsi="Calibri" w:cs="Calibri"/>
          <w:color w:val="333333"/>
          <w:kern w:val="0"/>
          <w:sz w:val="20"/>
          <w:szCs w:val="20"/>
          <w:lang w:val="es-ES"/>
          <w14:ligatures w14:val="none"/>
        </w:rPr>
      </w:pPr>
      <w:r w:rsidRPr="007A5B6E">
        <w:rPr>
          <w:rFonts w:ascii="Calibri" w:eastAsia="Calibri" w:hAnsi="Calibri" w:cs="Calibri"/>
          <w:color w:val="333333"/>
          <w:kern w:val="0"/>
          <w:sz w:val="20"/>
          <w:szCs w:val="20"/>
          <w:lang w:val="es-ES"/>
          <w14:ligatures w14:val="none"/>
        </w:rPr>
        <w:t xml:space="preserve"> </w:t>
      </w:r>
    </w:p>
    <w:p w14:paraId="0DC71919" w14:textId="77777777" w:rsidR="007A5B6E" w:rsidRPr="007A5B6E" w:rsidRDefault="007A5B6E" w:rsidP="007A5B6E">
      <w:pPr>
        <w:numPr>
          <w:ilvl w:val="0"/>
          <w:numId w:val="1"/>
        </w:numPr>
        <w:spacing w:after="1" w:line="241" w:lineRule="auto"/>
        <w:ind w:right="-9" w:hanging="36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En esta sección se describe el proceso requerido para que las unidades de negocios seleccionen a proveedores para el arrendamiento de equipos y suscriban un acuerdo de arrendamiento</w:t>
      </w:r>
      <w:r w:rsidRPr="007A5B6E">
        <w:rPr>
          <w:rFonts w:ascii="Calibri" w:eastAsia="Calibri" w:hAnsi="Calibri" w:cs="Calibri"/>
          <w:color w:val="333333"/>
          <w:kern w:val="0"/>
          <w:sz w:val="22"/>
          <w:szCs w:val="22"/>
          <w:lang w:val="es-ES"/>
          <w14:ligatures w14:val="none"/>
        </w:rPr>
        <w:br/>
        <w:t xml:space="preserve">de equipo. </w:t>
      </w:r>
    </w:p>
    <w:p w14:paraId="2A1A829D" w14:textId="77777777" w:rsidR="007A5B6E" w:rsidRPr="007A5B6E" w:rsidRDefault="007A5B6E" w:rsidP="007A5B6E">
      <w:pPr>
        <w:spacing w:after="20" w:line="259" w:lineRule="auto"/>
        <w:ind w:left="46"/>
        <w:rPr>
          <w:rFonts w:ascii="Calibri" w:eastAsia="Calibri" w:hAnsi="Calibri" w:cs="Calibri"/>
          <w:color w:val="333333"/>
          <w:kern w:val="0"/>
          <w:sz w:val="20"/>
          <w:szCs w:val="20"/>
          <w:lang w:val="es-ES"/>
          <w14:ligatures w14:val="none"/>
        </w:rPr>
      </w:pPr>
      <w:r w:rsidRPr="007A5B6E">
        <w:rPr>
          <w:rFonts w:ascii="Calibri" w:eastAsia="Calibri" w:hAnsi="Calibri" w:cs="Calibri"/>
          <w:color w:val="333333"/>
          <w:kern w:val="0"/>
          <w:sz w:val="20"/>
          <w:szCs w:val="20"/>
          <w:lang w:val="es-ES"/>
          <w14:ligatures w14:val="none"/>
        </w:rPr>
        <w:t xml:space="preserve"> </w:t>
      </w:r>
    </w:p>
    <w:p w14:paraId="56119328" w14:textId="77777777" w:rsidR="007A5B6E" w:rsidRPr="007A5B6E" w:rsidRDefault="007A5B6E" w:rsidP="007A5B6E">
      <w:pPr>
        <w:numPr>
          <w:ilvl w:val="0"/>
          <w:numId w:val="1"/>
        </w:numPr>
        <w:spacing w:after="1" w:line="241" w:lineRule="auto"/>
        <w:ind w:right="-9" w:hanging="36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 xml:space="preserve">Se recomienda que la unidad solicitante prepare un análisis de arrendamiento/compra para comparar los costos y beneficios del arrendamiento en comparación con la compra antes de continuar con la opción de arrendamiento.  En general, el Programa de la Naciones Unidas para el Desarrollo (PNUD) prefiere comprar a arrendar, pues el costo total general de la compra suele ser más bajo, si se toman en cuenta los cargos financieros del arrendamiento.  Sin embargo, cuando los costos adicionales de reparación, reemplazo y mantenimiento están a cargo del arrendador, la opción de arrendamiento es más interesante. </w:t>
      </w:r>
    </w:p>
    <w:p w14:paraId="7B47425D" w14:textId="77777777" w:rsidR="007A5B6E" w:rsidRPr="007A5B6E" w:rsidRDefault="007A5B6E" w:rsidP="007A5B6E">
      <w:pPr>
        <w:spacing w:after="20" w:line="259" w:lineRule="auto"/>
        <w:ind w:left="46"/>
        <w:rPr>
          <w:rFonts w:ascii="Calibri" w:eastAsia="Calibri" w:hAnsi="Calibri" w:cs="Calibri"/>
          <w:color w:val="333333"/>
          <w:kern w:val="0"/>
          <w:sz w:val="20"/>
          <w:szCs w:val="20"/>
          <w:lang w:val="es-ES"/>
          <w14:ligatures w14:val="none"/>
        </w:rPr>
      </w:pPr>
      <w:r w:rsidRPr="007A5B6E">
        <w:rPr>
          <w:rFonts w:ascii="Calibri" w:eastAsia="Calibri" w:hAnsi="Calibri" w:cs="Calibri"/>
          <w:color w:val="333333"/>
          <w:kern w:val="0"/>
          <w:sz w:val="20"/>
          <w:szCs w:val="20"/>
          <w:lang w:val="es-ES"/>
          <w14:ligatures w14:val="none"/>
        </w:rPr>
        <w:t xml:space="preserve"> </w:t>
      </w:r>
    </w:p>
    <w:p w14:paraId="77C9EC02" w14:textId="77777777" w:rsidR="007A5B6E" w:rsidRPr="007A5B6E" w:rsidRDefault="007A5B6E" w:rsidP="007A5B6E">
      <w:pPr>
        <w:numPr>
          <w:ilvl w:val="0"/>
          <w:numId w:val="1"/>
        </w:numPr>
        <w:spacing w:after="1" w:line="241" w:lineRule="auto"/>
        <w:ind w:right="-9" w:hanging="36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 xml:space="preserve">Como se mencionó en las secciones anteriores, los arrendamientos pueden ser financieros u operativos, en función de los criterios aplicables.  Para obtener más información, véanse los criterios de arrendamiento financiero. </w:t>
      </w:r>
    </w:p>
    <w:p w14:paraId="186FFD3E" w14:textId="77777777" w:rsidR="007A5B6E" w:rsidRPr="007A5B6E" w:rsidRDefault="007A5B6E" w:rsidP="007A5B6E">
      <w:pPr>
        <w:spacing w:after="0" w:line="259" w:lineRule="auto"/>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 xml:space="preserve"> </w:t>
      </w:r>
    </w:p>
    <w:p w14:paraId="1B52F863" w14:textId="77777777" w:rsidR="007A5B6E" w:rsidRPr="007A5B6E" w:rsidRDefault="007A5B6E" w:rsidP="007A5B6E">
      <w:pPr>
        <w:keepNext/>
        <w:keepLines/>
        <w:spacing w:after="5" w:line="249" w:lineRule="auto"/>
        <w:ind w:left="-5" w:hanging="10"/>
        <w:outlineLvl w:val="0"/>
        <w:rPr>
          <w:rFonts w:ascii="Calibri" w:eastAsia="Calibri" w:hAnsi="Calibri" w:cs="Calibri"/>
          <w:b/>
          <w:color w:val="333333"/>
          <w:kern w:val="0"/>
          <w:sz w:val="22"/>
          <w:szCs w:val="22"/>
          <w:lang w:val="es-ES"/>
          <w14:ligatures w14:val="none"/>
        </w:rPr>
      </w:pPr>
      <w:r w:rsidRPr="007A5B6E">
        <w:rPr>
          <w:rFonts w:ascii="Calibri" w:eastAsia="Calibri" w:hAnsi="Calibri" w:cs="Calibri"/>
          <w:b/>
          <w:color w:val="333333"/>
          <w:kern w:val="0"/>
          <w:sz w:val="22"/>
          <w:szCs w:val="22"/>
          <w:lang w:val="es-ES"/>
          <w14:ligatures w14:val="none"/>
        </w:rPr>
        <w:t xml:space="preserve">Análisis de la relación costo-beneficio  </w:t>
      </w:r>
    </w:p>
    <w:p w14:paraId="590F9EAB" w14:textId="77777777" w:rsidR="007A5B6E" w:rsidRPr="007A5B6E" w:rsidRDefault="007A5B6E" w:rsidP="007A5B6E">
      <w:pPr>
        <w:spacing w:after="20" w:line="259" w:lineRule="auto"/>
        <w:rPr>
          <w:rFonts w:ascii="Calibri" w:eastAsia="Calibri" w:hAnsi="Calibri" w:cs="Calibri"/>
          <w:color w:val="333333"/>
          <w:kern w:val="0"/>
          <w:sz w:val="20"/>
          <w:szCs w:val="20"/>
          <w:lang w:val="es-ES"/>
          <w14:ligatures w14:val="none"/>
        </w:rPr>
      </w:pPr>
      <w:r w:rsidRPr="007A5B6E">
        <w:rPr>
          <w:rFonts w:ascii="Calibri" w:eastAsia="Calibri" w:hAnsi="Calibri" w:cs="Calibri"/>
          <w:color w:val="333333"/>
          <w:kern w:val="0"/>
          <w:sz w:val="20"/>
          <w:szCs w:val="20"/>
          <w:lang w:val="es-ES"/>
          <w14:ligatures w14:val="none"/>
        </w:rPr>
        <w:t xml:space="preserve"> </w:t>
      </w:r>
    </w:p>
    <w:p w14:paraId="4746E282" w14:textId="77777777" w:rsidR="007A5B6E" w:rsidRPr="007A5B6E" w:rsidRDefault="007A5B6E" w:rsidP="007A5B6E">
      <w:pPr>
        <w:numPr>
          <w:ilvl w:val="0"/>
          <w:numId w:val="2"/>
        </w:numPr>
        <w:spacing w:after="1" w:line="241" w:lineRule="auto"/>
        <w:ind w:right="-9" w:hanging="36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 xml:space="preserve">Antes de decidir si se debe arrendar o comprar, se debe realizar un análisis de la relación costo-beneficio (CBA, </w:t>
      </w:r>
      <w:r w:rsidRPr="007A5B6E">
        <w:rPr>
          <w:rFonts w:ascii="Calibri" w:eastAsia="Calibri" w:hAnsi="Calibri" w:cs="Calibri"/>
          <w:i/>
          <w:color w:val="333333"/>
          <w:kern w:val="0"/>
          <w:sz w:val="22"/>
          <w:szCs w:val="22"/>
          <w:lang w:val="es-ES"/>
          <w14:ligatures w14:val="none"/>
        </w:rPr>
        <w:t xml:space="preserve">Cost Benefit </w:t>
      </w:r>
      <w:proofErr w:type="spellStart"/>
      <w:r w:rsidRPr="007A5B6E">
        <w:rPr>
          <w:rFonts w:ascii="Calibri" w:eastAsia="Calibri" w:hAnsi="Calibri" w:cs="Calibri"/>
          <w:i/>
          <w:color w:val="333333"/>
          <w:kern w:val="0"/>
          <w:sz w:val="22"/>
          <w:szCs w:val="22"/>
          <w:lang w:val="es-ES"/>
          <w14:ligatures w14:val="none"/>
        </w:rPr>
        <w:t>Analysis</w:t>
      </w:r>
      <w:proofErr w:type="spellEnd"/>
      <w:r w:rsidRPr="007A5B6E">
        <w:rPr>
          <w:rFonts w:ascii="Calibri" w:eastAsia="Calibri" w:hAnsi="Calibri" w:cs="Calibri"/>
          <w:color w:val="333333"/>
          <w:kern w:val="0"/>
          <w:sz w:val="22"/>
          <w:szCs w:val="22"/>
          <w:lang w:val="es-ES"/>
          <w14:ligatures w14:val="none"/>
        </w:rPr>
        <w:t>, por sus siglas en inglés) a fin de comparar los costos totales de arrendamiento del equipo durante el plazo propuesto con el costo total de la compra</w:t>
      </w:r>
      <w:r w:rsidRPr="007A5B6E">
        <w:rPr>
          <w:rFonts w:ascii="Calibri" w:eastAsia="Calibri" w:hAnsi="Calibri" w:cs="Calibri"/>
          <w:color w:val="333333"/>
          <w:kern w:val="0"/>
          <w:sz w:val="22"/>
          <w:szCs w:val="22"/>
          <w:lang w:val="es-ES"/>
          <w14:ligatures w14:val="none"/>
        </w:rPr>
        <w:br/>
        <w:t xml:space="preserve">del activo.   </w:t>
      </w:r>
    </w:p>
    <w:p w14:paraId="056C6DA5" w14:textId="77777777" w:rsidR="007A5B6E" w:rsidRPr="007A5B6E" w:rsidRDefault="007A5B6E" w:rsidP="007A5B6E">
      <w:pPr>
        <w:spacing w:after="21" w:line="259" w:lineRule="auto"/>
        <w:ind w:left="46"/>
        <w:rPr>
          <w:rFonts w:ascii="Calibri" w:eastAsia="Calibri" w:hAnsi="Calibri" w:cs="Calibri"/>
          <w:color w:val="333333"/>
          <w:kern w:val="0"/>
          <w:sz w:val="20"/>
          <w:szCs w:val="20"/>
          <w:lang w:val="es-ES"/>
          <w14:ligatures w14:val="none"/>
        </w:rPr>
      </w:pPr>
      <w:r w:rsidRPr="007A5B6E">
        <w:rPr>
          <w:rFonts w:ascii="Calibri" w:eastAsia="Calibri" w:hAnsi="Calibri" w:cs="Calibri"/>
          <w:color w:val="333333"/>
          <w:kern w:val="0"/>
          <w:sz w:val="20"/>
          <w:szCs w:val="20"/>
          <w:lang w:val="es-ES"/>
          <w14:ligatures w14:val="none"/>
        </w:rPr>
        <w:t xml:space="preserve"> </w:t>
      </w:r>
    </w:p>
    <w:p w14:paraId="2BB7134E" w14:textId="77777777" w:rsidR="007A5B6E" w:rsidRPr="007A5B6E" w:rsidRDefault="007A5B6E" w:rsidP="007A5B6E">
      <w:pPr>
        <w:numPr>
          <w:ilvl w:val="0"/>
          <w:numId w:val="2"/>
        </w:numPr>
        <w:spacing w:after="1" w:line="241" w:lineRule="auto"/>
        <w:ind w:right="-9" w:hanging="36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 xml:space="preserve">Al estudiar el CBA, una oficina también debe considerar otros factores cualitativos que pueden afectar la elección de una u otra opción.  Dichos factores pueden incluir la solidez financiera del proveedor, a fin de valorar su capacidad para continuar con la actividad durante el plazo propuesto.  Esto se debe a que, cuando se arrienda, el equipo es propiedad del proveedor y puede ser recuperado si el proveedor se declara en bancarrota.  Otro riesgo puede ser el de cambios en las tasas de interés. </w:t>
      </w:r>
    </w:p>
    <w:p w14:paraId="296C724D" w14:textId="77777777" w:rsidR="007A5B6E" w:rsidRPr="007A5B6E" w:rsidRDefault="007A5B6E" w:rsidP="007A5B6E">
      <w:pPr>
        <w:spacing w:after="21" w:line="259" w:lineRule="auto"/>
        <w:ind w:left="46"/>
        <w:rPr>
          <w:rFonts w:ascii="Calibri" w:eastAsia="Calibri" w:hAnsi="Calibri" w:cs="Calibri"/>
          <w:color w:val="333333"/>
          <w:kern w:val="0"/>
          <w:sz w:val="20"/>
          <w:szCs w:val="20"/>
          <w:lang w:val="es-ES"/>
          <w14:ligatures w14:val="none"/>
        </w:rPr>
      </w:pPr>
      <w:r w:rsidRPr="007A5B6E">
        <w:rPr>
          <w:rFonts w:ascii="Calibri" w:eastAsia="Calibri" w:hAnsi="Calibri" w:cs="Calibri"/>
          <w:color w:val="333333"/>
          <w:kern w:val="0"/>
          <w:sz w:val="20"/>
          <w:szCs w:val="20"/>
          <w:lang w:val="es-ES"/>
          <w14:ligatures w14:val="none"/>
        </w:rPr>
        <w:t xml:space="preserve"> </w:t>
      </w:r>
    </w:p>
    <w:p w14:paraId="4069BB14" w14:textId="77777777" w:rsidR="007A5B6E" w:rsidRPr="007A5B6E" w:rsidRDefault="007A5B6E" w:rsidP="007A5B6E">
      <w:pPr>
        <w:numPr>
          <w:ilvl w:val="0"/>
          <w:numId w:val="2"/>
        </w:numPr>
        <w:spacing w:after="1" w:line="241" w:lineRule="auto"/>
        <w:ind w:right="-9" w:hanging="36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 xml:space="preserve">En general, el PNUD no fomenta la opción de arrendar equipos debido a algunos de los riesgos asociados con dicha opción. Si el CBA indica un ahorro concreto con una exposición mínima para la organización, la opción puede ser considerada. </w:t>
      </w:r>
    </w:p>
    <w:p w14:paraId="333AD691" w14:textId="77777777" w:rsidR="007A5B6E" w:rsidRPr="007A5B6E" w:rsidRDefault="007A5B6E" w:rsidP="007A5B6E">
      <w:pPr>
        <w:spacing w:after="21" w:line="259" w:lineRule="auto"/>
        <w:ind w:left="46"/>
        <w:rPr>
          <w:rFonts w:ascii="Calibri" w:eastAsia="Calibri" w:hAnsi="Calibri" w:cs="Calibri"/>
          <w:color w:val="333333"/>
          <w:kern w:val="0"/>
          <w:sz w:val="20"/>
          <w:szCs w:val="20"/>
          <w:lang w:val="es-ES"/>
          <w14:ligatures w14:val="none"/>
        </w:rPr>
      </w:pPr>
      <w:r w:rsidRPr="007A5B6E">
        <w:rPr>
          <w:rFonts w:ascii="Calibri" w:eastAsia="Calibri" w:hAnsi="Calibri" w:cs="Calibri"/>
          <w:color w:val="333333"/>
          <w:kern w:val="0"/>
          <w:sz w:val="20"/>
          <w:szCs w:val="20"/>
          <w:lang w:val="es-ES"/>
          <w14:ligatures w14:val="none"/>
        </w:rPr>
        <w:t xml:space="preserve"> </w:t>
      </w:r>
    </w:p>
    <w:p w14:paraId="73464C85" w14:textId="77777777" w:rsidR="007A5B6E" w:rsidRPr="007A5B6E" w:rsidRDefault="007A5B6E" w:rsidP="007A5B6E">
      <w:pPr>
        <w:numPr>
          <w:ilvl w:val="0"/>
          <w:numId w:val="2"/>
        </w:numPr>
        <w:spacing w:after="1" w:line="241" w:lineRule="auto"/>
        <w:ind w:right="-9" w:hanging="36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 xml:space="preserve">Si el análisis indica que es más rentable arrendar, el procesamiento de un acuerdo seguirá los procesos normales de adquisición (hipervínculo), de acuerdo con los umbrales de costo total y aprobación asociados. </w:t>
      </w:r>
    </w:p>
    <w:p w14:paraId="40828CFD" w14:textId="77777777" w:rsidR="008D0F20" w:rsidRDefault="007A5B6E" w:rsidP="008D0F20">
      <w:pPr>
        <w:spacing w:after="0" w:line="259" w:lineRule="auto"/>
        <w:rPr>
          <w:rFonts w:ascii="Calibri" w:eastAsia="Calibri" w:hAnsi="Calibri" w:cs="Calibri"/>
          <w:color w:val="333333"/>
          <w:kern w:val="0"/>
          <w:sz w:val="20"/>
          <w:szCs w:val="20"/>
          <w:lang w:val="es-ES"/>
          <w14:ligatures w14:val="none"/>
        </w:rPr>
      </w:pPr>
      <w:r w:rsidRPr="007A5B6E">
        <w:rPr>
          <w:rFonts w:ascii="Calibri" w:eastAsia="Calibri" w:hAnsi="Calibri" w:cs="Calibri"/>
          <w:color w:val="333333"/>
          <w:kern w:val="0"/>
          <w:sz w:val="20"/>
          <w:szCs w:val="20"/>
          <w:lang w:val="es-ES"/>
          <w14:ligatures w14:val="none"/>
        </w:rPr>
        <w:t xml:space="preserve"> </w:t>
      </w:r>
    </w:p>
    <w:p w14:paraId="7E887B87" w14:textId="77777777" w:rsidR="008D0F20" w:rsidRDefault="008D0F20" w:rsidP="008D0F20">
      <w:pPr>
        <w:spacing w:after="0" w:line="259" w:lineRule="auto"/>
        <w:rPr>
          <w:rFonts w:ascii="Calibri" w:eastAsia="Calibri" w:hAnsi="Calibri" w:cs="Calibri"/>
          <w:color w:val="333333"/>
          <w:kern w:val="0"/>
          <w:sz w:val="20"/>
          <w:szCs w:val="20"/>
          <w:lang w:val="es-ES"/>
          <w14:ligatures w14:val="none"/>
        </w:rPr>
      </w:pPr>
    </w:p>
    <w:p w14:paraId="42F6E642" w14:textId="77777777" w:rsidR="008D0F20" w:rsidRDefault="008D0F20" w:rsidP="008D0F20">
      <w:pPr>
        <w:spacing w:after="0" w:line="259" w:lineRule="auto"/>
        <w:rPr>
          <w:rFonts w:ascii="Calibri" w:eastAsia="Calibri" w:hAnsi="Calibri" w:cs="Calibri"/>
          <w:color w:val="333333"/>
          <w:kern w:val="0"/>
          <w:sz w:val="20"/>
          <w:szCs w:val="20"/>
          <w:lang w:val="es-ES"/>
          <w14:ligatures w14:val="none"/>
        </w:rPr>
      </w:pPr>
    </w:p>
    <w:p w14:paraId="48B7FC00" w14:textId="77777777" w:rsidR="008D0F20" w:rsidRDefault="008D0F20" w:rsidP="008D0F20">
      <w:pPr>
        <w:spacing w:after="0" w:line="259" w:lineRule="auto"/>
        <w:rPr>
          <w:rFonts w:ascii="Calibri" w:eastAsia="Calibri" w:hAnsi="Calibri" w:cs="Calibri"/>
          <w:color w:val="333333"/>
          <w:kern w:val="0"/>
          <w:sz w:val="20"/>
          <w:szCs w:val="20"/>
          <w:lang w:val="es-ES"/>
          <w14:ligatures w14:val="none"/>
        </w:rPr>
      </w:pPr>
    </w:p>
    <w:p w14:paraId="7171B369" w14:textId="14EC4FA4" w:rsidR="007A5B6E" w:rsidRPr="007A5B6E" w:rsidRDefault="007A5B6E" w:rsidP="008D0F20">
      <w:pPr>
        <w:spacing w:after="0" w:line="259" w:lineRule="auto"/>
        <w:rPr>
          <w:rFonts w:ascii="Calibri" w:eastAsia="Calibri" w:hAnsi="Calibri" w:cs="Calibri"/>
          <w:b/>
          <w:color w:val="333333"/>
          <w:kern w:val="0"/>
          <w:sz w:val="22"/>
          <w:szCs w:val="22"/>
          <w:lang w:val="es-ES"/>
          <w14:ligatures w14:val="none"/>
        </w:rPr>
      </w:pPr>
      <w:r w:rsidRPr="007A5B6E">
        <w:rPr>
          <w:rFonts w:ascii="Calibri" w:eastAsia="Calibri" w:hAnsi="Calibri" w:cs="Calibri"/>
          <w:b/>
          <w:color w:val="333333"/>
          <w:kern w:val="0"/>
          <w:sz w:val="22"/>
          <w:szCs w:val="22"/>
          <w:lang w:val="es-ES"/>
          <w14:ligatures w14:val="none"/>
        </w:rPr>
        <w:lastRenderedPageBreak/>
        <w:t xml:space="preserve">Presentación a los Comités de Revisión de Adquisiciones (CAP/Comité Consultivo Regional sobre Adquisiciones/Comité Consultivo sobre Adquisiciones de la Sede)  </w:t>
      </w:r>
    </w:p>
    <w:p w14:paraId="31FCA7C6" w14:textId="77777777" w:rsidR="007A5B6E" w:rsidRPr="007A5B6E" w:rsidRDefault="007A5B6E" w:rsidP="007A5B6E">
      <w:pPr>
        <w:spacing w:after="20" w:line="259" w:lineRule="auto"/>
        <w:rPr>
          <w:rFonts w:ascii="Calibri" w:eastAsia="Calibri" w:hAnsi="Calibri" w:cs="Calibri"/>
          <w:color w:val="333333"/>
          <w:kern w:val="0"/>
          <w:sz w:val="20"/>
          <w:szCs w:val="20"/>
          <w:lang w:val="es-ES"/>
          <w14:ligatures w14:val="none"/>
        </w:rPr>
      </w:pPr>
      <w:r w:rsidRPr="007A5B6E">
        <w:rPr>
          <w:rFonts w:ascii="Calibri" w:eastAsia="Calibri" w:hAnsi="Calibri" w:cs="Calibri"/>
          <w:color w:val="333333"/>
          <w:kern w:val="0"/>
          <w:sz w:val="20"/>
          <w:szCs w:val="20"/>
          <w:lang w:val="es-ES"/>
          <w14:ligatures w14:val="none"/>
        </w:rPr>
        <w:t xml:space="preserve"> </w:t>
      </w:r>
    </w:p>
    <w:p w14:paraId="44BD2EAC" w14:textId="4938F5B9" w:rsidR="007A5B6E" w:rsidRPr="007A5B6E" w:rsidRDefault="007A5B6E" w:rsidP="007A5B6E">
      <w:pPr>
        <w:spacing w:after="1" w:line="241" w:lineRule="auto"/>
        <w:ind w:left="715" w:right="-9" w:hanging="37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8.</w:t>
      </w:r>
      <w:r w:rsidRPr="007A5B6E">
        <w:rPr>
          <w:rFonts w:ascii="Arial" w:eastAsia="Calibri" w:hAnsi="Arial" w:cs="Calibri"/>
          <w:color w:val="333333"/>
          <w:kern w:val="0"/>
          <w:sz w:val="22"/>
          <w:szCs w:val="22"/>
          <w:lang w:val="es-ES"/>
          <w14:ligatures w14:val="none"/>
        </w:rPr>
        <w:t xml:space="preserve">  </w:t>
      </w:r>
      <w:r w:rsidRPr="007A5B6E">
        <w:rPr>
          <w:rFonts w:ascii="Calibri" w:eastAsia="Calibri" w:hAnsi="Calibri" w:cs="Calibri"/>
          <w:color w:val="333333"/>
          <w:kern w:val="0"/>
          <w:sz w:val="22"/>
          <w:szCs w:val="22"/>
          <w:lang w:val="es-ES"/>
          <w14:ligatures w14:val="none"/>
        </w:rPr>
        <w:t xml:space="preserve">Las presentaciones al Comité de Contratos, Activos y Adquisiciones (CAP, </w:t>
      </w:r>
      <w:proofErr w:type="spellStart"/>
      <w:r w:rsidRPr="007A5B6E">
        <w:rPr>
          <w:rFonts w:ascii="Calibri" w:eastAsia="Calibri" w:hAnsi="Calibri" w:cs="Calibri"/>
          <w:i/>
          <w:color w:val="333333"/>
          <w:kern w:val="0"/>
          <w:sz w:val="22"/>
          <w:szCs w:val="22"/>
          <w:lang w:val="es-ES"/>
          <w14:ligatures w14:val="none"/>
        </w:rPr>
        <w:t>Contracts</w:t>
      </w:r>
      <w:proofErr w:type="spellEnd"/>
      <w:r w:rsidRPr="007A5B6E">
        <w:rPr>
          <w:rFonts w:ascii="Calibri" w:eastAsia="Calibri" w:hAnsi="Calibri" w:cs="Calibri"/>
          <w:i/>
          <w:color w:val="333333"/>
          <w:kern w:val="0"/>
          <w:sz w:val="22"/>
          <w:szCs w:val="22"/>
          <w:lang w:val="es-ES"/>
          <w14:ligatures w14:val="none"/>
        </w:rPr>
        <w:t xml:space="preserve">, </w:t>
      </w:r>
      <w:proofErr w:type="spellStart"/>
      <w:r w:rsidRPr="007A5B6E">
        <w:rPr>
          <w:rFonts w:ascii="Calibri" w:eastAsia="Calibri" w:hAnsi="Calibri" w:cs="Calibri"/>
          <w:i/>
          <w:color w:val="333333"/>
          <w:kern w:val="0"/>
          <w:sz w:val="22"/>
          <w:szCs w:val="22"/>
          <w:lang w:val="es-ES"/>
          <w14:ligatures w14:val="none"/>
        </w:rPr>
        <w:t>Assets</w:t>
      </w:r>
      <w:proofErr w:type="spellEnd"/>
      <w:r w:rsidRPr="007A5B6E">
        <w:rPr>
          <w:rFonts w:ascii="Calibri" w:eastAsia="Calibri" w:hAnsi="Calibri" w:cs="Calibri"/>
          <w:i/>
          <w:color w:val="333333"/>
          <w:kern w:val="0"/>
          <w:sz w:val="22"/>
          <w:szCs w:val="22"/>
          <w:lang w:val="es-ES"/>
          <w14:ligatures w14:val="none"/>
        </w:rPr>
        <w:t xml:space="preserve">, </w:t>
      </w:r>
      <w:proofErr w:type="spellStart"/>
      <w:r w:rsidRPr="007A5B6E">
        <w:rPr>
          <w:rFonts w:ascii="Calibri" w:eastAsia="Calibri" w:hAnsi="Calibri" w:cs="Calibri"/>
          <w:i/>
          <w:color w:val="333333"/>
          <w:kern w:val="0"/>
          <w:sz w:val="22"/>
          <w:szCs w:val="22"/>
          <w:lang w:val="es-ES"/>
          <w14:ligatures w14:val="none"/>
        </w:rPr>
        <w:t>Procurement</w:t>
      </w:r>
      <w:proofErr w:type="spellEnd"/>
      <w:r w:rsidRPr="007A5B6E">
        <w:rPr>
          <w:rFonts w:ascii="Calibri" w:eastAsia="Calibri" w:hAnsi="Calibri" w:cs="Calibri"/>
          <w:color w:val="333333"/>
          <w:kern w:val="0"/>
          <w:sz w:val="22"/>
          <w:szCs w:val="22"/>
          <w:lang w:val="es-ES"/>
          <w14:ligatures w14:val="none"/>
        </w:rPr>
        <w:t>, por sus siglas en inglés)</w:t>
      </w:r>
      <w:r w:rsidR="008D0F20">
        <w:rPr>
          <w:rFonts w:ascii="Calibri" w:eastAsia="Calibri" w:hAnsi="Calibri" w:cs="Calibri"/>
          <w:color w:val="333333"/>
          <w:kern w:val="0"/>
          <w:sz w:val="22"/>
          <w:szCs w:val="22"/>
          <w:lang w:val="es-ES"/>
          <w14:ligatures w14:val="none"/>
        </w:rPr>
        <w:t xml:space="preserve"> </w:t>
      </w:r>
      <w:r w:rsidRPr="007A5B6E">
        <w:rPr>
          <w:rFonts w:ascii="Calibri" w:eastAsia="Calibri" w:hAnsi="Calibri" w:cs="Calibri"/>
          <w:color w:val="333333"/>
          <w:kern w:val="0"/>
          <w:sz w:val="22"/>
          <w:szCs w:val="22"/>
          <w:lang w:val="es-ES"/>
          <w14:ligatures w14:val="none"/>
        </w:rPr>
        <w:t xml:space="preserve">/Comité Consultivo Regional sobre Adquisiciones (RACP, </w:t>
      </w:r>
      <w:r w:rsidRPr="007A5B6E">
        <w:rPr>
          <w:rFonts w:ascii="Calibri" w:eastAsia="Calibri" w:hAnsi="Calibri" w:cs="Calibri"/>
          <w:i/>
          <w:color w:val="333333"/>
          <w:kern w:val="0"/>
          <w:sz w:val="22"/>
          <w:szCs w:val="22"/>
          <w:lang w:val="es-ES"/>
          <w14:ligatures w14:val="none"/>
        </w:rPr>
        <w:t xml:space="preserve">Regional </w:t>
      </w:r>
      <w:proofErr w:type="spellStart"/>
      <w:r w:rsidRPr="007A5B6E">
        <w:rPr>
          <w:rFonts w:ascii="Calibri" w:eastAsia="Calibri" w:hAnsi="Calibri" w:cs="Calibri"/>
          <w:i/>
          <w:color w:val="333333"/>
          <w:kern w:val="0"/>
          <w:sz w:val="22"/>
          <w:szCs w:val="22"/>
          <w:lang w:val="es-ES"/>
          <w14:ligatures w14:val="none"/>
        </w:rPr>
        <w:t>Advisory</w:t>
      </w:r>
      <w:proofErr w:type="spellEnd"/>
      <w:r w:rsidRPr="007A5B6E">
        <w:rPr>
          <w:rFonts w:ascii="Calibri" w:eastAsia="Calibri" w:hAnsi="Calibri" w:cs="Calibri"/>
          <w:i/>
          <w:color w:val="333333"/>
          <w:kern w:val="0"/>
          <w:sz w:val="22"/>
          <w:szCs w:val="22"/>
          <w:lang w:val="es-ES"/>
          <w14:ligatures w14:val="none"/>
        </w:rPr>
        <w:t xml:space="preserve"> </w:t>
      </w:r>
      <w:proofErr w:type="spellStart"/>
      <w:r w:rsidRPr="007A5B6E">
        <w:rPr>
          <w:rFonts w:ascii="Calibri" w:eastAsia="Calibri" w:hAnsi="Calibri" w:cs="Calibri"/>
          <w:i/>
          <w:color w:val="333333"/>
          <w:kern w:val="0"/>
          <w:sz w:val="22"/>
          <w:szCs w:val="22"/>
          <w:lang w:val="es-ES"/>
          <w14:ligatures w14:val="none"/>
        </w:rPr>
        <w:t>Committee</w:t>
      </w:r>
      <w:proofErr w:type="spellEnd"/>
      <w:r w:rsidRPr="007A5B6E">
        <w:rPr>
          <w:rFonts w:ascii="Calibri" w:eastAsia="Calibri" w:hAnsi="Calibri" w:cs="Calibri"/>
          <w:i/>
          <w:color w:val="333333"/>
          <w:kern w:val="0"/>
          <w:sz w:val="22"/>
          <w:szCs w:val="22"/>
          <w:lang w:val="es-ES"/>
          <w14:ligatures w14:val="none"/>
        </w:rPr>
        <w:t xml:space="preserve"> </w:t>
      </w:r>
      <w:proofErr w:type="spellStart"/>
      <w:r w:rsidRPr="007A5B6E">
        <w:rPr>
          <w:rFonts w:ascii="Calibri" w:eastAsia="Calibri" w:hAnsi="Calibri" w:cs="Calibri"/>
          <w:i/>
          <w:color w:val="333333"/>
          <w:kern w:val="0"/>
          <w:sz w:val="22"/>
          <w:szCs w:val="22"/>
          <w:lang w:val="es-ES"/>
          <w14:ligatures w14:val="none"/>
        </w:rPr>
        <w:t>for</w:t>
      </w:r>
      <w:proofErr w:type="spellEnd"/>
      <w:r w:rsidRPr="007A5B6E">
        <w:rPr>
          <w:rFonts w:ascii="Calibri" w:eastAsia="Calibri" w:hAnsi="Calibri" w:cs="Calibri"/>
          <w:i/>
          <w:color w:val="333333"/>
          <w:kern w:val="0"/>
          <w:sz w:val="22"/>
          <w:szCs w:val="22"/>
          <w:lang w:val="es-ES"/>
          <w14:ligatures w14:val="none"/>
        </w:rPr>
        <w:t xml:space="preserve"> </w:t>
      </w:r>
      <w:proofErr w:type="spellStart"/>
      <w:r w:rsidRPr="007A5B6E">
        <w:rPr>
          <w:rFonts w:ascii="Calibri" w:eastAsia="Calibri" w:hAnsi="Calibri" w:cs="Calibri"/>
          <w:i/>
          <w:color w:val="333333"/>
          <w:kern w:val="0"/>
          <w:sz w:val="22"/>
          <w:szCs w:val="22"/>
          <w:lang w:val="es-ES"/>
          <w14:ligatures w14:val="none"/>
        </w:rPr>
        <w:t>Procurement</w:t>
      </w:r>
      <w:proofErr w:type="spellEnd"/>
      <w:r w:rsidRPr="007A5B6E">
        <w:rPr>
          <w:rFonts w:ascii="Calibri" w:eastAsia="Calibri" w:hAnsi="Calibri" w:cs="Calibri"/>
          <w:color w:val="333333"/>
          <w:kern w:val="0"/>
          <w:sz w:val="22"/>
          <w:szCs w:val="22"/>
          <w:lang w:val="es-ES"/>
          <w14:ligatures w14:val="none"/>
        </w:rPr>
        <w:t xml:space="preserve">, por sus siglas en </w:t>
      </w:r>
      <w:r w:rsidR="008D0F20" w:rsidRPr="007A5B6E">
        <w:rPr>
          <w:rFonts w:ascii="Calibri" w:eastAsia="Calibri" w:hAnsi="Calibri" w:cs="Calibri"/>
          <w:color w:val="333333"/>
          <w:kern w:val="0"/>
          <w:sz w:val="22"/>
          <w:szCs w:val="22"/>
          <w:lang w:val="es-ES"/>
          <w14:ligatures w14:val="none"/>
        </w:rPr>
        <w:t>inglés) /</w:t>
      </w:r>
      <w:r w:rsidRPr="007A5B6E">
        <w:rPr>
          <w:rFonts w:ascii="Calibri" w:eastAsia="Calibri" w:hAnsi="Calibri" w:cs="Calibri"/>
          <w:color w:val="333333"/>
          <w:kern w:val="0"/>
          <w:sz w:val="22"/>
          <w:szCs w:val="22"/>
          <w:lang w:val="es-ES"/>
          <w14:ligatures w14:val="none"/>
        </w:rPr>
        <w:t xml:space="preserve">Comité Consultivo sobre Adquisiciones (ACP, </w:t>
      </w:r>
      <w:proofErr w:type="spellStart"/>
      <w:r w:rsidRPr="007A5B6E">
        <w:rPr>
          <w:rFonts w:ascii="Calibri" w:eastAsia="Calibri" w:hAnsi="Calibri" w:cs="Calibri"/>
          <w:i/>
          <w:color w:val="333333"/>
          <w:kern w:val="0"/>
          <w:sz w:val="22"/>
          <w:szCs w:val="22"/>
          <w:lang w:val="es-ES"/>
          <w14:ligatures w14:val="none"/>
        </w:rPr>
        <w:t>Advisory</w:t>
      </w:r>
      <w:proofErr w:type="spellEnd"/>
      <w:r w:rsidRPr="007A5B6E">
        <w:rPr>
          <w:rFonts w:ascii="Calibri" w:eastAsia="Calibri" w:hAnsi="Calibri" w:cs="Calibri"/>
          <w:i/>
          <w:color w:val="333333"/>
          <w:kern w:val="0"/>
          <w:sz w:val="22"/>
          <w:szCs w:val="22"/>
          <w:lang w:val="es-ES"/>
          <w14:ligatures w14:val="none"/>
        </w:rPr>
        <w:t xml:space="preserve"> </w:t>
      </w:r>
      <w:proofErr w:type="spellStart"/>
      <w:r w:rsidRPr="007A5B6E">
        <w:rPr>
          <w:rFonts w:ascii="Calibri" w:eastAsia="Calibri" w:hAnsi="Calibri" w:cs="Calibri"/>
          <w:i/>
          <w:color w:val="333333"/>
          <w:kern w:val="0"/>
          <w:sz w:val="22"/>
          <w:szCs w:val="22"/>
          <w:lang w:val="es-ES"/>
          <w14:ligatures w14:val="none"/>
        </w:rPr>
        <w:t>Commitee</w:t>
      </w:r>
      <w:proofErr w:type="spellEnd"/>
      <w:r w:rsidRPr="007A5B6E">
        <w:rPr>
          <w:rFonts w:ascii="Calibri" w:eastAsia="Calibri" w:hAnsi="Calibri" w:cs="Calibri"/>
          <w:i/>
          <w:color w:val="333333"/>
          <w:kern w:val="0"/>
          <w:sz w:val="22"/>
          <w:szCs w:val="22"/>
          <w:lang w:val="es-ES"/>
          <w14:ligatures w14:val="none"/>
        </w:rPr>
        <w:t xml:space="preserve"> </w:t>
      </w:r>
      <w:proofErr w:type="spellStart"/>
      <w:r w:rsidRPr="007A5B6E">
        <w:rPr>
          <w:rFonts w:ascii="Calibri" w:eastAsia="Calibri" w:hAnsi="Calibri" w:cs="Calibri"/>
          <w:i/>
          <w:color w:val="333333"/>
          <w:kern w:val="0"/>
          <w:sz w:val="22"/>
          <w:szCs w:val="22"/>
          <w:lang w:val="es-ES"/>
          <w14:ligatures w14:val="none"/>
        </w:rPr>
        <w:t>for</w:t>
      </w:r>
      <w:proofErr w:type="spellEnd"/>
      <w:r w:rsidRPr="007A5B6E">
        <w:rPr>
          <w:rFonts w:ascii="Calibri" w:eastAsia="Calibri" w:hAnsi="Calibri" w:cs="Calibri"/>
          <w:i/>
          <w:color w:val="333333"/>
          <w:kern w:val="0"/>
          <w:sz w:val="22"/>
          <w:szCs w:val="22"/>
          <w:lang w:val="es-ES"/>
          <w14:ligatures w14:val="none"/>
        </w:rPr>
        <w:t xml:space="preserve"> </w:t>
      </w:r>
      <w:proofErr w:type="spellStart"/>
      <w:r w:rsidRPr="007A5B6E">
        <w:rPr>
          <w:rFonts w:ascii="Calibri" w:eastAsia="Calibri" w:hAnsi="Calibri" w:cs="Calibri"/>
          <w:i/>
          <w:color w:val="333333"/>
          <w:kern w:val="0"/>
          <w:sz w:val="22"/>
          <w:szCs w:val="22"/>
          <w:lang w:val="es-ES"/>
          <w14:ligatures w14:val="none"/>
        </w:rPr>
        <w:t>Procurement</w:t>
      </w:r>
      <w:proofErr w:type="spellEnd"/>
      <w:r w:rsidRPr="007A5B6E">
        <w:rPr>
          <w:rFonts w:ascii="Calibri" w:eastAsia="Calibri" w:hAnsi="Calibri" w:cs="Calibri"/>
          <w:color w:val="333333"/>
          <w:kern w:val="0"/>
          <w:sz w:val="22"/>
          <w:szCs w:val="22"/>
          <w:lang w:val="es-ES"/>
          <w14:ligatures w14:val="none"/>
        </w:rPr>
        <w:t xml:space="preserve">, por sus siglas en inglés) deberán prestar especial atención a la relación calidad-precio.  Se debe mencionar que la relación calidad-precio no siempre es la opción más barata, sino la opción que también brinda la mejor calidad. Por lo tanto, aspectos como el mantenimiento deben tenerse en cuenta. Una vez que se hayan recibido las aprobaciones del CAP/RACP/ACP, la oficina puede iniciar el procesamiento del acuerdo. </w:t>
      </w:r>
    </w:p>
    <w:p w14:paraId="28B44ADC" w14:textId="77777777" w:rsidR="007A5B6E" w:rsidRPr="007A5B6E" w:rsidRDefault="007A5B6E" w:rsidP="007A5B6E">
      <w:pPr>
        <w:spacing w:after="1" w:line="241" w:lineRule="auto"/>
        <w:ind w:left="715" w:right="-9" w:hanging="370"/>
        <w:jc w:val="both"/>
        <w:rPr>
          <w:rFonts w:ascii="Calibri" w:eastAsia="Calibri" w:hAnsi="Calibri" w:cs="Calibri"/>
          <w:color w:val="333333"/>
          <w:kern w:val="0"/>
          <w:sz w:val="22"/>
          <w:szCs w:val="22"/>
          <w:lang w:val="es-ES"/>
          <w14:ligatures w14:val="none"/>
        </w:rPr>
      </w:pPr>
    </w:p>
    <w:p w14:paraId="27A8B39D" w14:textId="77777777" w:rsidR="007A5B6E" w:rsidRPr="007A5B6E" w:rsidRDefault="007A5B6E" w:rsidP="007A5B6E">
      <w:pPr>
        <w:keepNext/>
        <w:keepLines/>
        <w:spacing w:after="5" w:line="249" w:lineRule="auto"/>
        <w:ind w:left="-5" w:hanging="10"/>
        <w:outlineLvl w:val="0"/>
        <w:rPr>
          <w:rFonts w:ascii="Calibri" w:eastAsia="Calibri" w:hAnsi="Calibri" w:cs="Calibri"/>
          <w:b/>
          <w:color w:val="333333"/>
          <w:kern w:val="0"/>
          <w:sz w:val="22"/>
          <w:szCs w:val="22"/>
          <w:lang w:val="es-ES"/>
          <w14:ligatures w14:val="none"/>
        </w:rPr>
      </w:pPr>
      <w:r w:rsidRPr="007A5B6E">
        <w:rPr>
          <w:rFonts w:ascii="Calibri" w:eastAsia="Calibri" w:hAnsi="Calibri" w:cs="Calibri"/>
          <w:b/>
          <w:color w:val="333333"/>
          <w:kern w:val="0"/>
          <w:sz w:val="22"/>
          <w:szCs w:val="22"/>
          <w:lang w:val="es-ES"/>
          <w14:ligatures w14:val="none"/>
        </w:rPr>
        <w:t xml:space="preserve">Acuerdo de arrendamiento  </w:t>
      </w:r>
    </w:p>
    <w:p w14:paraId="0DFF51C6" w14:textId="77777777" w:rsidR="007A5B6E" w:rsidRPr="007A5B6E" w:rsidRDefault="007A5B6E" w:rsidP="007A5B6E">
      <w:pPr>
        <w:spacing w:after="0" w:line="259" w:lineRule="auto"/>
        <w:rPr>
          <w:rFonts w:ascii="Calibri" w:eastAsia="Calibri" w:hAnsi="Calibri" w:cs="Calibri"/>
          <w:color w:val="333333"/>
          <w:kern w:val="0"/>
          <w:sz w:val="26"/>
          <w:szCs w:val="26"/>
          <w:lang w:val="es-ES"/>
          <w14:ligatures w14:val="none"/>
        </w:rPr>
      </w:pPr>
      <w:r w:rsidRPr="007A5B6E">
        <w:rPr>
          <w:rFonts w:ascii="Calibri" w:eastAsia="Calibri" w:hAnsi="Calibri" w:cs="Calibri"/>
          <w:color w:val="333333"/>
          <w:kern w:val="0"/>
          <w:sz w:val="26"/>
          <w:szCs w:val="26"/>
          <w:lang w:val="es-ES"/>
          <w14:ligatures w14:val="none"/>
        </w:rPr>
        <w:t xml:space="preserve"> </w:t>
      </w:r>
    </w:p>
    <w:p w14:paraId="16F0D433" w14:textId="77777777" w:rsidR="007A5B6E" w:rsidRPr="007A5B6E" w:rsidRDefault="007A5B6E" w:rsidP="007A5B6E">
      <w:pPr>
        <w:spacing w:after="1" w:line="241" w:lineRule="auto"/>
        <w:ind w:left="715" w:right="-9" w:hanging="37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9.</w:t>
      </w:r>
      <w:r w:rsidRPr="007A5B6E">
        <w:rPr>
          <w:rFonts w:ascii="Arial" w:eastAsia="Calibri" w:hAnsi="Arial" w:cs="Calibri"/>
          <w:color w:val="333333"/>
          <w:kern w:val="0"/>
          <w:sz w:val="22"/>
          <w:szCs w:val="22"/>
          <w:lang w:val="es-ES"/>
          <w14:ligatures w14:val="none"/>
        </w:rPr>
        <w:t xml:space="preserve">   </w:t>
      </w:r>
      <w:r w:rsidRPr="007A5B6E">
        <w:rPr>
          <w:rFonts w:ascii="Calibri" w:eastAsia="Calibri" w:hAnsi="Calibri" w:cs="Calibri"/>
          <w:color w:val="333333"/>
          <w:kern w:val="0"/>
          <w:sz w:val="22"/>
          <w:szCs w:val="22"/>
          <w:lang w:val="es-ES"/>
          <w14:ligatures w14:val="none"/>
        </w:rPr>
        <w:t xml:space="preserve">El procesamiento del acuerdo de arrendamiento de equipos seguirá el mismo proceso que el de los otros contratos.  Todos los acuerdos especiales deberán ser aprobados por la Oficina Servicios Jurídicos antes de finalizarse. Una vez finalizado el acuerdo, la oficina puede proceder con la compra y el registro del arrendamiento. </w:t>
      </w:r>
    </w:p>
    <w:p w14:paraId="30097601" w14:textId="77777777" w:rsidR="007A5B6E" w:rsidRPr="007A5B6E" w:rsidRDefault="007A5B6E" w:rsidP="007A5B6E">
      <w:pPr>
        <w:spacing w:after="0" w:line="259" w:lineRule="auto"/>
        <w:rPr>
          <w:rFonts w:ascii="Calibri" w:eastAsia="Calibri" w:hAnsi="Calibri" w:cs="Calibri"/>
          <w:color w:val="333333"/>
          <w:kern w:val="0"/>
          <w:sz w:val="26"/>
          <w:szCs w:val="26"/>
          <w:lang w:val="es-ES"/>
          <w14:ligatures w14:val="none"/>
        </w:rPr>
      </w:pPr>
      <w:r w:rsidRPr="007A5B6E">
        <w:rPr>
          <w:rFonts w:ascii="Calibri" w:eastAsia="Calibri" w:hAnsi="Calibri" w:cs="Calibri"/>
          <w:b/>
          <w:color w:val="333333"/>
          <w:kern w:val="0"/>
          <w:sz w:val="26"/>
          <w:szCs w:val="26"/>
          <w:lang w:val="es-ES"/>
          <w14:ligatures w14:val="none"/>
        </w:rPr>
        <w:t xml:space="preserve"> </w:t>
      </w:r>
      <w:r w:rsidRPr="007A5B6E">
        <w:rPr>
          <w:rFonts w:ascii="Calibri" w:eastAsia="Calibri" w:hAnsi="Calibri" w:cs="Calibri"/>
          <w:color w:val="333333"/>
          <w:kern w:val="0"/>
          <w:sz w:val="26"/>
          <w:szCs w:val="26"/>
          <w:lang w:val="es-ES"/>
          <w14:ligatures w14:val="none"/>
        </w:rPr>
        <w:t xml:space="preserve"> </w:t>
      </w:r>
    </w:p>
    <w:p w14:paraId="7600D728" w14:textId="77777777" w:rsidR="007A5B6E" w:rsidRPr="007A5B6E" w:rsidRDefault="007A5B6E" w:rsidP="007A5B6E">
      <w:pPr>
        <w:keepNext/>
        <w:keepLines/>
        <w:spacing w:after="5" w:line="249" w:lineRule="auto"/>
        <w:ind w:left="-5" w:hanging="10"/>
        <w:outlineLvl w:val="0"/>
        <w:rPr>
          <w:rFonts w:ascii="Calibri" w:eastAsia="Calibri" w:hAnsi="Calibri" w:cs="Calibri"/>
          <w:b/>
          <w:color w:val="333333"/>
          <w:kern w:val="0"/>
          <w:sz w:val="22"/>
          <w:szCs w:val="22"/>
          <w:lang w:val="es-ES"/>
          <w14:ligatures w14:val="none"/>
        </w:rPr>
      </w:pPr>
      <w:r w:rsidRPr="007A5B6E">
        <w:rPr>
          <w:rFonts w:ascii="Calibri" w:eastAsia="Calibri" w:hAnsi="Calibri" w:cs="Calibri"/>
          <w:b/>
          <w:color w:val="333333"/>
          <w:kern w:val="0"/>
          <w:sz w:val="22"/>
          <w:szCs w:val="22"/>
          <w:lang w:val="es-ES"/>
          <w14:ligatures w14:val="none"/>
        </w:rPr>
        <w:t xml:space="preserve">Registro del arrendamiento de equipo </w:t>
      </w:r>
    </w:p>
    <w:p w14:paraId="194B0EB9" w14:textId="77777777" w:rsidR="007A5B6E" w:rsidRPr="007A5B6E" w:rsidRDefault="007A5B6E" w:rsidP="007A5B6E">
      <w:pPr>
        <w:spacing w:after="22" w:line="259" w:lineRule="auto"/>
        <w:rPr>
          <w:rFonts w:ascii="Calibri" w:eastAsia="Calibri" w:hAnsi="Calibri" w:cs="Calibri"/>
          <w:color w:val="333333"/>
          <w:kern w:val="0"/>
          <w:sz w:val="26"/>
          <w:szCs w:val="26"/>
          <w:lang w:val="es-ES"/>
          <w14:ligatures w14:val="none"/>
        </w:rPr>
      </w:pPr>
      <w:r w:rsidRPr="007A5B6E">
        <w:rPr>
          <w:rFonts w:ascii="Calibri" w:eastAsia="Calibri" w:hAnsi="Calibri" w:cs="Calibri"/>
          <w:color w:val="333333"/>
          <w:kern w:val="0"/>
          <w:sz w:val="26"/>
          <w:szCs w:val="26"/>
          <w:lang w:val="es-ES"/>
          <w14:ligatures w14:val="none"/>
        </w:rPr>
        <w:t xml:space="preserve"> </w:t>
      </w:r>
    </w:p>
    <w:p w14:paraId="6F8085FA" w14:textId="77777777" w:rsidR="007A5B6E" w:rsidRPr="007A5B6E" w:rsidRDefault="007A5B6E" w:rsidP="007A5B6E">
      <w:pPr>
        <w:spacing w:after="1" w:line="241" w:lineRule="auto"/>
        <w:ind w:left="715" w:right="-9" w:hanging="37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10.</w:t>
      </w:r>
      <w:r w:rsidRPr="007A5B6E">
        <w:rPr>
          <w:rFonts w:ascii="Arial" w:eastAsia="Calibri" w:hAnsi="Arial" w:cs="Calibri"/>
          <w:color w:val="333333"/>
          <w:kern w:val="0"/>
          <w:sz w:val="22"/>
          <w:szCs w:val="22"/>
          <w:lang w:val="es-ES"/>
          <w14:ligatures w14:val="none"/>
        </w:rPr>
        <w:t xml:space="preserve"> </w:t>
      </w:r>
      <w:r w:rsidRPr="007A5B6E">
        <w:rPr>
          <w:rFonts w:ascii="Calibri" w:eastAsia="Calibri" w:hAnsi="Calibri" w:cs="Calibri"/>
          <w:color w:val="333333"/>
          <w:kern w:val="0"/>
          <w:sz w:val="22"/>
          <w:szCs w:val="22"/>
          <w:lang w:val="es-ES"/>
          <w14:ligatures w14:val="none"/>
        </w:rPr>
        <w:t xml:space="preserve">Todos los arrendamientos deben enviarse a la Unidad Mundial de Servicios Compartidos (GSSC, </w:t>
      </w:r>
      <w:r w:rsidRPr="007A5B6E">
        <w:rPr>
          <w:rFonts w:ascii="Calibri" w:eastAsia="Calibri" w:hAnsi="Calibri" w:cs="Calibri"/>
          <w:i/>
          <w:color w:val="333333"/>
          <w:kern w:val="0"/>
          <w:sz w:val="22"/>
          <w:szCs w:val="22"/>
          <w:lang w:val="es-ES"/>
          <w14:ligatures w14:val="none"/>
        </w:rPr>
        <w:t xml:space="preserve">Global </w:t>
      </w:r>
      <w:proofErr w:type="spellStart"/>
      <w:r w:rsidRPr="007A5B6E">
        <w:rPr>
          <w:rFonts w:ascii="Calibri" w:eastAsia="Calibri" w:hAnsi="Calibri" w:cs="Calibri"/>
          <w:i/>
          <w:color w:val="333333"/>
          <w:kern w:val="0"/>
          <w:sz w:val="22"/>
          <w:szCs w:val="22"/>
          <w:lang w:val="es-ES"/>
          <w14:ligatures w14:val="none"/>
        </w:rPr>
        <w:t>Shared</w:t>
      </w:r>
      <w:proofErr w:type="spellEnd"/>
      <w:r w:rsidRPr="007A5B6E">
        <w:rPr>
          <w:rFonts w:ascii="Calibri" w:eastAsia="Calibri" w:hAnsi="Calibri" w:cs="Calibri"/>
          <w:i/>
          <w:color w:val="333333"/>
          <w:kern w:val="0"/>
          <w:sz w:val="22"/>
          <w:szCs w:val="22"/>
          <w:lang w:val="es-ES"/>
          <w14:ligatures w14:val="none"/>
        </w:rPr>
        <w:t xml:space="preserve"> </w:t>
      </w:r>
      <w:proofErr w:type="spellStart"/>
      <w:r w:rsidRPr="007A5B6E">
        <w:rPr>
          <w:rFonts w:ascii="Calibri" w:eastAsia="Calibri" w:hAnsi="Calibri" w:cs="Calibri"/>
          <w:i/>
          <w:color w:val="333333"/>
          <w:kern w:val="0"/>
          <w:sz w:val="22"/>
          <w:szCs w:val="22"/>
          <w:lang w:val="es-ES"/>
          <w14:ligatures w14:val="none"/>
        </w:rPr>
        <w:t>Services</w:t>
      </w:r>
      <w:proofErr w:type="spellEnd"/>
      <w:r w:rsidRPr="007A5B6E">
        <w:rPr>
          <w:rFonts w:ascii="Calibri" w:eastAsia="Calibri" w:hAnsi="Calibri" w:cs="Calibri"/>
          <w:i/>
          <w:color w:val="333333"/>
          <w:kern w:val="0"/>
          <w:sz w:val="22"/>
          <w:szCs w:val="22"/>
          <w:lang w:val="es-ES"/>
          <w14:ligatures w14:val="none"/>
        </w:rPr>
        <w:t xml:space="preserve"> Centre</w:t>
      </w:r>
      <w:r w:rsidRPr="007A5B6E">
        <w:rPr>
          <w:rFonts w:ascii="Calibri" w:eastAsia="Calibri" w:hAnsi="Calibri" w:cs="Calibri"/>
          <w:color w:val="333333"/>
          <w:kern w:val="0"/>
          <w:sz w:val="22"/>
          <w:szCs w:val="22"/>
          <w:lang w:val="es-ES"/>
          <w14:ligatures w14:val="none"/>
        </w:rPr>
        <w:t xml:space="preserve">, por sus siglas en inglés) para que esta determine el tipo de arrendamiento.  La solicitud será presentada a la GSSC por los Coordinadores de Activos a través de </w:t>
      </w:r>
      <w:hyperlink r:id="rId7" w:history="1">
        <w:proofErr w:type="spellStart"/>
        <w:r w:rsidRPr="007A5B6E">
          <w:rPr>
            <w:rFonts w:ascii="Calibri" w:eastAsia="Calibri" w:hAnsi="Calibri" w:cs="Calibri"/>
            <w:color w:val="0000FF"/>
            <w:kern w:val="0"/>
            <w:sz w:val="22"/>
            <w:szCs w:val="22"/>
            <w:u w:val="single"/>
            <w:lang w:val="es-ES"/>
            <w14:ligatures w14:val="none"/>
          </w:rPr>
          <w:t>UNall</w:t>
        </w:r>
        <w:proofErr w:type="spellEnd"/>
      </w:hyperlink>
      <w:r w:rsidRPr="007A5B6E">
        <w:rPr>
          <w:rFonts w:ascii="Calibri" w:eastAsia="Calibri" w:hAnsi="Calibri" w:cs="Calibri"/>
          <w:color w:val="333333"/>
          <w:kern w:val="0"/>
          <w:sz w:val="22"/>
          <w:szCs w:val="22"/>
          <w:lang w:val="es-ES"/>
          <w14:ligatures w14:val="none"/>
        </w:rPr>
        <w:t xml:space="preserve"> junto con copias de la documentación de respaldo relevantes (por ejemplo, el acuerdo de arrendamiento y la confirmación de la GSSC de que el arrendamiento es un arrendamiento financiero).  La oficina que presenta la solicitud debe archivar de manera apropiada toda la documentación original. </w:t>
      </w:r>
    </w:p>
    <w:p w14:paraId="30A0BF8F" w14:textId="77777777" w:rsidR="007A5B6E" w:rsidRPr="007A5B6E" w:rsidRDefault="007A5B6E" w:rsidP="007A5B6E">
      <w:pPr>
        <w:spacing w:after="0" w:line="259" w:lineRule="auto"/>
        <w:rPr>
          <w:rFonts w:ascii="Calibri" w:eastAsia="Calibri" w:hAnsi="Calibri" w:cs="Calibri"/>
          <w:color w:val="333333"/>
          <w:kern w:val="0"/>
          <w:sz w:val="26"/>
          <w:szCs w:val="26"/>
          <w:lang w:val="es-ES"/>
          <w14:ligatures w14:val="none"/>
        </w:rPr>
      </w:pPr>
      <w:r w:rsidRPr="007A5B6E">
        <w:rPr>
          <w:rFonts w:ascii="Calibri" w:eastAsia="Calibri" w:hAnsi="Calibri" w:cs="Calibri"/>
          <w:color w:val="333333"/>
          <w:kern w:val="0"/>
          <w:sz w:val="26"/>
          <w:szCs w:val="26"/>
          <w:lang w:val="es-ES"/>
          <w14:ligatures w14:val="none"/>
        </w:rPr>
        <w:t xml:space="preserve">  </w:t>
      </w:r>
    </w:p>
    <w:p w14:paraId="21E18E9E" w14:textId="77777777" w:rsidR="007A5B6E" w:rsidRPr="007A5B6E" w:rsidRDefault="007A5B6E" w:rsidP="007A5B6E">
      <w:pPr>
        <w:keepNext/>
        <w:keepLines/>
        <w:spacing w:after="5" w:line="249" w:lineRule="auto"/>
        <w:ind w:left="-5" w:hanging="10"/>
        <w:outlineLvl w:val="0"/>
        <w:rPr>
          <w:rFonts w:ascii="Calibri" w:eastAsia="Calibri" w:hAnsi="Calibri" w:cs="Calibri"/>
          <w:b/>
          <w:color w:val="333333"/>
          <w:kern w:val="0"/>
          <w:sz w:val="22"/>
          <w:szCs w:val="22"/>
          <w:lang w:val="es-ES"/>
          <w14:ligatures w14:val="none"/>
        </w:rPr>
      </w:pPr>
      <w:r w:rsidRPr="007A5B6E">
        <w:rPr>
          <w:rFonts w:ascii="Calibri" w:eastAsia="Calibri" w:hAnsi="Calibri" w:cs="Calibri"/>
          <w:b/>
          <w:color w:val="333333"/>
          <w:kern w:val="0"/>
          <w:sz w:val="22"/>
          <w:szCs w:val="22"/>
          <w:lang w:val="es-ES"/>
          <w14:ligatures w14:val="none"/>
        </w:rPr>
        <w:t xml:space="preserve">Verificación física semestral </w:t>
      </w:r>
    </w:p>
    <w:p w14:paraId="652909AE" w14:textId="77777777" w:rsidR="007A5B6E" w:rsidRPr="007A5B6E" w:rsidRDefault="007A5B6E" w:rsidP="007A5B6E">
      <w:pPr>
        <w:spacing w:after="19" w:line="259" w:lineRule="auto"/>
        <w:rPr>
          <w:rFonts w:ascii="Calibri" w:eastAsia="Calibri" w:hAnsi="Calibri" w:cs="Calibri"/>
          <w:color w:val="333333"/>
          <w:kern w:val="0"/>
          <w:sz w:val="26"/>
          <w:szCs w:val="26"/>
          <w:lang w:val="es-ES"/>
          <w14:ligatures w14:val="none"/>
        </w:rPr>
      </w:pPr>
      <w:r w:rsidRPr="007A5B6E">
        <w:rPr>
          <w:rFonts w:ascii="Calibri" w:eastAsia="Calibri" w:hAnsi="Calibri" w:cs="Calibri"/>
          <w:b/>
          <w:color w:val="333333"/>
          <w:kern w:val="0"/>
          <w:sz w:val="26"/>
          <w:szCs w:val="26"/>
          <w:lang w:val="es-ES"/>
          <w14:ligatures w14:val="none"/>
        </w:rPr>
        <w:t xml:space="preserve"> </w:t>
      </w:r>
    </w:p>
    <w:p w14:paraId="72654095" w14:textId="77777777" w:rsidR="007A5B6E" w:rsidRPr="007A5B6E" w:rsidRDefault="007A5B6E" w:rsidP="007A5B6E">
      <w:pPr>
        <w:spacing w:after="1" w:line="241" w:lineRule="auto"/>
        <w:ind w:left="715" w:right="-9" w:hanging="37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11.</w:t>
      </w:r>
      <w:r w:rsidRPr="007A5B6E">
        <w:rPr>
          <w:rFonts w:ascii="Arial" w:eastAsia="Calibri" w:hAnsi="Arial" w:cs="Calibri"/>
          <w:color w:val="333333"/>
          <w:kern w:val="0"/>
          <w:sz w:val="22"/>
          <w:szCs w:val="22"/>
          <w:lang w:val="es-ES"/>
          <w14:ligatures w14:val="none"/>
        </w:rPr>
        <w:t xml:space="preserve"> </w:t>
      </w:r>
      <w:r w:rsidRPr="007A5B6E">
        <w:rPr>
          <w:rFonts w:ascii="Calibri" w:eastAsia="Calibri" w:hAnsi="Calibri" w:cs="Calibri"/>
          <w:color w:val="333333"/>
          <w:kern w:val="0"/>
          <w:sz w:val="22"/>
          <w:szCs w:val="22"/>
          <w:lang w:val="es-ES"/>
          <w14:ligatures w14:val="none"/>
        </w:rPr>
        <w:t xml:space="preserve">Se realizará una verificación física semestral del equipo arrendado. Asimismo, se procederá a la certificación de que existe el equipo, según la información registrada de Share Point, y que la información del equipo arrendado es precisa. Consulte el marco de control interno para garantizar que se respeta la separación de tareas. </w:t>
      </w:r>
    </w:p>
    <w:p w14:paraId="316B954E" w14:textId="77777777" w:rsidR="007A5B6E" w:rsidRPr="007A5B6E" w:rsidRDefault="007A5B6E" w:rsidP="007A5B6E">
      <w:pPr>
        <w:spacing w:after="0" w:line="259" w:lineRule="auto"/>
        <w:rPr>
          <w:rFonts w:ascii="Calibri" w:eastAsia="Calibri" w:hAnsi="Calibri" w:cs="Calibri"/>
          <w:color w:val="333333"/>
          <w:kern w:val="0"/>
          <w:sz w:val="26"/>
          <w:szCs w:val="26"/>
          <w:lang w:val="es-ES"/>
          <w14:ligatures w14:val="none"/>
        </w:rPr>
      </w:pPr>
      <w:r w:rsidRPr="007A5B6E">
        <w:rPr>
          <w:rFonts w:ascii="Calibri" w:eastAsia="Calibri" w:hAnsi="Calibri" w:cs="Calibri"/>
          <w:color w:val="333333"/>
          <w:kern w:val="0"/>
          <w:sz w:val="26"/>
          <w:szCs w:val="26"/>
          <w:lang w:val="es-ES"/>
          <w14:ligatures w14:val="none"/>
        </w:rPr>
        <w:t xml:space="preserve">  </w:t>
      </w:r>
    </w:p>
    <w:p w14:paraId="074BB0E0" w14:textId="77777777" w:rsidR="007A5B6E" w:rsidRPr="007A5B6E" w:rsidRDefault="007A5B6E" w:rsidP="007A5B6E">
      <w:pPr>
        <w:keepNext/>
        <w:keepLines/>
        <w:spacing w:after="5" w:line="249" w:lineRule="auto"/>
        <w:ind w:left="-5" w:hanging="10"/>
        <w:outlineLvl w:val="0"/>
        <w:rPr>
          <w:rFonts w:ascii="Calibri" w:eastAsia="Calibri" w:hAnsi="Calibri" w:cs="Calibri"/>
          <w:b/>
          <w:color w:val="333333"/>
          <w:kern w:val="0"/>
          <w:sz w:val="22"/>
          <w:szCs w:val="22"/>
          <w:lang w:val="es-ES"/>
          <w14:ligatures w14:val="none"/>
        </w:rPr>
      </w:pPr>
      <w:r w:rsidRPr="007A5B6E">
        <w:rPr>
          <w:rFonts w:ascii="Calibri" w:eastAsia="Calibri" w:hAnsi="Calibri" w:cs="Calibri"/>
          <w:b/>
          <w:color w:val="333333"/>
          <w:kern w:val="0"/>
          <w:sz w:val="22"/>
          <w:szCs w:val="22"/>
          <w:lang w:val="es-ES"/>
          <w14:ligatures w14:val="none"/>
        </w:rPr>
        <w:t xml:space="preserve">Renovación del arrendamiento </w:t>
      </w:r>
    </w:p>
    <w:p w14:paraId="7DCD2530" w14:textId="77777777" w:rsidR="007A5B6E" w:rsidRPr="007A5B6E" w:rsidRDefault="007A5B6E" w:rsidP="007A5B6E">
      <w:pPr>
        <w:spacing w:after="21" w:line="259" w:lineRule="auto"/>
        <w:rPr>
          <w:rFonts w:ascii="Calibri" w:eastAsia="Calibri" w:hAnsi="Calibri" w:cs="Calibri"/>
          <w:color w:val="333333"/>
          <w:kern w:val="0"/>
          <w:sz w:val="26"/>
          <w:szCs w:val="26"/>
          <w:lang w:val="es-ES"/>
          <w14:ligatures w14:val="none"/>
        </w:rPr>
      </w:pPr>
      <w:r w:rsidRPr="007A5B6E">
        <w:rPr>
          <w:rFonts w:ascii="Calibri" w:eastAsia="Calibri" w:hAnsi="Calibri" w:cs="Calibri"/>
          <w:color w:val="333333"/>
          <w:kern w:val="0"/>
          <w:sz w:val="26"/>
          <w:szCs w:val="26"/>
          <w:lang w:val="es-ES"/>
          <w14:ligatures w14:val="none"/>
        </w:rPr>
        <w:t xml:space="preserve"> </w:t>
      </w:r>
    </w:p>
    <w:p w14:paraId="42189BE5" w14:textId="77777777" w:rsidR="007A5B6E" w:rsidRPr="007A5B6E" w:rsidRDefault="007A5B6E" w:rsidP="007A5B6E">
      <w:pPr>
        <w:spacing w:after="1" w:line="241" w:lineRule="auto"/>
        <w:ind w:left="715" w:right="-9" w:hanging="37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12.</w:t>
      </w:r>
      <w:r w:rsidRPr="007A5B6E">
        <w:rPr>
          <w:rFonts w:ascii="Arial" w:eastAsia="Calibri" w:hAnsi="Arial" w:cs="Calibri"/>
          <w:color w:val="333333"/>
          <w:kern w:val="0"/>
          <w:sz w:val="22"/>
          <w:szCs w:val="22"/>
          <w:lang w:val="es-ES"/>
          <w14:ligatures w14:val="none"/>
        </w:rPr>
        <w:t xml:space="preserve"> </w:t>
      </w:r>
      <w:r w:rsidRPr="007A5B6E">
        <w:rPr>
          <w:rFonts w:ascii="Calibri" w:eastAsia="Calibri" w:hAnsi="Calibri" w:cs="Calibri"/>
          <w:color w:val="333333"/>
          <w:kern w:val="0"/>
          <w:sz w:val="22"/>
          <w:szCs w:val="22"/>
          <w:lang w:val="es-ES"/>
          <w14:ligatures w14:val="none"/>
        </w:rPr>
        <w:t xml:space="preserve">La renovación del arrendamiento seguirá el mismo proceso establecido en los capítulos anteriores para el establecimiento de un nuevo arrendamiento. </w:t>
      </w:r>
    </w:p>
    <w:p w14:paraId="45218AF7" w14:textId="77777777" w:rsidR="007A5B6E" w:rsidRPr="007A5B6E" w:rsidRDefault="007A5B6E" w:rsidP="007A5B6E">
      <w:pPr>
        <w:spacing w:after="0" w:line="259" w:lineRule="auto"/>
        <w:rPr>
          <w:rFonts w:ascii="Calibri" w:eastAsia="Calibri" w:hAnsi="Calibri" w:cs="Calibri"/>
          <w:color w:val="333333"/>
          <w:kern w:val="0"/>
          <w:sz w:val="26"/>
          <w:szCs w:val="26"/>
          <w:lang w:val="es-ES"/>
          <w14:ligatures w14:val="none"/>
        </w:rPr>
      </w:pPr>
      <w:r w:rsidRPr="007A5B6E">
        <w:rPr>
          <w:rFonts w:ascii="Calibri" w:eastAsia="Calibri" w:hAnsi="Calibri" w:cs="Calibri"/>
          <w:color w:val="333333"/>
          <w:kern w:val="0"/>
          <w:sz w:val="26"/>
          <w:szCs w:val="26"/>
          <w:lang w:val="es-ES"/>
          <w14:ligatures w14:val="none"/>
        </w:rPr>
        <w:t xml:space="preserve">  </w:t>
      </w:r>
    </w:p>
    <w:p w14:paraId="32DCF95A" w14:textId="77777777" w:rsidR="007A5B6E" w:rsidRPr="007A5B6E" w:rsidRDefault="007A5B6E" w:rsidP="007A5B6E">
      <w:pPr>
        <w:keepNext/>
        <w:keepLines/>
        <w:spacing w:after="5" w:line="249" w:lineRule="auto"/>
        <w:ind w:left="-5" w:hanging="10"/>
        <w:outlineLvl w:val="0"/>
        <w:rPr>
          <w:rFonts w:ascii="Calibri" w:eastAsia="Calibri" w:hAnsi="Calibri" w:cs="Calibri"/>
          <w:b/>
          <w:color w:val="333333"/>
          <w:kern w:val="0"/>
          <w:sz w:val="22"/>
          <w:szCs w:val="22"/>
          <w:lang w:val="es-ES"/>
          <w14:ligatures w14:val="none"/>
        </w:rPr>
      </w:pPr>
      <w:r w:rsidRPr="007A5B6E">
        <w:rPr>
          <w:rFonts w:ascii="Calibri" w:eastAsia="Calibri" w:hAnsi="Calibri" w:cs="Calibri"/>
          <w:b/>
          <w:color w:val="333333"/>
          <w:kern w:val="0"/>
          <w:sz w:val="22"/>
          <w:szCs w:val="22"/>
          <w:lang w:val="es-ES"/>
          <w14:ligatures w14:val="none"/>
        </w:rPr>
        <w:lastRenderedPageBreak/>
        <w:t xml:space="preserve">Cancelación de arrendamiento/retiro de arrendamiento financiero </w:t>
      </w:r>
    </w:p>
    <w:p w14:paraId="6256C071" w14:textId="77777777" w:rsidR="007A5B6E" w:rsidRPr="007A5B6E" w:rsidRDefault="007A5B6E" w:rsidP="007A5B6E">
      <w:pPr>
        <w:spacing w:after="20" w:line="259" w:lineRule="auto"/>
        <w:rPr>
          <w:rFonts w:ascii="Calibri" w:eastAsia="Calibri" w:hAnsi="Calibri" w:cs="Calibri"/>
          <w:color w:val="333333"/>
          <w:kern w:val="0"/>
          <w:sz w:val="26"/>
          <w:szCs w:val="26"/>
          <w:lang w:val="es-ES"/>
          <w14:ligatures w14:val="none"/>
        </w:rPr>
      </w:pPr>
      <w:r w:rsidRPr="007A5B6E">
        <w:rPr>
          <w:rFonts w:ascii="Calibri" w:eastAsia="Calibri" w:hAnsi="Calibri" w:cs="Calibri"/>
          <w:color w:val="333333"/>
          <w:kern w:val="0"/>
          <w:sz w:val="26"/>
          <w:szCs w:val="26"/>
          <w:lang w:val="es-ES"/>
          <w14:ligatures w14:val="none"/>
        </w:rPr>
        <w:t xml:space="preserve"> </w:t>
      </w:r>
    </w:p>
    <w:p w14:paraId="3521AB95" w14:textId="77777777" w:rsidR="007A5B6E" w:rsidRPr="007A5B6E" w:rsidRDefault="007A5B6E" w:rsidP="007A5B6E">
      <w:pPr>
        <w:numPr>
          <w:ilvl w:val="0"/>
          <w:numId w:val="3"/>
        </w:numPr>
        <w:spacing w:after="1" w:line="241" w:lineRule="auto"/>
        <w:ind w:right="-9" w:hanging="36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 xml:space="preserve">El acuerdo de arrendamiento puede finalizar porque el plazo del arrendamiento, según lo estipulado en el acuerdo de arrendamiento, ha expirado; o porque se ha alcanzado el límite financiero del acuerdo. Las cláusulas relacionadas con el incumplimiento a menudo también ofrecen la opción de cancelar un acuerdo en caso de incumplimiento por parte del proveedor.  </w:t>
      </w:r>
    </w:p>
    <w:p w14:paraId="67C0489F" w14:textId="77777777" w:rsidR="007A5B6E" w:rsidRPr="007A5B6E" w:rsidRDefault="007A5B6E" w:rsidP="007A5B6E">
      <w:pPr>
        <w:spacing w:after="20" w:line="259" w:lineRule="auto"/>
        <w:ind w:left="46"/>
        <w:rPr>
          <w:rFonts w:ascii="Calibri" w:eastAsia="Calibri" w:hAnsi="Calibri" w:cs="Calibri"/>
          <w:color w:val="333333"/>
          <w:kern w:val="0"/>
          <w:sz w:val="26"/>
          <w:szCs w:val="26"/>
          <w:lang w:val="es-ES"/>
          <w14:ligatures w14:val="none"/>
        </w:rPr>
      </w:pPr>
      <w:r w:rsidRPr="007A5B6E">
        <w:rPr>
          <w:rFonts w:ascii="Calibri" w:eastAsia="Calibri" w:hAnsi="Calibri" w:cs="Calibri"/>
          <w:color w:val="333333"/>
          <w:kern w:val="0"/>
          <w:sz w:val="26"/>
          <w:szCs w:val="26"/>
          <w:lang w:val="es-ES"/>
          <w14:ligatures w14:val="none"/>
        </w:rPr>
        <w:t xml:space="preserve"> </w:t>
      </w:r>
    </w:p>
    <w:p w14:paraId="56AEDF44" w14:textId="77777777" w:rsidR="007A5B6E" w:rsidRPr="007A5B6E" w:rsidRDefault="007A5B6E" w:rsidP="007A5B6E">
      <w:pPr>
        <w:numPr>
          <w:ilvl w:val="0"/>
          <w:numId w:val="3"/>
        </w:numPr>
        <w:spacing w:after="1" w:line="241" w:lineRule="auto"/>
        <w:ind w:right="-9" w:hanging="360"/>
        <w:jc w:val="both"/>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 xml:space="preserve">Si el arrendamiento es un arrendamiento financiero registrado en el módulo de activos fijos de Quantum, el proceso de enajenación del arrendamiento será el mismo que los </w:t>
      </w:r>
      <w:hyperlink r:id="rId8">
        <w:r w:rsidRPr="008D0F20">
          <w:rPr>
            <w:rFonts w:ascii="Calibri" w:eastAsia="Calibri" w:hAnsi="Calibri" w:cs="Calibri"/>
            <w:color w:val="0000FF"/>
            <w:kern w:val="0"/>
            <w:sz w:val="22"/>
            <w:szCs w:val="22"/>
            <w:u w:val="single"/>
            <w:lang w:val="es-ES"/>
            <w14:ligatures w14:val="none"/>
          </w:rPr>
          <w:t>procesos de enajenación establecidos en la sección de las POPP sobre</w:t>
        </w:r>
      </w:hyperlink>
      <w:hyperlink r:id="rId9">
        <w:r w:rsidRPr="008D0F20">
          <w:rPr>
            <w:rFonts w:ascii="Calibri" w:eastAsia="Calibri" w:hAnsi="Calibri" w:cs="Calibri"/>
            <w:color w:val="0000FF"/>
            <w:kern w:val="0"/>
            <w:sz w:val="22"/>
            <w:szCs w:val="22"/>
            <w:u w:val="single"/>
            <w:lang w:val="es-ES"/>
            <w14:ligatures w14:val="none"/>
          </w:rPr>
          <w:t xml:space="preserve"> </w:t>
        </w:r>
      </w:hyperlink>
      <w:hyperlink r:id="rId10">
        <w:r w:rsidRPr="008D0F20">
          <w:rPr>
            <w:rFonts w:ascii="Calibri" w:eastAsia="Calibri" w:hAnsi="Calibri" w:cs="Calibri"/>
            <w:color w:val="0000FF"/>
            <w:kern w:val="0"/>
            <w:sz w:val="22"/>
            <w:szCs w:val="22"/>
            <w:u w:val="single"/>
            <w:lang w:val="es-ES"/>
            <w14:ligatures w14:val="none"/>
          </w:rPr>
          <w:t>equipo</w:t>
        </w:r>
      </w:hyperlink>
      <w:r w:rsidRPr="007A5B6E">
        <w:rPr>
          <w:rFonts w:ascii="Calibri" w:eastAsia="Calibri" w:hAnsi="Calibri" w:cs="Calibri"/>
          <w:color w:val="333333"/>
          <w:kern w:val="0"/>
          <w:sz w:val="22"/>
          <w:szCs w:val="22"/>
          <w:lang w:val="es-ES"/>
          <w14:ligatures w14:val="none"/>
        </w:rPr>
        <w:t xml:space="preserve">, y debe respetar el marco de control interno con respecto a los niveles de autorización y la separación de tareas. </w:t>
      </w:r>
    </w:p>
    <w:p w14:paraId="0DB815F0" w14:textId="77777777" w:rsidR="007A5B6E" w:rsidRPr="007A5B6E" w:rsidRDefault="007A5B6E" w:rsidP="007A5B6E">
      <w:pPr>
        <w:keepNext/>
        <w:keepLines/>
        <w:spacing w:after="5" w:line="249" w:lineRule="auto"/>
        <w:ind w:left="-5" w:hanging="10"/>
        <w:outlineLvl w:val="0"/>
        <w:rPr>
          <w:rFonts w:ascii="Calibri" w:eastAsia="Calibri" w:hAnsi="Calibri" w:cs="Calibri"/>
          <w:b/>
          <w:color w:val="333333"/>
          <w:kern w:val="0"/>
          <w:sz w:val="22"/>
          <w:szCs w:val="22"/>
          <w:lang w:val="es-ES"/>
          <w14:ligatures w14:val="none"/>
        </w:rPr>
      </w:pPr>
    </w:p>
    <w:p w14:paraId="6A2E50AE" w14:textId="77777777" w:rsidR="007A5B6E" w:rsidRPr="007A5B6E" w:rsidRDefault="007A5B6E" w:rsidP="007A5B6E">
      <w:pPr>
        <w:keepNext/>
        <w:keepLines/>
        <w:spacing w:after="5" w:line="249" w:lineRule="auto"/>
        <w:ind w:left="-5" w:hanging="10"/>
        <w:outlineLvl w:val="0"/>
        <w:rPr>
          <w:rFonts w:ascii="Calibri" w:eastAsia="Calibri" w:hAnsi="Calibri" w:cs="Calibri"/>
          <w:b/>
          <w:color w:val="333333"/>
          <w:kern w:val="0"/>
          <w:sz w:val="22"/>
          <w:szCs w:val="22"/>
          <w:lang w:val="es-ES"/>
          <w14:ligatures w14:val="none"/>
        </w:rPr>
      </w:pPr>
      <w:r w:rsidRPr="007A5B6E">
        <w:rPr>
          <w:rFonts w:ascii="Calibri" w:eastAsia="Calibri" w:hAnsi="Calibri" w:cs="Calibri"/>
          <w:b/>
          <w:color w:val="333333"/>
          <w:kern w:val="0"/>
          <w:sz w:val="22"/>
          <w:szCs w:val="22"/>
          <w:lang w:val="es-ES"/>
          <w14:ligatures w14:val="none"/>
        </w:rPr>
        <w:t xml:space="preserve">Responsabilidades y rendición de cuentas  </w:t>
      </w:r>
    </w:p>
    <w:p w14:paraId="0DDA21C5" w14:textId="77777777" w:rsidR="007A5B6E" w:rsidRPr="007A5B6E" w:rsidRDefault="007A5B6E" w:rsidP="007A5B6E">
      <w:pPr>
        <w:spacing w:after="0" w:line="259" w:lineRule="auto"/>
        <w:rPr>
          <w:rFonts w:ascii="Calibri" w:eastAsia="Calibri" w:hAnsi="Calibri" w:cs="Calibri"/>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 xml:space="preserve">  </w:t>
      </w:r>
    </w:p>
    <w:tbl>
      <w:tblPr>
        <w:tblW w:w="5000" w:type="pct"/>
        <w:tblInd w:w="-10" w:type="dxa"/>
        <w:tblCellMar>
          <w:left w:w="0" w:type="dxa"/>
          <w:right w:w="0" w:type="dxa"/>
        </w:tblCellMar>
        <w:tblLook w:val="04A0" w:firstRow="1" w:lastRow="0" w:firstColumn="1" w:lastColumn="0" w:noHBand="0" w:noVBand="1"/>
      </w:tblPr>
      <w:tblGrid>
        <w:gridCol w:w="1940"/>
        <w:gridCol w:w="7405"/>
      </w:tblGrid>
      <w:tr w:rsidR="007A5B6E" w:rsidRPr="007A5B6E" w14:paraId="66E9D835" w14:textId="77777777" w:rsidTr="008D0F20">
        <w:trPr>
          <w:tblHeader/>
        </w:trPr>
        <w:tc>
          <w:tcPr>
            <w:tcW w:w="103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44E2E07" w14:textId="77777777" w:rsidR="007A5B6E" w:rsidRPr="007A5B6E" w:rsidRDefault="007A5B6E" w:rsidP="007A5B6E">
            <w:pPr>
              <w:spacing w:after="0" w:line="240" w:lineRule="auto"/>
              <w:ind w:left="162" w:hanging="162"/>
              <w:jc w:val="both"/>
              <w:rPr>
                <w:rFonts w:ascii="Calibri" w:eastAsia="Times New Roman" w:hAnsi="Calibri" w:cs="Arial"/>
                <w:b/>
                <w:color w:val="000000"/>
                <w:kern w:val="0"/>
                <w:sz w:val="22"/>
                <w:szCs w:val="22"/>
                <w:lang w:val="es-ES"/>
                <w14:ligatures w14:val="none"/>
              </w:rPr>
            </w:pPr>
            <w:r w:rsidRPr="007A5B6E">
              <w:rPr>
                <w:rFonts w:ascii="Calibri" w:eastAsia="Calibri" w:hAnsi="Calibri" w:cs="Calibri"/>
                <w:b/>
                <w:color w:val="000000"/>
                <w:kern w:val="0"/>
                <w:sz w:val="22"/>
                <w:szCs w:val="22"/>
                <w:lang w:val="es-ES"/>
                <w14:ligatures w14:val="none"/>
              </w:rPr>
              <w:t>Parte responsable</w:t>
            </w:r>
          </w:p>
        </w:tc>
        <w:tc>
          <w:tcPr>
            <w:tcW w:w="396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6488381" w14:textId="77777777" w:rsidR="007A5B6E" w:rsidRPr="007A5B6E" w:rsidRDefault="007A5B6E" w:rsidP="007A5B6E">
            <w:pPr>
              <w:spacing w:after="0" w:line="240" w:lineRule="auto"/>
              <w:ind w:left="730" w:hanging="370"/>
              <w:jc w:val="both"/>
              <w:rPr>
                <w:rFonts w:ascii="Calibri" w:eastAsia="Times New Roman" w:hAnsi="Calibri" w:cs="Arial"/>
                <w:b/>
                <w:color w:val="000000"/>
                <w:kern w:val="0"/>
                <w:sz w:val="22"/>
                <w:szCs w:val="22"/>
                <w:lang w:val="es-ES"/>
                <w14:ligatures w14:val="none"/>
              </w:rPr>
            </w:pPr>
            <w:r w:rsidRPr="007A5B6E">
              <w:rPr>
                <w:rFonts w:ascii="Calibri" w:eastAsia="Calibri" w:hAnsi="Calibri" w:cs="Calibri"/>
                <w:b/>
                <w:color w:val="000000"/>
                <w:kern w:val="0"/>
                <w:sz w:val="22"/>
                <w:szCs w:val="22"/>
                <w:lang w:val="es-ES"/>
                <w14:ligatures w14:val="none"/>
              </w:rPr>
              <w:t>Responsabilidades</w:t>
            </w:r>
          </w:p>
        </w:tc>
      </w:tr>
      <w:tr w:rsidR="007A5B6E" w:rsidRPr="007A5B6E" w14:paraId="093FC92F" w14:textId="77777777" w:rsidTr="008D0F20">
        <w:tc>
          <w:tcPr>
            <w:tcW w:w="10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185C1F" w14:textId="77777777" w:rsidR="007A5B6E" w:rsidRPr="007A5B6E" w:rsidRDefault="007A5B6E" w:rsidP="008D0F20">
            <w:pPr>
              <w:spacing w:after="0" w:line="240" w:lineRule="auto"/>
              <w:ind w:right="412"/>
              <w:rPr>
                <w:rFonts w:ascii="Calibri" w:eastAsia="Times New Roman" w:hAnsi="Calibri" w:cs="Arial"/>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RR/RC/</w:t>
            </w:r>
            <w:proofErr w:type="gramStart"/>
            <w:r w:rsidRPr="007A5B6E">
              <w:rPr>
                <w:rFonts w:ascii="Calibri" w:eastAsia="Calibri" w:hAnsi="Calibri" w:cs="Calibri"/>
                <w:color w:val="333333"/>
                <w:kern w:val="0"/>
                <w:sz w:val="22"/>
                <w:szCs w:val="22"/>
                <w:lang w:val="es-ES"/>
                <w14:ligatures w14:val="none"/>
              </w:rPr>
              <w:t>Jefe</w:t>
            </w:r>
            <w:proofErr w:type="gramEnd"/>
            <w:r w:rsidRPr="007A5B6E">
              <w:rPr>
                <w:rFonts w:ascii="Calibri" w:eastAsia="Calibri" w:hAnsi="Calibri" w:cs="Calibri"/>
                <w:color w:val="333333"/>
                <w:kern w:val="0"/>
                <w:sz w:val="22"/>
                <w:szCs w:val="22"/>
                <w:lang w:val="es-ES"/>
                <w14:ligatures w14:val="none"/>
              </w:rPr>
              <w:t xml:space="preserve"> de Unidad de la sede/</w:t>
            </w:r>
            <w:proofErr w:type="gramStart"/>
            <w:r w:rsidRPr="007A5B6E">
              <w:rPr>
                <w:rFonts w:ascii="Calibri" w:eastAsia="Calibri" w:hAnsi="Calibri" w:cs="Calibri"/>
                <w:color w:val="333333"/>
                <w:kern w:val="0"/>
                <w:sz w:val="22"/>
                <w:szCs w:val="22"/>
                <w:lang w:val="es-ES"/>
                <w14:ligatures w14:val="none"/>
              </w:rPr>
              <w:t>Jefe</w:t>
            </w:r>
            <w:proofErr w:type="gramEnd"/>
            <w:r w:rsidRPr="007A5B6E">
              <w:rPr>
                <w:rFonts w:ascii="Calibri" w:eastAsia="Calibri" w:hAnsi="Calibri" w:cs="Calibri"/>
                <w:color w:val="333333"/>
                <w:kern w:val="0"/>
                <w:sz w:val="22"/>
                <w:szCs w:val="22"/>
                <w:lang w:val="es-ES"/>
                <w14:ligatures w14:val="none"/>
              </w:rPr>
              <w:t xml:space="preserve"> de las Unidades fuera de la sede</w:t>
            </w:r>
          </w:p>
        </w:tc>
        <w:tc>
          <w:tcPr>
            <w:tcW w:w="39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92D633" w14:textId="77777777" w:rsidR="007A5B6E" w:rsidRPr="007A5B6E" w:rsidRDefault="007A5B6E" w:rsidP="008D0F20">
            <w:pPr>
              <w:numPr>
                <w:ilvl w:val="0"/>
                <w:numId w:val="4"/>
              </w:numPr>
              <w:spacing w:after="0" w:line="240" w:lineRule="auto"/>
              <w:ind w:left="194" w:hanging="180"/>
              <w:contextualSpacing/>
              <w:rPr>
                <w:rFonts w:ascii="Calibri" w:eastAsia="Times New Roman" w:hAnsi="Calibri" w:cs="Arial"/>
                <w:kern w:val="0"/>
                <w:sz w:val="22"/>
                <w:szCs w:val="22"/>
                <w:lang w:val="es-ES" w:eastAsia="ja-JP"/>
                <w14:ligatures w14:val="none"/>
              </w:rPr>
            </w:pPr>
            <w:r w:rsidRPr="007A5B6E">
              <w:rPr>
                <w:rFonts w:ascii="Calibri" w:eastAsia="Times New Roman" w:hAnsi="Calibri" w:cs="Times New Roman"/>
                <w:kern w:val="0"/>
                <w:sz w:val="22"/>
                <w:szCs w:val="22"/>
                <w:lang w:val="es-ES" w:eastAsia="ja-JP"/>
                <w14:ligatures w14:val="none"/>
              </w:rPr>
              <w:t>Mantener registros completos y precisos de los equipos arrendados por sus oficinas;</w:t>
            </w:r>
          </w:p>
          <w:p w14:paraId="0D301A34" w14:textId="77777777" w:rsidR="007A5B6E" w:rsidRPr="007A5B6E" w:rsidRDefault="007A5B6E" w:rsidP="008D0F20">
            <w:pPr>
              <w:numPr>
                <w:ilvl w:val="0"/>
                <w:numId w:val="4"/>
              </w:numPr>
              <w:spacing w:after="0" w:line="240" w:lineRule="auto"/>
              <w:ind w:left="194" w:hanging="180"/>
              <w:contextualSpacing/>
              <w:rPr>
                <w:rFonts w:ascii="Calibri" w:eastAsia="Times New Roman" w:hAnsi="Calibri" w:cs="Arial"/>
                <w:kern w:val="0"/>
                <w:sz w:val="22"/>
                <w:szCs w:val="22"/>
                <w:lang w:val="es-ES" w:eastAsia="ja-JP"/>
                <w14:ligatures w14:val="none"/>
              </w:rPr>
            </w:pPr>
            <w:r w:rsidRPr="007A5B6E">
              <w:rPr>
                <w:rFonts w:ascii="Calibri" w:eastAsia="Times New Roman" w:hAnsi="Calibri" w:cs="Times New Roman"/>
                <w:kern w:val="0"/>
                <w:sz w:val="22"/>
                <w:szCs w:val="22"/>
                <w:lang w:val="es-ES" w:eastAsia="ja-JP"/>
                <w14:ligatures w14:val="none"/>
              </w:rPr>
              <w:t xml:space="preserve">Consultar al CAP para enajenaciones de artículos con un valor superior a USD 2500 y que no supere la DPA; </w:t>
            </w:r>
          </w:p>
          <w:p w14:paraId="0969EECC" w14:textId="77777777" w:rsidR="007A5B6E" w:rsidRPr="007A5B6E" w:rsidRDefault="007A5B6E" w:rsidP="008D0F20">
            <w:pPr>
              <w:numPr>
                <w:ilvl w:val="0"/>
                <w:numId w:val="4"/>
              </w:numPr>
              <w:spacing w:after="0" w:line="240" w:lineRule="auto"/>
              <w:ind w:left="194" w:hanging="180"/>
              <w:contextualSpacing/>
              <w:rPr>
                <w:rFonts w:ascii="Calibri" w:eastAsia="Times New Roman" w:hAnsi="Calibri" w:cs="Arial"/>
                <w:kern w:val="0"/>
                <w:sz w:val="22"/>
                <w:szCs w:val="22"/>
                <w:lang w:val="es-ES" w:eastAsia="ja-JP"/>
                <w14:ligatures w14:val="none"/>
              </w:rPr>
            </w:pPr>
            <w:r w:rsidRPr="007A5B6E">
              <w:rPr>
                <w:rFonts w:ascii="Calibri" w:eastAsia="Times New Roman" w:hAnsi="Calibri" w:cs="Times New Roman"/>
                <w:kern w:val="0"/>
                <w:sz w:val="22"/>
                <w:szCs w:val="22"/>
                <w:lang w:val="es-ES" w:eastAsia="ja-JP"/>
                <w14:ligatures w14:val="none"/>
              </w:rPr>
              <w:t xml:space="preserve">Consultar al RACP para artículos con un valor que supere la DPA y por un monto de hasta USD 1 millón; </w:t>
            </w:r>
          </w:p>
          <w:p w14:paraId="3FFABA89" w14:textId="77777777" w:rsidR="007A5B6E" w:rsidRPr="007A5B6E" w:rsidRDefault="007A5B6E" w:rsidP="008D0F20">
            <w:pPr>
              <w:numPr>
                <w:ilvl w:val="0"/>
                <w:numId w:val="4"/>
              </w:numPr>
              <w:spacing w:after="0" w:line="240" w:lineRule="auto"/>
              <w:ind w:left="194" w:hanging="180"/>
              <w:contextualSpacing/>
              <w:rPr>
                <w:rFonts w:ascii="Calibri" w:eastAsia="Times New Roman" w:hAnsi="Calibri" w:cs="Arial"/>
                <w:kern w:val="0"/>
                <w:sz w:val="22"/>
                <w:szCs w:val="22"/>
                <w:lang w:val="es-ES" w:eastAsia="ja-JP"/>
                <w14:ligatures w14:val="none"/>
              </w:rPr>
            </w:pPr>
            <w:r w:rsidRPr="007A5B6E">
              <w:rPr>
                <w:rFonts w:ascii="Calibri" w:eastAsia="Times New Roman" w:hAnsi="Calibri" w:cs="Times New Roman"/>
                <w:kern w:val="0"/>
                <w:sz w:val="22"/>
                <w:szCs w:val="22"/>
                <w:lang w:val="es-ES" w:eastAsia="ja-JP"/>
                <w14:ligatures w14:val="none"/>
              </w:rPr>
              <w:t>Consultar al ACP por artículos que cuestan más USD 1 millón;</w:t>
            </w:r>
          </w:p>
          <w:p w14:paraId="10D2FCFA" w14:textId="77777777" w:rsidR="007A5B6E" w:rsidRPr="007A5B6E" w:rsidRDefault="007A5B6E" w:rsidP="008D0F20">
            <w:pPr>
              <w:numPr>
                <w:ilvl w:val="0"/>
                <w:numId w:val="4"/>
              </w:numPr>
              <w:spacing w:after="0" w:line="240" w:lineRule="auto"/>
              <w:ind w:left="194" w:hanging="180"/>
              <w:contextualSpacing/>
              <w:rPr>
                <w:rFonts w:ascii="Calibri" w:eastAsia="Times New Roman" w:hAnsi="Calibri" w:cs="Arial"/>
                <w:kern w:val="0"/>
                <w:sz w:val="22"/>
                <w:szCs w:val="22"/>
                <w:lang w:val="es-ES" w:eastAsia="ja-JP"/>
                <w14:ligatures w14:val="none"/>
              </w:rPr>
            </w:pPr>
            <w:r w:rsidRPr="007A5B6E">
              <w:rPr>
                <w:rFonts w:ascii="Calibri" w:eastAsia="Times New Roman" w:hAnsi="Calibri" w:cs="Times New Roman"/>
                <w:kern w:val="0"/>
                <w:sz w:val="22"/>
                <w:szCs w:val="22"/>
                <w:lang w:val="es-ES" w:eastAsia="ja-JP"/>
                <w14:ligatures w14:val="none"/>
              </w:rPr>
              <w:t>Presentar los documentos de certificación del ejercicio semestral de verificación física antes de la fecha límite de presentación.</w:t>
            </w:r>
          </w:p>
        </w:tc>
      </w:tr>
      <w:tr w:rsidR="007A5B6E" w:rsidRPr="007A5B6E" w14:paraId="6587979A" w14:textId="77777777" w:rsidTr="008D0F20">
        <w:tc>
          <w:tcPr>
            <w:tcW w:w="10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15B2B0" w14:textId="77777777" w:rsidR="007A5B6E" w:rsidRPr="007A5B6E" w:rsidRDefault="007A5B6E" w:rsidP="008D0F20">
            <w:pPr>
              <w:spacing w:after="0" w:line="240" w:lineRule="auto"/>
              <w:ind w:right="128"/>
              <w:rPr>
                <w:rFonts w:ascii="Calibri" w:eastAsia="Times New Roman" w:hAnsi="Calibri" w:cs="Arial"/>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 xml:space="preserve">Operaciones Generales </w:t>
            </w:r>
          </w:p>
        </w:tc>
        <w:tc>
          <w:tcPr>
            <w:tcW w:w="39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7506FF" w14:textId="77777777" w:rsidR="007A5B6E" w:rsidRPr="007A5B6E" w:rsidRDefault="007A5B6E" w:rsidP="008D0F20">
            <w:pPr>
              <w:numPr>
                <w:ilvl w:val="0"/>
                <w:numId w:val="4"/>
              </w:numPr>
              <w:spacing w:after="0" w:line="240" w:lineRule="auto"/>
              <w:ind w:left="194" w:hanging="180"/>
              <w:contextualSpacing/>
              <w:rPr>
                <w:rFonts w:ascii="Calibri" w:eastAsia="Times New Roman" w:hAnsi="Calibri" w:cs="Arial"/>
                <w:kern w:val="0"/>
                <w:sz w:val="22"/>
                <w:szCs w:val="22"/>
                <w:lang w:val="es-ES" w:eastAsia="ja-JP"/>
                <w14:ligatures w14:val="none"/>
              </w:rPr>
            </w:pPr>
            <w:r w:rsidRPr="007A5B6E">
              <w:rPr>
                <w:rFonts w:ascii="Calibri" w:eastAsia="Times New Roman" w:hAnsi="Calibri" w:cs="Times New Roman"/>
                <w:kern w:val="0"/>
                <w:sz w:val="22"/>
                <w:szCs w:val="22"/>
                <w:lang w:val="es-ES" w:eastAsia="ja-JP"/>
                <w14:ligatures w14:val="none"/>
              </w:rPr>
              <w:t>Mantener registros oportunos y precisos de arrendamiento financiero (equipo) en la HQ del PNUD;</w:t>
            </w:r>
          </w:p>
          <w:p w14:paraId="5A9A1E41" w14:textId="77777777" w:rsidR="007A5B6E" w:rsidRPr="007A5B6E" w:rsidRDefault="007A5B6E" w:rsidP="008D0F20">
            <w:pPr>
              <w:numPr>
                <w:ilvl w:val="0"/>
                <w:numId w:val="4"/>
              </w:numPr>
              <w:spacing w:after="0" w:line="240" w:lineRule="auto"/>
              <w:ind w:left="194" w:hanging="180"/>
              <w:contextualSpacing/>
              <w:rPr>
                <w:rFonts w:ascii="Calibri" w:eastAsia="Times New Roman" w:hAnsi="Calibri" w:cs="Arial"/>
                <w:kern w:val="0"/>
                <w:sz w:val="22"/>
                <w:szCs w:val="22"/>
                <w:lang w:val="es-ES" w:eastAsia="ja-JP"/>
                <w14:ligatures w14:val="none"/>
              </w:rPr>
            </w:pPr>
            <w:r w:rsidRPr="007A5B6E">
              <w:rPr>
                <w:rFonts w:ascii="Calibri" w:eastAsia="Times New Roman" w:hAnsi="Calibri" w:cs="Times New Roman"/>
                <w:kern w:val="0"/>
                <w:sz w:val="22"/>
                <w:szCs w:val="22"/>
                <w:lang w:val="es-ES" w:eastAsia="ja-JP"/>
                <w14:ligatures w14:val="none"/>
              </w:rPr>
              <w:t>Mantener registros completos y precisos de los equipos arrendados ubicados en su unidad.</w:t>
            </w:r>
          </w:p>
        </w:tc>
      </w:tr>
      <w:tr w:rsidR="007A5B6E" w:rsidRPr="007A5B6E" w14:paraId="5931022E" w14:textId="77777777" w:rsidTr="008D0F20">
        <w:trPr>
          <w:trHeight w:val="484"/>
        </w:trPr>
        <w:tc>
          <w:tcPr>
            <w:tcW w:w="10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CFCFAE" w14:textId="77777777" w:rsidR="007A5B6E" w:rsidRPr="007A5B6E" w:rsidRDefault="007A5B6E" w:rsidP="008D0F20">
            <w:pPr>
              <w:spacing w:after="0" w:line="240" w:lineRule="auto"/>
              <w:rPr>
                <w:rFonts w:ascii="Calibri" w:eastAsia="Times New Roman" w:hAnsi="Calibri" w:cs="Arial"/>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 xml:space="preserve">Personal del PNUD  </w:t>
            </w:r>
          </w:p>
        </w:tc>
        <w:tc>
          <w:tcPr>
            <w:tcW w:w="39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5F0CCB" w14:textId="77777777" w:rsidR="007A5B6E" w:rsidRPr="007A5B6E" w:rsidRDefault="007A5B6E" w:rsidP="008D0F20">
            <w:pPr>
              <w:numPr>
                <w:ilvl w:val="0"/>
                <w:numId w:val="4"/>
              </w:numPr>
              <w:spacing w:after="0" w:line="240" w:lineRule="auto"/>
              <w:ind w:left="194" w:hanging="180"/>
              <w:contextualSpacing/>
              <w:rPr>
                <w:rFonts w:ascii="Calibri" w:eastAsia="Times New Roman" w:hAnsi="Calibri" w:cs="Arial"/>
                <w:kern w:val="0"/>
                <w:sz w:val="22"/>
                <w:szCs w:val="22"/>
                <w:lang w:val="es-ES" w:eastAsia="ja-JP"/>
                <w14:ligatures w14:val="none"/>
              </w:rPr>
            </w:pPr>
            <w:r w:rsidRPr="007A5B6E">
              <w:rPr>
                <w:rFonts w:ascii="Calibri" w:eastAsia="Times New Roman" w:hAnsi="Calibri" w:cs="Times New Roman"/>
                <w:kern w:val="0"/>
                <w:sz w:val="22"/>
                <w:szCs w:val="22"/>
                <w:lang w:val="es-ES" w:eastAsia="ja-JP"/>
                <w14:ligatures w14:val="none"/>
              </w:rPr>
              <w:t>Salvaguardar todos los artículos arrendados asignados al personal.</w:t>
            </w:r>
          </w:p>
          <w:p w14:paraId="017AA5A3" w14:textId="77777777" w:rsidR="007A5B6E" w:rsidRPr="007A5B6E" w:rsidRDefault="007A5B6E" w:rsidP="008D0F20">
            <w:pPr>
              <w:spacing w:after="0" w:line="240" w:lineRule="auto"/>
              <w:ind w:left="194" w:hanging="180"/>
              <w:rPr>
                <w:rFonts w:ascii="Calibri" w:eastAsia="Times New Roman" w:hAnsi="Calibri" w:cs="Arial"/>
                <w:color w:val="333333"/>
                <w:kern w:val="0"/>
                <w:sz w:val="22"/>
                <w:szCs w:val="22"/>
                <w:lang w:val="es-AR" w:eastAsia="ja-JP"/>
                <w14:ligatures w14:val="none"/>
              </w:rPr>
            </w:pPr>
          </w:p>
        </w:tc>
      </w:tr>
      <w:tr w:rsidR="007A5B6E" w:rsidRPr="007A5B6E" w14:paraId="21DACE4D" w14:textId="77777777" w:rsidTr="008D0F20">
        <w:trPr>
          <w:trHeight w:val="556"/>
        </w:trPr>
        <w:tc>
          <w:tcPr>
            <w:tcW w:w="1038" w:type="pct"/>
            <w:tcBorders>
              <w:top w:val="nil"/>
              <w:left w:val="single" w:sz="8" w:space="0" w:color="auto"/>
              <w:bottom w:val="nil"/>
              <w:right w:val="single" w:sz="8" w:space="0" w:color="auto"/>
            </w:tcBorders>
            <w:tcMar>
              <w:top w:w="0" w:type="dxa"/>
              <w:left w:w="108" w:type="dxa"/>
              <w:bottom w:w="0" w:type="dxa"/>
              <w:right w:w="108" w:type="dxa"/>
            </w:tcMar>
            <w:vAlign w:val="center"/>
            <w:hideMark/>
          </w:tcPr>
          <w:p w14:paraId="482D7FBE" w14:textId="77777777" w:rsidR="007A5B6E" w:rsidRPr="007A5B6E" w:rsidRDefault="007A5B6E" w:rsidP="008D0F20">
            <w:pPr>
              <w:spacing w:after="0" w:line="240" w:lineRule="auto"/>
              <w:rPr>
                <w:rFonts w:ascii="Calibri" w:eastAsia="Times New Roman" w:hAnsi="Calibri" w:cs="Arial"/>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CAP/RACP/ACP</w:t>
            </w:r>
          </w:p>
        </w:tc>
        <w:tc>
          <w:tcPr>
            <w:tcW w:w="3962" w:type="pct"/>
            <w:tcBorders>
              <w:top w:val="nil"/>
              <w:left w:val="nil"/>
              <w:bottom w:val="nil"/>
              <w:right w:val="single" w:sz="8" w:space="0" w:color="auto"/>
            </w:tcBorders>
            <w:tcMar>
              <w:top w:w="0" w:type="dxa"/>
              <w:left w:w="108" w:type="dxa"/>
              <w:bottom w:w="0" w:type="dxa"/>
              <w:right w:w="108" w:type="dxa"/>
            </w:tcMar>
            <w:vAlign w:val="center"/>
            <w:hideMark/>
          </w:tcPr>
          <w:p w14:paraId="148A89F2" w14:textId="77777777" w:rsidR="007A5B6E" w:rsidRPr="007A5B6E" w:rsidRDefault="007A5B6E" w:rsidP="008D0F20">
            <w:pPr>
              <w:numPr>
                <w:ilvl w:val="0"/>
                <w:numId w:val="4"/>
              </w:numPr>
              <w:spacing w:after="0" w:line="240" w:lineRule="auto"/>
              <w:ind w:left="194" w:hanging="180"/>
              <w:contextualSpacing/>
              <w:rPr>
                <w:rFonts w:ascii="Calibri" w:eastAsia="Times New Roman" w:hAnsi="Calibri" w:cs="Arial"/>
                <w:kern w:val="0"/>
                <w:sz w:val="22"/>
                <w:szCs w:val="22"/>
                <w:lang w:val="es-ES" w:eastAsia="ja-JP"/>
                <w14:ligatures w14:val="none"/>
              </w:rPr>
            </w:pPr>
            <w:r w:rsidRPr="007A5B6E">
              <w:rPr>
                <w:rFonts w:ascii="Calibri" w:eastAsia="Times New Roman" w:hAnsi="Calibri" w:cs="Times New Roman"/>
                <w:kern w:val="0"/>
                <w:sz w:val="22"/>
                <w:szCs w:val="22"/>
                <w:lang w:val="es-ES" w:eastAsia="ja-JP"/>
                <w14:ligatures w14:val="none"/>
              </w:rPr>
              <w:t>Revisar y recomendar acciones para la enajenación de arrendamientos financieros del PNUD (equipo).</w:t>
            </w:r>
          </w:p>
        </w:tc>
      </w:tr>
      <w:tr w:rsidR="007A5B6E" w:rsidRPr="007A5B6E" w14:paraId="145D6988" w14:textId="77777777" w:rsidTr="008D0F20">
        <w:trPr>
          <w:trHeight w:val="619"/>
        </w:trPr>
        <w:tc>
          <w:tcPr>
            <w:tcW w:w="10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291B17" w14:textId="77777777" w:rsidR="007A5B6E" w:rsidRPr="007A5B6E" w:rsidRDefault="007A5B6E" w:rsidP="008D0F20">
            <w:pPr>
              <w:spacing w:after="0" w:line="240" w:lineRule="auto"/>
              <w:rPr>
                <w:rFonts w:ascii="Calibri" w:eastAsia="Times New Roman" w:hAnsi="Calibri" w:cs="Arial"/>
                <w:color w:val="333333"/>
                <w:kern w:val="0"/>
                <w:sz w:val="22"/>
                <w:szCs w:val="22"/>
                <w:lang w:val="es-ES"/>
                <w14:ligatures w14:val="none"/>
              </w:rPr>
            </w:pPr>
            <w:r w:rsidRPr="007A5B6E">
              <w:rPr>
                <w:rFonts w:ascii="Calibri" w:eastAsia="Calibri" w:hAnsi="Calibri" w:cs="Calibri"/>
                <w:color w:val="333333"/>
                <w:kern w:val="0"/>
                <w:sz w:val="22"/>
                <w:szCs w:val="22"/>
                <w:lang w:val="es-ES"/>
                <w14:ligatures w14:val="none"/>
              </w:rPr>
              <w:t>CMSC</w:t>
            </w:r>
          </w:p>
        </w:tc>
        <w:tc>
          <w:tcPr>
            <w:tcW w:w="39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012742" w14:textId="77777777" w:rsidR="007A5B6E" w:rsidRPr="007A5B6E" w:rsidRDefault="007A5B6E" w:rsidP="008D0F20">
            <w:pPr>
              <w:numPr>
                <w:ilvl w:val="0"/>
                <w:numId w:val="4"/>
              </w:numPr>
              <w:spacing w:after="0" w:line="240" w:lineRule="auto"/>
              <w:ind w:left="194" w:hanging="180"/>
              <w:contextualSpacing/>
              <w:rPr>
                <w:rFonts w:ascii="Calibri" w:eastAsia="Times New Roman" w:hAnsi="Calibri" w:cs="Arial"/>
                <w:kern w:val="0"/>
                <w:sz w:val="22"/>
                <w:szCs w:val="22"/>
                <w:lang w:val="es-ES" w:eastAsia="ja-JP"/>
                <w14:ligatures w14:val="none"/>
              </w:rPr>
            </w:pPr>
            <w:r w:rsidRPr="007A5B6E">
              <w:rPr>
                <w:rFonts w:ascii="Calibri" w:eastAsia="Times New Roman" w:hAnsi="Calibri" w:cs="Times New Roman"/>
                <w:kern w:val="0"/>
                <w:sz w:val="22"/>
                <w:szCs w:val="22"/>
                <w:lang w:val="es-ES" w:eastAsia="ja-JP"/>
                <w14:ligatures w14:val="none"/>
              </w:rPr>
              <w:t>Procesar las enajenaciones autorizadas en Quantum;</w:t>
            </w:r>
          </w:p>
          <w:p w14:paraId="6D4BEA03" w14:textId="77777777" w:rsidR="007A5B6E" w:rsidRPr="007A5B6E" w:rsidRDefault="007A5B6E" w:rsidP="008D0F20">
            <w:pPr>
              <w:numPr>
                <w:ilvl w:val="0"/>
                <w:numId w:val="4"/>
              </w:numPr>
              <w:spacing w:after="0" w:line="240" w:lineRule="auto"/>
              <w:ind w:left="194" w:hanging="180"/>
              <w:contextualSpacing/>
              <w:rPr>
                <w:rFonts w:ascii="Calibri" w:eastAsia="Times New Roman" w:hAnsi="Calibri" w:cs="Arial"/>
                <w:kern w:val="0"/>
                <w:sz w:val="22"/>
                <w:szCs w:val="22"/>
                <w:lang w:val="es-ES" w:eastAsia="ja-JP"/>
                <w14:ligatures w14:val="none"/>
              </w:rPr>
            </w:pPr>
            <w:r w:rsidRPr="007A5B6E">
              <w:rPr>
                <w:rFonts w:ascii="Calibri" w:eastAsia="Times New Roman" w:hAnsi="Calibri" w:cs="Times New Roman"/>
                <w:kern w:val="0"/>
                <w:sz w:val="22"/>
                <w:szCs w:val="22"/>
                <w:lang w:val="es-ES" w:eastAsia="ja-JP"/>
                <w14:ligatures w14:val="none"/>
              </w:rPr>
              <w:t>Revisar arrendamientos cargados en SharePoint.</w:t>
            </w:r>
          </w:p>
        </w:tc>
      </w:tr>
    </w:tbl>
    <w:p w14:paraId="5EA6445F" w14:textId="77777777" w:rsidR="007A5B6E" w:rsidRPr="007A5B6E" w:rsidRDefault="007A5B6E" w:rsidP="007A5B6E">
      <w:pPr>
        <w:shd w:val="clear" w:color="auto" w:fill="FFFFFF"/>
        <w:spacing w:after="0" w:line="240" w:lineRule="auto"/>
        <w:ind w:left="730" w:hanging="370"/>
        <w:jc w:val="both"/>
        <w:textAlignment w:val="top"/>
        <w:rPr>
          <w:rFonts w:ascii="Calibri" w:eastAsia="Times New Roman" w:hAnsi="Calibri" w:cs="Arial"/>
          <w:color w:val="333333"/>
          <w:kern w:val="0"/>
          <w:sz w:val="22"/>
          <w:szCs w:val="22"/>
          <w:lang w:val="es-ES"/>
          <w14:ligatures w14:val="none"/>
        </w:rPr>
      </w:pPr>
    </w:p>
    <w:p w14:paraId="2B99D2AB" w14:textId="77777777" w:rsidR="007A5B6E" w:rsidRDefault="007A5B6E" w:rsidP="007A5B6E">
      <w:pPr>
        <w:shd w:val="clear" w:color="auto" w:fill="FFFFFF"/>
        <w:spacing w:after="0" w:line="240" w:lineRule="auto"/>
        <w:ind w:left="730" w:hanging="370"/>
        <w:jc w:val="both"/>
        <w:textAlignment w:val="top"/>
        <w:rPr>
          <w:rFonts w:ascii="Calibri" w:eastAsia="Calibri" w:hAnsi="Calibri" w:cs="Calibri"/>
          <w:b/>
          <w:bCs/>
          <w:color w:val="333333"/>
          <w:kern w:val="0"/>
          <w:sz w:val="22"/>
          <w:szCs w:val="22"/>
          <w:lang w:val="es-ES"/>
          <w14:ligatures w14:val="none"/>
        </w:rPr>
      </w:pPr>
      <w:r w:rsidRPr="007A5B6E">
        <w:rPr>
          <w:rFonts w:ascii="Calibri" w:eastAsia="Calibri" w:hAnsi="Calibri" w:cs="Calibri"/>
          <w:b/>
          <w:bCs/>
          <w:color w:val="333333"/>
          <w:kern w:val="0"/>
          <w:sz w:val="22"/>
          <w:szCs w:val="22"/>
          <w:lang w:val="es-ES"/>
          <w14:ligatures w14:val="none"/>
        </w:rPr>
        <w:t>Modelos y formularios</w:t>
      </w:r>
    </w:p>
    <w:p w14:paraId="7156AE2C" w14:textId="77777777" w:rsidR="007A5B6E" w:rsidRPr="007A5B6E" w:rsidRDefault="007A5B6E" w:rsidP="007A5B6E">
      <w:pPr>
        <w:shd w:val="clear" w:color="auto" w:fill="FFFFFF"/>
        <w:spacing w:after="0" w:line="240" w:lineRule="auto"/>
        <w:ind w:left="730" w:hanging="370"/>
        <w:jc w:val="both"/>
        <w:textAlignment w:val="top"/>
        <w:rPr>
          <w:rFonts w:ascii="Calibri" w:eastAsia="Times New Roman" w:hAnsi="Calibri" w:cs="Arial"/>
          <w:b/>
          <w:bCs/>
          <w:color w:val="333333"/>
          <w:kern w:val="0"/>
          <w:sz w:val="22"/>
          <w:szCs w:val="22"/>
          <w:lang w:val="es-ES"/>
          <w14:ligatures w14:val="none"/>
        </w:rPr>
      </w:pPr>
    </w:p>
    <w:p w14:paraId="4733C203" w14:textId="24EBC54C" w:rsidR="007A5B6E" w:rsidRPr="007A5B6E" w:rsidRDefault="007A5B6E" w:rsidP="007A5B6E">
      <w:pPr>
        <w:shd w:val="clear" w:color="auto" w:fill="FFFFFF"/>
        <w:spacing w:after="0" w:line="240" w:lineRule="auto"/>
        <w:ind w:left="720" w:firstLine="720"/>
        <w:textAlignment w:val="top"/>
        <w:rPr>
          <w:rFonts w:ascii="Calibri" w:eastAsia="Calibri" w:hAnsi="Calibri" w:cs="Calibri"/>
          <w:color w:val="333333"/>
          <w:kern w:val="0"/>
          <w:sz w:val="22"/>
          <w:szCs w:val="22"/>
          <w:u w:val="single"/>
          <w:lang w:val="es-ES"/>
          <w14:ligatures w14:val="none"/>
        </w:rPr>
      </w:pPr>
      <w:hyperlink r:id="rId11" w:history="1">
        <w:r w:rsidRPr="00DF0185">
          <w:rPr>
            <w:rFonts w:ascii="Calibri" w:eastAsia="Calibri" w:hAnsi="Calibri" w:cs="Calibri"/>
            <w:color w:val="0000FF"/>
            <w:kern w:val="0"/>
            <w:sz w:val="22"/>
            <w:szCs w:val="22"/>
            <w:u w:val="single"/>
            <w:lang w:val="es-ES"/>
            <w14:ligatures w14:val="none"/>
          </w:rPr>
          <w:t>Modelo de análisis de arrendamientos/compras</w:t>
        </w:r>
      </w:hyperlink>
      <w:r w:rsidRPr="008D0F20">
        <w:rPr>
          <w:rFonts w:ascii="Calibri" w:eastAsia="Calibri" w:hAnsi="Calibri" w:cs="Calibri"/>
          <w:color w:val="333333"/>
          <w:kern w:val="0"/>
          <w:sz w:val="22"/>
          <w:szCs w:val="22"/>
          <w:lang w:val="es-ES"/>
          <w14:ligatures w14:val="none"/>
        </w:rPr>
        <w:t xml:space="preserve"> (en inglés)</w:t>
      </w:r>
    </w:p>
    <w:p w14:paraId="27A6C967" w14:textId="77777777" w:rsidR="007A5B6E" w:rsidRPr="007A5B6E" w:rsidRDefault="007A5B6E" w:rsidP="007A5B6E">
      <w:pPr>
        <w:shd w:val="clear" w:color="auto" w:fill="FFFFFF"/>
        <w:spacing w:after="0" w:line="240" w:lineRule="auto"/>
        <w:ind w:left="720" w:firstLine="720"/>
        <w:textAlignment w:val="top"/>
        <w:rPr>
          <w:rFonts w:ascii="Calibri" w:eastAsia="Calibri" w:hAnsi="Calibri" w:cs="Calibri"/>
          <w:color w:val="333333"/>
          <w:kern w:val="0"/>
          <w:sz w:val="22"/>
          <w:szCs w:val="22"/>
          <w:u w:val="single"/>
          <w:lang w:val="es-ES"/>
          <w14:ligatures w14:val="none"/>
        </w:rPr>
      </w:pPr>
    </w:p>
    <w:p w14:paraId="0AACA04C" w14:textId="77777777" w:rsidR="00DF0185" w:rsidRDefault="00DF0185" w:rsidP="007A5B6E">
      <w:pPr>
        <w:rPr>
          <w:rFonts w:ascii="Calibri" w:hAnsi="Calibri" w:cs="Calibri"/>
          <w:b/>
          <w:bCs/>
          <w:i/>
          <w:iCs/>
          <w:sz w:val="22"/>
          <w:szCs w:val="22"/>
          <w:lang w:val="en-GB"/>
        </w:rPr>
      </w:pPr>
    </w:p>
    <w:p w14:paraId="39995C07" w14:textId="77777777" w:rsidR="00DF0185" w:rsidRDefault="00DF0185" w:rsidP="007A5B6E">
      <w:pPr>
        <w:rPr>
          <w:rFonts w:ascii="Calibri" w:hAnsi="Calibri" w:cs="Calibri"/>
          <w:b/>
          <w:bCs/>
          <w:i/>
          <w:iCs/>
          <w:sz w:val="22"/>
          <w:szCs w:val="22"/>
          <w:lang w:val="en-GB"/>
        </w:rPr>
      </w:pPr>
    </w:p>
    <w:p w14:paraId="10C101A1" w14:textId="1B8E3524" w:rsidR="007A5B6E" w:rsidRPr="00DF0185" w:rsidRDefault="007A5B6E" w:rsidP="007A5B6E">
      <w:pPr>
        <w:rPr>
          <w:rFonts w:ascii="Calibri" w:hAnsi="Calibri" w:cs="Calibri"/>
          <w:i/>
          <w:iCs/>
          <w:sz w:val="22"/>
          <w:szCs w:val="22"/>
          <w:lang w:val="en-GB"/>
        </w:rPr>
      </w:pPr>
      <w:r w:rsidRPr="00DF0185">
        <w:rPr>
          <w:rFonts w:ascii="Calibri" w:hAnsi="Calibri" w:cs="Calibri"/>
          <w:b/>
          <w:bCs/>
          <w:i/>
          <w:iCs/>
          <w:sz w:val="22"/>
          <w:szCs w:val="22"/>
          <w:lang w:val="en-GB"/>
        </w:rPr>
        <w:lastRenderedPageBreak/>
        <w:t>Disclaimer</w:t>
      </w:r>
      <w:r w:rsidRPr="00DF0185">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5A2488A9" w14:textId="61B8A7E7" w:rsidR="00DA504D" w:rsidRPr="00DF0185" w:rsidRDefault="007A5B6E">
      <w:proofErr w:type="spellStart"/>
      <w:r w:rsidRPr="00DF0185">
        <w:rPr>
          <w:rFonts w:ascii="Calibri" w:hAnsi="Calibri" w:cs="Calibri"/>
          <w:b/>
          <w:bCs/>
          <w:i/>
          <w:iCs/>
          <w:sz w:val="22"/>
          <w:szCs w:val="22"/>
        </w:rPr>
        <w:t>Descargo</w:t>
      </w:r>
      <w:proofErr w:type="spellEnd"/>
      <w:r w:rsidRPr="00DF0185">
        <w:rPr>
          <w:rFonts w:ascii="Calibri" w:hAnsi="Calibri" w:cs="Calibri"/>
          <w:b/>
          <w:bCs/>
          <w:i/>
          <w:iCs/>
          <w:sz w:val="22"/>
          <w:szCs w:val="22"/>
        </w:rPr>
        <w:t xml:space="preserve"> de </w:t>
      </w:r>
      <w:proofErr w:type="spellStart"/>
      <w:r w:rsidRPr="00DF0185">
        <w:rPr>
          <w:rFonts w:ascii="Calibri" w:hAnsi="Calibri" w:cs="Calibri"/>
          <w:b/>
          <w:bCs/>
          <w:i/>
          <w:iCs/>
          <w:sz w:val="22"/>
          <w:szCs w:val="22"/>
        </w:rPr>
        <w:t>responsabilidad</w:t>
      </w:r>
      <w:proofErr w:type="spellEnd"/>
      <w:r w:rsidRPr="00DF0185">
        <w:rPr>
          <w:rFonts w:ascii="Calibri" w:hAnsi="Calibri" w:cs="Calibri"/>
          <w:i/>
          <w:iCs/>
          <w:sz w:val="22"/>
          <w:szCs w:val="22"/>
        </w:rPr>
        <w:t xml:space="preserve">: </w:t>
      </w:r>
      <w:proofErr w:type="spellStart"/>
      <w:r w:rsidRPr="00DF0185">
        <w:rPr>
          <w:rFonts w:ascii="Calibri" w:hAnsi="Calibri" w:cs="Calibri"/>
          <w:i/>
          <w:iCs/>
          <w:sz w:val="22"/>
          <w:szCs w:val="22"/>
        </w:rPr>
        <w:t>esta</w:t>
      </w:r>
      <w:proofErr w:type="spellEnd"/>
      <w:r w:rsidRPr="00DF0185">
        <w:rPr>
          <w:rFonts w:ascii="Calibri" w:hAnsi="Calibri" w:cs="Calibri"/>
          <w:i/>
          <w:iCs/>
          <w:sz w:val="22"/>
          <w:szCs w:val="22"/>
        </w:rPr>
        <w:t xml:space="preserve"> es </w:t>
      </w:r>
      <w:proofErr w:type="spellStart"/>
      <w:r w:rsidRPr="00DF0185">
        <w:rPr>
          <w:rFonts w:ascii="Calibri" w:hAnsi="Calibri" w:cs="Calibri"/>
          <w:i/>
          <w:iCs/>
          <w:sz w:val="22"/>
          <w:szCs w:val="22"/>
        </w:rPr>
        <w:t>una</w:t>
      </w:r>
      <w:proofErr w:type="spellEnd"/>
      <w:r w:rsidRPr="00DF0185">
        <w:rPr>
          <w:rFonts w:ascii="Calibri" w:hAnsi="Calibri" w:cs="Calibri"/>
          <w:i/>
          <w:iCs/>
          <w:sz w:val="22"/>
          <w:szCs w:val="22"/>
        </w:rPr>
        <w:t xml:space="preserve"> </w:t>
      </w:r>
      <w:proofErr w:type="spellStart"/>
      <w:r w:rsidRPr="00DF0185">
        <w:rPr>
          <w:rFonts w:ascii="Calibri" w:hAnsi="Calibri" w:cs="Calibri"/>
          <w:i/>
          <w:iCs/>
          <w:sz w:val="22"/>
          <w:szCs w:val="22"/>
        </w:rPr>
        <w:t>traducción</w:t>
      </w:r>
      <w:proofErr w:type="spellEnd"/>
      <w:r w:rsidRPr="00DF0185">
        <w:rPr>
          <w:rFonts w:ascii="Calibri" w:hAnsi="Calibri" w:cs="Calibri"/>
          <w:i/>
          <w:iCs/>
          <w:sz w:val="22"/>
          <w:szCs w:val="22"/>
        </w:rPr>
        <w:t xml:space="preserve"> de un </w:t>
      </w:r>
      <w:proofErr w:type="spellStart"/>
      <w:r w:rsidRPr="00DF0185">
        <w:rPr>
          <w:rFonts w:ascii="Calibri" w:hAnsi="Calibri" w:cs="Calibri"/>
          <w:i/>
          <w:iCs/>
          <w:sz w:val="22"/>
          <w:szCs w:val="22"/>
        </w:rPr>
        <w:t>documento</w:t>
      </w:r>
      <w:proofErr w:type="spellEnd"/>
      <w:r w:rsidRPr="00DF0185">
        <w:rPr>
          <w:rFonts w:ascii="Calibri" w:hAnsi="Calibri" w:cs="Calibri"/>
          <w:i/>
          <w:iCs/>
          <w:sz w:val="22"/>
          <w:szCs w:val="22"/>
        </w:rPr>
        <w:t xml:space="preserve"> original </w:t>
      </w:r>
      <w:proofErr w:type="spellStart"/>
      <w:r w:rsidRPr="00DF0185">
        <w:rPr>
          <w:rFonts w:ascii="Calibri" w:hAnsi="Calibri" w:cs="Calibri"/>
          <w:i/>
          <w:iCs/>
          <w:sz w:val="22"/>
          <w:szCs w:val="22"/>
        </w:rPr>
        <w:t>en</w:t>
      </w:r>
      <w:proofErr w:type="spellEnd"/>
      <w:r w:rsidRPr="00DF0185">
        <w:rPr>
          <w:rFonts w:ascii="Calibri" w:hAnsi="Calibri" w:cs="Calibri"/>
          <w:i/>
          <w:iCs/>
          <w:sz w:val="22"/>
          <w:szCs w:val="22"/>
        </w:rPr>
        <w:t xml:space="preserve"> Inglés. En </w:t>
      </w:r>
      <w:proofErr w:type="spellStart"/>
      <w:r w:rsidRPr="00DF0185">
        <w:rPr>
          <w:rFonts w:ascii="Calibri" w:hAnsi="Calibri" w:cs="Calibri"/>
          <w:i/>
          <w:iCs/>
          <w:sz w:val="22"/>
          <w:szCs w:val="22"/>
        </w:rPr>
        <w:t>caso</w:t>
      </w:r>
      <w:proofErr w:type="spellEnd"/>
      <w:r w:rsidRPr="00DF0185">
        <w:rPr>
          <w:rFonts w:ascii="Calibri" w:hAnsi="Calibri" w:cs="Calibri"/>
          <w:i/>
          <w:iCs/>
          <w:sz w:val="22"/>
          <w:szCs w:val="22"/>
        </w:rPr>
        <w:t xml:space="preserve"> de </w:t>
      </w:r>
      <w:proofErr w:type="spellStart"/>
      <w:r w:rsidRPr="00DF0185">
        <w:rPr>
          <w:rFonts w:ascii="Calibri" w:hAnsi="Calibri" w:cs="Calibri"/>
          <w:i/>
          <w:iCs/>
          <w:sz w:val="22"/>
          <w:szCs w:val="22"/>
        </w:rPr>
        <w:t>discrepancias</w:t>
      </w:r>
      <w:proofErr w:type="spellEnd"/>
      <w:r w:rsidRPr="00DF0185">
        <w:rPr>
          <w:rFonts w:ascii="Calibri" w:hAnsi="Calibri" w:cs="Calibri"/>
          <w:i/>
          <w:iCs/>
          <w:sz w:val="22"/>
          <w:szCs w:val="22"/>
        </w:rPr>
        <w:t xml:space="preserve"> entre </w:t>
      </w:r>
      <w:proofErr w:type="spellStart"/>
      <w:r w:rsidRPr="00DF0185">
        <w:rPr>
          <w:rFonts w:ascii="Calibri" w:hAnsi="Calibri" w:cs="Calibri"/>
          <w:i/>
          <w:iCs/>
          <w:sz w:val="22"/>
          <w:szCs w:val="22"/>
        </w:rPr>
        <w:t>esta</w:t>
      </w:r>
      <w:proofErr w:type="spellEnd"/>
      <w:r w:rsidRPr="00DF0185">
        <w:rPr>
          <w:rFonts w:ascii="Calibri" w:hAnsi="Calibri" w:cs="Calibri"/>
          <w:i/>
          <w:iCs/>
          <w:sz w:val="22"/>
          <w:szCs w:val="22"/>
        </w:rPr>
        <w:t xml:space="preserve"> </w:t>
      </w:r>
      <w:proofErr w:type="spellStart"/>
      <w:r w:rsidRPr="00DF0185">
        <w:rPr>
          <w:rFonts w:ascii="Calibri" w:hAnsi="Calibri" w:cs="Calibri"/>
          <w:i/>
          <w:iCs/>
          <w:sz w:val="22"/>
          <w:szCs w:val="22"/>
        </w:rPr>
        <w:t>traducción</w:t>
      </w:r>
      <w:proofErr w:type="spellEnd"/>
      <w:r w:rsidRPr="00DF0185">
        <w:rPr>
          <w:rFonts w:ascii="Calibri" w:hAnsi="Calibri" w:cs="Calibri"/>
          <w:i/>
          <w:iCs/>
          <w:sz w:val="22"/>
          <w:szCs w:val="22"/>
        </w:rPr>
        <w:t xml:space="preserve"> y </w:t>
      </w:r>
      <w:proofErr w:type="spellStart"/>
      <w:r w:rsidRPr="00DF0185">
        <w:rPr>
          <w:rFonts w:ascii="Calibri" w:hAnsi="Calibri" w:cs="Calibri"/>
          <w:i/>
          <w:iCs/>
          <w:sz w:val="22"/>
          <w:szCs w:val="22"/>
        </w:rPr>
        <w:t>el</w:t>
      </w:r>
      <w:proofErr w:type="spellEnd"/>
      <w:r w:rsidRPr="00DF0185">
        <w:rPr>
          <w:rFonts w:ascii="Calibri" w:hAnsi="Calibri" w:cs="Calibri"/>
          <w:i/>
          <w:iCs/>
          <w:sz w:val="22"/>
          <w:szCs w:val="22"/>
        </w:rPr>
        <w:t xml:space="preserve"> </w:t>
      </w:r>
      <w:proofErr w:type="spellStart"/>
      <w:r w:rsidRPr="00DF0185">
        <w:rPr>
          <w:rFonts w:ascii="Calibri" w:hAnsi="Calibri" w:cs="Calibri"/>
          <w:i/>
          <w:iCs/>
          <w:sz w:val="22"/>
          <w:szCs w:val="22"/>
        </w:rPr>
        <w:t>documento</w:t>
      </w:r>
      <w:proofErr w:type="spellEnd"/>
      <w:r w:rsidRPr="00DF0185">
        <w:rPr>
          <w:rFonts w:ascii="Calibri" w:hAnsi="Calibri" w:cs="Calibri"/>
          <w:i/>
          <w:iCs/>
          <w:sz w:val="22"/>
          <w:szCs w:val="22"/>
        </w:rPr>
        <w:t xml:space="preserve"> original </w:t>
      </w:r>
      <w:proofErr w:type="spellStart"/>
      <w:r w:rsidRPr="00DF0185">
        <w:rPr>
          <w:rFonts w:ascii="Calibri" w:hAnsi="Calibri" w:cs="Calibri"/>
          <w:i/>
          <w:iCs/>
          <w:sz w:val="22"/>
          <w:szCs w:val="22"/>
        </w:rPr>
        <w:t>en</w:t>
      </w:r>
      <w:proofErr w:type="spellEnd"/>
      <w:r w:rsidRPr="00DF0185">
        <w:rPr>
          <w:rFonts w:ascii="Calibri" w:hAnsi="Calibri" w:cs="Calibri"/>
          <w:i/>
          <w:iCs/>
          <w:sz w:val="22"/>
          <w:szCs w:val="22"/>
        </w:rPr>
        <w:t xml:space="preserve"> </w:t>
      </w:r>
      <w:proofErr w:type="spellStart"/>
      <w:r w:rsidRPr="00DF0185">
        <w:rPr>
          <w:rFonts w:ascii="Calibri" w:hAnsi="Calibri" w:cs="Calibri"/>
          <w:i/>
          <w:iCs/>
          <w:sz w:val="22"/>
          <w:szCs w:val="22"/>
        </w:rPr>
        <w:t>inglés</w:t>
      </w:r>
      <w:proofErr w:type="spellEnd"/>
      <w:r w:rsidRPr="00DF0185">
        <w:rPr>
          <w:rFonts w:ascii="Calibri" w:hAnsi="Calibri" w:cs="Calibri"/>
          <w:i/>
          <w:iCs/>
          <w:sz w:val="22"/>
          <w:szCs w:val="22"/>
        </w:rPr>
        <w:t xml:space="preserve">, </w:t>
      </w:r>
      <w:proofErr w:type="spellStart"/>
      <w:r w:rsidRPr="00DF0185">
        <w:rPr>
          <w:rFonts w:ascii="Calibri" w:hAnsi="Calibri" w:cs="Calibri"/>
          <w:i/>
          <w:iCs/>
          <w:sz w:val="22"/>
          <w:szCs w:val="22"/>
        </w:rPr>
        <w:t>prevalecerá</w:t>
      </w:r>
      <w:proofErr w:type="spellEnd"/>
      <w:r w:rsidRPr="00DF0185">
        <w:rPr>
          <w:rFonts w:ascii="Calibri" w:hAnsi="Calibri" w:cs="Calibri"/>
          <w:i/>
          <w:iCs/>
          <w:sz w:val="22"/>
          <w:szCs w:val="22"/>
        </w:rPr>
        <w:t xml:space="preserve"> </w:t>
      </w:r>
      <w:proofErr w:type="spellStart"/>
      <w:r w:rsidRPr="00DF0185">
        <w:rPr>
          <w:rFonts w:ascii="Calibri" w:hAnsi="Calibri" w:cs="Calibri"/>
          <w:i/>
          <w:iCs/>
          <w:sz w:val="22"/>
          <w:szCs w:val="22"/>
        </w:rPr>
        <w:t>el</w:t>
      </w:r>
      <w:proofErr w:type="spellEnd"/>
      <w:r w:rsidRPr="00DF0185">
        <w:rPr>
          <w:rFonts w:ascii="Calibri" w:hAnsi="Calibri" w:cs="Calibri"/>
          <w:i/>
          <w:iCs/>
          <w:sz w:val="22"/>
          <w:szCs w:val="22"/>
        </w:rPr>
        <w:t xml:space="preserve"> </w:t>
      </w:r>
      <w:proofErr w:type="spellStart"/>
      <w:r w:rsidRPr="00DF0185">
        <w:rPr>
          <w:rFonts w:ascii="Calibri" w:hAnsi="Calibri" w:cs="Calibri"/>
          <w:i/>
          <w:iCs/>
          <w:sz w:val="22"/>
          <w:szCs w:val="22"/>
        </w:rPr>
        <w:t>documento</w:t>
      </w:r>
      <w:proofErr w:type="spellEnd"/>
      <w:r w:rsidRPr="00DF0185">
        <w:rPr>
          <w:rFonts w:ascii="Calibri" w:hAnsi="Calibri" w:cs="Calibri"/>
          <w:i/>
          <w:iCs/>
          <w:sz w:val="22"/>
          <w:szCs w:val="22"/>
        </w:rPr>
        <w:t xml:space="preserve"> original </w:t>
      </w:r>
      <w:proofErr w:type="spellStart"/>
      <w:r w:rsidRPr="00DF0185">
        <w:rPr>
          <w:rFonts w:ascii="Calibri" w:hAnsi="Calibri" w:cs="Calibri"/>
          <w:i/>
          <w:iCs/>
          <w:sz w:val="22"/>
          <w:szCs w:val="22"/>
        </w:rPr>
        <w:t>en</w:t>
      </w:r>
      <w:proofErr w:type="spellEnd"/>
      <w:r w:rsidRPr="00DF0185">
        <w:rPr>
          <w:rFonts w:ascii="Calibri" w:hAnsi="Calibri" w:cs="Calibri"/>
          <w:i/>
          <w:iCs/>
          <w:sz w:val="22"/>
          <w:szCs w:val="22"/>
        </w:rPr>
        <w:t xml:space="preserve"> </w:t>
      </w:r>
      <w:proofErr w:type="spellStart"/>
      <w:r w:rsidRPr="00DF0185">
        <w:rPr>
          <w:rFonts w:ascii="Calibri" w:hAnsi="Calibri" w:cs="Calibri"/>
          <w:i/>
          <w:iCs/>
          <w:sz w:val="22"/>
          <w:szCs w:val="22"/>
        </w:rPr>
        <w:t>inglés</w:t>
      </w:r>
      <w:proofErr w:type="spellEnd"/>
      <w:r w:rsidRPr="00DF0185">
        <w:rPr>
          <w:rFonts w:ascii="Calibri" w:hAnsi="Calibri" w:cs="Calibri"/>
          <w:i/>
          <w:iCs/>
          <w:sz w:val="22"/>
          <w:szCs w:val="22"/>
        </w:rPr>
        <w:t>.</w:t>
      </w:r>
    </w:p>
    <w:sectPr w:rsidR="00DA504D" w:rsidRPr="00DF0185" w:rsidSect="007A5B6E">
      <w:headerReference w:type="default" r:id="rId12"/>
      <w:footerReference w:type="even" r:id="rId13"/>
      <w:footerReference w:type="default" r:id="rId14"/>
      <w:footerReference w:type="first" r:id="rId15"/>
      <w:pgSz w:w="12240" w:h="15840"/>
      <w:pgMar w:top="1440" w:right="1435" w:bottom="1726"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49C2F" w14:textId="77777777" w:rsidR="00F7766E" w:rsidRDefault="00F7766E" w:rsidP="007A5B6E">
      <w:pPr>
        <w:spacing w:after="0" w:line="240" w:lineRule="auto"/>
      </w:pPr>
      <w:r>
        <w:separator/>
      </w:r>
    </w:p>
  </w:endnote>
  <w:endnote w:type="continuationSeparator" w:id="0">
    <w:p w14:paraId="03E0E4DD" w14:textId="77777777" w:rsidR="00F7766E" w:rsidRDefault="00F7766E" w:rsidP="007A5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D0272" w14:textId="77777777" w:rsidR="007A5B6E" w:rsidRDefault="007A5B6E">
    <w:pPr>
      <w:spacing w:after="0" w:line="259" w:lineRule="auto"/>
      <w:ind w:right="2"/>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p>
  <w:p w14:paraId="2A13AF8C" w14:textId="77777777" w:rsidR="007A5B6E" w:rsidRDefault="007A5B6E">
    <w:pPr>
      <w:spacing w:after="0" w:line="259" w:lineRule="auto"/>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0C99" w14:textId="77777777" w:rsidR="007A5B6E" w:rsidRPr="007A5B6E" w:rsidRDefault="007A5B6E">
    <w:pPr>
      <w:spacing w:after="0" w:line="259" w:lineRule="auto"/>
      <w:rPr>
        <w:rFonts w:ascii="Calibri" w:hAnsi="Calibri" w:cs="Calibri"/>
        <w:sz w:val="22"/>
        <w:szCs w:val="22"/>
      </w:rPr>
    </w:pPr>
    <w:r w:rsidRPr="007A5B6E">
      <w:rPr>
        <w:rFonts w:ascii="Calibri" w:hAnsi="Calibri" w:cs="Calibri"/>
        <w:sz w:val="22"/>
        <w:szCs w:val="22"/>
      </w:rPr>
      <w:t xml:space="preserve">Página </w:t>
    </w:r>
    <w:r w:rsidRPr="007A5B6E">
      <w:rPr>
        <w:rFonts w:ascii="Calibri" w:hAnsi="Calibri" w:cs="Calibri"/>
        <w:b/>
        <w:sz w:val="22"/>
        <w:szCs w:val="22"/>
      </w:rPr>
      <w:fldChar w:fldCharType="begin"/>
    </w:r>
    <w:r w:rsidRPr="007A5B6E">
      <w:rPr>
        <w:rFonts w:ascii="Calibri" w:hAnsi="Calibri" w:cs="Calibri"/>
        <w:b/>
        <w:sz w:val="22"/>
        <w:szCs w:val="22"/>
      </w:rPr>
      <w:instrText xml:space="preserve"> PAGE  \* Arabic  \* MERGEFORMAT </w:instrText>
    </w:r>
    <w:r w:rsidRPr="007A5B6E">
      <w:rPr>
        <w:rFonts w:ascii="Calibri" w:hAnsi="Calibri" w:cs="Calibri"/>
        <w:b/>
        <w:sz w:val="22"/>
        <w:szCs w:val="22"/>
      </w:rPr>
      <w:fldChar w:fldCharType="separate"/>
    </w:r>
    <w:r w:rsidRPr="007A5B6E">
      <w:rPr>
        <w:rFonts w:ascii="Calibri" w:hAnsi="Calibri" w:cs="Calibri"/>
        <w:b/>
        <w:noProof/>
        <w:sz w:val="22"/>
        <w:szCs w:val="22"/>
      </w:rPr>
      <w:t>3</w:t>
    </w:r>
    <w:r w:rsidRPr="007A5B6E">
      <w:rPr>
        <w:rFonts w:ascii="Calibri" w:hAnsi="Calibri" w:cs="Calibri"/>
        <w:b/>
        <w:sz w:val="22"/>
        <w:szCs w:val="22"/>
      </w:rPr>
      <w:fldChar w:fldCharType="end"/>
    </w:r>
    <w:r w:rsidRPr="007A5B6E">
      <w:rPr>
        <w:rFonts w:ascii="Calibri" w:hAnsi="Calibri" w:cs="Calibri"/>
        <w:sz w:val="22"/>
        <w:szCs w:val="22"/>
      </w:rPr>
      <w:t xml:space="preserve"> de </w:t>
    </w:r>
    <w:r w:rsidRPr="007A5B6E">
      <w:rPr>
        <w:rFonts w:ascii="Calibri" w:hAnsi="Calibri" w:cs="Calibri"/>
        <w:b/>
        <w:sz w:val="22"/>
        <w:szCs w:val="22"/>
      </w:rPr>
      <w:fldChar w:fldCharType="begin"/>
    </w:r>
    <w:r w:rsidRPr="007A5B6E">
      <w:rPr>
        <w:rFonts w:ascii="Calibri" w:hAnsi="Calibri" w:cs="Calibri"/>
        <w:b/>
        <w:sz w:val="22"/>
        <w:szCs w:val="22"/>
      </w:rPr>
      <w:instrText xml:space="preserve"> NUMPAGES  \* Arabic  \* MERGEFORMAT </w:instrText>
    </w:r>
    <w:r w:rsidRPr="007A5B6E">
      <w:rPr>
        <w:rFonts w:ascii="Calibri" w:hAnsi="Calibri" w:cs="Calibri"/>
        <w:b/>
        <w:sz w:val="22"/>
        <w:szCs w:val="22"/>
      </w:rPr>
      <w:fldChar w:fldCharType="separate"/>
    </w:r>
    <w:r w:rsidRPr="007A5B6E">
      <w:rPr>
        <w:rFonts w:ascii="Calibri" w:hAnsi="Calibri" w:cs="Calibri"/>
        <w:b/>
        <w:noProof/>
        <w:sz w:val="22"/>
        <w:szCs w:val="22"/>
      </w:rPr>
      <w:t>4</w:t>
    </w:r>
    <w:r w:rsidRPr="007A5B6E">
      <w:rPr>
        <w:rFonts w:ascii="Calibri" w:hAnsi="Calibri" w:cs="Calibri"/>
        <w:b/>
        <w:sz w:val="22"/>
        <w:szCs w:val="22"/>
      </w:rPr>
      <w:fldChar w:fldCharType="end"/>
    </w:r>
    <w:r w:rsidRPr="007A5B6E">
      <w:rPr>
        <w:rFonts w:ascii="Calibri" w:hAnsi="Calibri" w:cs="Calibri"/>
        <w:sz w:val="22"/>
        <w:szCs w:val="22"/>
      </w:rPr>
      <w:ptab w:relativeTo="margin" w:alignment="center" w:leader="none"/>
    </w:r>
    <w:proofErr w:type="spellStart"/>
    <w:r w:rsidRPr="007A5B6E">
      <w:rPr>
        <w:rFonts w:ascii="Calibri" w:hAnsi="Calibri" w:cs="Calibri"/>
        <w:sz w:val="22"/>
        <w:szCs w:val="22"/>
      </w:rPr>
      <w:t>Fecha</w:t>
    </w:r>
    <w:proofErr w:type="spellEnd"/>
    <w:r w:rsidRPr="007A5B6E">
      <w:rPr>
        <w:rFonts w:ascii="Calibri" w:hAnsi="Calibri" w:cs="Calibri"/>
        <w:sz w:val="22"/>
        <w:szCs w:val="22"/>
      </w:rPr>
      <w:t xml:space="preserve"> de entrada </w:t>
    </w:r>
    <w:proofErr w:type="spellStart"/>
    <w:r w:rsidRPr="007A5B6E">
      <w:rPr>
        <w:rFonts w:ascii="Calibri" w:hAnsi="Calibri" w:cs="Calibri"/>
        <w:sz w:val="22"/>
        <w:szCs w:val="22"/>
      </w:rPr>
      <w:t>en</w:t>
    </w:r>
    <w:proofErr w:type="spellEnd"/>
    <w:r w:rsidRPr="007A5B6E">
      <w:rPr>
        <w:rFonts w:ascii="Calibri" w:hAnsi="Calibri" w:cs="Calibri"/>
        <w:sz w:val="22"/>
        <w:szCs w:val="22"/>
      </w:rPr>
      <w:t xml:space="preserve"> vigor: 25/07/2016 </w:t>
    </w:r>
    <w:r w:rsidRPr="007A5B6E">
      <w:rPr>
        <w:rFonts w:ascii="Calibri" w:hAnsi="Calibri" w:cs="Calibri"/>
        <w:sz w:val="22"/>
        <w:szCs w:val="22"/>
      </w:rPr>
      <w:ptab w:relativeTo="margin" w:alignment="right" w:leader="none"/>
    </w:r>
    <w:proofErr w:type="spellStart"/>
    <w:r w:rsidRPr="007A5B6E">
      <w:rPr>
        <w:rFonts w:ascii="Calibri" w:hAnsi="Calibri" w:cs="Calibri"/>
        <w:sz w:val="22"/>
        <w:szCs w:val="22"/>
      </w:rPr>
      <w:t>Versión</w:t>
    </w:r>
    <w:proofErr w:type="spellEnd"/>
    <w:r w:rsidRPr="007A5B6E">
      <w:rPr>
        <w:rFonts w:ascii="Calibri" w:hAnsi="Calibri" w:cs="Calibri"/>
        <w:sz w:val="22"/>
        <w:szCs w:val="22"/>
      </w:rPr>
      <w:t xml:space="preserve"> #: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AF8D" w14:textId="77777777" w:rsidR="007A5B6E" w:rsidRDefault="007A5B6E">
    <w:pPr>
      <w:spacing w:after="0" w:line="259" w:lineRule="auto"/>
      <w:ind w:right="2"/>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p>
  <w:p w14:paraId="04847C4F" w14:textId="77777777" w:rsidR="007A5B6E" w:rsidRDefault="007A5B6E">
    <w:pPr>
      <w:spacing w:after="0" w:line="259" w:lineRule="auto"/>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0400B" w14:textId="77777777" w:rsidR="00F7766E" w:rsidRDefault="00F7766E" w:rsidP="007A5B6E">
      <w:pPr>
        <w:spacing w:after="0" w:line="240" w:lineRule="auto"/>
      </w:pPr>
      <w:r>
        <w:separator/>
      </w:r>
    </w:p>
  </w:footnote>
  <w:footnote w:type="continuationSeparator" w:id="0">
    <w:p w14:paraId="506E4FBA" w14:textId="77777777" w:rsidR="00F7766E" w:rsidRDefault="00F7766E" w:rsidP="007A5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23C2F" w14:textId="5B487900" w:rsidR="007A5B6E" w:rsidRDefault="007A5B6E" w:rsidP="008A1A28">
    <w:pPr>
      <w:pStyle w:val="Header"/>
      <w:jc w:val="right"/>
    </w:pPr>
    <w:r>
      <w:rPr>
        <w:noProof/>
      </w:rPr>
      <w:drawing>
        <wp:inline distT="0" distB="0" distL="0" distR="0" wp14:anchorId="0656DD3B" wp14:editId="4D71C6F2">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05CB8742" w14:textId="77777777" w:rsidR="007A5B6E" w:rsidRDefault="007A5B6E" w:rsidP="008A1A2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96611"/>
    <w:multiLevelType w:val="hybridMultilevel"/>
    <w:tmpl w:val="DBA4D570"/>
    <w:lvl w:ilvl="0" w:tplc="BCB4BCFC">
      <w:start w:val="4"/>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9C1ED5E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8E8890B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68BA0FD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AB0CD4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958E154">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E9C684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D903EB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6848AE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2A5002D5"/>
    <w:multiLevelType w:val="hybridMultilevel"/>
    <w:tmpl w:val="C3BED936"/>
    <w:lvl w:ilvl="0" w:tplc="65AE32CA">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D27EDEEE">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3D04C5A">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A776092C">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E76C4C6">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920C501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CFD49794">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F9814CC">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18D4EDEC">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6C4677B5"/>
    <w:multiLevelType w:val="hybridMultilevel"/>
    <w:tmpl w:val="417457DE"/>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8A2F03"/>
    <w:multiLevelType w:val="hybridMultilevel"/>
    <w:tmpl w:val="90D0E398"/>
    <w:lvl w:ilvl="0" w:tplc="FD3A3596">
      <w:start w:val="13"/>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2A5A16A4">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DA825A6E">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A044007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1A28D4B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C6CD182">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F389D2C">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3AC9A8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E904EE1E">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1758135749">
    <w:abstractNumId w:val="1"/>
  </w:num>
  <w:num w:numId="2" w16cid:durableId="1372724102">
    <w:abstractNumId w:val="0"/>
  </w:num>
  <w:num w:numId="3" w16cid:durableId="1241060962">
    <w:abstractNumId w:val="3"/>
  </w:num>
  <w:num w:numId="4" w16cid:durableId="1434351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B6E"/>
    <w:rsid w:val="00594316"/>
    <w:rsid w:val="007A5B6E"/>
    <w:rsid w:val="008D0F20"/>
    <w:rsid w:val="00BF7F3D"/>
    <w:rsid w:val="00C61B9D"/>
    <w:rsid w:val="00DA504D"/>
    <w:rsid w:val="00DF0185"/>
    <w:rsid w:val="00F03BDE"/>
    <w:rsid w:val="00F77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09EB"/>
  <w15:chartTrackingRefBased/>
  <w15:docId w15:val="{DF839669-D641-4A10-8C14-B681C8D05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5B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5B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5B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5B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5B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5B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B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B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B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B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5B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5B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5B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5B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5B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B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B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B6E"/>
    <w:rPr>
      <w:rFonts w:eastAsiaTheme="majorEastAsia" w:cstheme="majorBidi"/>
      <w:color w:val="272727" w:themeColor="text1" w:themeTint="D8"/>
    </w:rPr>
  </w:style>
  <w:style w:type="paragraph" w:styleId="Title">
    <w:name w:val="Title"/>
    <w:basedOn w:val="Normal"/>
    <w:next w:val="Normal"/>
    <w:link w:val="TitleChar"/>
    <w:uiPriority w:val="10"/>
    <w:qFormat/>
    <w:rsid w:val="007A5B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5B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5B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5B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5B6E"/>
    <w:pPr>
      <w:spacing w:before="160"/>
      <w:jc w:val="center"/>
    </w:pPr>
    <w:rPr>
      <w:i/>
      <w:iCs/>
      <w:color w:val="404040" w:themeColor="text1" w:themeTint="BF"/>
    </w:rPr>
  </w:style>
  <w:style w:type="character" w:customStyle="1" w:styleId="QuoteChar">
    <w:name w:val="Quote Char"/>
    <w:basedOn w:val="DefaultParagraphFont"/>
    <w:link w:val="Quote"/>
    <w:uiPriority w:val="29"/>
    <w:rsid w:val="007A5B6E"/>
    <w:rPr>
      <w:i/>
      <w:iCs/>
      <w:color w:val="404040" w:themeColor="text1" w:themeTint="BF"/>
    </w:rPr>
  </w:style>
  <w:style w:type="paragraph" w:styleId="ListParagraph">
    <w:name w:val="List Paragraph"/>
    <w:basedOn w:val="Normal"/>
    <w:uiPriority w:val="34"/>
    <w:qFormat/>
    <w:rsid w:val="007A5B6E"/>
    <w:pPr>
      <w:ind w:left="720"/>
      <w:contextualSpacing/>
    </w:pPr>
  </w:style>
  <w:style w:type="character" w:styleId="IntenseEmphasis">
    <w:name w:val="Intense Emphasis"/>
    <w:basedOn w:val="DefaultParagraphFont"/>
    <w:uiPriority w:val="21"/>
    <w:qFormat/>
    <w:rsid w:val="007A5B6E"/>
    <w:rPr>
      <w:i/>
      <w:iCs/>
      <w:color w:val="0F4761" w:themeColor="accent1" w:themeShade="BF"/>
    </w:rPr>
  </w:style>
  <w:style w:type="paragraph" w:styleId="IntenseQuote">
    <w:name w:val="Intense Quote"/>
    <w:basedOn w:val="Normal"/>
    <w:next w:val="Normal"/>
    <w:link w:val="IntenseQuoteChar"/>
    <w:uiPriority w:val="30"/>
    <w:qFormat/>
    <w:rsid w:val="007A5B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5B6E"/>
    <w:rPr>
      <w:i/>
      <w:iCs/>
      <w:color w:val="0F4761" w:themeColor="accent1" w:themeShade="BF"/>
    </w:rPr>
  </w:style>
  <w:style w:type="character" w:styleId="IntenseReference">
    <w:name w:val="Intense Reference"/>
    <w:basedOn w:val="DefaultParagraphFont"/>
    <w:uiPriority w:val="32"/>
    <w:qFormat/>
    <w:rsid w:val="007A5B6E"/>
    <w:rPr>
      <w:b/>
      <w:bCs/>
      <w:smallCaps/>
      <w:color w:val="0F4761" w:themeColor="accent1" w:themeShade="BF"/>
      <w:spacing w:val="5"/>
    </w:rPr>
  </w:style>
  <w:style w:type="paragraph" w:styleId="Header">
    <w:name w:val="header"/>
    <w:basedOn w:val="Normal"/>
    <w:link w:val="HeaderChar"/>
    <w:uiPriority w:val="99"/>
    <w:semiHidden/>
    <w:unhideWhenUsed/>
    <w:rsid w:val="007A5B6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A5B6E"/>
  </w:style>
  <w:style w:type="paragraph" w:styleId="Revision">
    <w:name w:val="Revision"/>
    <w:hidden/>
    <w:uiPriority w:val="99"/>
    <w:semiHidden/>
    <w:rsid w:val="007A5B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node/1068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ndp.service-now.com/unall?id=esc_home"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3361"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popp.undp.org/es/node/10681" TargetMode="External"/><Relationship Id="rId4" Type="http://schemas.openxmlformats.org/officeDocument/2006/relationships/webSettings" Target="webSettings.xml"/><Relationship Id="rId9" Type="http://schemas.openxmlformats.org/officeDocument/2006/relationships/hyperlink" Target="https://popp.undp.org/es/node/10681"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1130</Words>
  <Characters>6446</Characters>
  <Application>Microsoft Office Word</Application>
  <DocSecurity>0</DocSecurity>
  <Lines>53</Lines>
  <Paragraphs>15</Paragraphs>
  <ScaleCrop>false</ScaleCrop>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2026-04-27T12:52:00Z</dcterms:created>
  <dcterms:modified xsi:type="dcterms:W3CDTF">2026-04-29T00:06:00Z</dcterms:modified>
</cp:coreProperties>
</file>