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881D" w14:textId="77777777" w:rsidR="006036BF" w:rsidRPr="006036BF" w:rsidRDefault="006036BF" w:rsidP="006036BF">
      <w:pPr>
        <w:spacing w:after="0" w:line="259" w:lineRule="auto"/>
        <w:rPr>
          <w:rFonts w:ascii="Calibri" w:eastAsia="Calibri" w:hAnsi="Calibri" w:cs="Calibri"/>
          <w:color w:val="333333"/>
          <w:kern w:val="0"/>
          <w:sz w:val="22"/>
          <w:szCs w:val="22"/>
          <w14:ligatures w14:val="none"/>
        </w:rPr>
      </w:pPr>
      <w:r w:rsidRPr="006036BF">
        <w:rPr>
          <w:rFonts w:ascii="Calibri" w:eastAsia="Calibri" w:hAnsi="Calibri" w:cs="Calibri"/>
          <w:b/>
          <w:color w:val="000000"/>
          <w:kern w:val="0"/>
          <w:sz w:val="28"/>
          <w:szCs w:val="22"/>
          <w14:ligatures w14:val="none"/>
        </w:rPr>
        <w:t xml:space="preserve">Equipment Leases  </w:t>
      </w:r>
    </w:p>
    <w:p w14:paraId="1E9EBCD8" w14:textId="77777777" w:rsidR="006036BF" w:rsidRPr="006036BF" w:rsidRDefault="006036BF" w:rsidP="006036BF">
      <w:pPr>
        <w:spacing w:after="20" w:line="259" w:lineRule="auto"/>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4ABF6B0E" w14:textId="77777777" w:rsidR="006036BF" w:rsidRPr="006036BF" w:rsidRDefault="006036BF" w:rsidP="006036BF">
      <w:pPr>
        <w:numPr>
          <w:ilvl w:val="0"/>
          <w:numId w:val="1"/>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This section describes the process required for business units to source vendors for leasing of Equipment and </w:t>
      </w:r>
      <w:proofErr w:type="gramStart"/>
      <w:r w:rsidRPr="006036BF">
        <w:rPr>
          <w:rFonts w:ascii="Calibri" w:eastAsia="Calibri" w:hAnsi="Calibri" w:cs="Calibri"/>
          <w:color w:val="333333"/>
          <w:kern w:val="0"/>
          <w:sz w:val="22"/>
          <w:szCs w:val="22"/>
          <w14:ligatures w14:val="none"/>
        </w:rPr>
        <w:t>enter into</w:t>
      </w:r>
      <w:proofErr w:type="gramEnd"/>
      <w:r w:rsidRPr="006036BF">
        <w:rPr>
          <w:rFonts w:ascii="Calibri" w:eastAsia="Calibri" w:hAnsi="Calibri" w:cs="Calibri"/>
          <w:color w:val="333333"/>
          <w:kern w:val="0"/>
          <w:sz w:val="22"/>
          <w:szCs w:val="22"/>
          <w14:ligatures w14:val="none"/>
        </w:rPr>
        <w:t xml:space="preserve"> an Equipment Lease. </w:t>
      </w:r>
    </w:p>
    <w:p w14:paraId="2C7AE7F5" w14:textId="77777777" w:rsidR="006036BF" w:rsidRPr="006036BF" w:rsidRDefault="006036BF" w:rsidP="006036BF">
      <w:pPr>
        <w:spacing w:after="20" w:line="259" w:lineRule="auto"/>
        <w:ind w:left="46"/>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02215CC0" w14:textId="77777777" w:rsidR="006036BF" w:rsidRPr="006036BF" w:rsidRDefault="006036BF" w:rsidP="006036BF">
      <w:pPr>
        <w:numPr>
          <w:ilvl w:val="0"/>
          <w:numId w:val="1"/>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It is recommended that the Requesting Unit prepare a lease/buy analysis to compare the costs and benefits of leasing versus buying before proceeding with the Lease option.  In general, UNDP prefers to buy than to lease because the overall total cost of buying is usually cheaper </w:t>
      </w:r>
      <w:proofErr w:type="gramStart"/>
      <w:r w:rsidRPr="006036BF">
        <w:rPr>
          <w:rFonts w:ascii="Calibri" w:eastAsia="Calibri" w:hAnsi="Calibri" w:cs="Calibri"/>
          <w:color w:val="333333"/>
          <w:kern w:val="0"/>
          <w:sz w:val="22"/>
          <w:szCs w:val="22"/>
          <w14:ligatures w14:val="none"/>
        </w:rPr>
        <w:t>as a result of</w:t>
      </w:r>
      <w:proofErr w:type="gramEnd"/>
      <w:r w:rsidRPr="006036BF">
        <w:rPr>
          <w:rFonts w:ascii="Calibri" w:eastAsia="Calibri" w:hAnsi="Calibri" w:cs="Calibri"/>
          <w:color w:val="333333"/>
          <w:kern w:val="0"/>
          <w:sz w:val="22"/>
          <w:szCs w:val="22"/>
          <w14:ligatures w14:val="none"/>
        </w:rPr>
        <w:t xml:space="preserve"> the lease finance charges.  Where, however, the additional repair, replacement and maintenance costs are the responsibility of the Lessor, the leasing option is more attractive. </w:t>
      </w:r>
    </w:p>
    <w:p w14:paraId="54EFF4CF" w14:textId="77777777" w:rsidR="006036BF" w:rsidRPr="006036BF" w:rsidRDefault="006036BF" w:rsidP="006036BF">
      <w:pPr>
        <w:spacing w:after="20" w:line="259" w:lineRule="auto"/>
        <w:ind w:left="46"/>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148F98D9" w14:textId="77777777" w:rsidR="006036BF" w:rsidRPr="006036BF" w:rsidRDefault="006036BF" w:rsidP="006036BF">
      <w:pPr>
        <w:numPr>
          <w:ilvl w:val="0"/>
          <w:numId w:val="1"/>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As mentioned in preceding sections, Leases can either be Finance or Operating Leases depending on whether the applicable criteria are met.  For more information, please see </w:t>
      </w:r>
      <w:r w:rsidRPr="006036BF">
        <w:rPr>
          <w:rFonts w:ascii="Calibri" w:eastAsia="Calibri" w:hAnsi="Calibri" w:cs="Calibri"/>
          <w:color w:val="000000"/>
          <w:kern w:val="0"/>
          <w:sz w:val="22"/>
          <w:szCs w:val="22"/>
          <w14:ligatures w14:val="none"/>
        </w:rPr>
        <w:t>Finance Lease criteria</w:t>
      </w:r>
      <w:r w:rsidRPr="006036BF">
        <w:rPr>
          <w:rFonts w:ascii="Calibri" w:eastAsia="Calibri" w:hAnsi="Calibri" w:cs="Calibri"/>
          <w:color w:val="0000FF"/>
          <w:kern w:val="0"/>
          <w:sz w:val="22"/>
          <w:szCs w:val="22"/>
          <w14:ligatures w14:val="none"/>
        </w:rPr>
        <w:t>.</w:t>
      </w:r>
      <w:r w:rsidRPr="006036BF">
        <w:rPr>
          <w:rFonts w:ascii="Calibri" w:eastAsia="Calibri" w:hAnsi="Calibri" w:cs="Calibri"/>
          <w:color w:val="333333"/>
          <w:kern w:val="0"/>
          <w:sz w:val="22"/>
          <w:szCs w:val="22"/>
          <w14:ligatures w14:val="none"/>
        </w:rPr>
        <w:t xml:space="preserve"> </w:t>
      </w:r>
    </w:p>
    <w:p w14:paraId="63E779AC" w14:textId="77777777" w:rsidR="006036BF" w:rsidRPr="006036BF" w:rsidRDefault="006036BF" w:rsidP="006036BF">
      <w:pPr>
        <w:spacing w:after="0" w:line="259" w:lineRule="auto"/>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4233A835"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Cost Benefit Analysis  </w:t>
      </w:r>
    </w:p>
    <w:p w14:paraId="52C8C23C" w14:textId="77777777" w:rsidR="006036BF" w:rsidRPr="006036BF" w:rsidRDefault="006036BF" w:rsidP="006036BF">
      <w:pPr>
        <w:spacing w:after="20" w:line="259" w:lineRule="auto"/>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7AD04E7C" w14:textId="77777777" w:rsidR="006036BF" w:rsidRPr="006036BF" w:rsidRDefault="006036BF" w:rsidP="006036BF">
      <w:pPr>
        <w:numPr>
          <w:ilvl w:val="0"/>
          <w:numId w:val="2"/>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Before deciding on whether to lease or buy, a cost benefit analysis (CBA) needs to be conducted that compares the total costs of leasing the equipment over the proposed timeframe with the total cost of buying the asset.   </w:t>
      </w:r>
    </w:p>
    <w:p w14:paraId="245FF152" w14:textId="77777777" w:rsidR="006036BF" w:rsidRPr="006036BF" w:rsidRDefault="006036BF" w:rsidP="006036BF">
      <w:pPr>
        <w:spacing w:after="21" w:line="259" w:lineRule="auto"/>
        <w:ind w:left="46"/>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0FB99D73" w14:textId="77777777" w:rsidR="006036BF" w:rsidRPr="006036BF" w:rsidRDefault="006036BF" w:rsidP="006036BF">
      <w:pPr>
        <w:numPr>
          <w:ilvl w:val="0"/>
          <w:numId w:val="2"/>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In analyzing the CBA, an office should also consider other qualitative factors that may affect the attractiveness of one option or another.  Such factors may include the financial strength of the vendor to assess the risk of the vendor continuing business over the proposed timeframe.  This is because, when leasing, the equipment is the property of the vendor and may be repossessed if the vendor goes into bankruptcy.  Another risk may be that of changes in interest rates. </w:t>
      </w:r>
    </w:p>
    <w:p w14:paraId="5EDA0344" w14:textId="77777777" w:rsidR="006036BF" w:rsidRPr="006036BF" w:rsidRDefault="006036BF" w:rsidP="006036BF">
      <w:pPr>
        <w:spacing w:after="21" w:line="259" w:lineRule="auto"/>
        <w:ind w:left="46"/>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6CBC3446" w14:textId="77777777" w:rsidR="006036BF" w:rsidRPr="006036BF" w:rsidRDefault="006036BF" w:rsidP="006036BF">
      <w:pPr>
        <w:numPr>
          <w:ilvl w:val="0"/>
          <w:numId w:val="2"/>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In general, UNDP does not encourage the option of leasing equipment due to some of the risks associated with such an option. Should the CBA indicate </w:t>
      </w:r>
      <w:proofErr w:type="gramStart"/>
      <w:r w:rsidRPr="006036BF">
        <w:rPr>
          <w:rFonts w:ascii="Calibri" w:eastAsia="Calibri" w:hAnsi="Calibri" w:cs="Calibri"/>
          <w:color w:val="333333"/>
          <w:kern w:val="0"/>
          <w:sz w:val="22"/>
          <w:szCs w:val="22"/>
          <w14:ligatures w14:val="none"/>
        </w:rPr>
        <w:t>a concrete</w:t>
      </w:r>
      <w:proofErr w:type="gramEnd"/>
      <w:r w:rsidRPr="006036BF">
        <w:rPr>
          <w:rFonts w:ascii="Calibri" w:eastAsia="Calibri" w:hAnsi="Calibri" w:cs="Calibri"/>
          <w:color w:val="333333"/>
          <w:kern w:val="0"/>
          <w:sz w:val="22"/>
          <w:szCs w:val="22"/>
          <w14:ligatures w14:val="none"/>
        </w:rPr>
        <w:t xml:space="preserve"> savings with minimal exposure to the organization, the option may be considered. </w:t>
      </w:r>
    </w:p>
    <w:p w14:paraId="0B2E42D7" w14:textId="77777777" w:rsidR="006036BF" w:rsidRPr="006036BF" w:rsidRDefault="006036BF" w:rsidP="006036BF">
      <w:pPr>
        <w:spacing w:after="21" w:line="259" w:lineRule="auto"/>
        <w:ind w:left="46"/>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08C6EAAE" w14:textId="77777777" w:rsidR="006036BF" w:rsidRPr="006036BF" w:rsidRDefault="006036BF" w:rsidP="006036BF">
      <w:pPr>
        <w:numPr>
          <w:ilvl w:val="0"/>
          <w:numId w:val="2"/>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Should the analysis indicate that it is more cost effective to lease, then the processing of an agreement will follow normal procurement processes (hyperlink) in line with the total cost and associated approval thresholds. </w:t>
      </w:r>
    </w:p>
    <w:p w14:paraId="5225CE01" w14:textId="77777777" w:rsidR="006036BF" w:rsidRPr="006036BF" w:rsidRDefault="006036BF" w:rsidP="006036BF">
      <w:pPr>
        <w:spacing w:after="0" w:line="259" w:lineRule="auto"/>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0F5CF06E"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Submission to Procurement Review Committees (CAP/Regional Advisory Committee for Procurement/HQ Advisory Committee for Procurement)  </w:t>
      </w:r>
    </w:p>
    <w:p w14:paraId="7B806D4C" w14:textId="77777777" w:rsidR="006036BF" w:rsidRPr="006036BF" w:rsidRDefault="006036BF" w:rsidP="006036BF">
      <w:pPr>
        <w:spacing w:after="20" w:line="259" w:lineRule="auto"/>
        <w:rPr>
          <w:rFonts w:ascii="Calibri" w:eastAsia="Calibri" w:hAnsi="Calibri" w:cs="Calibri"/>
          <w:color w:val="333333"/>
          <w:kern w:val="0"/>
          <w:sz w:val="20"/>
          <w:szCs w:val="20"/>
          <w14:ligatures w14:val="none"/>
        </w:rPr>
      </w:pPr>
      <w:r w:rsidRPr="006036BF">
        <w:rPr>
          <w:rFonts w:ascii="Calibri" w:eastAsia="Calibri" w:hAnsi="Calibri" w:cs="Calibri"/>
          <w:color w:val="333333"/>
          <w:kern w:val="0"/>
          <w:sz w:val="20"/>
          <w:szCs w:val="20"/>
          <w14:ligatures w14:val="none"/>
        </w:rPr>
        <w:t xml:space="preserve"> </w:t>
      </w:r>
    </w:p>
    <w:p w14:paraId="08EDE570" w14:textId="20AAF287" w:rsidR="006036BF" w:rsidRPr="006036BF" w:rsidRDefault="006036BF" w:rsidP="006036BF">
      <w:pPr>
        <w:spacing w:after="1" w:line="241" w:lineRule="auto"/>
        <w:ind w:left="715" w:right="-9" w:hanging="37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8.</w:t>
      </w:r>
      <w:r w:rsidRPr="006036BF">
        <w:rPr>
          <w:rFonts w:ascii="Arial" w:eastAsia="Arial" w:hAnsi="Arial" w:cs="Arial"/>
          <w:color w:val="333333"/>
          <w:kern w:val="0"/>
          <w:sz w:val="22"/>
          <w:szCs w:val="22"/>
          <w14:ligatures w14:val="none"/>
        </w:rPr>
        <w:t xml:space="preserve">   </w:t>
      </w:r>
      <w:r w:rsidRPr="006036BF">
        <w:rPr>
          <w:rFonts w:ascii="Calibri" w:eastAsia="Calibri" w:hAnsi="Calibri" w:cs="Calibri"/>
          <w:color w:val="333333"/>
          <w:kern w:val="0"/>
          <w:sz w:val="22"/>
          <w:szCs w:val="22"/>
          <w14:ligatures w14:val="none"/>
        </w:rPr>
        <w:t xml:space="preserve">The CAP/RACP/ACP submissions will have to pay particularly close attention to the Value for Money.  It is worth mentioning that value for money is not always the cheapest option but the option that provides the best quality as well. Therefore, aspects like servicing need to be factored in. Once the CAP/RACP/ACP approvals have been received the office may proceed with processing the agreement. </w:t>
      </w:r>
    </w:p>
    <w:p w14:paraId="2987B1A9"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lastRenderedPageBreak/>
        <w:t xml:space="preserve">Lease Agreement  </w:t>
      </w:r>
    </w:p>
    <w:p w14:paraId="55B76E2B" w14:textId="77777777" w:rsidR="006036BF" w:rsidRPr="006036BF" w:rsidRDefault="006036BF" w:rsidP="006036BF">
      <w:pPr>
        <w:spacing w:after="0"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790A5649" w14:textId="77777777" w:rsidR="006036BF" w:rsidRPr="006036BF" w:rsidRDefault="006036BF" w:rsidP="006036BF">
      <w:pPr>
        <w:spacing w:after="1" w:line="241" w:lineRule="auto"/>
        <w:ind w:left="715" w:right="-9" w:hanging="37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9.</w:t>
      </w:r>
      <w:r w:rsidRPr="006036BF">
        <w:rPr>
          <w:rFonts w:ascii="Arial" w:eastAsia="Arial" w:hAnsi="Arial" w:cs="Arial"/>
          <w:color w:val="333333"/>
          <w:kern w:val="0"/>
          <w:sz w:val="22"/>
          <w:szCs w:val="22"/>
          <w14:ligatures w14:val="none"/>
        </w:rPr>
        <w:t xml:space="preserve">   </w:t>
      </w:r>
      <w:r w:rsidRPr="006036BF">
        <w:rPr>
          <w:rFonts w:ascii="Calibri" w:eastAsia="Calibri" w:hAnsi="Calibri" w:cs="Calibri"/>
          <w:color w:val="333333"/>
          <w:kern w:val="0"/>
          <w:sz w:val="22"/>
          <w:szCs w:val="22"/>
          <w14:ligatures w14:val="none"/>
        </w:rPr>
        <w:t xml:space="preserve">The processing of the Lease agreement for equipment will follow the same process as that for processing any contract.  All non-standard agreements will need to be </w:t>
      </w:r>
      <w:proofErr w:type="gramStart"/>
      <w:r w:rsidRPr="006036BF">
        <w:rPr>
          <w:rFonts w:ascii="Calibri" w:eastAsia="Calibri" w:hAnsi="Calibri" w:cs="Calibri"/>
          <w:color w:val="333333"/>
          <w:kern w:val="0"/>
          <w:sz w:val="22"/>
          <w:szCs w:val="22"/>
          <w14:ligatures w14:val="none"/>
        </w:rPr>
        <w:t>cleared</w:t>
      </w:r>
      <w:proofErr w:type="gramEnd"/>
      <w:r w:rsidRPr="006036BF">
        <w:rPr>
          <w:rFonts w:ascii="Calibri" w:eastAsia="Calibri" w:hAnsi="Calibri" w:cs="Calibri"/>
          <w:color w:val="333333"/>
          <w:kern w:val="0"/>
          <w:sz w:val="22"/>
          <w:szCs w:val="22"/>
          <w14:ligatures w14:val="none"/>
        </w:rPr>
        <w:t xml:space="preserve"> by the Office of Legal Services before finalization. Once the agreement is finalized the office may proceed with purchasing and recording of the Lease. </w:t>
      </w:r>
    </w:p>
    <w:p w14:paraId="1C9D3997" w14:textId="77777777" w:rsidR="006036BF" w:rsidRPr="006036BF" w:rsidRDefault="006036BF" w:rsidP="006036BF">
      <w:pPr>
        <w:spacing w:after="0" w:line="259" w:lineRule="auto"/>
        <w:rPr>
          <w:rFonts w:ascii="Calibri" w:eastAsia="Calibri" w:hAnsi="Calibri" w:cs="Calibri"/>
          <w:color w:val="333333"/>
          <w:kern w:val="0"/>
          <w:sz w:val="26"/>
          <w:szCs w:val="26"/>
          <w14:ligatures w14:val="none"/>
        </w:rPr>
      </w:pPr>
      <w:r w:rsidRPr="006036BF">
        <w:rPr>
          <w:rFonts w:ascii="Calibri" w:eastAsia="Calibri" w:hAnsi="Calibri" w:cs="Calibri"/>
          <w:b/>
          <w:color w:val="333333"/>
          <w:kern w:val="0"/>
          <w:sz w:val="26"/>
          <w:szCs w:val="26"/>
          <w14:ligatures w14:val="none"/>
        </w:rPr>
        <w:t xml:space="preserve"> </w:t>
      </w:r>
      <w:r w:rsidRPr="006036BF">
        <w:rPr>
          <w:rFonts w:ascii="Calibri" w:eastAsia="Calibri" w:hAnsi="Calibri" w:cs="Calibri"/>
          <w:color w:val="333333"/>
          <w:kern w:val="0"/>
          <w:sz w:val="26"/>
          <w:szCs w:val="26"/>
          <w14:ligatures w14:val="none"/>
        </w:rPr>
        <w:t xml:space="preserve"> </w:t>
      </w:r>
    </w:p>
    <w:p w14:paraId="56B70E20"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Recording of Equipment Lease </w:t>
      </w:r>
    </w:p>
    <w:p w14:paraId="47A5CB46" w14:textId="77777777" w:rsidR="006036BF" w:rsidRPr="006036BF" w:rsidRDefault="006036BF" w:rsidP="006036BF">
      <w:pPr>
        <w:spacing w:after="22"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3E741A9D" w14:textId="77777777" w:rsidR="006036BF" w:rsidRPr="006036BF" w:rsidRDefault="006036BF" w:rsidP="006036BF">
      <w:pPr>
        <w:spacing w:after="1" w:line="241" w:lineRule="auto"/>
        <w:ind w:left="715" w:right="-9" w:hanging="37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10.</w:t>
      </w:r>
      <w:r w:rsidRPr="006036BF">
        <w:rPr>
          <w:rFonts w:ascii="Arial" w:eastAsia="Arial" w:hAnsi="Arial" w:cs="Arial"/>
          <w:color w:val="333333"/>
          <w:kern w:val="0"/>
          <w:sz w:val="22"/>
          <w:szCs w:val="22"/>
          <w14:ligatures w14:val="none"/>
        </w:rPr>
        <w:t xml:space="preserve"> </w:t>
      </w:r>
      <w:r w:rsidRPr="006036BF">
        <w:rPr>
          <w:rFonts w:ascii="Calibri" w:eastAsia="Calibri" w:hAnsi="Calibri" w:cs="Calibri"/>
          <w:color w:val="333333"/>
          <w:kern w:val="0"/>
          <w:sz w:val="22"/>
          <w:szCs w:val="22"/>
          <w14:ligatures w14:val="none"/>
        </w:rPr>
        <w:t xml:space="preserve">All Leases should be sent to the GSSC to determine the type of Lease.  The request will be submitted to the GSSC by the Asset Focal Points, via the </w:t>
      </w:r>
      <w:hyperlink r:id="rId7" w:history="1">
        <w:proofErr w:type="spellStart"/>
        <w:r w:rsidRPr="006036BF">
          <w:rPr>
            <w:rFonts w:ascii="Calibri" w:eastAsia="Calibri" w:hAnsi="Calibri" w:cs="Calibri"/>
            <w:color w:val="0000FF"/>
            <w:kern w:val="0"/>
            <w:sz w:val="22"/>
            <w:szCs w:val="22"/>
            <w:u w:val="single"/>
            <w14:ligatures w14:val="none"/>
          </w:rPr>
          <w:t>UNall</w:t>
        </w:r>
        <w:proofErr w:type="spellEnd"/>
        <w:r w:rsidRPr="006036BF">
          <w:rPr>
            <w:rFonts w:ascii="Calibri" w:eastAsia="Calibri" w:hAnsi="Calibri" w:cs="Calibri"/>
            <w:color w:val="0000FF"/>
            <w:kern w:val="0"/>
            <w:sz w:val="22"/>
            <w:szCs w:val="22"/>
            <w:u w:val="single"/>
            <w14:ligatures w14:val="none"/>
          </w:rPr>
          <w:t xml:space="preserve"> Portal</w:t>
        </w:r>
      </w:hyperlink>
      <w:r w:rsidRPr="006036BF">
        <w:rPr>
          <w:rFonts w:ascii="Calibri" w:eastAsia="Calibri" w:hAnsi="Calibri" w:cs="Calibri"/>
          <w:color w:val="333333"/>
          <w:kern w:val="0"/>
          <w:sz w:val="22"/>
          <w:szCs w:val="22"/>
          <w14:ligatures w14:val="none"/>
        </w:rPr>
        <w:t xml:space="preserve"> , together with copies of the relevant supporting documentation (e.g. the Lease agreement and the GSSC confirmation that the Lease is a Finance Lease).  All original documentation must be properly filed at the respective </w:t>
      </w:r>
      <w:proofErr w:type="gramStart"/>
      <w:r w:rsidRPr="006036BF">
        <w:rPr>
          <w:rFonts w:ascii="Calibri" w:eastAsia="Calibri" w:hAnsi="Calibri" w:cs="Calibri"/>
          <w:color w:val="333333"/>
          <w:kern w:val="0"/>
          <w:sz w:val="22"/>
          <w:szCs w:val="22"/>
          <w14:ligatures w14:val="none"/>
        </w:rPr>
        <w:t>office</w:t>
      </w:r>
      <w:proofErr w:type="gramEnd"/>
      <w:r w:rsidRPr="006036BF">
        <w:rPr>
          <w:rFonts w:ascii="Calibri" w:eastAsia="Calibri" w:hAnsi="Calibri" w:cs="Calibri"/>
          <w:color w:val="333333"/>
          <w:kern w:val="0"/>
          <w:sz w:val="22"/>
          <w:szCs w:val="22"/>
          <w14:ligatures w14:val="none"/>
        </w:rPr>
        <w:t xml:space="preserve"> submitting the request. </w:t>
      </w:r>
    </w:p>
    <w:p w14:paraId="072DDF3E" w14:textId="77777777" w:rsidR="006036BF" w:rsidRPr="006036BF" w:rsidRDefault="006036BF" w:rsidP="006036BF">
      <w:pPr>
        <w:spacing w:after="0"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05D9F7B6"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Bi-annual Physical Verification </w:t>
      </w:r>
    </w:p>
    <w:p w14:paraId="1600BEB6" w14:textId="77777777" w:rsidR="006036BF" w:rsidRPr="006036BF" w:rsidRDefault="006036BF" w:rsidP="006036BF">
      <w:pPr>
        <w:spacing w:after="19" w:line="259" w:lineRule="auto"/>
        <w:rPr>
          <w:rFonts w:ascii="Calibri" w:eastAsia="Calibri" w:hAnsi="Calibri" w:cs="Calibri"/>
          <w:color w:val="333333"/>
          <w:kern w:val="0"/>
          <w:sz w:val="26"/>
          <w:szCs w:val="26"/>
          <w14:ligatures w14:val="none"/>
        </w:rPr>
      </w:pPr>
      <w:r w:rsidRPr="006036BF">
        <w:rPr>
          <w:rFonts w:ascii="Calibri" w:eastAsia="Calibri" w:hAnsi="Calibri" w:cs="Calibri"/>
          <w:b/>
          <w:color w:val="333333"/>
          <w:kern w:val="0"/>
          <w:sz w:val="26"/>
          <w:szCs w:val="26"/>
          <w14:ligatures w14:val="none"/>
        </w:rPr>
        <w:t xml:space="preserve"> </w:t>
      </w:r>
    </w:p>
    <w:p w14:paraId="35A10B6F" w14:textId="77777777" w:rsidR="006036BF" w:rsidRPr="006036BF" w:rsidRDefault="006036BF" w:rsidP="006036BF">
      <w:pPr>
        <w:spacing w:after="1" w:line="241" w:lineRule="auto"/>
        <w:ind w:left="715" w:right="-9" w:hanging="37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11.</w:t>
      </w:r>
      <w:r w:rsidRPr="006036BF">
        <w:rPr>
          <w:rFonts w:ascii="Arial" w:eastAsia="Arial" w:hAnsi="Arial" w:cs="Arial"/>
          <w:color w:val="333333"/>
          <w:kern w:val="0"/>
          <w:sz w:val="22"/>
          <w:szCs w:val="22"/>
          <w14:ligatures w14:val="none"/>
        </w:rPr>
        <w:t xml:space="preserve"> </w:t>
      </w:r>
      <w:r w:rsidRPr="006036BF">
        <w:rPr>
          <w:rFonts w:ascii="Calibri" w:eastAsia="Calibri" w:hAnsi="Calibri" w:cs="Calibri"/>
          <w:color w:val="333333"/>
          <w:kern w:val="0"/>
          <w:sz w:val="22"/>
          <w:szCs w:val="22"/>
          <w14:ligatures w14:val="none"/>
        </w:rPr>
        <w:t xml:space="preserve">There will be a bi-annual physical verification of the leased equipment; and certification that the equipment, as per the Share Point registered information exists and that the information on the leased equipment is accurate. Please refer to the Internal Control Framework to ensure segregation of duties is maintained. </w:t>
      </w:r>
    </w:p>
    <w:p w14:paraId="7E406774" w14:textId="77777777" w:rsidR="006036BF" w:rsidRPr="006036BF" w:rsidRDefault="006036BF" w:rsidP="006036BF">
      <w:pPr>
        <w:spacing w:after="0"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07CDCDF2"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Renewal of Lease </w:t>
      </w:r>
    </w:p>
    <w:p w14:paraId="7D6279AD" w14:textId="77777777" w:rsidR="006036BF" w:rsidRPr="006036BF" w:rsidRDefault="006036BF" w:rsidP="006036BF">
      <w:pPr>
        <w:spacing w:after="21"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45E2EDF7" w14:textId="77777777" w:rsidR="006036BF" w:rsidRPr="006036BF" w:rsidRDefault="006036BF" w:rsidP="006036BF">
      <w:pPr>
        <w:spacing w:after="1" w:line="241" w:lineRule="auto"/>
        <w:ind w:left="715" w:right="-9" w:hanging="37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12.</w:t>
      </w:r>
      <w:r w:rsidRPr="006036BF">
        <w:rPr>
          <w:rFonts w:ascii="Arial" w:eastAsia="Arial" w:hAnsi="Arial" w:cs="Arial"/>
          <w:color w:val="333333"/>
          <w:kern w:val="0"/>
          <w:sz w:val="22"/>
          <w:szCs w:val="22"/>
          <w14:ligatures w14:val="none"/>
        </w:rPr>
        <w:t xml:space="preserve"> </w:t>
      </w:r>
      <w:r w:rsidRPr="006036BF">
        <w:rPr>
          <w:rFonts w:ascii="Calibri" w:eastAsia="Calibri" w:hAnsi="Calibri" w:cs="Calibri"/>
          <w:color w:val="333333"/>
          <w:kern w:val="0"/>
          <w:sz w:val="22"/>
          <w:szCs w:val="22"/>
          <w14:ligatures w14:val="none"/>
        </w:rPr>
        <w:t xml:space="preserve">The renewal of Lease will follow the same process as set out in the preceding chapters for the establishment of a new Lease. </w:t>
      </w:r>
    </w:p>
    <w:p w14:paraId="2DCFE9FC" w14:textId="77777777" w:rsidR="006036BF" w:rsidRPr="006036BF" w:rsidRDefault="006036BF" w:rsidP="006036BF">
      <w:pPr>
        <w:spacing w:after="0"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1C502671"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t xml:space="preserve">Cancellation of Lease / Retirement of Finance Lease  </w:t>
      </w:r>
    </w:p>
    <w:p w14:paraId="49DF71E0" w14:textId="77777777" w:rsidR="006036BF" w:rsidRPr="006036BF" w:rsidRDefault="006036BF" w:rsidP="006036BF">
      <w:pPr>
        <w:spacing w:after="20" w:line="259" w:lineRule="auto"/>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1C207A64" w14:textId="77777777" w:rsidR="006036BF" w:rsidRPr="006036BF" w:rsidRDefault="006036BF" w:rsidP="006036BF">
      <w:pPr>
        <w:numPr>
          <w:ilvl w:val="0"/>
          <w:numId w:val="3"/>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The Lease agreement may end because the lease term, as stipulated in the Lease agreement, has expired; or because the financial ceiling of the agreement has been reached. Alternatively, the clauses relating to non-performance often provide an option of cancelling an agreement for noncompliance by the vendor.  </w:t>
      </w:r>
    </w:p>
    <w:p w14:paraId="250403E7" w14:textId="77777777" w:rsidR="006036BF" w:rsidRPr="006036BF" w:rsidRDefault="006036BF" w:rsidP="006036BF">
      <w:pPr>
        <w:spacing w:after="20" w:line="259" w:lineRule="auto"/>
        <w:ind w:left="46"/>
        <w:rPr>
          <w:rFonts w:ascii="Calibri" w:eastAsia="Calibri" w:hAnsi="Calibri" w:cs="Calibri"/>
          <w:color w:val="333333"/>
          <w:kern w:val="0"/>
          <w:sz w:val="26"/>
          <w:szCs w:val="26"/>
          <w14:ligatures w14:val="none"/>
        </w:rPr>
      </w:pPr>
      <w:r w:rsidRPr="006036BF">
        <w:rPr>
          <w:rFonts w:ascii="Calibri" w:eastAsia="Calibri" w:hAnsi="Calibri" w:cs="Calibri"/>
          <w:color w:val="333333"/>
          <w:kern w:val="0"/>
          <w:sz w:val="26"/>
          <w:szCs w:val="26"/>
          <w14:ligatures w14:val="none"/>
        </w:rPr>
        <w:t xml:space="preserve"> </w:t>
      </w:r>
    </w:p>
    <w:p w14:paraId="261689E3" w14:textId="15BB6C15" w:rsidR="006036BF" w:rsidRPr="006036BF" w:rsidRDefault="006036BF" w:rsidP="006036BF">
      <w:pPr>
        <w:numPr>
          <w:ilvl w:val="0"/>
          <w:numId w:val="3"/>
        </w:numPr>
        <w:spacing w:after="1" w:line="241" w:lineRule="auto"/>
        <w:ind w:right="-9" w:hanging="360"/>
        <w:jc w:val="both"/>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Should the Lease be a Finance Lease that is recorded in the  Quantum Fixed Assets Module, then the process of disposing of the Lease will be the same as the </w:t>
      </w:r>
      <w:hyperlink r:id="rId8">
        <w:r w:rsidRPr="001F1360">
          <w:rPr>
            <w:rFonts w:ascii="Calibri" w:eastAsia="Calibri" w:hAnsi="Calibri" w:cs="Calibri"/>
            <w:color w:val="0000FF"/>
            <w:kern w:val="0"/>
            <w:sz w:val="22"/>
            <w:szCs w:val="22"/>
            <w:u w:val="single"/>
            <w14:ligatures w14:val="none"/>
          </w:rPr>
          <w:t>disposal processes set out POPP section on Equipment</w:t>
        </w:r>
      </w:hyperlink>
      <w:hyperlink r:id="rId9">
        <w:r w:rsidRPr="006036BF">
          <w:rPr>
            <w:rFonts w:ascii="Calibri" w:eastAsia="Calibri" w:hAnsi="Calibri" w:cs="Calibri"/>
            <w:color w:val="0072BC"/>
            <w:kern w:val="0"/>
            <w:sz w:val="22"/>
            <w:szCs w:val="22"/>
            <w14:ligatures w14:val="none"/>
          </w:rPr>
          <w:t xml:space="preserve"> </w:t>
        </w:r>
      </w:hyperlink>
      <w:hyperlink r:id="rId10">
        <w:r w:rsidRPr="006036BF">
          <w:rPr>
            <w:rFonts w:ascii="Calibri" w:eastAsia="Calibri" w:hAnsi="Calibri" w:cs="Calibri"/>
            <w:color w:val="333333"/>
            <w:kern w:val="0"/>
            <w:sz w:val="22"/>
            <w:szCs w:val="22"/>
            <w14:ligatures w14:val="none"/>
          </w:rPr>
          <w:t>a</w:t>
        </w:r>
      </w:hyperlink>
      <w:r w:rsidRPr="006036BF">
        <w:rPr>
          <w:rFonts w:ascii="Calibri" w:eastAsia="Calibri" w:hAnsi="Calibri" w:cs="Calibri"/>
          <w:color w:val="333333"/>
          <w:kern w:val="0"/>
          <w:sz w:val="22"/>
          <w:szCs w:val="22"/>
          <w14:ligatures w14:val="none"/>
        </w:rPr>
        <w:t xml:space="preserve">nd must comply with the Internal Control Framework with regards to authorization levels and segregation of duties. </w:t>
      </w:r>
    </w:p>
    <w:p w14:paraId="1F9F6F4B" w14:textId="77777777" w:rsidR="006036BF" w:rsidRPr="00A752A3" w:rsidRDefault="006036BF" w:rsidP="00A752A3"/>
    <w:p w14:paraId="2BDCF5D1" w14:textId="77777777" w:rsidR="006036BF" w:rsidRPr="00A752A3" w:rsidRDefault="006036BF" w:rsidP="00A752A3"/>
    <w:p w14:paraId="1FAB3836" w14:textId="77777777" w:rsidR="006036BF" w:rsidRPr="006036BF" w:rsidRDefault="006036BF" w:rsidP="006036BF">
      <w:pPr>
        <w:keepNext/>
        <w:keepLines/>
        <w:spacing w:after="5" w:line="249" w:lineRule="auto"/>
        <w:ind w:left="-5" w:hanging="10"/>
        <w:outlineLvl w:val="0"/>
        <w:rPr>
          <w:rFonts w:ascii="Calibri" w:eastAsia="Calibri" w:hAnsi="Calibri" w:cs="Calibri"/>
          <w:b/>
          <w:color w:val="333333"/>
          <w:kern w:val="0"/>
          <w:sz w:val="22"/>
          <w:szCs w:val="22"/>
          <w14:ligatures w14:val="none"/>
        </w:rPr>
      </w:pPr>
      <w:r w:rsidRPr="006036BF">
        <w:rPr>
          <w:rFonts w:ascii="Calibri" w:eastAsia="Calibri" w:hAnsi="Calibri" w:cs="Calibri"/>
          <w:b/>
          <w:color w:val="333333"/>
          <w:kern w:val="0"/>
          <w:sz w:val="22"/>
          <w:szCs w:val="22"/>
          <w14:ligatures w14:val="none"/>
        </w:rPr>
        <w:lastRenderedPageBreak/>
        <w:t xml:space="preserve">Responsibilities and Accountability  </w:t>
      </w:r>
    </w:p>
    <w:p w14:paraId="06983A1A" w14:textId="77777777" w:rsidR="006036BF" w:rsidRPr="006036BF" w:rsidRDefault="006036BF" w:rsidP="006036BF">
      <w:pPr>
        <w:spacing w:after="0" w:line="259" w:lineRule="auto"/>
        <w:rPr>
          <w:rFonts w:ascii="Calibri" w:eastAsia="Calibri" w:hAnsi="Calibri" w:cs="Calibri"/>
          <w:color w:val="333333"/>
          <w:kern w:val="0"/>
          <w:sz w:val="22"/>
          <w:szCs w:val="22"/>
          <w14:ligatures w14:val="none"/>
        </w:rPr>
      </w:pPr>
      <w:r w:rsidRPr="006036BF">
        <w:rPr>
          <w:rFonts w:ascii="Calibri" w:eastAsia="Calibri" w:hAnsi="Calibri" w:cs="Calibri"/>
          <w:color w:val="333333"/>
          <w:kern w:val="0"/>
          <w:sz w:val="22"/>
          <w:szCs w:val="22"/>
          <w14:ligatures w14:val="none"/>
        </w:rPr>
        <w:t xml:space="preserve">  </w:t>
      </w:r>
    </w:p>
    <w:tbl>
      <w:tblPr>
        <w:tblW w:w="4511" w:type="pct"/>
        <w:tblInd w:w="828" w:type="dxa"/>
        <w:tblCellMar>
          <w:left w:w="0" w:type="dxa"/>
          <w:right w:w="0" w:type="dxa"/>
        </w:tblCellMar>
        <w:tblLook w:val="04A0" w:firstRow="1" w:lastRow="0" w:firstColumn="1" w:lastColumn="0" w:noHBand="0" w:noVBand="1"/>
      </w:tblPr>
      <w:tblGrid>
        <w:gridCol w:w="2018"/>
        <w:gridCol w:w="6413"/>
      </w:tblGrid>
      <w:tr w:rsidR="006036BF" w:rsidRPr="006036BF" w14:paraId="53DCD951" w14:textId="77777777" w:rsidTr="006036BF">
        <w:trPr>
          <w:tblHeader/>
        </w:trPr>
        <w:tc>
          <w:tcPr>
            <w:tcW w:w="119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F999B1" w14:textId="77777777" w:rsidR="006036BF" w:rsidRPr="006036BF" w:rsidRDefault="006036BF" w:rsidP="006036BF">
            <w:pPr>
              <w:spacing w:after="0" w:line="240" w:lineRule="auto"/>
              <w:ind w:left="162" w:hanging="162"/>
              <w:jc w:val="both"/>
              <w:rPr>
                <w:rFonts w:ascii="Calibri" w:eastAsia="Times New Roman" w:hAnsi="Calibri" w:cs="Arial"/>
                <w:b/>
                <w:color w:val="000000"/>
                <w:kern w:val="0"/>
                <w:sz w:val="22"/>
                <w:szCs w:val="22"/>
                <w14:ligatures w14:val="none"/>
              </w:rPr>
            </w:pPr>
            <w:r w:rsidRPr="006036BF">
              <w:rPr>
                <w:rFonts w:ascii="Calibri" w:eastAsia="Times New Roman" w:hAnsi="Calibri" w:cs="Arial"/>
                <w:b/>
                <w:color w:val="000000"/>
                <w:kern w:val="0"/>
                <w:sz w:val="22"/>
                <w:szCs w:val="22"/>
                <w:lang w:val="en-GB"/>
                <w14:ligatures w14:val="none"/>
              </w:rPr>
              <w:t>Responsible party</w:t>
            </w:r>
          </w:p>
        </w:tc>
        <w:tc>
          <w:tcPr>
            <w:tcW w:w="380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A89CF27" w14:textId="77777777" w:rsidR="006036BF" w:rsidRPr="006036BF" w:rsidRDefault="006036BF" w:rsidP="006036BF">
            <w:pPr>
              <w:spacing w:after="0" w:line="240" w:lineRule="auto"/>
              <w:ind w:left="730" w:hanging="370"/>
              <w:jc w:val="both"/>
              <w:rPr>
                <w:rFonts w:ascii="Calibri" w:eastAsia="Times New Roman" w:hAnsi="Calibri" w:cs="Arial"/>
                <w:b/>
                <w:color w:val="000000"/>
                <w:kern w:val="0"/>
                <w:sz w:val="22"/>
                <w:szCs w:val="22"/>
                <w14:ligatures w14:val="none"/>
              </w:rPr>
            </w:pPr>
            <w:r w:rsidRPr="006036BF">
              <w:rPr>
                <w:rFonts w:ascii="Calibri" w:eastAsia="Times New Roman" w:hAnsi="Calibri" w:cs="Arial"/>
                <w:b/>
                <w:color w:val="000000"/>
                <w:kern w:val="0"/>
                <w:sz w:val="22"/>
                <w:szCs w:val="22"/>
                <w:lang w:val="en-GB"/>
                <w14:ligatures w14:val="none"/>
              </w:rPr>
              <w:t>Responsibilities</w:t>
            </w:r>
          </w:p>
        </w:tc>
      </w:tr>
      <w:tr w:rsidR="006036BF" w:rsidRPr="006036BF" w14:paraId="7B2D3490" w14:textId="77777777" w:rsidTr="00EF507C">
        <w:tc>
          <w:tcPr>
            <w:tcW w:w="11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9E392" w14:textId="77777777" w:rsidR="006036BF" w:rsidRPr="006036BF" w:rsidRDefault="006036BF" w:rsidP="00B67E27">
            <w:pPr>
              <w:spacing w:after="0" w:line="240" w:lineRule="auto"/>
              <w:rPr>
                <w:rFonts w:ascii="Calibri" w:eastAsia="Times New Roman" w:hAnsi="Calibri" w:cs="Arial"/>
                <w:color w:val="333333"/>
                <w:kern w:val="0"/>
                <w:sz w:val="22"/>
                <w:szCs w:val="22"/>
                <w:lang w:val="en-GB" w:eastAsia="ja-JP"/>
                <w14:ligatures w14:val="none"/>
              </w:rPr>
            </w:pPr>
            <w:r w:rsidRPr="006036BF">
              <w:rPr>
                <w:rFonts w:ascii="Calibri" w:eastAsia="Times New Roman" w:hAnsi="Calibri" w:cs="Arial"/>
                <w:color w:val="333333"/>
                <w:kern w:val="0"/>
                <w:sz w:val="22"/>
                <w:szCs w:val="22"/>
                <w:lang w:val="en-GB" w:eastAsia="ja-JP"/>
                <w14:ligatures w14:val="none"/>
              </w:rPr>
              <w:t>RR/Head of HQ Unit/Head of HQ out posted units</w:t>
            </w:r>
          </w:p>
        </w:tc>
        <w:tc>
          <w:tcPr>
            <w:tcW w:w="38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C4E7F" w14:textId="522E1A20"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Maintaining complete and accurate records of Equipment Leased by their offices</w:t>
            </w:r>
          </w:p>
          <w:p w14:paraId="628C6501"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 xml:space="preserve">Consulting the CAP regarding disposal of items costing over $2,500 and up to DPA, </w:t>
            </w:r>
          </w:p>
          <w:p w14:paraId="3F0BD5C5" w14:textId="4DAD15D1"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Consulting the RACP for items above the DPA and up to US$1 million</w:t>
            </w:r>
          </w:p>
          <w:p w14:paraId="4414AA74"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Consulting the ACP for items costing over US$1 million</w:t>
            </w:r>
          </w:p>
          <w:p w14:paraId="67DBED58" w14:textId="77CABAB6" w:rsidR="006036BF" w:rsidRPr="006036BF" w:rsidRDefault="00CF7A71"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Submitting the bi</w:t>
            </w:r>
            <w:r w:rsidR="006036BF" w:rsidRPr="006036BF">
              <w:rPr>
                <w:rFonts w:ascii="Calibri" w:eastAsia="Times New Roman" w:hAnsi="Calibri" w:cs="Arial"/>
                <w:kern w:val="0"/>
                <w:sz w:val="22"/>
                <w:szCs w:val="22"/>
                <w:lang w:val="en-GB" w:eastAsia="ja-JP"/>
                <w14:ligatures w14:val="none"/>
              </w:rPr>
              <w:t>-annual physical verification exercise certification documents by the due date</w:t>
            </w:r>
          </w:p>
        </w:tc>
      </w:tr>
      <w:tr w:rsidR="006036BF" w:rsidRPr="006036BF" w14:paraId="13BCCF30" w14:textId="77777777" w:rsidTr="00EF507C">
        <w:tc>
          <w:tcPr>
            <w:tcW w:w="11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67239" w14:textId="3769C477" w:rsidR="006036BF" w:rsidRPr="006036BF" w:rsidRDefault="006036BF" w:rsidP="006036BF">
            <w:pPr>
              <w:spacing w:after="0" w:line="240" w:lineRule="auto"/>
              <w:jc w:val="both"/>
              <w:rPr>
                <w:rFonts w:ascii="Calibri" w:eastAsia="Times New Roman" w:hAnsi="Calibri" w:cs="Arial"/>
                <w:color w:val="333333"/>
                <w:kern w:val="0"/>
                <w:sz w:val="22"/>
                <w:szCs w:val="22"/>
                <w:lang w:val="en-GB" w:eastAsia="ja-JP"/>
                <w14:ligatures w14:val="none"/>
              </w:rPr>
            </w:pPr>
            <w:r w:rsidRPr="006036BF">
              <w:rPr>
                <w:rFonts w:ascii="Calibri" w:eastAsia="Times New Roman" w:hAnsi="Calibri" w:cs="Arial"/>
                <w:color w:val="333333"/>
                <w:kern w:val="0"/>
                <w:sz w:val="22"/>
                <w:szCs w:val="22"/>
                <w:lang w:val="en-GB" w:eastAsia="ja-JP"/>
                <w14:ligatures w14:val="none"/>
              </w:rPr>
              <w:t xml:space="preserve">General Operations, BMS   </w:t>
            </w:r>
          </w:p>
        </w:tc>
        <w:tc>
          <w:tcPr>
            <w:tcW w:w="38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8BC8F" w14:textId="54F411F9"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 xml:space="preserve">Maintaining timely and accurate records </w:t>
            </w:r>
            <w:r w:rsidR="00CF7A71" w:rsidRPr="006036BF">
              <w:rPr>
                <w:rFonts w:ascii="Calibri" w:eastAsia="Times New Roman" w:hAnsi="Calibri" w:cs="Arial"/>
                <w:kern w:val="0"/>
                <w:sz w:val="22"/>
                <w:szCs w:val="22"/>
                <w:lang w:val="en-GB" w:eastAsia="ja-JP"/>
                <w14:ligatures w14:val="none"/>
              </w:rPr>
              <w:t>of Finance</w:t>
            </w:r>
            <w:r w:rsidRPr="006036BF">
              <w:rPr>
                <w:rFonts w:ascii="Calibri" w:eastAsia="Times New Roman" w:hAnsi="Calibri" w:cs="Arial"/>
                <w:kern w:val="0"/>
                <w:sz w:val="22"/>
                <w:szCs w:val="22"/>
                <w:lang w:val="en-GB" w:eastAsia="ja-JP"/>
                <w14:ligatures w14:val="none"/>
              </w:rPr>
              <w:t xml:space="preserve"> Lease (Equipment) in UNDP HQ</w:t>
            </w:r>
          </w:p>
          <w:p w14:paraId="7386C191"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Maintaining complete and accurate records of leased equipment located in their Unit</w:t>
            </w:r>
          </w:p>
        </w:tc>
      </w:tr>
      <w:tr w:rsidR="006036BF" w:rsidRPr="006036BF" w14:paraId="3F66CDCA" w14:textId="77777777" w:rsidTr="00EF507C">
        <w:trPr>
          <w:trHeight w:val="484"/>
        </w:trPr>
        <w:tc>
          <w:tcPr>
            <w:tcW w:w="11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5337D" w14:textId="77777777" w:rsidR="006036BF" w:rsidRPr="006036BF" w:rsidRDefault="006036BF" w:rsidP="006036BF">
            <w:pPr>
              <w:spacing w:after="0" w:line="240" w:lineRule="auto"/>
              <w:jc w:val="both"/>
              <w:rPr>
                <w:rFonts w:ascii="Calibri" w:eastAsia="Times New Roman" w:hAnsi="Calibri" w:cs="Arial"/>
                <w:color w:val="333333"/>
                <w:kern w:val="0"/>
                <w:sz w:val="22"/>
                <w:szCs w:val="22"/>
                <w:lang w:val="en-GB" w:eastAsia="ja-JP"/>
                <w14:ligatures w14:val="none"/>
              </w:rPr>
            </w:pPr>
            <w:r w:rsidRPr="006036BF">
              <w:rPr>
                <w:rFonts w:ascii="Calibri" w:eastAsia="Times New Roman" w:hAnsi="Calibri" w:cs="Arial"/>
                <w:color w:val="333333"/>
                <w:kern w:val="0"/>
                <w:sz w:val="22"/>
                <w:szCs w:val="22"/>
                <w:lang w:val="en-GB" w:eastAsia="ja-JP"/>
                <w14:ligatures w14:val="none"/>
              </w:rPr>
              <w:t xml:space="preserve">UNDP Staff  </w:t>
            </w:r>
          </w:p>
        </w:tc>
        <w:tc>
          <w:tcPr>
            <w:tcW w:w="38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50E17"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Safeguarding all leased items assigned to them</w:t>
            </w:r>
          </w:p>
          <w:p w14:paraId="2BAA4D5E" w14:textId="77777777" w:rsidR="006036BF" w:rsidRPr="006036BF" w:rsidRDefault="006036BF" w:rsidP="006036BF">
            <w:pPr>
              <w:spacing w:after="0" w:line="240" w:lineRule="auto"/>
              <w:ind w:left="194" w:hanging="180"/>
              <w:jc w:val="both"/>
              <w:rPr>
                <w:rFonts w:ascii="Calibri" w:eastAsia="Times New Roman" w:hAnsi="Calibri" w:cs="Arial"/>
                <w:color w:val="333333"/>
                <w:kern w:val="0"/>
                <w:sz w:val="22"/>
                <w:szCs w:val="22"/>
                <w:lang w:val="en-GB" w:eastAsia="ja-JP"/>
                <w14:ligatures w14:val="none"/>
              </w:rPr>
            </w:pPr>
          </w:p>
        </w:tc>
      </w:tr>
      <w:tr w:rsidR="006036BF" w:rsidRPr="006036BF" w14:paraId="3086B6F0" w14:textId="77777777" w:rsidTr="00EF507C">
        <w:trPr>
          <w:trHeight w:val="556"/>
        </w:trPr>
        <w:tc>
          <w:tcPr>
            <w:tcW w:w="1197"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65F19286" w14:textId="77777777" w:rsidR="006036BF" w:rsidRPr="006036BF" w:rsidRDefault="006036BF" w:rsidP="006036BF">
            <w:pPr>
              <w:spacing w:after="0" w:line="240" w:lineRule="auto"/>
              <w:jc w:val="both"/>
              <w:rPr>
                <w:rFonts w:ascii="Calibri" w:eastAsia="Times New Roman" w:hAnsi="Calibri" w:cs="Arial"/>
                <w:color w:val="333333"/>
                <w:kern w:val="0"/>
                <w:sz w:val="22"/>
                <w:szCs w:val="22"/>
                <w:lang w:val="en-GB" w:eastAsia="ja-JP"/>
                <w14:ligatures w14:val="none"/>
              </w:rPr>
            </w:pPr>
            <w:r w:rsidRPr="006036BF">
              <w:rPr>
                <w:rFonts w:ascii="Calibri" w:eastAsia="Times New Roman" w:hAnsi="Calibri" w:cs="Arial"/>
                <w:color w:val="333333"/>
                <w:kern w:val="0"/>
                <w:sz w:val="22"/>
                <w:szCs w:val="22"/>
                <w:lang w:val="en-GB" w:eastAsia="ja-JP"/>
                <w14:ligatures w14:val="none"/>
              </w:rPr>
              <w:t>CAP/RACP/ACP</w:t>
            </w:r>
          </w:p>
        </w:tc>
        <w:tc>
          <w:tcPr>
            <w:tcW w:w="3803" w:type="pct"/>
            <w:tcBorders>
              <w:top w:val="nil"/>
              <w:left w:val="nil"/>
              <w:bottom w:val="nil"/>
              <w:right w:val="single" w:sz="8" w:space="0" w:color="auto"/>
            </w:tcBorders>
            <w:tcMar>
              <w:top w:w="0" w:type="dxa"/>
              <w:left w:w="108" w:type="dxa"/>
              <w:bottom w:w="0" w:type="dxa"/>
              <w:right w:w="108" w:type="dxa"/>
            </w:tcMar>
            <w:vAlign w:val="center"/>
            <w:hideMark/>
          </w:tcPr>
          <w:p w14:paraId="7F8F1E34"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Review and recommend actions for disposals of UNDP Finance Lease (Equipment)</w:t>
            </w:r>
          </w:p>
        </w:tc>
      </w:tr>
      <w:tr w:rsidR="006036BF" w:rsidRPr="006036BF" w14:paraId="66D97A46" w14:textId="77777777" w:rsidTr="00EF507C">
        <w:trPr>
          <w:trHeight w:val="619"/>
        </w:trPr>
        <w:tc>
          <w:tcPr>
            <w:tcW w:w="1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4ED61" w14:textId="77777777" w:rsidR="006036BF" w:rsidRPr="006036BF" w:rsidRDefault="006036BF" w:rsidP="006036BF">
            <w:pPr>
              <w:spacing w:after="0" w:line="240" w:lineRule="auto"/>
              <w:jc w:val="both"/>
              <w:rPr>
                <w:rFonts w:ascii="Calibri" w:eastAsia="Times New Roman" w:hAnsi="Calibri" w:cs="Arial"/>
                <w:color w:val="333333"/>
                <w:kern w:val="0"/>
                <w:sz w:val="22"/>
                <w:szCs w:val="22"/>
                <w:lang w:val="en-GB" w:eastAsia="ja-JP"/>
                <w14:ligatures w14:val="none"/>
              </w:rPr>
            </w:pPr>
            <w:r w:rsidRPr="006036BF">
              <w:rPr>
                <w:rFonts w:ascii="Calibri" w:eastAsia="Times New Roman" w:hAnsi="Calibri" w:cs="Arial"/>
                <w:color w:val="333333"/>
                <w:kern w:val="0"/>
                <w:sz w:val="22"/>
                <w:szCs w:val="22"/>
                <w:lang w:val="en-GB" w:eastAsia="ja-JP"/>
                <w14:ligatures w14:val="none"/>
              </w:rPr>
              <w:t>GSSC</w:t>
            </w:r>
          </w:p>
        </w:tc>
        <w:tc>
          <w:tcPr>
            <w:tcW w:w="38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B37410" w14:textId="3262536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Processing authorized disposals in Quantum</w:t>
            </w:r>
          </w:p>
          <w:p w14:paraId="09784AC7" w14:textId="77777777" w:rsidR="006036BF" w:rsidRPr="006036BF" w:rsidRDefault="006036BF" w:rsidP="006036BF">
            <w:pPr>
              <w:numPr>
                <w:ilvl w:val="0"/>
                <w:numId w:val="4"/>
              </w:numPr>
              <w:spacing w:after="0" w:line="240" w:lineRule="auto"/>
              <w:ind w:left="194" w:hanging="180"/>
              <w:contextualSpacing/>
              <w:jc w:val="both"/>
              <w:rPr>
                <w:rFonts w:ascii="Calibri" w:eastAsia="Times New Roman" w:hAnsi="Calibri" w:cs="Arial"/>
                <w:kern w:val="0"/>
                <w:sz w:val="22"/>
                <w:szCs w:val="22"/>
                <w:lang w:val="en-GB" w:eastAsia="ja-JP"/>
                <w14:ligatures w14:val="none"/>
              </w:rPr>
            </w:pPr>
            <w:r w:rsidRPr="006036BF">
              <w:rPr>
                <w:rFonts w:ascii="Calibri" w:eastAsia="Times New Roman" w:hAnsi="Calibri" w:cs="Arial"/>
                <w:kern w:val="0"/>
                <w:sz w:val="22"/>
                <w:szCs w:val="22"/>
                <w:lang w:val="en-GB" w:eastAsia="ja-JP"/>
                <w14:ligatures w14:val="none"/>
              </w:rPr>
              <w:t>Reviewing Leases uploaded into SharePoint</w:t>
            </w:r>
          </w:p>
        </w:tc>
      </w:tr>
    </w:tbl>
    <w:p w14:paraId="4034C24C" w14:textId="77777777" w:rsidR="006036BF" w:rsidRPr="006036BF" w:rsidRDefault="006036BF" w:rsidP="006036BF">
      <w:pPr>
        <w:shd w:val="clear" w:color="auto" w:fill="FFFFFF"/>
        <w:spacing w:after="0" w:line="240" w:lineRule="auto"/>
        <w:ind w:left="730" w:hanging="370"/>
        <w:jc w:val="both"/>
        <w:textAlignment w:val="top"/>
        <w:rPr>
          <w:rFonts w:ascii="Calibri" w:eastAsia="Times New Roman" w:hAnsi="Calibri" w:cs="Arial"/>
          <w:color w:val="333333"/>
          <w:kern w:val="0"/>
          <w:sz w:val="22"/>
          <w:szCs w:val="22"/>
          <w14:ligatures w14:val="none"/>
        </w:rPr>
      </w:pPr>
    </w:p>
    <w:p w14:paraId="430EA28B" w14:textId="77777777" w:rsidR="006036BF" w:rsidRPr="006036BF" w:rsidRDefault="006036BF" w:rsidP="006036BF">
      <w:pPr>
        <w:shd w:val="clear" w:color="auto" w:fill="FFFFFF"/>
        <w:spacing w:after="0" w:line="240" w:lineRule="auto"/>
        <w:ind w:left="730" w:hanging="370"/>
        <w:jc w:val="both"/>
        <w:textAlignment w:val="top"/>
        <w:rPr>
          <w:rFonts w:ascii="Calibri" w:eastAsia="Times New Roman" w:hAnsi="Calibri" w:cs="Arial"/>
          <w:b/>
          <w:bCs/>
          <w:color w:val="333333"/>
          <w:kern w:val="0"/>
          <w:sz w:val="22"/>
          <w:szCs w:val="22"/>
          <w14:ligatures w14:val="none"/>
        </w:rPr>
      </w:pPr>
      <w:r w:rsidRPr="006036BF">
        <w:rPr>
          <w:rFonts w:ascii="Calibri" w:eastAsia="Times New Roman" w:hAnsi="Calibri" w:cs="Arial"/>
          <w:b/>
          <w:bCs/>
          <w:color w:val="333333"/>
          <w:kern w:val="0"/>
          <w:sz w:val="22"/>
          <w:szCs w:val="22"/>
          <w14:ligatures w14:val="none"/>
        </w:rPr>
        <w:t>Templates and Forms</w:t>
      </w:r>
    </w:p>
    <w:p w14:paraId="237E8C88" w14:textId="77777777" w:rsidR="006036BF" w:rsidRPr="006036BF" w:rsidRDefault="006036BF" w:rsidP="006036BF">
      <w:pPr>
        <w:shd w:val="clear" w:color="auto" w:fill="FFFFFF"/>
        <w:spacing w:after="0" w:line="240" w:lineRule="auto"/>
        <w:ind w:left="730" w:hanging="370"/>
        <w:jc w:val="both"/>
        <w:textAlignment w:val="top"/>
        <w:rPr>
          <w:rFonts w:ascii="Calibri" w:eastAsia="Calibri" w:hAnsi="Calibri" w:cs="Calibri"/>
          <w:color w:val="333333"/>
          <w:kern w:val="0"/>
          <w:sz w:val="22"/>
          <w:szCs w:val="22"/>
          <w14:ligatures w14:val="none"/>
        </w:rPr>
      </w:pPr>
    </w:p>
    <w:p w14:paraId="48E215AC" w14:textId="77777777" w:rsidR="006036BF" w:rsidRPr="006036BF" w:rsidRDefault="006036BF" w:rsidP="006036BF">
      <w:pPr>
        <w:shd w:val="clear" w:color="auto" w:fill="FFFFFF"/>
        <w:spacing w:after="0" w:line="240" w:lineRule="auto"/>
        <w:ind w:left="730" w:firstLine="720"/>
        <w:jc w:val="both"/>
        <w:textAlignment w:val="top"/>
        <w:rPr>
          <w:rFonts w:ascii="Calibri" w:eastAsia="Times New Roman" w:hAnsi="Calibri" w:cs="Arial"/>
          <w:color w:val="333333"/>
          <w:kern w:val="0"/>
          <w:sz w:val="22"/>
          <w:szCs w:val="22"/>
          <w:u w:val="single"/>
          <w14:ligatures w14:val="none"/>
        </w:rPr>
      </w:pPr>
      <w:hyperlink r:id="rId11" w:history="1">
        <w:r w:rsidRPr="006036BF">
          <w:rPr>
            <w:rFonts w:ascii="Calibri" w:eastAsia="Times New Roman" w:hAnsi="Calibri" w:cs="Arial"/>
            <w:color w:val="0072BC"/>
            <w:kern w:val="0"/>
            <w:sz w:val="22"/>
            <w:szCs w:val="22"/>
            <w:u w:val="single"/>
            <w:lang w:val="en-GB"/>
            <w14:ligatures w14:val="none"/>
          </w:rPr>
          <w:t>Lease/Buy Analysis template</w:t>
        </w:r>
      </w:hyperlink>
      <w:r w:rsidRPr="006036BF">
        <w:rPr>
          <w:rFonts w:ascii="Calibri" w:eastAsia="Times New Roman" w:hAnsi="Calibri" w:cs="Arial"/>
          <w:color w:val="333333"/>
          <w:kern w:val="0"/>
          <w:sz w:val="22"/>
          <w:szCs w:val="22"/>
          <w:u w:val="single"/>
          <w:lang w:val="en-GB"/>
          <w14:ligatures w14:val="none"/>
        </w:rPr>
        <w:t xml:space="preserve"> </w:t>
      </w:r>
    </w:p>
    <w:p w14:paraId="55062639" w14:textId="77777777" w:rsidR="00DA504D" w:rsidRDefault="00DA504D"/>
    <w:sectPr w:rsidR="00DA504D" w:rsidSect="006036BF">
      <w:headerReference w:type="default" r:id="rId12"/>
      <w:footerReference w:type="even" r:id="rId13"/>
      <w:footerReference w:type="default" r:id="rId14"/>
      <w:footerReference w:type="first" r:id="rId15"/>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D170" w14:textId="77777777" w:rsidR="003A4147" w:rsidRDefault="003A4147" w:rsidP="006036BF">
      <w:pPr>
        <w:spacing w:after="0" w:line="240" w:lineRule="auto"/>
      </w:pPr>
      <w:r>
        <w:separator/>
      </w:r>
    </w:p>
  </w:endnote>
  <w:endnote w:type="continuationSeparator" w:id="0">
    <w:p w14:paraId="0FCAC290" w14:textId="77777777" w:rsidR="003A4147" w:rsidRDefault="003A4147" w:rsidP="0060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539F" w14:textId="77777777" w:rsidR="006036BF" w:rsidRDefault="006036BF">
    <w:pPr>
      <w:spacing w:after="0" w:line="259" w:lineRule="auto"/>
      <w:ind w:right="2"/>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32A4DF8B" w14:textId="77777777" w:rsidR="006036BF" w:rsidRDefault="006036BF">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8FD3" w14:textId="77777777" w:rsidR="006036BF" w:rsidRPr="00A752A3" w:rsidRDefault="006036BF">
    <w:pPr>
      <w:spacing w:after="0" w:line="259" w:lineRule="auto"/>
      <w:rPr>
        <w:rFonts w:ascii="Calibri" w:hAnsi="Calibri" w:cs="Calibri"/>
        <w:sz w:val="22"/>
        <w:szCs w:val="22"/>
      </w:rPr>
    </w:pPr>
    <w:r w:rsidRPr="00A752A3">
      <w:rPr>
        <w:rFonts w:ascii="Calibri" w:hAnsi="Calibri" w:cs="Calibri"/>
        <w:sz w:val="22"/>
        <w:szCs w:val="22"/>
      </w:rPr>
      <w:t xml:space="preserve">Page </w:t>
    </w:r>
    <w:r w:rsidRPr="00A752A3">
      <w:rPr>
        <w:rFonts w:ascii="Calibri" w:hAnsi="Calibri" w:cs="Calibri"/>
        <w:b/>
        <w:sz w:val="22"/>
        <w:szCs w:val="22"/>
      </w:rPr>
      <w:fldChar w:fldCharType="begin"/>
    </w:r>
    <w:r w:rsidRPr="00A752A3">
      <w:rPr>
        <w:rFonts w:ascii="Calibri" w:hAnsi="Calibri" w:cs="Calibri"/>
        <w:b/>
        <w:sz w:val="22"/>
        <w:szCs w:val="22"/>
      </w:rPr>
      <w:instrText xml:space="preserve"> PAGE  \* Arabic  \* MERGEFORMAT </w:instrText>
    </w:r>
    <w:r w:rsidRPr="00A752A3">
      <w:rPr>
        <w:rFonts w:ascii="Calibri" w:hAnsi="Calibri" w:cs="Calibri"/>
        <w:b/>
        <w:sz w:val="22"/>
        <w:szCs w:val="22"/>
      </w:rPr>
      <w:fldChar w:fldCharType="separate"/>
    </w:r>
    <w:r w:rsidRPr="00A752A3">
      <w:rPr>
        <w:rFonts w:ascii="Calibri" w:hAnsi="Calibri" w:cs="Calibri"/>
        <w:b/>
        <w:noProof/>
        <w:sz w:val="22"/>
        <w:szCs w:val="22"/>
      </w:rPr>
      <w:t>3</w:t>
    </w:r>
    <w:r w:rsidRPr="00A752A3">
      <w:rPr>
        <w:rFonts w:ascii="Calibri" w:hAnsi="Calibri" w:cs="Calibri"/>
        <w:b/>
        <w:sz w:val="22"/>
        <w:szCs w:val="22"/>
      </w:rPr>
      <w:fldChar w:fldCharType="end"/>
    </w:r>
    <w:r w:rsidRPr="00A752A3">
      <w:rPr>
        <w:rFonts w:ascii="Calibri" w:hAnsi="Calibri" w:cs="Calibri"/>
        <w:sz w:val="22"/>
        <w:szCs w:val="22"/>
      </w:rPr>
      <w:t xml:space="preserve"> of </w:t>
    </w:r>
    <w:r w:rsidRPr="00A752A3">
      <w:rPr>
        <w:rFonts w:ascii="Calibri" w:hAnsi="Calibri" w:cs="Calibri"/>
        <w:b/>
        <w:sz w:val="22"/>
        <w:szCs w:val="22"/>
      </w:rPr>
      <w:fldChar w:fldCharType="begin"/>
    </w:r>
    <w:r w:rsidRPr="00A752A3">
      <w:rPr>
        <w:rFonts w:ascii="Calibri" w:hAnsi="Calibri" w:cs="Calibri"/>
        <w:b/>
        <w:sz w:val="22"/>
        <w:szCs w:val="22"/>
      </w:rPr>
      <w:instrText xml:space="preserve"> NUMPAGES  \* Arabic  \* MERGEFORMAT </w:instrText>
    </w:r>
    <w:r w:rsidRPr="00A752A3">
      <w:rPr>
        <w:rFonts w:ascii="Calibri" w:hAnsi="Calibri" w:cs="Calibri"/>
        <w:b/>
        <w:sz w:val="22"/>
        <w:szCs w:val="22"/>
      </w:rPr>
      <w:fldChar w:fldCharType="separate"/>
    </w:r>
    <w:r w:rsidRPr="00A752A3">
      <w:rPr>
        <w:rFonts w:ascii="Calibri" w:hAnsi="Calibri" w:cs="Calibri"/>
        <w:b/>
        <w:noProof/>
        <w:sz w:val="22"/>
        <w:szCs w:val="22"/>
      </w:rPr>
      <w:t>3</w:t>
    </w:r>
    <w:r w:rsidRPr="00A752A3">
      <w:rPr>
        <w:rFonts w:ascii="Calibri" w:hAnsi="Calibri" w:cs="Calibri"/>
        <w:b/>
        <w:sz w:val="22"/>
        <w:szCs w:val="22"/>
      </w:rPr>
      <w:fldChar w:fldCharType="end"/>
    </w:r>
    <w:r w:rsidRPr="00A752A3">
      <w:rPr>
        <w:rFonts w:ascii="Calibri" w:hAnsi="Calibri" w:cs="Calibri"/>
        <w:sz w:val="22"/>
        <w:szCs w:val="22"/>
      </w:rPr>
      <w:ptab w:relativeTo="margin" w:alignment="center" w:leader="none"/>
    </w:r>
    <w:r w:rsidRPr="00A752A3">
      <w:rPr>
        <w:rFonts w:ascii="Calibri" w:hAnsi="Calibri" w:cs="Calibri"/>
        <w:sz w:val="22"/>
        <w:szCs w:val="22"/>
      </w:rPr>
      <w:t>Effective Date: 25/7/2016</w:t>
    </w:r>
    <w:r w:rsidRPr="00A752A3">
      <w:rPr>
        <w:rFonts w:ascii="Calibri" w:hAnsi="Calibri" w:cs="Calibri"/>
        <w:sz w:val="22"/>
        <w:szCs w:val="22"/>
      </w:rPr>
      <w:ptab w:relativeTo="margin" w:alignment="right" w:leader="none"/>
    </w:r>
    <w:r w:rsidRPr="00A752A3">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89665646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8A970F5-5E20-4E8B-90FF-927A0F696399}"/>
        <w:text/>
      </w:sdtPr>
      <w:sdtContent>
        <w:r w:rsidRPr="00A752A3">
          <w:rPr>
            <w:rFonts w:ascii="Calibri" w:hAnsi="Calibri" w:cs="Calibr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91C7" w14:textId="77777777" w:rsidR="006036BF" w:rsidRDefault="006036BF">
    <w:pPr>
      <w:spacing w:after="0" w:line="259" w:lineRule="auto"/>
      <w:ind w:right="2"/>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082F6DF7" w14:textId="77777777" w:rsidR="006036BF" w:rsidRDefault="006036BF">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3186" w14:textId="77777777" w:rsidR="003A4147" w:rsidRDefault="003A4147" w:rsidP="006036BF">
      <w:pPr>
        <w:spacing w:after="0" w:line="240" w:lineRule="auto"/>
      </w:pPr>
      <w:r>
        <w:separator/>
      </w:r>
    </w:p>
  </w:footnote>
  <w:footnote w:type="continuationSeparator" w:id="0">
    <w:p w14:paraId="7F942817" w14:textId="77777777" w:rsidR="003A4147" w:rsidRDefault="003A4147" w:rsidP="0060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5393" w14:textId="77777777" w:rsidR="006036BF" w:rsidRDefault="006036BF" w:rsidP="008A1A28">
    <w:pPr>
      <w:pStyle w:val="Header"/>
      <w:jc w:val="right"/>
    </w:pPr>
    <w:r>
      <w:rPr>
        <w:noProof/>
      </w:rPr>
      <w:drawing>
        <wp:inline distT="0" distB="0" distL="0" distR="0" wp14:anchorId="3B2C584C" wp14:editId="2F443274">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019354819">
    <w:abstractNumId w:val="1"/>
  </w:num>
  <w:num w:numId="2" w16cid:durableId="614169215">
    <w:abstractNumId w:val="0"/>
  </w:num>
  <w:num w:numId="3" w16cid:durableId="1156189177">
    <w:abstractNumId w:val="3"/>
  </w:num>
  <w:num w:numId="4" w16cid:durableId="57802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BF"/>
    <w:rsid w:val="001F1360"/>
    <w:rsid w:val="001F549B"/>
    <w:rsid w:val="0027533F"/>
    <w:rsid w:val="003A4147"/>
    <w:rsid w:val="003E58A9"/>
    <w:rsid w:val="00443B82"/>
    <w:rsid w:val="004F563A"/>
    <w:rsid w:val="006036BF"/>
    <w:rsid w:val="00A752A3"/>
    <w:rsid w:val="00B67E27"/>
    <w:rsid w:val="00C61B9D"/>
    <w:rsid w:val="00C659F1"/>
    <w:rsid w:val="00CF7A71"/>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81B3"/>
  <w15:chartTrackingRefBased/>
  <w15:docId w15:val="{001470A2-09B4-4DB9-96B1-4E254105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6BF"/>
    <w:rPr>
      <w:rFonts w:eastAsiaTheme="majorEastAsia" w:cstheme="majorBidi"/>
      <w:color w:val="272727" w:themeColor="text1" w:themeTint="D8"/>
    </w:rPr>
  </w:style>
  <w:style w:type="paragraph" w:styleId="Title">
    <w:name w:val="Title"/>
    <w:basedOn w:val="Normal"/>
    <w:next w:val="Normal"/>
    <w:link w:val="TitleChar"/>
    <w:uiPriority w:val="10"/>
    <w:qFormat/>
    <w:rsid w:val="0060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6BF"/>
    <w:pPr>
      <w:spacing w:before="160"/>
      <w:jc w:val="center"/>
    </w:pPr>
    <w:rPr>
      <w:i/>
      <w:iCs/>
      <w:color w:val="404040" w:themeColor="text1" w:themeTint="BF"/>
    </w:rPr>
  </w:style>
  <w:style w:type="character" w:customStyle="1" w:styleId="QuoteChar">
    <w:name w:val="Quote Char"/>
    <w:basedOn w:val="DefaultParagraphFont"/>
    <w:link w:val="Quote"/>
    <w:uiPriority w:val="29"/>
    <w:rsid w:val="006036BF"/>
    <w:rPr>
      <w:i/>
      <w:iCs/>
      <w:color w:val="404040" w:themeColor="text1" w:themeTint="BF"/>
    </w:rPr>
  </w:style>
  <w:style w:type="paragraph" w:styleId="ListParagraph">
    <w:name w:val="List Paragraph"/>
    <w:basedOn w:val="Normal"/>
    <w:uiPriority w:val="34"/>
    <w:qFormat/>
    <w:rsid w:val="006036BF"/>
    <w:pPr>
      <w:ind w:left="720"/>
      <w:contextualSpacing/>
    </w:pPr>
  </w:style>
  <w:style w:type="character" w:styleId="IntenseEmphasis">
    <w:name w:val="Intense Emphasis"/>
    <w:basedOn w:val="DefaultParagraphFont"/>
    <w:uiPriority w:val="21"/>
    <w:qFormat/>
    <w:rsid w:val="006036BF"/>
    <w:rPr>
      <w:i/>
      <w:iCs/>
      <w:color w:val="0F4761" w:themeColor="accent1" w:themeShade="BF"/>
    </w:rPr>
  </w:style>
  <w:style w:type="paragraph" w:styleId="IntenseQuote">
    <w:name w:val="Intense Quote"/>
    <w:basedOn w:val="Normal"/>
    <w:next w:val="Normal"/>
    <w:link w:val="IntenseQuoteChar"/>
    <w:uiPriority w:val="30"/>
    <w:qFormat/>
    <w:rsid w:val="00603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6BF"/>
    <w:rPr>
      <w:i/>
      <w:iCs/>
      <w:color w:val="0F4761" w:themeColor="accent1" w:themeShade="BF"/>
    </w:rPr>
  </w:style>
  <w:style w:type="character" w:styleId="IntenseReference">
    <w:name w:val="Intense Reference"/>
    <w:basedOn w:val="DefaultParagraphFont"/>
    <w:uiPriority w:val="32"/>
    <w:qFormat/>
    <w:rsid w:val="006036BF"/>
    <w:rPr>
      <w:b/>
      <w:bCs/>
      <w:smallCaps/>
      <w:color w:val="0F4761" w:themeColor="accent1" w:themeShade="BF"/>
      <w:spacing w:val="5"/>
    </w:rPr>
  </w:style>
  <w:style w:type="paragraph" w:styleId="Header">
    <w:name w:val="header"/>
    <w:basedOn w:val="Normal"/>
    <w:link w:val="HeaderChar"/>
    <w:uiPriority w:val="99"/>
    <w:unhideWhenUsed/>
    <w:rsid w:val="0060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BF"/>
  </w:style>
  <w:style w:type="paragraph" w:styleId="Revision">
    <w:name w:val="Revision"/>
    <w:hidden/>
    <w:uiPriority w:val="99"/>
    <w:semiHidden/>
    <w:rsid w:val="0060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6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dp.service-now.com/unall?id=esc_hom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361"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p.undp.org/node/10681" TargetMode="External"/><Relationship Id="rId4" Type="http://schemas.openxmlformats.org/officeDocument/2006/relationships/webSettings" Target="webSettings.xml"/><Relationship Id="rId9" Type="http://schemas.openxmlformats.org/officeDocument/2006/relationships/hyperlink" Target="https://popp.undp.org/node/1068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2026-04-17T11:23:00Z</dcterms:created>
  <dcterms:modified xsi:type="dcterms:W3CDTF">2026-04-29T00:02:00Z</dcterms:modified>
</cp:coreProperties>
</file>