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A018F" w14:textId="77777777" w:rsidR="00493B09" w:rsidRPr="00493B09" w:rsidRDefault="00493B09" w:rsidP="00493B09">
      <w:pPr>
        <w:spacing w:after="0"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b/>
          <w:color w:val="000000"/>
          <w:kern w:val="0"/>
          <w:sz w:val="28"/>
          <w:szCs w:val="22"/>
          <w:lang w:val="es-ES"/>
          <w14:ligatures w14:val="none"/>
        </w:rPr>
        <w:t xml:space="preserve">Gestión posterior de viajes  </w:t>
      </w:r>
      <w:r w:rsidRPr="00493B09">
        <w:rPr>
          <w:rFonts w:ascii="Calibri" w:eastAsia="Calibri" w:hAnsi="Calibri" w:cs="Calibri"/>
          <w:color w:val="333333"/>
          <w:kern w:val="0"/>
          <w:sz w:val="22"/>
          <w:szCs w:val="22"/>
          <w:lang w:val="es-ES"/>
          <w14:ligatures w14:val="none"/>
        </w:rPr>
        <w:t xml:space="preserve"> </w:t>
      </w:r>
    </w:p>
    <w:p w14:paraId="30AA7B5B" w14:textId="77777777" w:rsidR="00493B09" w:rsidRPr="00493B09" w:rsidRDefault="00493B09" w:rsidP="00493B09">
      <w:pPr>
        <w:spacing w:after="21"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174B1293"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La solicitud de reembolso de gastos de viaje es un informe posterior al viaje que el viajero debe presentar a la unidad de autorización </w:t>
      </w:r>
      <w:r w:rsidRPr="00493B09">
        <w:rPr>
          <w:rFonts w:ascii="Calibri" w:eastAsia="Calibri" w:hAnsi="Calibri" w:cs="Calibri"/>
          <w:b/>
          <w:color w:val="333333"/>
          <w:kern w:val="0"/>
          <w:sz w:val="22"/>
          <w:szCs w:val="22"/>
          <w:lang w:val="es-ES"/>
          <w14:ligatures w14:val="none"/>
        </w:rPr>
        <w:t>dentro de las dos semanas</w:t>
      </w:r>
      <w:r w:rsidRPr="00493B09">
        <w:rPr>
          <w:rFonts w:ascii="Calibri" w:eastAsia="Calibri" w:hAnsi="Calibri" w:cs="Calibri"/>
          <w:color w:val="333333"/>
          <w:kern w:val="0"/>
          <w:sz w:val="22"/>
          <w:szCs w:val="22"/>
          <w:lang w:val="es-ES"/>
          <w14:ligatures w14:val="none"/>
        </w:rPr>
        <w:t xml:space="preserve"> posteriores a la finalización del viaje, cuando el PNUD organiza y paga el viaje.  </w:t>
      </w:r>
    </w:p>
    <w:p w14:paraId="361453F1" w14:textId="77777777" w:rsidR="00493B09" w:rsidRPr="00493B09" w:rsidRDefault="00493B09" w:rsidP="00493B09">
      <w:pPr>
        <w:spacing w:after="21"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44E5036A"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La solicitud de reembolso de gastos de viaje debe proporcionar los comprobantes del viaje; permite al viajero solicitar el reembolso de gastos de viaje adicionales; y si el adelanto de gastos de viaje ha excedido el monto de los gastos reembolsables, permite al viajero reembolsar el monto del sobrepago. </w:t>
      </w:r>
    </w:p>
    <w:p w14:paraId="20C0E28F" w14:textId="77777777" w:rsidR="00493B09" w:rsidRPr="00493B09" w:rsidRDefault="00493B09" w:rsidP="00493B09">
      <w:pPr>
        <w:spacing w:after="23"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22C054C1" w14:textId="77777777" w:rsidR="00493B09" w:rsidRPr="00493B09" w:rsidRDefault="00493B09" w:rsidP="00493B09">
      <w:pPr>
        <w:numPr>
          <w:ilvl w:val="0"/>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Los gastos adicionales reembolsables normalmente se limitan a lo siguiente:  </w:t>
      </w:r>
    </w:p>
    <w:p w14:paraId="47802A8F"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Transporte local que no esté cubierto por pequeños gastos de salida y llegada o prestación de subsistencia diaria (DSA, </w:t>
      </w:r>
      <w:r w:rsidRPr="00493B09">
        <w:rPr>
          <w:rFonts w:ascii="Calibri" w:eastAsia="Calibri" w:hAnsi="Calibri" w:cs="Calibri"/>
          <w:i/>
          <w:color w:val="333333"/>
          <w:kern w:val="0"/>
          <w:sz w:val="22"/>
          <w:szCs w:val="22"/>
          <w:lang w:val="es-ES"/>
          <w14:ligatures w14:val="none"/>
        </w:rPr>
        <w:t xml:space="preserve">Daily </w:t>
      </w:r>
      <w:proofErr w:type="spellStart"/>
      <w:r w:rsidRPr="00493B09">
        <w:rPr>
          <w:rFonts w:ascii="Calibri" w:eastAsia="Calibri" w:hAnsi="Calibri" w:cs="Calibri"/>
          <w:i/>
          <w:color w:val="333333"/>
          <w:kern w:val="0"/>
          <w:sz w:val="22"/>
          <w:szCs w:val="22"/>
          <w:lang w:val="es-ES"/>
          <w14:ligatures w14:val="none"/>
        </w:rPr>
        <w:t>Subsistence</w:t>
      </w:r>
      <w:proofErr w:type="spellEnd"/>
      <w:r w:rsidRPr="00493B09">
        <w:rPr>
          <w:rFonts w:ascii="Calibri" w:eastAsia="Calibri" w:hAnsi="Calibri" w:cs="Calibri"/>
          <w:i/>
          <w:color w:val="333333"/>
          <w:kern w:val="0"/>
          <w:sz w:val="22"/>
          <w:szCs w:val="22"/>
          <w:lang w:val="es-ES"/>
          <w14:ligatures w14:val="none"/>
        </w:rPr>
        <w:t xml:space="preserve"> </w:t>
      </w:r>
      <w:proofErr w:type="spellStart"/>
      <w:r w:rsidRPr="00493B09">
        <w:rPr>
          <w:rFonts w:ascii="Calibri" w:eastAsia="Calibri" w:hAnsi="Calibri" w:cs="Calibri"/>
          <w:i/>
          <w:color w:val="333333"/>
          <w:kern w:val="0"/>
          <w:sz w:val="22"/>
          <w:szCs w:val="22"/>
          <w:lang w:val="es-ES"/>
          <w14:ligatures w14:val="none"/>
        </w:rPr>
        <w:t>Allowance</w:t>
      </w:r>
      <w:proofErr w:type="spellEnd"/>
      <w:r w:rsidRPr="00493B09">
        <w:rPr>
          <w:rFonts w:ascii="Calibri" w:eastAsia="Calibri" w:hAnsi="Calibri" w:cs="Calibri"/>
          <w:color w:val="333333"/>
          <w:kern w:val="0"/>
          <w:sz w:val="22"/>
          <w:szCs w:val="22"/>
          <w:lang w:val="es-ES"/>
          <w14:ligatures w14:val="none"/>
        </w:rPr>
        <w:t xml:space="preserve">, por sus siglas en inglés)   </w:t>
      </w:r>
    </w:p>
    <w:p w14:paraId="1AED7D81"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Gastos telefónicos y otros gastos de comunicación por asuntos oficiales   </w:t>
      </w:r>
    </w:p>
    <w:p w14:paraId="23F47144"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Transporte de equipaje autorizado   </w:t>
      </w:r>
    </w:p>
    <w:p w14:paraId="73AA0867"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Alquiler de habitaciones para uso oficial*  </w:t>
      </w:r>
    </w:p>
    <w:p w14:paraId="5D115B4A"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Servicios y alquiler de equipos necesarios para la preparación de informes oficiales o correspondencia  </w:t>
      </w:r>
    </w:p>
    <w:p w14:paraId="7DE81A18" w14:textId="77777777" w:rsidR="00493B09" w:rsidRPr="00493B09" w:rsidRDefault="00493B09" w:rsidP="00493B09">
      <w:pPr>
        <w:numPr>
          <w:ilvl w:val="1"/>
          <w:numId w:val="1"/>
        </w:numPr>
        <w:spacing w:after="120"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Vacunas  </w:t>
      </w:r>
    </w:p>
    <w:p w14:paraId="4C3E005B" w14:textId="77777777" w:rsidR="00493B09" w:rsidRPr="00493B09" w:rsidRDefault="00493B09" w:rsidP="00493B09">
      <w:pPr>
        <w:spacing w:after="3" w:line="254" w:lineRule="auto"/>
        <w:ind w:left="1094"/>
        <w:jc w:val="both"/>
        <w:rPr>
          <w:rFonts w:ascii="Calibri" w:eastAsia="Calibri" w:hAnsi="Calibri" w:cs="Calibri"/>
          <w:color w:val="333333"/>
          <w:kern w:val="0"/>
          <w:sz w:val="22"/>
          <w:szCs w:val="22"/>
          <w:lang w:val="es-ES"/>
          <w14:ligatures w14:val="none"/>
        </w:rPr>
      </w:pPr>
      <w:r w:rsidRPr="00493B09">
        <w:rPr>
          <w:rFonts w:ascii="Calibri" w:eastAsia="Calibri" w:hAnsi="Calibri" w:cs="Calibri"/>
          <w:b/>
          <w:color w:val="333333"/>
          <w:kern w:val="0"/>
          <w:sz w:val="22"/>
          <w:szCs w:val="22"/>
          <w:lang w:val="es-ES"/>
          <w14:ligatures w14:val="none"/>
        </w:rPr>
        <w:t xml:space="preserve">* </w:t>
      </w:r>
      <w:r w:rsidRPr="00493B09">
        <w:rPr>
          <w:rFonts w:ascii="Calibri" w:eastAsia="Calibri" w:hAnsi="Calibri" w:cs="Calibri"/>
          <w:color w:val="333333"/>
          <w:kern w:val="0"/>
          <w:sz w:val="22"/>
          <w:szCs w:val="22"/>
          <w:lang w:val="es-ES"/>
          <w14:ligatures w14:val="none"/>
        </w:rPr>
        <w:t>Los gastos requieren la aprobación previa del mismo aprobador autorizado para aprobar</w:t>
      </w:r>
      <w:r w:rsidRPr="00493B09">
        <w:rPr>
          <w:rFonts w:ascii="Calibri" w:eastAsia="Calibri" w:hAnsi="Calibri" w:cs="Calibri"/>
          <w:color w:val="333333"/>
          <w:kern w:val="0"/>
          <w:sz w:val="22"/>
          <w:szCs w:val="22"/>
          <w:lang w:val="es-ES"/>
          <w14:ligatures w14:val="none"/>
        </w:rPr>
        <w:br/>
        <w:t xml:space="preserve">el viaje.  </w:t>
      </w:r>
    </w:p>
    <w:p w14:paraId="01A083CC" w14:textId="77777777" w:rsidR="00493B09" w:rsidRPr="00493B09" w:rsidRDefault="00493B09" w:rsidP="00493B09">
      <w:pPr>
        <w:spacing w:after="0"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05ECC955" w14:textId="77777777" w:rsidR="00493B09" w:rsidRPr="00493B09" w:rsidRDefault="00493B09" w:rsidP="00493B09">
      <w:pPr>
        <w:spacing w:after="0" w:line="259" w:lineRule="auto"/>
        <w:ind w:left="-5" w:hanging="10"/>
        <w:rPr>
          <w:rFonts w:ascii="Calibri" w:eastAsia="Calibri" w:hAnsi="Calibri" w:cs="Calibri"/>
          <w:color w:val="333333"/>
          <w:kern w:val="0"/>
          <w:sz w:val="22"/>
          <w:szCs w:val="22"/>
          <w:lang w:val="es-ES"/>
          <w14:ligatures w14:val="none"/>
        </w:rPr>
      </w:pPr>
      <w:r w:rsidRPr="00493B09">
        <w:rPr>
          <w:rFonts w:ascii="Calibri" w:eastAsia="Calibri" w:hAnsi="Calibri" w:cs="Calibri"/>
          <w:b/>
          <w:color w:val="333333"/>
          <w:kern w:val="0"/>
          <w:sz w:val="22"/>
          <w:szCs w:val="22"/>
          <w:lang w:val="es-ES"/>
          <w14:ligatures w14:val="none"/>
        </w:rPr>
        <w:t>Solicitud de reembolso de gastos de viaje</w:t>
      </w:r>
      <w:r w:rsidRPr="00493B09">
        <w:rPr>
          <w:rFonts w:ascii="Calibri" w:eastAsia="Calibri" w:hAnsi="Calibri" w:cs="Calibri"/>
          <w:color w:val="333333"/>
          <w:kern w:val="0"/>
          <w:sz w:val="22"/>
          <w:szCs w:val="22"/>
          <w:lang w:val="es-ES"/>
          <w14:ligatures w14:val="none"/>
        </w:rPr>
        <w:t xml:space="preserve">   </w:t>
      </w:r>
    </w:p>
    <w:p w14:paraId="67F47966" w14:textId="77777777" w:rsidR="00493B09" w:rsidRPr="00493B09" w:rsidRDefault="00493B09" w:rsidP="00493B09">
      <w:pPr>
        <w:spacing w:after="21"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28E23A3F" w14:textId="0546EE6C" w:rsidR="00493B09" w:rsidRPr="00493B09" w:rsidRDefault="00493B09" w:rsidP="00493B09">
      <w:pPr>
        <w:numPr>
          <w:ilvl w:val="0"/>
          <w:numId w:val="1"/>
        </w:numPr>
        <w:spacing w:after="3" w:line="254" w:lineRule="auto"/>
        <w:ind w:right="3" w:hanging="37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Todos los funcionarios, así como los no funcionarios, cuando su viaje sea organizado y pagado por el PNUD, deberán presentar una solicitud de reembolso de gastos de viaje. La solicitud de reembolso de gastos de viaje debe ir acompañada de los justificantes del viaje, incluidas las tarjetas de embarque (en papel o copias de las tarjetas de embarque electrónicas recibidas por correo electrónico), el itinerario oficial y los recibos de gastos varios, si procede. La solicitud de reembolso de gastos de viaje debe ir firmada por un funcionario que verifique que la misión se ha llevado a cabo y que los gastos se ajustan a la política y están aprobados. Los miembros del personal y los administradores de viajes (que organizan viajes en nombre de personas que no forman parte del personal) que utilicen el proveedor de servicios de gestión de viajes de la sede deben conservar la documentación original del viaje hasta que se haya tramitado la solicitud de reembolso de gastos de viaje.</w:t>
      </w:r>
    </w:p>
    <w:p w14:paraId="09E1449A" w14:textId="77777777" w:rsidR="00493B09" w:rsidRPr="00493B09" w:rsidRDefault="00493B09" w:rsidP="00493B09">
      <w:pPr>
        <w:spacing w:after="3" w:line="254" w:lineRule="auto"/>
        <w:ind w:left="705"/>
        <w:jc w:val="both"/>
        <w:rPr>
          <w:rFonts w:ascii="Calibri" w:eastAsia="Calibri" w:hAnsi="Calibri" w:cs="Calibri"/>
          <w:color w:val="333333"/>
          <w:kern w:val="0"/>
          <w:sz w:val="22"/>
          <w:szCs w:val="22"/>
          <w:lang w:val="es-ES"/>
          <w14:ligatures w14:val="none"/>
        </w:rPr>
      </w:pPr>
    </w:p>
    <w:p w14:paraId="221186E3"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lastRenderedPageBreak/>
        <w:t xml:space="preserve">Si durante la revisión de la solicitud de reembolso de gastos de viaje se determina que se ha adelantado al viajero un monto mayor que el monto autorizado de gastos reembolsables, el PNUD recuperará la diferencia.   </w:t>
      </w:r>
    </w:p>
    <w:p w14:paraId="15707C1F" w14:textId="77777777" w:rsidR="00493B09" w:rsidRPr="00493B09" w:rsidRDefault="00493B09" w:rsidP="00493B09">
      <w:pPr>
        <w:spacing w:after="23"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175679F2"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Las solicitudes de reembolso de gastos de viaje diversos se certifican a través de la autorización de la solicitud de reembolso de gastos de viaje por parte del oficial aprobador. En la ausencia de un comprobante de un gasto diverso, se reembolsará un máximo de USD 20.  </w:t>
      </w:r>
    </w:p>
    <w:p w14:paraId="6B90F3BB" w14:textId="77777777" w:rsidR="00493B09" w:rsidRPr="00493B09" w:rsidRDefault="00493B09" w:rsidP="00493B09">
      <w:pPr>
        <w:spacing w:after="2"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32E33D54"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Los gastos de viaje reembolsables se calcularán en dólares estadounidenses. Los montos reclamados en monedas que no sean el dólar estadounidense se convertirán a dólares estadounidenses mediante el </w:t>
      </w:r>
      <w:hyperlink r:id="rId7" w:history="1">
        <w:r w:rsidRPr="00493B09">
          <w:rPr>
            <w:rFonts w:ascii="Calibri" w:eastAsia="Calibri" w:hAnsi="Calibri" w:cs="Calibri"/>
            <w:color w:val="0070C0"/>
            <w:kern w:val="0"/>
            <w:sz w:val="22"/>
            <w:szCs w:val="22"/>
            <w:u w:val="single"/>
            <w:lang w:val="es-ES"/>
            <w14:ligatures w14:val="none"/>
          </w:rPr>
          <w:t xml:space="preserve">tipo de cambio de las Naciones Unidas (UNORE, </w:t>
        </w:r>
        <w:proofErr w:type="spellStart"/>
        <w:r w:rsidRPr="00493B09">
          <w:rPr>
            <w:rFonts w:ascii="Calibri" w:eastAsia="Calibri" w:hAnsi="Calibri" w:cs="Calibri"/>
            <w:i/>
            <w:color w:val="0070C0"/>
            <w:kern w:val="0"/>
            <w:sz w:val="22"/>
            <w:szCs w:val="22"/>
            <w:u w:val="single"/>
            <w:lang w:val="es-ES"/>
            <w14:ligatures w14:val="none"/>
          </w:rPr>
          <w:t>United</w:t>
        </w:r>
        <w:proofErr w:type="spellEnd"/>
        <w:r w:rsidRPr="00493B09">
          <w:rPr>
            <w:rFonts w:ascii="Calibri" w:eastAsia="Calibri" w:hAnsi="Calibri" w:cs="Calibri"/>
            <w:i/>
            <w:color w:val="0070C0"/>
            <w:kern w:val="0"/>
            <w:sz w:val="22"/>
            <w:szCs w:val="22"/>
            <w:u w:val="single"/>
            <w:lang w:val="es-ES"/>
            <w14:ligatures w14:val="none"/>
          </w:rPr>
          <w:t xml:space="preserve"> Nations </w:t>
        </w:r>
        <w:proofErr w:type="spellStart"/>
        <w:r w:rsidRPr="00493B09">
          <w:rPr>
            <w:rFonts w:ascii="Calibri" w:eastAsia="Calibri" w:hAnsi="Calibri" w:cs="Calibri"/>
            <w:i/>
            <w:color w:val="0070C0"/>
            <w:kern w:val="0"/>
            <w:sz w:val="22"/>
            <w:szCs w:val="22"/>
            <w:u w:val="single"/>
            <w:lang w:val="es-ES"/>
            <w14:ligatures w14:val="none"/>
          </w:rPr>
          <w:t>Operational</w:t>
        </w:r>
        <w:proofErr w:type="spellEnd"/>
        <w:r w:rsidRPr="00493B09">
          <w:rPr>
            <w:rFonts w:ascii="Calibri" w:eastAsia="Calibri" w:hAnsi="Calibri" w:cs="Calibri"/>
            <w:i/>
            <w:color w:val="0070C0"/>
            <w:kern w:val="0"/>
            <w:sz w:val="22"/>
            <w:szCs w:val="22"/>
            <w:u w:val="single"/>
            <w:lang w:val="es-ES"/>
            <w14:ligatures w14:val="none"/>
          </w:rPr>
          <w:t xml:space="preserve"> Rate </w:t>
        </w:r>
        <w:proofErr w:type="spellStart"/>
        <w:r w:rsidRPr="00493B09">
          <w:rPr>
            <w:rFonts w:ascii="Calibri" w:eastAsia="Calibri" w:hAnsi="Calibri" w:cs="Calibri"/>
            <w:i/>
            <w:color w:val="0070C0"/>
            <w:kern w:val="0"/>
            <w:sz w:val="22"/>
            <w:szCs w:val="22"/>
            <w:u w:val="single"/>
            <w:lang w:val="es-ES"/>
            <w14:ligatures w14:val="none"/>
          </w:rPr>
          <w:t>of</w:t>
        </w:r>
        <w:proofErr w:type="spellEnd"/>
        <w:r w:rsidRPr="00493B09">
          <w:rPr>
            <w:rFonts w:ascii="Calibri" w:eastAsia="Calibri" w:hAnsi="Calibri" w:cs="Calibri"/>
            <w:i/>
            <w:color w:val="0070C0"/>
            <w:kern w:val="0"/>
            <w:sz w:val="22"/>
            <w:szCs w:val="22"/>
            <w:u w:val="single"/>
            <w:lang w:val="es-ES"/>
            <w14:ligatures w14:val="none"/>
          </w:rPr>
          <w:t xml:space="preserve"> Exchange, por sus siglas en inglés)</w:t>
        </w:r>
      </w:hyperlink>
      <w:r w:rsidRPr="00493B09">
        <w:rPr>
          <w:rFonts w:ascii="Calibri" w:eastAsia="Calibri" w:hAnsi="Calibri" w:cs="Calibri"/>
          <w:color w:val="333333"/>
          <w:kern w:val="0"/>
          <w:sz w:val="22"/>
          <w:szCs w:val="22"/>
          <w:lang w:val="es-ES"/>
          <w14:ligatures w14:val="none"/>
        </w:rPr>
        <w:t xml:space="preserve"> , para el mes en que se incurrió el gasto, siempre que la liquidación total de la reclamación deba pagarse en dólares estadounidenses</w:t>
      </w:r>
    </w:p>
    <w:p w14:paraId="52B484AC" w14:textId="77777777" w:rsidR="00493B09" w:rsidRPr="00493B09" w:rsidRDefault="00493B09" w:rsidP="00493B09">
      <w:pPr>
        <w:spacing w:after="3" w:line="254" w:lineRule="auto"/>
        <w:ind w:left="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7252AD6C"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El pago de una solicitud de reembolso de gastos de viaje en relación con un viaje local se pagará en la moneda local siempre que sea posible.  </w:t>
      </w:r>
    </w:p>
    <w:p w14:paraId="68D3FA7F" w14:textId="77777777" w:rsidR="00493B09" w:rsidRPr="00493B09" w:rsidRDefault="00493B09" w:rsidP="00493B09">
      <w:pPr>
        <w:spacing w:after="45" w:line="259" w:lineRule="auto"/>
        <w:ind w:left="73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273DDA7E"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Ningún reembolso de solicitud de reembolso de gastos de viaje se pagará a terceros. Los viajeros no son elegibles para recibir un reembolso por los gastos incurridos en transporte o en la compra de otros artículos diversos para terceros.   </w:t>
      </w:r>
    </w:p>
    <w:p w14:paraId="0AF3CD06" w14:textId="77777777" w:rsidR="00493B09" w:rsidRPr="00493B09" w:rsidRDefault="00493B09" w:rsidP="00493B09">
      <w:pPr>
        <w:spacing w:after="24"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460D09F7"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Si el viajero </w:t>
      </w:r>
      <w:r w:rsidRPr="00493B09">
        <w:rPr>
          <w:rFonts w:ascii="Calibri" w:eastAsia="Calibri" w:hAnsi="Calibri" w:cs="Calibri"/>
          <w:b/>
          <w:color w:val="333333"/>
          <w:kern w:val="0"/>
          <w:sz w:val="22"/>
          <w:szCs w:val="22"/>
          <w:u w:val="single" w:color="333333"/>
          <w:lang w:val="es-ES"/>
          <w14:ligatures w14:val="none"/>
        </w:rPr>
        <w:t>no presenta solicitudes de reembolso de gastos de viaje para dos misiones consecutivas dentro de los 60 días</w:t>
      </w:r>
      <w:r w:rsidRPr="00493B09">
        <w:rPr>
          <w:rFonts w:ascii="Calibri" w:eastAsia="Calibri" w:hAnsi="Calibri" w:cs="Calibri"/>
          <w:color w:val="333333"/>
          <w:kern w:val="0"/>
          <w:sz w:val="22"/>
          <w:szCs w:val="22"/>
          <w:lang w:val="es-ES"/>
          <w14:ligatures w14:val="none"/>
        </w:rPr>
        <w:t xml:space="preserve"> posteriores a la finalización de su misión, no se realizarán más adelantos hasta que se paguen todas las solicitudes pendientes.  </w:t>
      </w:r>
    </w:p>
    <w:p w14:paraId="7D4417B4" w14:textId="77777777" w:rsidR="00493B09" w:rsidRPr="00493B09" w:rsidRDefault="00493B09" w:rsidP="00493B09">
      <w:pPr>
        <w:spacing w:after="23"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384E3F77"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Las solicitudes de reembolso de gastos de viaje se considerarán como inválidas si la unidad de autorización las recibe más de un año después de finalizado el viaje. En tales casos, no se realizará ningún pago al viajero.  </w:t>
      </w:r>
    </w:p>
    <w:p w14:paraId="2CE58170" w14:textId="77777777" w:rsidR="00493B09" w:rsidRPr="00493B09" w:rsidRDefault="00493B09" w:rsidP="00493B09">
      <w:pPr>
        <w:spacing w:after="23"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7BA36AEB"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Las siguientes categorías de tipos de gastos pueden seleccionarse al crear una solicitud de reembolso de gastos de viaje: tarifa de viaje (costos del pasaje aéreo, incluida su emisión), DSA (derecho), DSA suplementaria, DSA ad hoc, partida de la terminal y llegada a la terminal.  </w:t>
      </w:r>
    </w:p>
    <w:p w14:paraId="4749B348" w14:textId="77777777" w:rsidR="00493B09" w:rsidRPr="00493B09" w:rsidRDefault="00493B09" w:rsidP="00493B09">
      <w:pPr>
        <w:spacing w:after="19"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716F9903"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Si se deben reclamar o devolver montos al PNUD, la transacción apropiada se procesa en </w:t>
      </w:r>
      <w:proofErr w:type="spellStart"/>
      <w:r w:rsidRPr="00493B09">
        <w:rPr>
          <w:rFonts w:ascii="Calibri" w:eastAsia="Calibri" w:hAnsi="Calibri" w:cs="Calibri"/>
          <w:color w:val="333333"/>
          <w:kern w:val="0"/>
          <w:sz w:val="22"/>
          <w:szCs w:val="22"/>
          <w:lang w:val="es-ES"/>
          <w14:ligatures w14:val="none"/>
        </w:rPr>
        <w:t>UNAll</w:t>
      </w:r>
      <w:proofErr w:type="spellEnd"/>
      <w:r w:rsidRPr="00493B09">
        <w:rPr>
          <w:rFonts w:ascii="Calibri" w:eastAsia="Calibri" w:hAnsi="Calibri" w:cs="Calibri"/>
          <w:color w:val="333333"/>
          <w:kern w:val="0"/>
          <w:sz w:val="22"/>
          <w:szCs w:val="22"/>
          <w:lang w:val="es-ES"/>
          <w14:ligatures w14:val="none"/>
        </w:rPr>
        <w:t xml:space="preserve">/Quantum (por ejemplo, un informe de gastos). El pago al viajero o el reembolso al PNUD se realizarán en un único pago.   </w:t>
      </w:r>
    </w:p>
    <w:p w14:paraId="614DE958" w14:textId="77777777" w:rsidR="00493B09" w:rsidRPr="00493B09" w:rsidRDefault="00493B09" w:rsidP="00493B09">
      <w:pPr>
        <w:spacing w:after="21"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04FDCC7C" w14:textId="77777777" w:rsidR="00493B09" w:rsidRPr="00493B09" w:rsidRDefault="00493B09" w:rsidP="00493B09">
      <w:pPr>
        <w:numPr>
          <w:ilvl w:val="0"/>
          <w:numId w:val="1"/>
        </w:numPr>
        <w:spacing w:after="3" w:line="254" w:lineRule="auto"/>
        <w:ind w:right="3" w:hanging="360"/>
        <w:jc w:val="both"/>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El personal externo, cuando el PNUD pague y organice los viajes, recibe un adelanto del 80 % de la DSA estimada y de los pequeños gastos de salida y llegada antes del viaje. El saldo restante adeudado al viajero se procesa a través de la solicitud de reembolso de gastos de viaje una vez finalizado el viaje. Esto incluye completar un informe de solicitud de reembolso de gastos de viaje </w:t>
      </w:r>
      <w:r w:rsidRPr="00493B09">
        <w:rPr>
          <w:rFonts w:ascii="Calibri" w:eastAsia="Calibri" w:hAnsi="Calibri" w:cs="Calibri"/>
          <w:color w:val="333333"/>
          <w:kern w:val="0"/>
          <w:sz w:val="22"/>
          <w:szCs w:val="22"/>
          <w:lang w:val="es-ES"/>
          <w14:ligatures w14:val="none"/>
        </w:rPr>
        <w:lastRenderedPageBreak/>
        <w:t xml:space="preserve">en el módulo de Viajes y gastos (T&amp;E, </w:t>
      </w:r>
      <w:r w:rsidRPr="00493B09">
        <w:rPr>
          <w:rFonts w:ascii="Calibri" w:eastAsia="Calibri" w:hAnsi="Calibri" w:cs="Calibri"/>
          <w:i/>
          <w:color w:val="333333"/>
          <w:kern w:val="0"/>
          <w:sz w:val="22"/>
          <w:szCs w:val="22"/>
          <w:lang w:val="es-ES"/>
          <w14:ligatures w14:val="none"/>
        </w:rPr>
        <w:t>Travel and Expenses</w:t>
      </w:r>
      <w:r w:rsidRPr="00493B09">
        <w:rPr>
          <w:rFonts w:ascii="Calibri" w:eastAsia="Calibri" w:hAnsi="Calibri" w:cs="Calibri"/>
          <w:color w:val="333333"/>
          <w:kern w:val="0"/>
          <w:sz w:val="22"/>
          <w:szCs w:val="22"/>
          <w:lang w:val="es-ES"/>
          <w14:ligatures w14:val="none"/>
        </w:rPr>
        <w:t xml:space="preserve">, por sus siglas en inglés) de </w:t>
      </w:r>
      <w:proofErr w:type="spellStart"/>
      <w:r w:rsidRPr="00493B09">
        <w:rPr>
          <w:rFonts w:ascii="Calibri" w:eastAsia="Calibri" w:hAnsi="Calibri" w:cs="Calibri"/>
          <w:color w:val="333333"/>
          <w:kern w:val="0"/>
          <w:sz w:val="22"/>
          <w:szCs w:val="22"/>
          <w:lang w:val="es-ES"/>
          <w14:ligatures w14:val="none"/>
        </w:rPr>
        <w:t>UNAll</w:t>
      </w:r>
      <w:proofErr w:type="spellEnd"/>
      <w:r w:rsidRPr="00493B09">
        <w:rPr>
          <w:rFonts w:ascii="Calibri" w:eastAsia="Calibri" w:hAnsi="Calibri" w:cs="Calibri"/>
          <w:color w:val="333333"/>
          <w:kern w:val="0"/>
          <w:sz w:val="22"/>
          <w:szCs w:val="22"/>
          <w:lang w:val="es-ES"/>
          <w14:ligatures w14:val="none"/>
        </w:rPr>
        <w:t xml:space="preserve">/Quantum.  </w:t>
      </w:r>
    </w:p>
    <w:p w14:paraId="179A59A9" w14:textId="77777777" w:rsidR="00493B09" w:rsidRPr="00493B09" w:rsidRDefault="00493B09" w:rsidP="00493B09">
      <w:pPr>
        <w:spacing w:after="0" w:line="259" w:lineRule="auto"/>
        <w:ind w:left="1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176E6D1B" w14:textId="77777777" w:rsidR="00493B09" w:rsidRPr="00493B09" w:rsidRDefault="00493B09" w:rsidP="00493B09">
      <w:pPr>
        <w:spacing w:after="0" w:line="259" w:lineRule="auto"/>
        <w:ind w:left="14"/>
        <w:rPr>
          <w:rFonts w:ascii="Calibri" w:eastAsia="Calibri" w:hAnsi="Calibri" w:cs="Calibri"/>
          <w:color w:val="333333"/>
          <w:kern w:val="0"/>
          <w:sz w:val="22"/>
          <w:szCs w:val="22"/>
          <w:lang w:val="es-ES"/>
          <w14:ligatures w14:val="none"/>
        </w:rPr>
      </w:pPr>
    </w:p>
    <w:p w14:paraId="025C6DF1" w14:textId="77777777" w:rsidR="00493B09" w:rsidRPr="00493B09" w:rsidRDefault="00493B09" w:rsidP="00493B09">
      <w:pPr>
        <w:spacing w:after="0" w:line="259" w:lineRule="auto"/>
        <w:ind w:left="-5" w:hanging="10"/>
        <w:rPr>
          <w:rFonts w:ascii="Calibri" w:eastAsia="Calibri" w:hAnsi="Calibri" w:cs="Calibri"/>
          <w:color w:val="333333"/>
          <w:kern w:val="0"/>
          <w:sz w:val="22"/>
          <w:szCs w:val="22"/>
          <w:lang w:val="es-ES"/>
          <w14:ligatures w14:val="none"/>
        </w:rPr>
      </w:pPr>
      <w:r w:rsidRPr="00493B09">
        <w:rPr>
          <w:rFonts w:ascii="Calibri" w:eastAsia="Calibri" w:hAnsi="Calibri" w:cs="Calibri"/>
          <w:b/>
          <w:color w:val="333333"/>
          <w:kern w:val="0"/>
          <w:sz w:val="22"/>
          <w:szCs w:val="22"/>
          <w:lang w:val="es-ES"/>
          <w14:ligatures w14:val="none"/>
        </w:rPr>
        <w:t xml:space="preserve">Funciones y responsabilidades  </w:t>
      </w:r>
      <w:r w:rsidRPr="00493B09">
        <w:rPr>
          <w:rFonts w:ascii="Calibri" w:eastAsia="Calibri" w:hAnsi="Calibri" w:cs="Calibri"/>
          <w:color w:val="333333"/>
          <w:kern w:val="0"/>
          <w:sz w:val="22"/>
          <w:szCs w:val="22"/>
          <w:lang w:val="es-ES"/>
          <w14:ligatures w14:val="none"/>
        </w:rPr>
        <w:t xml:space="preserve"> </w:t>
      </w:r>
    </w:p>
    <w:p w14:paraId="2EF274D1" w14:textId="77777777" w:rsidR="00493B09" w:rsidRPr="00493B09" w:rsidRDefault="00493B09" w:rsidP="00493B09">
      <w:pPr>
        <w:spacing w:after="0" w:line="259" w:lineRule="auto"/>
        <w:ind w:left="14"/>
        <w:rPr>
          <w:rFonts w:ascii="Calibri" w:eastAsia="Calibri" w:hAnsi="Calibri" w:cs="Calibri"/>
          <w:color w:val="333333"/>
          <w:kern w:val="0"/>
          <w:sz w:val="22"/>
          <w:szCs w:val="22"/>
          <w:lang w:val="es-ES"/>
          <w14:ligatures w14:val="none"/>
        </w:rPr>
      </w:pPr>
    </w:p>
    <w:tbl>
      <w:tblPr>
        <w:tblStyle w:val="TableGrid"/>
        <w:tblW w:w="9378" w:type="dxa"/>
        <w:tblInd w:w="17" w:type="dxa"/>
        <w:tblCellMar>
          <w:top w:w="96" w:type="dxa"/>
          <w:left w:w="108" w:type="dxa"/>
          <w:right w:w="59" w:type="dxa"/>
        </w:tblCellMar>
        <w:tblLook w:val="04A0" w:firstRow="1" w:lastRow="0" w:firstColumn="1" w:lastColumn="0" w:noHBand="0" w:noVBand="1"/>
      </w:tblPr>
      <w:tblGrid>
        <w:gridCol w:w="2347"/>
        <w:gridCol w:w="7031"/>
      </w:tblGrid>
      <w:tr w:rsidR="00493B09" w:rsidRPr="00493B09" w14:paraId="39E35B3C" w14:textId="77777777" w:rsidTr="00493B09">
        <w:trPr>
          <w:trHeight w:val="351"/>
          <w:tblHeader/>
        </w:trPr>
        <w:tc>
          <w:tcPr>
            <w:tcW w:w="2347" w:type="dxa"/>
            <w:tcBorders>
              <w:top w:val="single" w:sz="8" w:space="0" w:color="000000"/>
              <w:left w:val="single" w:sz="8" w:space="0" w:color="000000"/>
              <w:bottom w:val="single" w:sz="6" w:space="0" w:color="000000"/>
              <w:right w:val="single" w:sz="6" w:space="0" w:color="000000"/>
            </w:tcBorders>
            <w:shd w:val="clear" w:color="auto" w:fill="D9D9D9"/>
          </w:tcPr>
          <w:p w14:paraId="26784D99" w14:textId="77777777" w:rsidR="00493B09" w:rsidRPr="00493B09" w:rsidRDefault="00493B09" w:rsidP="00493B09">
            <w:pPr>
              <w:spacing w:line="259" w:lineRule="auto"/>
              <w:ind w:left="7"/>
              <w:rPr>
                <w:rFonts w:ascii="Calibri" w:eastAsia="Calibri" w:hAnsi="Calibri" w:cs="Calibri"/>
                <w:b/>
                <w:color w:val="333333"/>
              </w:rPr>
            </w:pPr>
            <w:r w:rsidRPr="00493B09">
              <w:rPr>
                <w:rFonts w:ascii="Calibri" w:eastAsia="Calibri" w:hAnsi="Calibri" w:cs="Calibri"/>
                <w:b/>
                <w:color w:val="333333"/>
              </w:rPr>
              <w:t xml:space="preserve">Funciones  </w:t>
            </w:r>
          </w:p>
        </w:tc>
        <w:tc>
          <w:tcPr>
            <w:tcW w:w="7031" w:type="dxa"/>
            <w:tcBorders>
              <w:top w:val="single" w:sz="8" w:space="0" w:color="000000"/>
              <w:left w:val="single" w:sz="6" w:space="0" w:color="000000"/>
              <w:bottom w:val="single" w:sz="6" w:space="0" w:color="000000"/>
              <w:right w:val="single" w:sz="8" w:space="0" w:color="000000"/>
            </w:tcBorders>
            <w:shd w:val="clear" w:color="auto" w:fill="D9D9D9"/>
          </w:tcPr>
          <w:p w14:paraId="70459EA0" w14:textId="77777777" w:rsidR="00493B09" w:rsidRPr="00493B09" w:rsidRDefault="00493B09" w:rsidP="00493B09">
            <w:pPr>
              <w:spacing w:line="259" w:lineRule="auto"/>
              <w:rPr>
                <w:rFonts w:ascii="Calibri" w:eastAsia="Calibri" w:hAnsi="Calibri" w:cs="Calibri"/>
                <w:b/>
                <w:color w:val="333333"/>
              </w:rPr>
            </w:pPr>
            <w:r w:rsidRPr="00493B09">
              <w:rPr>
                <w:rFonts w:ascii="Calibri" w:eastAsia="Calibri" w:hAnsi="Calibri" w:cs="Calibri"/>
                <w:b/>
                <w:color w:val="333333"/>
              </w:rPr>
              <w:t xml:space="preserve">Responsabilidades  </w:t>
            </w:r>
          </w:p>
        </w:tc>
      </w:tr>
      <w:tr w:rsidR="00493B09" w:rsidRPr="00493B09" w14:paraId="7E1CD957" w14:textId="77777777" w:rsidTr="00FA5204">
        <w:trPr>
          <w:trHeight w:val="919"/>
        </w:trPr>
        <w:tc>
          <w:tcPr>
            <w:tcW w:w="2347" w:type="dxa"/>
            <w:tcBorders>
              <w:top w:val="single" w:sz="6" w:space="0" w:color="000000"/>
              <w:left w:val="single" w:sz="8" w:space="0" w:color="000000"/>
              <w:bottom w:val="single" w:sz="6" w:space="0" w:color="000000"/>
              <w:right w:val="single" w:sz="6" w:space="0" w:color="000000"/>
            </w:tcBorders>
            <w:vAlign w:val="center"/>
          </w:tcPr>
          <w:p w14:paraId="622FD10E" w14:textId="0D35484E"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Viajero</w:t>
            </w:r>
            <w:r w:rsidRPr="00493B09">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tcPr>
          <w:p w14:paraId="5F73F222"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Presenta la solicitud de reembolso de gastos de viaje al oficial aprobador con la documentación de respaldo, incluida la prueba de viaje, dentro de las dos semanas posteriores a la finalización de la misión.   </w:t>
            </w:r>
          </w:p>
        </w:tc>
      </w:tr>
      <w:tr w:rsidR="00493B09" w:rsidRPr="00493B09" w14:paraId="2AE7DBED" w14:textId="77777777" w:rsidTr="00493B09">
        <w:trPr>
          <w:trHeight w:val="1360"/>
        </w:trPr>
        <w:tc>
          <w:tcPr>
            <w:tcW w:w="2347" w:type="dxa"/>
            <w:tcBorders>
              <w:top w:val="single" w:sz="6" w:space="0" w:color="000000"/>
              <w:left w:val="single" w:sz="8" w:space="0" w:color="000000"/>
              <w:bottom w:val="single" w:sz="6" w:space="0" w:color="000000"/>
              <w:right w:val="single" w:sz="6" w:space="0" w:color="000000"/>
            </w:tcBorders>
            <w:vAlign w:val="center"/>
          </w:tcPr>
          <w:p w14:paraId="33CADA63"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Procesador de viaje</w:t>
            </w:r>
          </w:p>
        </w:tc>
        <w:tc>
          <w:tcPr>
            <w:tcW w:w="7031" w:type="dxa"/>
            <w:tcBorders>
              <w:top w:val="single" w:sz="6" w:space="0" w:color="000000"/>
              <w:left w:val="single" w:sz="6" w:space="0" w:color="000000"/>
              <w:bottom w:val="single" w:sz="6" w:space="0" w:color="000000"/>
              <w:right w:val="single" w:sz="8" w:space="0" w:color="000000"/>
            </w:tcBorders>
            <w:vAlign w:val="center"/>
          </w:tcPr>
          <w:p w14:paraId="0828E481" w14:textId="77777777" w:rsidR="00493B09" w:rsidRPr="00493B09" w:rsidRDefault="00493B09" w:rsidP="00493B09">
            <w:pPr>
              <w:spacing w:line="235" w:lineRule="auto"/>
              <w:rPr>
                <w:rFonts w:ascii="Calibri" w:eastAsia="Calibri" w:hAnsi="Calibri" w:cs="Calibri"/>
                <w:color w:val="333333"/>
              </w:rPr>
            </w:pPr>
            <w:r w:rsidRPr="00493B09">
              <w:rPr>
                <w:rFonts w:ascii="Calibri" w:eastAsia="Calibri" w:hAnsi="Calibri" w:cs="Calibri"/>
                <w:color w:val="333333"/>
              </w:rPr>
              <w:t xml:space="preserve">Verifica la autenticidad y la conformidad del viaje. Aprueba la solicitud de reembolso de gastos de viaje, verificando que el viaje se realizó y que los gastos adicionales, en caso de que los haya, son reembolsables.   </w:t>
            </w:r>
          </w:p>
          <w:p w14:paraId="23D2E8DB"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Verifica lo siguiente:  </w:t>
            </w:r>
          </w:p>
          <w:p w14:paraId="6D3BD1AD"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La precisión de las DSA, los cheques por pago excesivo o insuficiente y la conformidad de los gastos reclamados con la política aplicada.   </w:t>
            </w:r>
          </w:p>
        </w:tc>
      </w:tr>
      <w:tr w:rsidR="00493B09" w:rsidRPr="00493B09" w14:paraId="5B46F6B3" w14:textId="77777777" w:rsidTr="00493B09">
        <w:trPr>
          <w:trHeight w:val="1771"/>
        </w:trPr>
        <w:tc>
          <w:tcPr>
            <w:tcW w:w="2347" w:type="dxa"/>
            <w:tcBorders>
              <w:top w:val="single" w:sz="6" w:space="0" w:color="000000"/>
              <w:left w:val="single" w:sz="8" w:space="0" w:color="000000"/>
              <w:bottom w:val="single" w:sz="6" w:space="0" w:color="000000"/>
              <w:right w:val="single" w:sz="6" w:space="0" w:color="000000"/>
            </w:tcBorders>
            <w:vAlign w:val="center"/>
          </w:tcPr>
          <w:p w14:paraId="1BECD32A"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Iniciador de la Solicitud de reembolso de gastos de viaje</w:t>
            </w:r>
            <w:r w:rsidRPr="00493B09">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tcPr>
          <w:p w14:paraId="676DB158" w14:textId="77777777" w:rsidR="00493B09" w:rsidRPr="00493B09" w:rsidRDefault="00493B09" w:rsidP="00493B09">
            <w:pPr>
              <w:spacing w:after="8" w:line="246" w:lineRule="auto"/>
              <w:rPr>
                <w:rFonts w:ascii="Calibri" w:eastAsia="Calibri" w:hAnsi="Calibri" w:cs="Calibri"/>
                <w:color w:val="333333"/>
              </w:rPr>
            </w:pPr>
            <w:r w:rsidRPr="00493B09">
              <w:rPr>
                <w:rFonts w:ascii="Calibri" w:eastAsia="Calibri" w:hAnsi="Calibri" w:cs="Calibri"/>
                <w:color w:val="333333"/>
              </w:rPr>
              <w:t xml:space="preserve">Indica en el módulo T&amp;E de </w:t>
            </w:r>
            <w:proofErr w:type="spellStart"/>
            <w:r w:rsidRPr="00493B09">
              <w:rPr>
                <w:rFonts w:ascii="Calibri" w:eastAsia="Calibri" w:hAnsi="Calibri" w:cs="Calibri"/>
                <w:color w:val="333333"/>
              </w:rPr>
              <w:t>Unall</w:t>
            </w:r>
            <w:proofErr w:type="spellEnd"/>
            <w:r w:rsidRPr="00493B09">
              <w:rPr>
                <w:rFonts w:ascii="Calibri" w:eastAsia="Calibri" w:hAnsi="Calibri" w:cs="Calibri"/>
                <w:color w:val="333333"/>
              </w:rPr>
              <w:t xml:space="preserve">/Quantum si se reclaman gastos adicionales o no. Indica cualquier cambio, incluido lo siguiente:  </w:t>
            </w:r>
          </w:p>
          <w:p w14:paraId="76397AEC" w14:textId="77777777" w:rsidR="00493B09" w:rsidRPr="00493B09" w:rsidRDefault="00493B09" w:rsidP="00FA5204">
            <w:pPr>
              <w:numPr>
                <w:ilvl w:val="0"/>
                <w:numId w:val="2"/>
              </w:numPr>
              <w:spacing w:line="259" w:lineRule="auto"/>
              <w:ind w:right="3" w:hanging="394"/>
              <w:rPr>
                <w:rFonts w:ascii="Calibri" w:eastAsia="Calibri" w:hAnsi="Calibri" w:cs="Calibri"/>
                <w:color w:val="333333"/>
              </w:rPr>
            </w:pPr>
            <w:r w:rsidRPr="00493B09">
              <w:rPr>
                <w:rFonts w:ascii="Calibri" w:eastAsia="Calibri" w:hAnsi="Calibri" w:cs="Calibri"/>
                <w:color w:val="333333"/>
              </w:rPr>
              <w:t xml:space="preserve">fechas del itinerario o ciudades  </w:t>
            </w:r>
          </w:p>
          <w:p w14:paraId="162D968A" w14:textId="77777777" w:rsidR="00493B09" w:rsidRPr="00493B09" w:rsidRDefault="00493B09" w:rsidP="00FA5204">
            <w:pPr>
              <w:numPr>
                <w:ilvl w:val="0"/>
                <w:numId w:val="2"/>
              </w:numPr>
              <w:spacing w:line="259" w:lineRule="auto"/>
              <w:ind w:right="3" w:hanging="394"/>
              <w:rPr>
                <w:rFonts w:ascii="Calibri" w:eastAsia="Calibri" w:hAnsi="Calibri" w:cs="Calibri"/>
                <w:color w:val="333333"/>
              </w:rPr>
            </w:pPr>
            <w:r w:rsidRPr="00493B09">
              <w:rPr>
                <w:rFonts w:ascii="Calibri" w:eastAsia="Calibri" w:hAnsi="Calibri" w:cs="Calibri"/>
                <w:color w:val="333333"/>
              </w:rPr>
              <w:t xml:space="preserve">fechas o lugares de DSA  </w:t>
            </w:r>
          </w:p>
          <w:p w14:paraId="6DF4E7B3" w14:textId="77777777" w:rsidR="00493B09" w:rsidRPr="00493B09" w:rsidRDefault="00493B09" w:rsidP="00FA5204">
            <w:pPr>
              <w:numPr>
                <w:ilvl w:val="0"/>
                <w:numId w:val="2"/>
              </w:numPr>
              <w:spacing w:line="259" w:lineRule="auto"/>
              <w:ind w:right="3" w:hanging="394"/>
              <w:rPr>
                <w:rFonts w:ascii="Calibri" w:eastAsia="Calibri" w:hAnsi="Calibri" w:cs="Calibri"/>
                <w:color w:val="333333"/>
              </w:rPr>
            </w:pPr>
            <w:r w:rsidRPr="00493B09">
              <w:rPr>
                <w:rFonts w:ascii="Calibri" w:eastAsia="Calibri" w:hAnsi="Calibri" w:cs="Calibri"/>
                <w:color w:val="333333"/>
              </w:rPr>
              <w:t xml:space="preserve">gastos no obligados  </w:t>
            </w:r>
          </w:p>
          <w:p w14:paraId="6769A760" w14:textId="77777777" w:rsidR="00493B09" w:rsidRPr="00493B09" w:rsidRDefault="00493B09" w:rsidP="00FA5204">
            <w:pPr>
              <w:numPr>
                <w:ilvl w:val="0"/>
                <w:numId w:val="2"/>
              </w:numPr>
              <w:spacing w:line="259" w:lineRule="auto"/>
              <w:ind w:right="3" w:hanging="394"/>
              <w:rPr>
                <w:rFonts w:ascii="Calibri" w:eastAsia="Calibri" w:hAnsi="Calibri" w:cs="Calibri"/>
                <w:color w:val="333333"/>
              </w:rPr>
            </w:pPr>
            <w:r w:rsidRPr="00493B09">
              <w:rPr>
                <w:rFonts w:ascii="Calibri" w:eastAsia="Calibri" w:hAnsi="Calibri" w:cs="Calibri"/>
                <w:color w:val="333333"/>
              </w:rPr>
              <w:t xml:space="preserve">cualquier adelanto de gastos de viaje asociado con estado «desembolsado» que requiera acción  </w:t>
            </w:r>
          </w:p>
        </w:tc>
      </w:tr>
      <w:tr w:rsidR="00493B09" w:rsidRPr="00493B09" w14:paraId="270A62BB" w14:textId="77777777" w:rsidTr="00493B09">
        <w:trPr>
          <w:trHeight w:val="1222"/>
        </w:trPr>
        <w:tc>
          <w:tcPr>
            <w:tcW w:w="2347" w:type="dxa"/>
            <w:tcBorders>
              <w:top w:val="single" w:sz="6" w:space="0" w:color="000000"/>
              <w:left w:val="single" w:sz="8" w:space="0" w:color="000000"/>
              <w:bottom w:val="single" w:sz="6" w:space="0" w:color="000000"/>
              <w:right w:val="single" w:sz="6" w:space="0" w:color="000000"/>
            </w:tcBorders>
          </w:tcPr>
          <w:p w14:paraId="4C730F49"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Iniciador del Informe de gastos</w:t>
            </w:r>
          </w:p>
        </w:tc>
        <w:tc>
          <w:tcPr>
            <w:tcW w:w="7031" w:type="dxa"/>
            <w:tcBorders>
              <w:top w:val="single" w:sz="6" w:space="0" w:color="000000"/>
              <w:left w:val="single" w:sz="6" w:space="0" w:color="000000"/>
              <w:bottom w:val="single" w:sz="6" w:space="0" w:color="000000"/>
              <w:right w:val="single" w:sz="8" w:space="0" w:color="000000"/>
            </w:tcBorders>
            <w:vAlign w:val="center"/>
          </w:tcPr>
          <w:p w14:paraId="751E50B0"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Si reclaman fondos adicionales o se devuelven fondos a la organización, envía un informe de gastos en el módulo T&amp;E de </w:t>
            </w:r>
            <w:proofErr w:type="spellStart"/>
            <w:r w:rsidRPr="00493B09">
              <w:rPr>
                <w:rFonts w:ascii="Calibri" w:eastAsia="Calibri" w:hAnsi="Calibri" w:cs="Calibri"/>
                <w:color w:val="333333"/>
              </w:rPr>
              <w:t>Unall</w:t>
            </w:r>
            <w:proofErr w:type="spellEnd"/>
            <w:r w:rsidRPr="00493B09">
              <w:rPr>
                <w:rFonts w:ascii="Calibri" w:eastAsia="Calibri" w:hAnsi="Calibri" w:cs="Calibri"/>
                <w:color w:val="333333"/>
              </w:rPr>
              <w:t xml:space="preserve">/Quantum.  </w:t>
            </w:r>
          </w:p>
        </w:tc>
      </w:tr>
      <w:tr w:rsidR="00493B09" w:rsidRPr="00493B09" w14:paraId="104D7803" w14:textId="77777777" w:rsidTr="00493B09">
        <w:trPr>
          <w:trHeight w:val="1153"/>
        </w:trPr>
        <w:tc>
          <w:tcPr>
            <w:tcW w:w="2347" w:type="dxa"/>
            <w:tcBorders>
              <w:top w:val="single" w:sz="6" w:space="0" w:color="000000"/>
              <w:left w:val="single" w:sz="8" w:space="0" w:color="000000"/>
              <w:bottom w:val="single" w:sz="6" w:space="0" w:color="000000"/>
              <w:right w:val="single" w:sz="6" w:space="0" w:color="000000"/>
            </w:tcBorders>
            <w:vAlign w:val="center"/>
          </w:tcPr>
          <w:p w14:paraId="547A5DE6"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Viajero</w:t>
            </w:r>
            <w:r w:rsidRPr="00493B09">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757122B5"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Si devuelve los fondos a la organización, selecciona una de las 2 opciones siguientes: 1) Solicita el procesamiento de una deducción de nómina en la solicitud/REG aprobada (aplicable si la nómina del viajero se procesa a través de RRHH); 2) Envía el pago mediante transferencia bancaria.</w:t>
            </w:r>
          </w:p>
        </w:tc>
      </w:tr>
      <w:tr w:rsidR="00493B09" w:rsidRPr="00493B09" w14:paraId="23BCE354" w14:textId="77777777" w:rsidTr="00493B09">
        <w:trPr>
          <w:trHeight w:val="439"/>
        </w:trPr>
        <w:tc>
          <w:tcPr>
            <w:tcW w:w="2347" w:type="dxa"/>
            <w:tcBorders>
              <w:top w:val="single" w:sz="6" w:space="0" w:color="000000"/>
              <w:left w:val="single" w:sz="8" w:space="0" w:color="000000"/>
              <w:bottom w:val="single" w:sz="6" w:space="0" w:color="000000"/>
              <w:right w:val="single" w:sz="6" w:space="0" w:color="000000"/>
            </w:tcBorders>
          </w:tcPr>
          <w:p w14:paraId="0701C11E"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color w:val="333333"/>
              </w:rPr>
              <w:t>Tesorería</w:t>
            </w:r>
            <w:r w:rsidRPr="00493B09">
              <w:rPr>
                <w:rFonts w:ascii="Calibri" w:eastAsia="Calibri" w:hAnsi="Calibri" w:cs="Calibri"/>
                <w:color w:val="333333"/>
              </w:rPr>
              <w:t xml:space="preserve">  </w:t>
            </w:r>
          </w:p>
          <w:p w14:paraId="695A4DF3" w14:textId="77777777" w:rsidR="00493B09" w:rsidRPr="00493B09" w:rsidRDefault="00493B09" w:rsidP="00493B09">
            <w:pPr>
              <w:spacing w:line="259" w:lineRule="auto"/>
              <w:ind w:left="7"/>
              <w:rPr>
                <w:rFonts w:ascii="Calibri" w:eastAsia="Calibri" w:hAnsi="Calibri" w:cs="Calibri"/>
                <w:color w:val="333333"/>
              </w:rPr>
            </w:pPr>
            <w:r w:rsidRPr="00493B09">
              <w:rPr>
                <w:rFonts w:ascii="Calibri" w:eastAsia="Calibri" w:hAnsi="Calibri" w:cs="Calibri"/>
                <w:b/>
                <w:bCs/>
                <w:color w:val="333333"/>
              </w:rPr>
              <w:t>(HQ) / Punto focal de finanzas (fuera de la sede)</w:t>
            </w:r>
          </w:p>
        </w:tc>
        <w:tc>
          <w:tcPr>
            <w:tcW w:w="7031" w:type="dxa"/>
            <w:tcBorders>
              <w:top w:val="single" w:sz="6" w:space="0" w:color="000000"/>
              <w:left w:val="single" w:sz="6" w:space="0" w:color="000000"/>
              <w:bottom w:val="single" w:sz="6" w:space="0" w:color="000000"/>
              <w:right w:val="single" w:sz="8" w:space="0" w:color="000000"/>
            </w:tcBorders>
          </w:tcPr>
          <w:p w14:paraId="486D4A01"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Deposita el cheque y recibe los pagos realizados mediante transferencia bancaria.  </w:t>
            </w:r>
          </w:p>
        </w:tc>
      </w:tr>
      <w:tr w:rsidR="00493B09" w:rsidRPr="00493B09" w14:paraId="2BEAF9A9" w14:textId="77777777" w:rsidTr="00493B09">
        <w:trPr>
          <w:trHeight w:val="977"/>
        </w:trPr>
        <w:tc>
          <w:tcPr>
            <w:tcW w:w="2347" w:type="dxa"/>
            <w:tcBorders>
              <w:top w:val="single" w:sz="6" w:space="0" w:color="000000"/>
              <w:left w:val="single" w:sz="8" w:space="0" w:color="000000"/>
              <w:bottom w:val="single" w:sz="6" w:space="0" w:color="000000"/>
              <w:right w:val="single" w:sz="6" w:space="0" w:color="000000"/>
            </w:tcBorders>
            <w:vAlign w:val="center"/>
          </w:tcPr>
          <w:p w14:paraId="2069D4A0" w14:textId="77777777" w:rsidR="00493B09" w:rsidRPr="00493B09" w:rsidRDefault="00493B09" w:rsidP="00493B09">
            <w:pPr>
              <w:spacing w:line="259" w:lineRule="auto"/>
              <w:ind w:left="10"/>
              <w:rPr>
                <w:rFonts w:ascii="Calibri" w:eastAsia="Calibri" w:hAnsi="Calibri" w:cs="Calibri"/>
                <w:color w:val="333333"/>
              </w:rPr>
            </w:pPr>
            <w:r w:rsidRPr="00493B09">
              <w:rPr>
                <w:rFonts w:ascii="Calibri" w:eastAsia="Calibri" w:hAnsi="Calibri" w:cs="Calibri"/>
                <w:b/>
                <w:color w:val="333333"/>
              </w:rPr>
              <w:t xml:space="preserve">Nómina Global </w:t>
            </w:r>
            <w:r w:rsidRPr="00493B09">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170EC011"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Deduce la cantidad recuperada del salario del viajero cuando se selecciona la opción de nómina en la reclamación de viaje.  </w:t>
            </w:r>
          </w:p>
        </w:tc>
      </w:tr>
      <w:tr w:rsidR="00493B09" w:rsidRPr="00493B09" w14:paraId="4C4AA1B7" w14:textId="77777777" w:rsidTr="00493B09">
        <w:trPr>
          <w:trHeight w:val="1007"/>
        </w:trPr>
        <w:tc>
          <w:tcPr>
            <w:tcW w:w="2347" w:type="dxa"/>
            <w:tcBorders>
              <w:top w:val="single" w:sz="6" w:space="0" w:color="000000"/>
              <w:left w:val="single" w:sz="8" w:space="0" w:color="000000"/>
              <w:bottom w:val="single" w:sz="8" w:space="0" w:color="000000"/>
              <w:right w:val="single" w:sz="6" w:space="0" w:color="000000"/>
            </w:tcBorders>
          </w:tcPr>
          <w:p w14:paraId="707885AF" w14:textId="77777777" w:rsidR="00493B09" w:rsidRPr="00493B09" w:rsidRDefault="00493B09" w:rsidP="00493B09">
            <w:pPr>
              <w:spacing w:line="259" w:lineRule="auto"/>
              <w:ind w:left="10"/>
              <w:rPr>
                <w:rFonts w:ascii="Calibri" w:eastAsia="Calibri" w:hAnsi="Calibri" w:cs="Calibri"/>
                <w:color w:val="333333"/>
              </w:rPr>
            </w:pPr>
            <w:r w:rsidRPr="00493B09">
              <w:rPr>
                <w:rFonts w:ascii="Calibri" w:eastAsia="Calibri" w:hAnsi="Calibri" w:cs="Calibri"/>
                <w:b/>
                <w:color w:val="333333"/>
              </w:rPr>
              <w:lastRenderedPageBreak/>
              <w:t>GSSC</w:t>
            </w:r>
            <w:r w:rsidRPr="00493B09">
              <w:rPr>
                <w:rFonts w:ascii="Calibri" w:eastAsia="Calibri" w:hAnsi="Calibri" w:cs="Calibri"/>
                <w:b/>
                <w:bCs/>
                <w:color w:val="333333"/>
              </w:rPr>
              <w:t xml:space="preserve"> / Punto Focal de Finanzas</w:t>
            </w:r>
            <w:r w:rsidRPr="00493B09">
              <w:rPr>
                <w:rFonts w:ascii="Calibri" w:eastAsia="Calibri" w:hAnsi="Calibri" w:cs="Calibri"/>
                <w:color w:val="333333"/>
              </w:rPr>
              <w:t xml:space="preserve"> </w:t>
            </w:r>
          </w:p>
        </w:tc>
        <w:tc>
          <w:tcPr>
            <w:tcW w:w="7031" w:type="dxa"/>
            <w:tcBorders>
              <w:top w:val="single" w:sz="6" w:space="0" w:color="000000"/>
              <w:left w:val="single" w:sz="6" w:space="0" w:color="000000"/>
              <w:bottom w:val="single" w:sz="8" w:space="0" w:color="000000"/>
              <w:right w:val="single" w:sz="8" w:space="0" w:color="000000"/>
            </w:tcBorders>
          </w:tcPr>
          <w:p w14:paraId="5AAD7ABE" w14:textId="77777777" w:rsidR="00493B09" w:rsidRPr="00493B09" w:rsidRDefault="00493B09" w:rsidP="00493B09">
            <w:pPr>
              <w:spacing w:line="259" w:lineRule="auto"/>
              <w:rPr>
                <w:rFonts w:ascii="Calibri" w:eastAsia="Calibri" w:hAnsi="Calibri" w:cs="Calibri"/>
                <w:color w:val="333333"/>
              </w:rPr>
            </w:pPr>
            <w:r w:rsidRPr="00493B09">
              <w:rPr>
                <w:rFonts w:ascii="Calibri" w:eastAsia="Calibri" w:hAnsi="Calibri" w:cs="Calibri"/>
                <w:color w:val="333333"/>
              </w:rPr>
              <w:t xml:space="preserve">Verifica que los depósitos A/R para cheques y transferencias bancarias se realicen y concilien con los montos de recuperación detallados en el informe de gastos.   </w:t>
            </w:r>
          </w:p>
        </w:tc>
      </w:tr>
    </w:tbl>
    <w:p w14:paraId="662AC963" w14:textId="77777777" w:rsidR="00493B09" w:rsidRPr="00493B09" w:rsidRDefault="00493B09" w:rsidP="00493B09">
      <w:pPr>
        <w:spacing w:after="2" w:line="259" w:lineRule="auto"/>
        <w:ind w:left="24"/>
        <w:rPr>
          <w:rFonts w:ascii="Calibri" w:eastAsia="Calibri" w:hAnsi="Calibri" w:cs="Calibri"/>
          <w:color w:val="333333"/>
          <w:kern w:val="0"/>
          <w:sz w:val="22"/>
          <w:szCs w:val="22"/>
          <w:lang w:val="es-ES"/>
          <w14:ligatures w14:val="none"/>
        </w:rPr>
      </w:pPr>
      <w:r w:rsidRPr="00493B09">
        <w:rPr>
          <w:rFonts w:ascii="Calibri" w:eastAsia="Calibri" w:hAnsi="Calibri" w:cs="Calibri"/>
          <w:color w:val="333333"/>
          <w:kern w:val="0"/>
          <w:sz w:val="22"/>
          <w:szCs w:val="22"/>
          <w:lang w:val="es-ES"/>
          <w14:ligatures w14:val="none"/>
        </w:rPr>
        <w:t xml:space="preserve">  </w:t>
      </w:r>
    </w:p>
    <w:p w14:paraId="79219922" w14:textId="35BAB78D" w:rsidR="00493B09" w:rsidRPr="00A23672" w:rsidRDefault="00493B09" w:rsidP="00FA5204">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D567CA1" w14:textId="18FC9A26" w:rsidR="00493B09" w:rsidRPr="00493B09" w:rsidRDefault="00493B09" w:rsidP="00FA5204">
      <w:pPr>
        <w:shd w:val="clear" w:color="auto" w:fill="FFFFFF"/>
        <w:spacing w:after="0" w:line="240" w:lineRule="auto"/>
        <w:rPr>
          <w:rFonts w:ascii="Calibri" w:eastAsia="Times New Roman" w:hAnsi="Calibri" w:cs="Calibri"/>
          <w:color w:val="201F1E"/>
          <w:kern w:val="0"/>
          <w:sz w:val="23"/>
          <w:szCs w:val="23"/>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704FF053" w14:textId="77777777" w:rsidR="00DA504D" w:rsidRDefault="00DA504D"/>
    <w:sectPr w:rsidR="00DA504D" w:rsidSect="00493B09">
      <w:headerReference w:type="even" r:id="rId8"/>
      <w:headerReference w:type="default" r:id="rId9"/>
      <w:footerReference w:type="even" r:id="rId10"/>
      <w:footerReference w:type="default" r:id="rId11"/>
      <w:headerReference w:type="first" r:id="rId12"/>
      <w:footerReference w:type="first" r:id="rId13"/>
      <w:pgSz w:w="12240" w:h="15840"/>
      <w:pgMar w:top="1490" w:right="1431" w:bottom="1496"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C6CDC" w14:textId="77777777" w:rsidR="00BD12B0" w:rsidRDefault="00BD12B0" w:rsidP="00493B09">
      <w:pPr>
        <w:spacing w:after="0" w:line="240" w:lineRule="auto"/>
      </w:pPr>
      <w:r>
        <w:separator/>
      </w:r>
    </w:p>
  </w:endnote>
  <w:endnote w:type="continuationSeparator" w:id="0">
    <w:p w14:paraId="6FC6C068" w14:textId="77777777" w:rsidR="00BD12B0" w:rsidRDefault="00BD12B0" w:rsidP="00493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7016" w14:textId="77777777" w:rsidR="00493B09" w:rsidRDefault="00493B09">
    <w:pPr>
      <w:spacing w:after="0" w:line="259" w:lineRule="auto"/>
      <w:ind w:left="9"/>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2342D815" w14:textId="77777777" w:rsidR="00493B09" w:rsidRDefault="00493B09">
    <w:pPr>
      <w:spacing w:after="0" w:line="259" w:lineRule="auto"/>
      <w:ind w:left="14"/>
    </w:pPr>
    <w:r>
      <w:rPr>
        <w:color w:val="00000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1AD4" w14:textId="77777777" w:rsidR="00493B09" w:rsidRPr="00FA5204" w:rsidRDefault="00493B09" w:rsidP="004B37F8">
    <w:pPr>
      <w:tabs>
        <w:tab w:val="left" w:pos="3544"/>
      </w:tabs>
      <w:spacing w:after="0" w:line="259" w:lineRule="auto"/>
      <w:ind w:left="14"/>
      <w:rPr>
        <w:rFonts w:ascii="Calibri" w:hAnsi="Calibri" w:cs="Calibri"/>
        <w:sz w:val="22"/>
        <w:szCs w:val="22"/>
      </w:rPr>
    </w:pPr>
    <w:r w:rsidRPr="00FA5204">
      <w:rPr>
        <w:rFonts w:ascii="Calibri" w:hAnsi="Calibri" w:cs="Calibri"/>
        <w:sz w:val="22"/>
        <w:szCs w:val="22"/>
      </w:rPr>
      <w:t xml:space="preserve">Página </w:t>
    </w:r>
    <w:r w:rsidRPr="00FA5204">
      <w:rPr>
        <w:rFonts w:ascii="Calibri" w:hAnsi="Calibri" w:cs="Calibri"/>
        <w:b/>
        <w:sz w:val="22"/>
        <w:szCs w:val="22"/>
      </w:rPr>
      <w:fldChar w:fldCharType="begin"/>
    </w:r>
    <w:r w:rsidRPr="00FA5204">
      <w:rPr>
        <w:rFonts w:ascii="Calibri" w:hAnsi="Calibri" w:cs="Calibri"/>
        <w:b/>
        <w:sz w:val="22"/>
        <w:szCs w:val="22"/>
      </w:rPr>
      <w:instrText xml:space="preserve"> PAGE  \* Arabic  \* MERGEFORMAT </w:instrText>
    </w:r>
    <w:r w:rsidRPr="00FA5204">
      <w:rPr>
        <w:rFonts w:ascii="Calibri" w:hAnsi="Calibri" w:cs="Calibri"/>
        <w:b/>
        <w:sz w:val="22"/>
        <w:szCs w:val="22"/>
      </w:rPr>
      <w:fldChar w:fldCharType="separate"/>
    </w:r>
    <w:r w:rsidRPr="00FA5204">
      <w:rPr>
        <w:rFonts w:ascii="Calibri" w:hAnsi="Calibri" w:cs="Calibri"/>
        <w:b/>
        <w:noProof/>
        <w:sz w:val="22"/>
        <w:szCs w:val="22"/>
      </w:rPr>
      <w:t>1</w:t>
    </w:r>
    <w:r w:rsidRPr="00FA5204">
      <w:rPr>
        <w:rFonts w:ascii="Calibri" w:hAnsi="Calibri" w:cs="Calibri"/>
        <w:b/>
        <w:sz w:val="22"/>
        <w:szCs w:val="22"/>
      </w:rPr>
      <w:fldChar w:fldCharType="end"/>
    </w:r>
    <w:r w:rsidRPr="00FA5204">
      <w:rPr>
        <w:rFonts w:ascii="Calibri" w:hAnsi="Calibri" w:cs="Calibri"/>
        <w:sz w:val="22"/>
        <w:szCs w:val="22"/>
      </w:rPr>
      <w:t xml:space="preserve"> de </w:t>
    </w:r>
    <w:r w:rsidRPr="00FA5204">
      <w:rPr>
        <w:rFonts w:ascii="Calibri" w:hAnsi="Calibri" w:cs="Calibri"/>
        <w:b/>
        <w:sz w:val="22"/>
        <w:szCs w:val="22"/>
      </w:rPr>
      <w:fldChar w:fldCharType="begin"/>
    </w:r>
    <w:r w:rsidRPr="00FA5204">
      <w:rPr>
        <w:rFonts w:ascii="Calibri" w:hAnsi="Calibri" w:cs="Calibri"/>
        <w:b/>
        <w:sz w:val="22"/>
        <w:szCs w:val="22"/>
      </w:rPr>
      <w:instrText xml:space="preserve"> NUMPAGES  \* Arabic  \* MERGEFORMAT </w:instrText>
    </w:r>
    <w:r w:rsidRPr="00FA5204">
      <w:rPr>
        <w:rFonts w:ascii="Calibri" w:hAnsi="Calibri" w:cs="Calibri"/>
        <w:b/>
        <w:sz w:val="22"/>
        <w:szCs w:val="22"/>
      </w:rPr>
      <w:fldChar w:fldCharType="separate"/>
    </w:r>
    <w:r w:rsidRPr="00FA5204">
      <w:rPr>
        <w:rFonts w:ascii="Calibri" w:hAnsi="Calibri" w:cs="Calibri"/>
        <w:b/>
        <w:noProof/>
        <w:sz w:val="22"/>
        <w:szCs w:val="22"/>
      </w:rPr>
      <w:t>4</w:t>
    </w:r>
    <w:r w:rsidRPr="00FA5204">
      <w:rPr>
        <w:rFonts w:ascii="Calibri" w:hAnsi="Calibri" w:cs="Calibri"/>
        <w:b/>
        <w:sz w:val="22"/>
        <w:szCs w:val="22"/>
      </w:rPr>
      <w:fldChar w:fldCharType="end"/>
    </w:r>
    <w:r w:rsidRPr="00FA5204">
      <w:rPr>
        <w:rFonts w:ascii="Calibri" w:hAnsi="Calibri" w:cs="Calibri"/>
        <w:sz w:val="22"/>
        <w:szCs w:val="22"/>
      </w:rPr>
      <w:ptab w:relativeTo="margin" w:alignment="center" w:leader="none"/>
    </w:r>
    <w:proofErr w:type="spellStart"/>
    <w:r w:rsidRPr="00FA5204">
      <w:rPr>
        <w:rFonts w:ascii="Calibri" w:hAnsi="Calibri" w:cs="Calibri"/>
        <w:sz w:val="22"/>
        <w:szCs w:val="22"/>
      </w:rPr>
      <w:t>Fecha</w:t>
    </w:r>
    <w:proofErr w:type="spellEnd"/>
    <w:r w:rsidRPr="00FA5204">
      <w:rPr>
        <w:rFonts w:ascii="Calibri" w:hAnsi="Calibri" w:cs="Calibri"/>
        <w:sz w:val="22"/>
        <w:szCs w:val="22"/>
      </w:rPr>
      <w:t xml:space="preserve"> de entrada </w:t>
    </w:r>
    <w:proofErr w:type="spellStart"/>
    <w:r w:rsidRPr="00FA5204">
      <w:rPr>
        <w:rFonts w:ascii="Calibri" w:hAnsi="Calibri" w:cs="Calibri"/>
        <w:sz w:val="22"/>
        <w:szCs w:val="22"/>
      </w:rPr>
      <w:t>en</w:t>
    </w:r>
    <w:proofErr w:type="spellEnd"/>
    <w:r w:rsidRPr="00FA5204">
      <w:rPr>
        <w:rFonts w:ascii="Calibri" w:hAnsi="Calibri" w:cs="Calibri"/>
        <w:sz w:val="22"/>
        <w:szCs w:val="22"/>
      </w:rPr>
      <w:t xml:space="preserve"> vigor: 09/01/2023</w:t>
    </w:r>
    <w:r w:rsidRPr="00FA5204">
      <w:rPr>
        <w:rFonts w:ascii="Calibri" w:hAnsi="Calibri" w:cs="Calibri"/>
        <w:sz w:val="22"/>
        <w:szCs w:val="22"/>
      </w:rPr>
      <w:ptab w:relativeTo="margin" w:alignment="right" w:leader="none"/>
    </w:r>
    <w:proofErr w:type="spellStart"/>
    <w:r w:rsidRPr="00FA5204">
      <w:rPr>
        <w:rFonts w:ascii="Calibri" w:hAnsi="Calibri" w:cs="Calibri"/>
        <w:sz w:val="22"/>
        <w:szCs w:val="22"/>
      </w:rPr>
      <w:t>Versión</w:t>
    </w:r>
    <w:proofErr w:type="spellEnd"/>
    <w:r w:rsidRPr="00FA5204">
      <w:rPr>
        <w:rFonts w:ascii="Calibri" w:hAnsi="Calibri" w:cs="Calibri"/>
        <w:sz w:val="22"/>
        <w:szCs w:val="22"/>
      </w:rPr>
      <w:t xml:space="preserve"> #: 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5277" w14:textId="77777777" w:rsidR="00493B09" w:rsidRDefault="00493B09">
    <w:pPr>
      <w:spacing w:after="0" w:line="259" w:lineRule="auto"/>
      <w:ind w:left="9"/>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3857570E" w14:textId="77777777" w:rsidR="00493B09" w:rsidRDefault="00493B09">
    <w:pPr>
      <w:spacing w:after="0" w:line="259" w:lineRule="auto"/>
      <w:ind w:left="14"/>
    </w:pPr>
    <w:r>
      <w:rPr>
        <w:color w:val="00000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D17D5" w14:textId="77777777" w:rsidR="00BD12B0" w:rsidRDefault="00BD12B0" w:rsidP="00493B09">
      <w:pPr>
        <w:spacing w:after="0" w:line="240" w:lineRule="auto"/>
      </w:pPr>
      <w:r>
        <w:separator/>
      </w:r>
    </w:p>
  </w:footnote>
  <w:footnote w:type="continuationSeparator" w:id="0">
    <w:p w14:paraId="46E58A52" w14:textId="77777777" w:rsidR="00BD12B0" w:rsidRDefault="00BD12B0" w:rsidP="00493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0A0B" w14:textId="77777777" w:rsidR="003E45B1" w:rsidRDefault="003E4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37E7" w14:textId="572060DB" w:rsidR="00493B09" w:rsidRDefault="00493B09" w:rsidP="00493B09">
    <w:pPr>
      <w:pStyle w:val="Header"/>
      <w:jc w:val="right"/>
    </w:pPr>
    <w:r>
      <w:rPr>
        <w:noProof/>
      </w:rPr>
      <w:drawing>
        <wp:inline distT="0" distB="0" distL="0" distR="0" wp14:anchorId="0757123A" wp14:editId="3262FB6F">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4EA3809E" w14:textId="77777777" w:rsidR="00493B09" w:rsidRDefault="00493B09" w:rsidP="009F7A3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75BE" w14:textId="77777777" w:rsidR="003E45B1" w:rsidRDefault="003E4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B5CB6"/>
    <w:multiLevelType w:val="hybridMultilevel"/>
    <w:tmpl w:val="FB2441DE"/>
    <w:lvl w:ilvl="0" w:tplc="338E33C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7A67EBA">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0F547DE2">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AFC4EEC">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DD2E8F0">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33A469A">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95029F8">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E4A9FE">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03760C94">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6EF75B91"/>
    <w:multiLevelType w:val="hybridMultilevel"/>
    <w:tmpl w:val="33EEA88E"/>
    <w:lvl w:ilvl="0" w:tplc="EA3A4302">
      <w:start w:val="1"/>
      <w:numFmt w:val="bullet"/>
      <w:lvlText w:val=""/>
      <w:lvlJc w:val="left"/>
      <w:pPr>
        <w:ind w:left="466"/>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1" w:tplc="3A5ADF68">
      <w:start w:val="1"/>
      <w:numFmt w:val="bullet"/>
      <w:lvlText w:val="o"/>
      <w:lvlJc w:val="left"/>
      <w:pPr>
        <w:ind w:left="12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2" w:tplc="35D6E380">
      <w:start w:val="1"/>
      <w:numFmt w:val="bullet"/>
      <w:lvlText w:val="▪"/>
      <w:lvlJc w:val="left"/>
      <w:pPr>
        <w:ind w:left="19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3" w:tplc="3466830A">
      <w:start w:val="1"/>
      <w:numFmt w:val="bullet"/>
      <w:lvlText w:val="•"/>
      <w:lvlJc w:val="left"/>
      <w:pPr>
        <w:ind w:left="26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4" w:tplc="A1B88C12">
      <w:start w:val="1"/>
      <w:numFmt w:val="bullet"/>
      <w:lvlText w:val="o"/>
      <w:lvlJc w:val="left"/>
      <w:pPr>
        <w:ind w:left="341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5" w:tplc="2716DC36">
      <w:start w:val="1"/>
      <w:numFmt w:val="bullet"/>
      <w:lvlText w:val="▪"/>
      <w:lvlJc w:val="left"/>
      <w:pPr>
        <w:ind w:left="413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6" w:tplc="B922BE6E">
      <w:start w:val="1"/>
      <w:numFmt w:val="bullet"/>
      <w:lvlText w:val="•"/>
      <w:lvlJc w:val="left"/>
      <w:pPr>
        <w:ind w:left="48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7" w:tplc="109A2060">
      <w:start w:val="1"/>
      <w:numFmt w:val="bullet"/>
      <w:lvlText w:val="o"/>
      <w:lvlJc w:val="left"/>
      <w:pPr>
        <w:ind w:left="55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8" w:tplc="56F09BD2">
      <w:start w:val="1"/>
      <w:numFmt w:val="bullet"/>
      <w:lvlText w:val="▪"/>
      <w:lvlJc w:val="left"/>
      <w:pPr>
        <w:ind w:left="62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abstractNum>
  <w:num w:numId="1" w16cid:durableId="1359309722">
    <w:abstractNumId w:val="0"/>
  </w:num>
  <w:num w:numId="2" w16cid:durableId="603460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09"/>
    <w:rsid w:val="003E45B1"/>
    <w:rsid w:val="00493B09"/>
    <w:rsid w:val="006B31A9"/>
    <w:rsid w:val="00A042BC"/>
    <w:rsid w:val="00B8613A"/>
    <w:rsid w:val="00BD12B0"/>
    <w:rsid w:val="00C61B9D"/>
    <w:rsid w:val="00C918AA"/>
    <w:rsid w:val="00D06586"/>
    <w:rsid w:val="00DA504D"/>
    <w:rsid w:val="00F450C5"/>
    <w:rsid w:val="00FA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EC96"/>
  <w15:chartTrackingRefBased/>
  <w15:docId w15:val="{05E0F861-8EA3-4B72-B206-F6C7EA56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09"/>
    <w:rPr>
      <w:rFonts w:eastAsiaTheme="majorEastAsia" w:cstheme="majorBidi"/>
      <w:color w:val="272727" w:themeColor="text1" w:themeTint="D8"/>
    </w:rPr>
  </w:style>
  <w:style w:type="paragraph" w:styleId="Title">
    <w:name w:val="Title"/>
    <w:basedOn w:val="Normal"/>
    <w:next w:val="Normal"/>
    <w:link w:val="TitleChar"/>
    <w:uiPriority w:val="10"/>
    <w:qFormat/>
    <w:rsid w:val="00493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09"/>
    <w:pPr>
      <w:spacing w:before="160"/>
      <w:jc w:val="center"/>
    </w:pPr>
    <w:rPr>
      <w:i/>
      <w:iCs/>
      <w:color w:val="404040" w:themeColor="text1" w:themeTint="BF"/>
    </w:rPr>
  </w:style>
  <w:style w:type="character" w:customStyle="1" w:styleId="QuoteChar">
    <w:name w:val="Quote Char"/>
    <w:basedOn w:val="DefaultParagraphFont"/>
    <w:link w:val="Quote"/>
    <w:uiPriority w:val="29"/>
    <w:rsid w:val="00493B09"/>
    <w:rPr>
      <w:i/>
      <w:iCs/>
      <w:color w:val="404040" w:themeColor="text1" w:themeTint="BF"/>
    </w:rPr>
  </w:style>
  <w:style w:type="paragraph" w:styleId="ListParagraph">
    <w:name w:val="List Paragraph"/>
    <w:basedOn w:val="Normal"/>
    <w:uiPriority w:val="34"/>
    <w:qFormat/>
    <w:rsid w:val="00493B09"/>
    <w:pPr>
      <w:ind w:left="720"/>
      <w:contextualSpacing/>
    </w:pPr>
  </w:style>
  <w:style w:type="character" w:styleId="IntenseEmphasis">
    <w:name w:val="Intense Emphasis"/>
    <w:basedOn w:val="DefaultParagraphFont"/>
    <w:uiPriority w:val="21"/>
    <w:qFormat/>
    <w:rsid w:val="00493B09"/>
    <w:rPr>
      <w:i/>
      <w:iCs/>
      <w:color w:val="0F4761" w:themeColor="accent1" w:themeShade="BF"/>
    </w:rPr>
  </w:style>
  <w:style w:type="paragraph" w:styleId="IntenseQuote">
    <w:name w:val="Intense Quote"/>
    <w:basedOn w:val="Normal"/>
    <w:next w:val="Normal"/>
    <w:link w:val="IntenseQuoteChar"/>
    <w:uiPriority w:val="30"/>
    <w:qFormat/>
    <w:rsid w:val="00493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B09"/>
    <w:rPr>
      <w:i/>
      <w:iCs/>
      <w:color w:val="0F4761" w:themeColor="accent1" w:themeShade="BF"/>
    </w:rPr>
  </w:style>
  <w:style w:type="character" w:styleId="IntenseReference">
    <w:name w:val="Intense Reference"/>
    <w:basedOn w:val="DefaultParagraphFont"/>
    <w:uiPriority w:val="32"/>
    <w:qFormat/>
    <w:rsid w:val="00493B09"/>
    <w:rPr>
      <w:b/>
      <w:bCs/>
      <w:smallCaps/>
      <w:color w:val="0F4761" w:themeColor="accent1" w:themeShade="BF"/>
      <w:spacing w:val="5"/>
    </w:rPr>
  </w:style>
  <w:style w:type="paragraph" w:styleId="Header">
    <w:name w:val="header"/>
    <w:basedOn w:val="Normal"/>
    <w:link w:val="HeaderChar"/>
    <w:uiPriority w:val="99"/>
    <w:unhideWhenUsed/>
    <w:rsid w:val="00493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B09"/>
  </w:style>
  <w:style w:type="table" w:customStyle="1" w:styleId="TableGrid">
    <w:name w:val="TableGrid"/>
    <w:rsid w:val="00493B09"/>
    <w:pPr>
      <w:spacing w:after="0" w:line="240" w:lineRule="auto"/>
    </w:pPr>
    <w:rPr>
      <w:rFonts w:eastAsia="MS Mincho"/>
      <w:kern w:val="0"/>
      <w:sz w:val="22"/>
      <w:szCs w:val="22"/>
      <w:lang w:val="es-ES"/>
      <w14:ligatures w14:val="none"/>
    </w:rPr>
    <w:tblPr>
      <w:tblCellMar>
        <w:top w:w="0" w:type="dxa"/>
        <w:left w:w="0" w:type="dxa"/>
        <w:bottom w:w="0" w:type="dxa"/>
        <w:right w:w="0" w:type="dxa"/>
      </w:tblCellMar>
    </w:tblPr>
  </w:style>
  <w:style w:type="paragraph" w:styleId="Revision">
    <w:name w:val="Revision"/>
    <w:hidden/>
    <w:uiPriority w:val="99"/>
    <w:semiHidden/>
    <w:rsid w:val="00493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easury.un.org/operationalrates/OperationalRates.ph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2026-04-27T12:59:00Z</dcterms:created>
  <dcterms:modified xsi:type="dcterms:W3CDTF">2026-04-28T23:31:00Z</dcterms:modified>
</cp:coreProperties>
</file>