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D6936" w14:textId="13490F0F" w:rsidR="00EA3FB1" w:rsidRPr="00901311" w:rsidRDefault="009253F9" w:rsidP="005B7B4F">
      <w:pPr>
        <w:spacing w:after="0" w:line="259" w:lineRule="auto"/>
        <w:ind w:left="144" w:right="-144" w:firstLine="0"/>
        <w:jc w:val="left"/>
      </w:pPr>
      <w:r>
        <w:rPr>
          <w:b/>
          <w:sz w:val="28"/>
        </w:rPr>
        <w:t>C</w:t>
      </w:r>
      <w:r w:rsidRPr="009253F9">
        <w:rPr>
          <w:b/>
          <w:sz w:val="28"/>
        </w:rPr>
        <w:t>adre conceptuel de financement harmonisé et la méthode de recouvrement des coûts</w:t>
      </w:r>
    </w:p>
    <w:p w14:paraId="09A9EFDF" w14:textId="77777777" w:rsidR="00EA3FB1" w:rsidRPr="00901311" w:rsidRDefault="00EA3FB1">
      <w:pPr>
        <w:spacing w:after="20" w:line="259" w:lineRule="auto"/>
        <w:ind w:left="0" w:right="0" w:firstLine="0"/>
        <w:jc w:val="left"/>
      </w:pPr>
    </w:p>
    <w:p w14:paraId="5763FAC7" w14:textId="041E6944" w:rsidR="00EA3FB1" w:rsidRPr="00901311" w:rsidRDefault="001A2865">
      <w:pPr>
        <w:numPr>
          <w:ilvl w:val="0"/>
          <w:numId w:val="1"/>
        </w:numPr>
        <w:ind w:right="0" w:hanging="360"/>
      </w:pPr>
      <w:r>
        <w:t>Une décision conjointe des Conseils d</w:t>
      </w:r>
      <w:r w:rsidR="00465447">
        <w:t>’</w:t>
      </w:r>
      <w:r>
        <w:t>administration du Programme des Nations Unies pour le développement (PNUD)/Fonds des Nations Unies pour la population (FNUAP), du Fonds des Nations Unies pour l</w:t>
      </w:r>
      <w:r w:rsidR="00465447">
        <w:t>’</w:t>
      </w:r>
      <w:r>
        <w:t>enfance (UNICEF) et de l</w:t>
      </w:r>
      <w:r w:rsidR="00465447">
        <w:t>’</w:t>
      </w:r>
      <w:r>
        <w:t>Entité des Nations Unies pour l</w:t>
      </w:r>
      <w:r w:rsidR="00465447">
        <w:t>’</w:t>
      </w:r>
      <w:r>
        <w:t>égalité des sexes et l</w:t>
      </w:r>
      <w:r w:rsidR="00465447">
        <w:t>’</w:t>
      </w:r>
      <w:r>
        <w:t>autonomisation des femmes (ONU-Femmes) a approuvé un nouveau cadre conceptuel harmonisé pour la définition et l</w:t>
      </w:r>
      <w:r w:rsidR="00465447">
        <w:t>’</w:t>
      </w:r>
      <w:r>
        <w:t xml:space="preserve">attribution des coûts, à la fois des coûts de programme et des coûts </w:t>
      </w:r>
      <w:r w:rsidRPr="0073161F">
        <w:t xml:space="preserve">organisationnels </w:t>
      </w:r>
      <w:hyperlink r:id="rId12">
        <w:r w:rsidRPr="0073161F">
          <w:rPr>
            <w:rStyle w:val="Hyperlink"/>
          </w:rPr>
          <w:t>DP</w:t>
        </w:r>
      </w:hyperlink>
      <w:hyperlink r:id="rId13">
        <w:r w:rsidRPr="0073161F">
          <w:rPr>
            <w:rStyle w:val="Hyperlink"/>
          </w:rPr>
          <w:t>-</w:t>
        </w:r>
      </w:hyperlink>
      <w:hyperlink r:id="rId14">
        <w:r w:rsidRPr="0073161F">
          <w:rPr>
            <w:rStyle w:val="Hyperlink"/>
          </w:rPr>
          <w:t>FPA/2012/1</w:t>
        </w:r>
      </w:hyperlink>
      <w:hyperlink r:id="rId15">
        <w:r w:rsidRPr="0073161F">
          <w:rPr>
            <w:rStyle w:val="Hyperlink"/>
          </w:rPr>
          <w:t>)</w:t>
        </w:r>
      </w:hyperlink>
      <w:r w:rsidRPr="0073161F">
        <w:t>,</w:t>
      </w:r>
      <w:r>
        <w:t xml:space="preserve"> et une nouvelle méthode harmonisée pour le calcul des taux de recouvrement des coûts pour les autres ressources (autres que ressources de base) </w:t>
      </w:r>
      <w:hyperlink r:id="rId16">
        <w:r w:rsidRPr="0073161F">
          <w:rPr>
            <w:rStyle w:val="Hyperlink"/>
          </w:rPr>
          <w:t>(</w:t>
        </w:r>
      </w:hyperlink>
      <w:hyperlink r:id="rId17">
        <w:r w:rsidRPr="0073161F">
          <w:rPr>
            <w:rStyle w:val="Hyperlink"/>
          </w:rPr>
          <w:t>DP</w:t>
        </w:r>
      </w:hyperlink>
      <w:hyperlink r:id="rId18">
        <w:r w:rsidRPr="0073161F">
          <w:rPr>
            <w:rStyle w:val="Hyperlink"/>
          </w:rPr>
          <w:t>-</w:t>
        </w:r>
      </w:hyperlink>
      <w:hyperlink r:id="rId19">
        <w:r w:rsidRPr="0073161F">
          <w:rPr>
            <w:rStyle w:val="Hyperlink"/>
          </w:rPr>
          <w:t>FPA/2013/1</w:t>
        </w:r>
      </w:hyperlink>
      <w:r w:rsidR="003125F3" w:rsidRPr="0073161F">
        <w:t xml:space="preserve"> </w:t>
      </w:r>
      <w:hyperlink r:id="rId20">
        <w:r w:rsidRPr="0073161F">
          <w:rPr>
            <w:rStyle w:val="Hyperlink"/>
          </w:rPr>
          <w:t>;</w:t>
        </w:r>
      </w:hyperlink>
      <w:hyperlink r:id="rId21">
        <w:r w:rsidRPr="0073161F">
          <w:rPr>
            <w:rStyle w:val="Hyperlink"/>
          </w:rPr>
          <w:t xml:space="preserve"> </w:t>
        </w:r>
      </w:hyperlink>
      <w:hyperlink r:id="rId22">
        <w:r w:rsidRPr="0073161F">
          <w:rPr>
            <w:rStyle w:val="Hyperlink"/>
          </w:rPr>
          <w:t>DP/2013/9</w:t>
        </w:r>
      </w:hyperlink>
      <w:hyperlink r:id="rId23">
        <w:r w:rsidRPr="0073161F">
          <w:rPr>
            <w:rStyle w:val="Hyperlink"/>
          </w:rPr>
          <w:t>)</w:t>
        </w:r>
      </w:hyperlink>
      <w:r w:rsidRPr="0073161F">
        <w:t>.</w:t>
      </w:r>
      <w:r w:rsidR="00DB4B36" w:rsidRPr="00DB4B36">
        <w:rPr>
          <w:color w:val="0070C0"/>
        </w:rPr>
        <w:t xml:space="preserve"> </w:t>
      </w:r>
      <w:r w:rsidR="00DB4B36" w:rsidRPr="00DB4B36">
        <w:t>En outre, les Conseils d’administration du PNUD/FNUAP, de l’UNICEF et d’ONU-Femmes ont également approuvé la proposition conjointe globale relative à la politique de recouvrement des coûts (</w:t>
      </w:r>
      <w:hyperlink r:id="rId24" w:history="1">
        <w:r w:rsidR="00DB4B36" w:rsidRPr="0073161F">
          <w:rPr>
            <w:rStyle w:val="Hyperlink"/>
          </w:rPr>
          <w:t>DP/FPA-ICEF-UNW/2020/1</w:t>
        </w:r>
      </w:hyperlink>
      <w:r w:rsidR="00DB4B36" w:rsidRPr="00DB4B36">
        <w:t>), comprenant les catégories de classification des coûts, la méthodologie et les taux, entrée en vigueur le 1er janvier 2022. En 2024, les Conseils d’administration ont examiné et approuvé la révision complète de la politique conjointe de recouvrement des coûts, telle que présentée dans le document (</w:t>
      </w:r>
      <w:hyperlink r:id="rId25" w:history="1">
        <w:r w:rsidR="00DB4B36" w:rsidRPr="0073161F">
          <w:rPr>
            <w:rStyle w:val="Hyperlink"/>
          </w:rPr>
          <w:t>DP/FPA-ICEF-UNW/2024/1</w:t>
        </w:r>
      </w:hyperlink>
      <w:r w:rsidR="00DB4B36" w:rsidRPr="00DB4B36">
        <w:t>), qui remplace la politique précédente de recouvrement des coûts, y compris les catégories de classification des coûts, la méthodologie et les taux. Cette politique entre en vigueur le 1er janvier 2026.</w:t>
      </w:r>
    </w:p>
    <w:p w14:paraId="31988A0C" w14:textId="77777777" w:rsidR="00EA3FB1" w:rsidRPr="00901311" w:rsidRDefault="00EA3FB1">
      <w:pPr>
        <w:spacing w:after="22" w:line="259" w:lineRule="auto"/>
        <w:ind w:left="0" w:right="0" w:firstLine="0"/>
        <w:jc w:val="left"/>
      </w:pPr>
    </w:p>
    <w:p w14:paraId="43F4BB76" w14:textId="30D1AA34" w:rsidR="00EA3FB1" w:rsidRPr="00901311" w:rsidRDefault="001A2865" w:rsidP="00A6413E">
      <w:pPr>
        <w:numPr>
          <w:ilvl w:val="0"/>
          <w:numId w:val="1"/>
        </w:numPr>
        <w:ind w:right="0" w:hanging="360"/>
      </w:pPr>
      <w:r>
        <w:t xml:space="preserve">Dans le cadre du budget intégré </w:t>
      </w:r>
      <w:r w:rsidRPr="0073161F">
        <w:t>(</w:t>
      </w:r>
      <w:hyperlink r:id="rId26">
        <w:r w:rsidRPr="0073161F">
          <w:rPr>
            <w:rStyle w:val="Hyperlink"/>
          </w:rPr>
          <w:t>DP/2013/41</w:t>
        </w:r>
      </w:hyperlink>
      <w:r w:rsidR="0073161F" w:rsidRPr="0073161F">
        <w:rPr>
          <w:color w:val="auto"/>
        </w:rPr>
        <w:t xml:space="preserve"> </w:t>
      </w:r>
      <w:r w:rsidR="0073161F" w:rsidRPr="0073161F">
        <w:t xml:space="preserve">et </w:t>
      </w:r>
      <w:hyperlink r:id="rId27">
        <w:r w:rsidRPr="0073161F">
          <w:rPr>
            <w:rStyle w:val="Hyperlink"/>
          </w:rPr>
          <w:t>Décisions adoptées par le Conseil d</w:t>
        </w:r>
        <w:r w:rsidR="00465447" w:rsidRPr="0073161F">
          <w:rPr>
            <w:rStyle w:val="Hyperlink"/>
          </w:rPr>
          <w:t>’</w:t>
        </w:r>
        <w:r w:rsidRPr="0073161F">
          <w:rPr>
            <w:rStyle w:val="Hyperlink"/>
          </w:rPr>
          <w:t>administration 2013/28</w:t>
        </w:r>
      </w:hyperlink>
      <w:r w:rsidR="0073161F">
        <w:t xml:space="preserve">), </w:t>
      </w:r>
      <w:r>
        <w:t xml:space="preserve">qui intègre dans un cadre </w:t>
      </w:r>
      <w:hyperlink r:id="rId28">
        <w:r w:rsidRPr="0073161F">
          <w:rPr>
            <w:rStyle w:val="Hyperlink"/>
          </w:rPr>
          <w:t xml:space="preserve">DP/2012/25 </w:t>
        </w:r>
      </w:hyperlink>
      <w:hyperlink r:id="rId29">
        <w:r w:rsidRPr="0073161F">
          <w:rPr>
            <w:rStyle w:val="Hyperlink"/>
          </w:rPr>
          <w:t xml:space="preserve">- </w:t>
        </w:r>
      </w:hyperlink>
      <w:hyperlink r:id="rId30">
        <w:r w:rsidRPr="0073161F">
          <w:rPr>
            <w:rStyle w:val="Hyperlink"/>
          </w:rPr>
          <w:t>Arrangements en matière de programmation</w:t>
        </w:r>
      </w:hyperlink>
      <w:r w:rsidR="0073161F">
        <w:t xml:space="preserve"> </w:t>
      </w:r>
      <w:hyperlink r:id="rId31">
        <w:r w:rsidR="00283305">
          <w:t>e</w:t>
        </w:r>
      </w:hyperlink>
      <w:r>
        <w:t xml:space="preserve">t le budget institutionnel, les nouveaux cadres de financement et de recouvrement des coûts ont un impact significatif sur la manière dont les activités des bureaux de pays, des centres régionaux et du </w:t>
      </w:r>
      <w:r w:rsidR="005E15E6">
        <w:t>siège</w:t>
      </w:r>
      <w:r>
        <w:t xml:space="preserve"> sont financées pour distribuer de manière réussie les résultats soulignés dans </w:t>
      </w:r>
      <w:hyperlink r:id="rId32">
        <w:r w:rsidR="00502E2F">
          <w:rPr>
            <w:rStyle w:val="Hyperlink"/>
          </w:rPr>
          <w:t>DP/2013/40 - Plan stratégique</w:t>
        </w:r>
      </w:hyperlink>
      <w:r w:rsidR="00502E2F">
        <w:t xml:space="preserve"> </w:t>
      </w:r>
      <w:r>
        <w:t>du PNUD</w:t>
      </w:r>
      <w:hyperlink r:id="rId33">
        <w:r>
          <w:t>.</w:t>
        </w:r>
      </w:hyperlink>
    </w:p>
    <w:p w14:paraId="1EC87430" w14:textId="77777777" w:rsidR="00EA3FB1" w:rsidRPr="00901311" w:rsidRDefault="00EA3FB1">
      <w:pPr>
        <w:spacing w:after="20" w:line="259" w:lineRule="auto"/>
        <w:ind w:left="0" w:right="0" w:firstLine="0"/>
        <w:jc w:val="left"/>
      </w:pPr>
    </w:p>
    <w:p w14:paraId="0B1E1282" w14:textId="77777777" w:rsidR="00EA3FB1" w:rsidRPr="00901311" w:rsidRDefault="001A2865">
      <w:pPr>
        <w:numPr>
          <w:ilvl w:val="0"/>
          <w:numId w:val="1"/>
        </w:numPr>
        <w:ind w:right="0" w:hanging="360"/>
      </w:pPr>
      <w:r>
        <w:t>Le budget intégré reflète l</w:t>
      </w:r>
      <w:r w:rsidR="00465447">
        <w:t>’</w:t>
      </w:r>
      <w:r>
        <w:t>évolution du modèle d</w:t>
      </w:r>
      <w:r w:rsidR="00465447">
        <w:t>’</w:t>
      </w:r>
      <w:r>
        <w:t>affaires du PNUD, qui réaffirme le réalignement des ressources et reconnait les synergies et les liens entre les résultats de développement et institutionnels aux niveaux national, régional et mondial, ainsi que les besoins connexes en ressources et l</w:t>
      </w:r>
      <w:r w:rsidR="00465447">
        <w:t>’</w:t>
      </w:r>
      <w:r>
        <w:t>attribution des coûts. Il reconnait que les activités institutionnelles représentent des facilitateurs stratégiques cruciaux pour l</w:t>
      </w:r>
      <w:r w:rsidR="00465447">
        <w:t>’</w:t>
      </w:r>
      <w:r>
        <w:t xml:space="preserve">atteinte des résultats de développement, et facilitent le réalignement continu requis des capacités institutionnelles pour aider les pays de programme à atteindre </w:t>
      </w:r>
      <w:r w:rsidR="00283305">
        <w:t>les résultats de développement.</w:t>
      </w:r>
    </w:p>
    <w:p w14:paraId="1BB8BA21" w14:textId="77777777" w:rsidR="00EA3FB1" w:rsidRPr="00901311" w:rsidRDefault="00EA3FB1">
      <w:pPr>
        <w:spacing w:after="21" w:line="259" w:lineRule="auto"/>
        <w:ind w:left="0" w:right="0" w:firstLine="0"/>
        <w:jc w:val="left"/>
      </w:pPr>
    </w:p>
    <w:p w14:paraId="18C9409C" w14:textId="77777777" w:rsidR="00EA3FB1" w:rsidRPr="00901311" w:rsidRDefault="001A2865">
      <w:pPr>
        <w:numPr>
          <w:ilvl w:val="0"/>
          <w:numId w:val="1"/>
        </w:numPr>
        <w:ind w:right="0" w:hanging="360"/>
      </w:pPr>
      <w:r>
        <w:t>La nouvelle approche du budget intégré a pour résul</w:t>
      </w:r>
      <w:r w:rsidR="00283305">
        <w:t>tat deux éléments essentiels :</w:t>
      </w:r>
    </w:p>
    <w:p w14:paraId="7BC0521F" w14:textId="77777777" w:rsidR="00EA3FB1" w:rsidRPr="00901311" w:rsidRDefault="00EA3FB1">
      <w:pPr>
        <w:spacing w:after="21" w:line="259" w:lineRule="auto"/>
        <w:ind w:left="0" w:right="0" w:firstLine="0"/>
        <w:jc w:val="left"/>
      </w:pPr>
    </w:p>
    <w:p w14:paraId="1C1B6AF9" w14:textId="77777777" w:rsidR="00EA3FB1" w:rsidRPr="00901311" w:rsidRDefault="001A2865" w:rsidP="00502E2F">
      <w:pPr>
        <w:pStyle w:val="ListParagraph"/>
        <w:numPr>
          <w:ilvl w:val="0"/>
          <w:numId w:val="7"/>
        </w:numPr>
        <w:ind w:right="0"/>
      </w:pPr>
      <w:r>
        <w:t>Une augmentation de la portion des ressources ordinaires disponible</w:t>
      </w:r>
      <w:r w:rsidR="00283305">
        <w:t xml:space="preserve">s pour financer les composantes </w:t>
      </w:r>
      <w:r>
        <w:t>programmatiques (dévelo</w:t>
      </w:r>
      <w:r w:rsidR="00283305">
        <w:t>ppement) du budget intégré ; et</w:t>
      </w:r>
    </w:p>
    <w:p w14:paraId="62E381BC" w14:textId="77777777" w:rsidR="00EA3FB1" w:rsidRPr="00901311" w:rsidRDefault="001A2865" w:rsidP="00502E2F">
      <w:pPr>
        <w:pStyle w:val="ListParagraph"/>
        <w:numPr>
          <w:ilvl w:val="0"/>
          <w:numId w:val="7"/>
        </w:numPr>
        <w:ind w:right="0"/>
      </w:pPr>
      <w:r>
        <w:t>Elle a pour but d</w:t>
      </w:r>
      <w:r w:rsidR="00465447">
        <w:t>’</w:t>
      </w:r>
      <w:r>
        <w:t>assurer que toutes les activités de l</w:t>
      </w:r>
      <w:r w:rsidR="00465447">
        <w:t>’</w:t>
      </w:r>
      <w:r>
        <w:t>organisation sont adéquatement facturées et correctement attribuées au large éventail de sources de financement qui financent notre travail de développement.</w:t>
      </w:r>
    </w:p>
    <w:p w14:paraId="4CF4FABD" w14:textId="77777777" w:rsidR="00EA3FB1" w:rsidRPr="00901311" w:rsidRDefault="00EA3FB1">
      <w:pPr>
        <w:spacing w:after="21" w:line="259" w:lineRule="auto"/>
        <w:ind w:left="0" w:right="0" w:firstLine="0"/>
        <w:jc w:val="left"/>
      </w:pPr>
    </w:p>
    <w:p w14:paraId="6D43FEA6" w14:textId="77777777" w:rsidR="00EA3FB1" w:rsidRPr="00901311" w:rsidRDefault="001A2865">
      <w:pPr>
        <w:numPr>
          <w:ilvl w:val="0"/>
          <w:numId w:val="1"/>
        </w:numPr>
        <w:ind w:right="0" w:hanging="360"/>
      </w:pPr>
      <w:r>
        <w:lastRenderedPageBreak/>
        <w:t xml:space="preserve">Des financements pour les bureaux de pays, les centres régionaux et les activités organisationnelles du siège sont disponibles par le biais : </w:t>
      </w:r>
    </w:p>
    <w:p w14:paraId="648D05E9" w14:textId="77777777" w:rsidR="00EA3FB1" w:rsidRPr="00901311" w:rsidRDefault="00EA3FB1">
      <w:pPr>
        <w:spacing w:after="20" w:line="259" w:lineRule="auto"/>
        <w:ind w:left="0" w:right="0" w:firstLine="0"/>
        <w:jc w:val="left"/>
      </w:pPr>
    </w:p>
    <w:p w14:paraId="1128B329" w14:textId="77777777" w:rsidR="00EA3FB1" w:rsidRDefault="001A2865">
      <w:pPr>
        <w:numPr>
          <w:ilvl w:val="1"/>
          <w:numId w:val="1"/>
        </w:numPr>
        <w:ind w:right="0" w:hanging="360"/>
      </w:pPr>
      <w:r>
        <w:t>Du budget i</w:t>
      </w:r>
      <w:r w:rsidR="00283305">
        <w:t>ntégré (ressources ordinaires),</w:t>
      </w:r>
    </w:p>
    <w:p w14:paraId="4D7E43EF" w14:textId="77777777" w:rsidR="00EA3FB1" w:rsidRPr="000F4CB4" w:rsidRDefault="001A2865" w:rsidP="000F4CB4">
      <w:pPr>
        <w:pStyle w:val="ListParagraph"/>
        <w:numPr>
          <w:ilvl w:val="1"/>
          <w:numId w:val="1"/>
        </w:numPr>
        <w:ind w:right="0"/>
        <w:rPr>
          <w:color w:val="0070C0"/>
        </w:rPr>
      </w:pPr>
      <w:r>
        <w:t>De l</w:t>
      </w:r>
      <w:r w:rsidR="00465447">
        <w:t>’</w:t>
      </w:r>
      <w:r>
        <w:t>application de la méthode de recouvrement des coûts (revenus du recouvrement des coûts reçus en imputant les frais d</w:t>
      </w:r>
      <w:r w:rsidR="00465447">
        <w:t>’</w:t>
      </w:r>
      <w:r>
        <w:t>appui général à la gestion à d</w:t>
      </w:r>
      <w:r w:rsidR="00465447">
        <w:t>’</w:t>
      </w:r>
      <w:r>
        <w:t xml:space="preserve">autres ressources ou aux ressources extrabudgétaires - </w:t>
      </w:r>
      <w:hyperlink r:id="rId34">
        <w:r w:rsidRPr="00502E2F">
          <w:rPr>
            <w:rStyle w:val="Hyperlink"/>
          </w:rPr>
          <w:t>Recouvrement des coûts provenant d</w:t>
        </w:r>
        <w:r w:rsidR="00465447" w:rsidRPr="00502E2F">
          <w:rPr>
            <w:rStyle w:val="Hyperlink"/>
          </w:rPr>
          <w:t>’</w:t>
        </w:r>
        <w:r w:rsidRPr="00502E2F">
          <w:rPr>
            <w:rStyle w:val="Hyperlink"/>
          </w:rPr>
          <w:t>autres ressources - Appui général à la gestion des politiques et procédures régissant les programmes et opérations</w:t>
        </w:r>
      </w:hyperlink>
      <w:r w:rsidR="00283305" w:rsidRPr="00502E2F">
        <w:t>,</w:t>
      </w:r>
    </w:p>
    <w:p w14:paraId="00011752" w14:textId="4261AD43" w:rsidR="00EA3FB1" w:rsidRPr="00901311" w:rsidRDefault="001A2865" w:rsidP="00F3529F">
      <w:pPr>
        <w:numPr>
          <w:ilvl w:val="1"/>
          <w:numId w:val="1"/>
        </w:numPr>
        <w:ind w:right="0" w:hanging="360"/>
      </w:pPr>
      <w:r>
        <w:t>Les revenus générés par la fourniture de services d</w:t>
      </w:r>
      <w:r w:rsidR="00465447">
        <w:t>’</w:t>
      </w:r>
      <w:r>
        <w:t>appui à des institutions des Nations Unies (</w:t>
      </w:r>
      <w:hyperlink r:id="rId35" w:history="1">
        <w:r w:rsidR="00F33FAA" w:rsidRPr="00F33FAA">
          <w:rPr>
            <w:rStyle w:val="Hyperlink"/>
          </w:rPr>
          <w:t>Services aux institutions des Nations Unies</w:t>
        </w:r>
      </w:hyperlink>
      <w:r w:rsidR="00502E2F" w:rsidRPr="00502E2F">
        <w:rPr>
          <w:rStyle w:val="Hyperlink"/>
          <w:u w:val="none"/>
        </w:rPr>
        <w:t xml:space="preserve"> </w:t>
      </w:r>
      <w:r w:rsidR="00502E2F" w:rsidRPr="00502E2F">
        <w:t>(en anglais)</w:t>
      </w:r>
      <w:r w:rsidR="00283305" w:rsidRPr="00502E2F">
        <w:t>)</w:t>
      </w:r>
      <w:r w:rsidR="00283305">
        <w:t xml:space="preserve"> et</w:t>
      </w:r>
    </w:p>
    <w:p w14:paraId="56E3DC5C" w14:textId="3F578071" w:rsidR="009253F9" w:rsidRPr="009253F9" w:rsidRDefault="001A2865" w:rsidP="009253F9">
      <w:pPr>
        <w:pStyle w:val="ListParagraph"/>
        <w:numPr>
          <w:ilvl w:val="1"/>
          <w:numId w:val="1"/>
        </w:numPr>
        <w:rPr>
          <w:rStyle w:val="Hyperlink"/>
          <w:color w:val="0070C0"/>
        </w:rPr>
      </w:pPr>
      <w:r>
        <w:t>Les coûts directs des projets qui contribuent directement à l</w:t>
      </w:r>
      <w:r w:rsidR="00465447">
        <w:t>’</w:t>
      </w:r>
      <w:r>
        <w:t>atteinte des résultats de développement des projets et programmes et qui sont financés par les ressources ordinaires (de base) et autres (</w:t>
      </w:r>
      <w:r w:rsidR="00AF7989">
        <w:t>autres que les ressources de base</w:t>
      </w:r>
      <w:r>
        <w:t>). L</w:t>
      </w:r>
      <w:r w:rsidR="00465447">
        <w:t>’</w:t>
      </w:r>
      <w:r>
        <w:t>application des coûts directs des projets institutionnalise un financement plus équitable des coûts organisationnels entre les ressources ordinaires et les autres ressources</w:t>
      </w:r>
      <w:r w:rsidRPr="00502E2F">
        <w:t>. (</w:t>
      </w:r>
      <w:hyperlink r:id="rId36">
        <w:r w:rsidR="009253F9" w:rsidRPr="00502E2F">
          <w:rPr>
            <w:rStyle w:val="Hyperlink"/>
          </w:rPr>
          <w:t>Planification et paiement de la prestation Services d'appui aux projets</w:t>
        </w:r>
        <w:r w:rsidR="00502E2F">
          <w:rPr>
            <w:rStyle w:val="Hyperlink"/>
          </w:rPr>
          <w:t xml:space="preserve"> </w:t>
        </w:r>
        <w:r w:rsidR="00502E2F" w:rsidRPr="00502E2F">
          <w:t>(en anglais))</w:t>
        </w:r>
      </w:hyperlink>
      <w:r w:rsidR="00502E2F" w:rsidRPr="009253F9">
        <w:rPr>
          <w:rStyle w:val="Hyperlink"/>
          <w:color w:val="0070C0"/>
        </w:rPr>
        <w:t xml:space="preserve"> </w:t>
      </w:r>
    </w:p>
    <w:p w14:paraId="222CE7C1" w14:textId="77777777" w:rsidR="00427506" w:rsidRPr="00901311" w:rsidRDefault="00427506" w:rsidP="00427506">
      <w:pPr>
        <w:ind w:left="1133" w:right="0" w:firstLine="0"/>
      </w:pPr>
    </w:p>
    <w:p w14:paraId="2FC3AC62" w14:textId="5890E34E" w:rsidR="00EA3FB1" w:rsidRPr="00901311" w:rsidRDefault="000F4CB4">
      <w:pPr>
        <w:numPr>
          <w:ilvl w:val="0"/>
          <w:numId w:val="1"/>
        </w:numPr>
        <w:ind w:right="0" w:hanging="360"/>
      </w:pPr>
      <w:r w:rsidRPr="000F4CB4">
        <w:t xml:space="preserve">À compter du 1er janvier 2026, les activités du PNUD sont classées selon trois catégories principales de classification des </w:t>
      </w:r>
      <w:proofErr w:type="gramStart"/>
      <w:r w:rsidRPr="000F4CB4">
        <w:t>coûts:</w:t>
      </w:r>
      <w:proofErr w:type="gramEnd"/>
    </w:p>
    <w:p w14:paraId="00B8FA35" w14:textId="77777777" w:rsidR="00EA3FB1" w:rsidRPr="00901311" w:rsidRDefault="00EA3FB1">
      <w:pPr>
        <w:spacing w:after="0" w:line="259" w:lineRule="auto"/>
        <w:ind w:left="0" w:right="0" w:firstLine="0"/>
        <w:jc w:val="left"/>
      </w:pPr>
    </w:p>
    <w:tbl>
      <w:tblPr>
        <w:tblStyle w:val="TableGrid"/>
        <w:tblW w:w="8508" w:type="dxa"/>
        <w:tblInd w:w="708" w:type="dxa"/>
        <w:tblCellMar>
          <w:top w:w="50" w:type="dxa"/>
          <w:left w:w="19" w:type="dxa"/>
          <w:right w:w="60" w:type="dxa"/>
        </w:tblCellMar>
        <w:tblLook w:val="04A0" w:firstRow="1" w:lastRow="0" w:firstColumn="1" w:lastColumn="0" w:noHBand="0" w:noVBand="1"/>
      </w:tblPr>
      <w:tblGrid>
        <w:gridCol w:w="2832"/>
        <w:gridCol w:w="5676"/>
      </w:tblGrid>
      <w:tr w:rsidR="00EA3FB1" w:rsidRPr="00901311" w14:paraId="489D0FEC" w14:textId="77777777" w:rsidTr="000F4CB4">
        <w:trPr>
          <w:trHeight w:val="1092"/>
        </w:trPr>
        <w:tc>
          <w:tcPr>
            <w:tcW w:w="2832" w:type="dxa"/>
            <w:tcBorders>
              <w:top w:val="single" w:sz="8" w:space="0" w:color="000000"/>
              <w:left w:val="single" w:sz="8" w:space="0" w:color="000000"/>
              <w:bottom w:val="single" w:sz="8" w:space="0" w:color="000000"/>
              <w:right w:val="single" w:sz="8" w:space="0" w:color="000000"/>
            </w:tcBorders>
          </w:tcPr>
          <w:p w14:paraId="5363651F" w14:textId="0D3C4D51" w:rsidR="00EA3FB1" w:rsidRPr="00901311" w:rsidRDefault="000F4CB4">
            <w:pPr>
              <w:spacing w:after="0" w:line="259" w:lineRule="auto"/>
              <w:ind w:left="0" w:right="0" w:firstLine="0"/>
              <w:jc w:val="left"/>
            </w:pPr>
            <w:r w:rsidRPr="000F4CB4">
              <w:rPr>
                <w:b/>
              </w:rPr>
              <w:t>Activités de développement/humanitaires</w:t>
            </w:r>
          </w:p>
        </w:tc>
        <w:tc>
          <w:tcPr>
            <w:tcW w:w="5676" w:type="dxa"/>
            <w:tcBorders>
              <w:top w:val="single" w:sz="8" w:space="0" w:color="000000"/>
              <w:left w:val="single" w:sz="8" w:space="0" w:color="000000"/>
              <w:bottom w:val="single" w:sz="8" w:space="0" w:color="000000"/>
              <w:right w:val="single" w:sz="8" w:space="0" w:color="000000"/>
            </w:tcBorders>
          </w:tcPr>
          <w:p w14:paraId="074037C5" w14:textId="77777777" w:rsidR="000F4CB4" w:rsidRDefault="000F4CB4">
            <w:pPr>
              <w:spacing w:after="0" w:line="259" w:lineRule="auto"/>
              <w:ind w:left="89" w:right="0" w:firstLine="0"/>
              <w:jc w:val="left"/>
            </w:pPr>
            <w:proofErr w:type="gramStart"/>
            <w:r w:rsidRPr="000F4CB4">
              <w:t>a</w:t>
            </w:r>
            <w:proofErr w:type="gramEnd"/>
            <w:r w:rsidRPr="000F4CB4">
              <w:t xml:space="preserve"> – Programme </w:t>
            </w:r>
          </w:p>
          <w:p w14:paraId="46ABD1D1" w14:textId="600DAA04" w:rsidR="00EA3FB1" w:rsidRPr="00901311" w:rsidRDefault="000F4CB4">
            <w:pPr>
              <w:spacing w:after="0" w:line="259" w:lineRule="auto"/>
              <w:ind w:left="89" w:right="0" w:firstLine="0"/>
              <w:jc w:val="left"/>
            </w:pPr>
            <w:proofErr w:type="gramStart"/>
            <w:r w:rsidRPr="000F4CB4">
              <w:t>b</w:t>
            </w:r>
            <w:proofErr w:type="gramEnd"/>
            <w:r w:rsidRPr="000F4CB4">
              <w:t xml:space="preserve"> – Efficacité du développement</w:t>
            </w:r>
          </w:p>
        </w:tc>
      </w:tr>
      <w:tr w:rsidR="00EA3FB1" w:rsidRPr="00901311" w14:paraId="430ECB8C" w14:textId="77777777" w:rsidTr="000F4CB4">
        <w:trPr>
          <w:trHeight w:val="557"/>
        </w:trPr>
        <w:tc>
          <w:tcPr>
            <w:tcW w:w="2832" w:type="dxa"/>
            <w:tcBorders>
              <w:top w:val="single" w:sz="8" w:space="0" w:color="000000"/>
              <w:left w:val="single" w:sz="8" w:space="0" w:color="000000"/>
              <w:bottom w:val="single" w:sz="8" w:space="0" w:color="000000"/>
              <w:right w:val="single" w:sz="8" w:space="0" w:color="000000"/>
            </w:tcBorders>
          </w:tcPr>
          <w:p w14:paraId="4C78B823" w14:textId="12CCC11C" w:rsidR="00EA3FB1" w:rsidRPr="00901311" w:rsidRDefault="000F4CB4" w:rsidP="00283305">
            <w:pPr>
              <w:spacing w:after="0" w:line="259" w:lineRule="auto"/>
              <w:ind w:left="0" w:right="0" w:firstLine="0"/>
              <w:jc w:val="left"/>
            </w:pPr>
            <w:r w:rsidRPr="000F4CB4">
              <w:rPr>
                <w:b/>
              </w:rPr>
              <w:t>Coordination du développement des Nations Unies</w:t>
            </w:r>
          </w:p>
        </w:tc>
        <w:tc>
          <w:tcPr>
            <w:tcW w:w="5676" w:type="dxa"/>
            <w:tcBorders>
              <w:top w:val="single" w:sz="8" w:space="0" w:color="000000"/>
              <w:left w:val="single" w:sz="8" w:space="0" w:color="000000"/>
              <w:bottom w:val="single" w:sz="8" w:space="0" w:color="000000"/>
              <w:right w:val="single" w:sz="8" w:space="0" w:color="000000"/>
            </w:tcBorders>
          </w:tcPr>
          <w:p w14:paraId="763DFC8E" w14:textId="18BBDC9B" w:rsidR="005A64A8" w:rsidRPr="00901311" w:rsidRDefault="005A64A8">
            <w:pPr>
              <w:spacing w:after="0" w:line="259" w:lineRule="auto"/>
              <w:ind w:left="89" w:right="0" w:firstLine="0"/>
              <w:jc w:val="left"/>
            </w:pPr>
          </w:p>
        </w:tc>
      </w:tr>
      <w:tr w:rsidR="005A64A8" w:rsidRPr="00901311" w14:paraId="7D9A8DAC" w14:textId="77777777" w:rsidTr="000F4CB4">
        <w:trPr>
          <w:trHeight w:val="557"/>
        </w:trPr>
        <w:tc>
          <w:tcPr>
            <w:tcW w:w="2832" w:type="dxa"/>
            <w:tcBorders>
              <w:top w:val="single" w:sz="8" w:space="0" w:color="000000"/>
              <w:left w:val="single" w:sz="8" w:space="0" w:color="000000"/>
              <w:bottom w:val="single" w:sz="8" w:space="0" w:color="000000"/>
              <w:right w:val="single" w:sz="8" w:space="0" w:color="000000"/>
            </w:tcBorders>
          </w:tcPr>
          <w:p w14:paraId="29A38C5B" w14:textId="24EDF171" w:rsidR="005A64A8" w:rsidRPr="00901311" w:rsidRDefault="0087796D">
            <w:pPr>
              <w:spacing w:after="0" w:line="259" w:lineRule="auto"/>
              <w:ind w:left="0" w:right="0" w:firstLine="0"/>
              <w:jc w:val="left"/>
              <w:rPr>
                <w:b/>
              </w:rPr>
            </w:pPr>
            <w:r w:rsidRPr="0087796D">
              <w:rPr>
                <w:b/>
              </w:rPr>
              <w:t>Services d’appui</w:t>
            </w:r>
          </w:p>
        </w:tc>
        <w:tc>
          <w:tcPr>
            <w:tcW w:w="5676" w:type="dxa"/>
            <w:tcBorders>
              <w:top w:val="single" w:sz="8" w:space="0" w:color="000000"/>
              <w:left w:val="single" w:sz="8" w:space="0" w:color="000000"/>
              <w:bottom w:val="single" w:sz="8" w:space="0" w:color="000000"/>
              <w:right w:val="single" w:sz="8" w:space="0" w:color="000000"/>
            </w:tcBorders>
          </w:tcPr>
          <w:p w14:paraId="35299EBF" w14:textId="77777777" w:rsidR="000F4CB4" w:rsidRDefault="000F4CB4">
            <w:pPr>
              <w:spacing w:after="0" w:line="259" w:lineRule="auto"/>
              <w:ind w:left="89" w:right="0" w:firstLine="0"/>
              <w:jc w:val="left"/>
            </w:pPr>
            <w:proofErr w:type="gramStart"/>
            <w:r w:rsidRPr="000F4CB4">
              <w:t>a</w:t>
            </w:r>
            <w:proofErr w:type="gramEnd"/>
            <w:r w:rsidRPr="000F4CB4">
              <w:t xml:space="preserve"> – Gestion </w:t>
            </w:r>
          </w:p>
          <w:p w14:paraId="0FCA293E" w14:textId="77777777" w:rsidR="000F4CB4" w:rsidRDefault="000F4CB4">
            <w:pPr>
              <w:spacing w:after="0" w:line="259" w:lineRule="auto"/>
              <w:ind w:left="89" w:right="0" w:firstLine="0"/>
              <w:jc w:val="left"/>
            </w:pPr>
            <w:proofErr w:type="gramStart"/>
            <w:r w:rsidRPr="000F4CB4">
              <w:t>b</w:t>
            </w:r>
            <w:proofErr w:type="gramEnd"/>
            <w:r w:rsidRPr="000F4CB4">
              <w:t xml:space="preserve"> – Supervision indépendante et assurance </w:t>
            </w:r>
          </w:p>
          <w:p w14:paraId="4F15423A" w14:textId="7A0AEA44" w:rsidR="005A64A8" w:rsidRPr="00901311" w:rsidRDefault="000F4CB4">
            <w:pPr>
              <w:spacing w:after="0" w:line="259" w:lineRule="auto"/>
              <w:ind w:left="89" w:right="0" w:firstLine="0"/>
              <w:jc w:val="left"/>
            </w:pPr>
            <w:proofErr w:type="gramStart"/>
            <w:r w:rsidRPr="000F4CB4">
              <w:t>c</w:t>
            </w:r>
            <w:proofErr w:type="gramEnd"/>
            <w:r w:rsidRPr="000F4CB4">
              <w:t xml:space="preserve"> – Fins spéciales</w:t>
            </w:r>
          </w:p>
        </w:tc>
      </w:tr>
    </w:tbl>
    <w:p w14:paraId="14AFDD69" w14:textId="07F62C06" w:rsidR="00EA3FB1" w:rsidRDefault="00EA3FB1">
      <w:pPr>
        <w:spacing w:after="204" w:line="259" w:lineRule="auto"/>
        <w:ind w:left="-29" w:right="-27" w:firstLine="0"/>
        <w:jc w:val="left"/>
      </w:pPr>
    </w:p>
    <w:p w14:paraId="13B492E0" w14:textId="1AB3DE4F" w:rsidR="002B71A4" w:rsidRDefault="002B71A4" w:rsidP="002B71A4">
      <w:pPr>
        <w:pStyle w:val="ListParagraph"/>
        <w:numPr>
          <w:ilvl w:val="0"/>
          <w:numId w:val="11"/>
        </w:numPr>
        <w:spacing w:after="204" w:line="259" w:lineRule="auto"/>
        <w:ind w:right="-27"/>
        <w:jc w:val="left"/>
      </w:pPr>
      <w:r w:rsidRPr="002B71A4">
        <w:rPr>
          <w:b/>
          <w:bCs/>
        </w:rPr>
        <w:t>Activités de développement/humanitaires :</w:t>
      </w:r>
      <w:r>
        <w:t xml:space="preserve"> coûts associés aux programmes et aux activités d’efficacité du développement qui contribuent à la réalisation de résultats efficaces en matière de développement et d’action humanitaire et qui sont essentiels à leur obtention, comme suit :</w:t>
      </w:r>
    </w:p>
    <w:p w14:paraId="11C9DA2B" w14:textId="13A9F43C" w:rsidR="002B71A4" w:rsidRDefault="002B71A4" w:rsidP="002B71A4">
      <w:pPr>
        <w:pStyle w:val="ListParagraph"/>
        <w:numPr>
          <w:ilvl w:val="1"/>
          <w:numId w:val="12"/>
        </w:numPr>
        <w:spacing w:after="204" w:line="259" w:lineRule="auto"/>
        <w:ind w:right="-27"/>
        <w:jc w:val="left"/>
      </w:pPr>
      <w:r w:rsidRPr="002B71A4">
        <w:rPr>
          <w:b/>
          <w:bCs/>
        </w:rPr>
        <w:t>Programme :</w:t>
      </w:r>
      <w:r>
        <w:t xml:space="preserve"> activités et coûts associés imputables à des composantes spécifiques de programmes ou à des projets, qui contribuent à l’obtention des résultats de développement et humanitaires définis dans les documents de programme au niveau national, régional ou mondial, ou dans d’autres modalités de programmation ;</w:t>
      </w:r>
    </w:p>
    <w:p w14:paraId="6EA5EC95" w14:textId="43BF7610" w:rsidR="002B71A4" w:rsidRDefault="002B71A4" w:rsidP="002B71A4">
      <w:pPr>
        <w:pStyle w:val="ListParagraph"/>
        <w:numPr>
          <w:ilvl w:val="1"/>
          <w:numId w:val="12"/>
        </w:numPr>
        <w:spacing w:after="204" w:line="259" w:lineRule="auto"/>
        <w:ind w:right="-27"/>
        <w:jc w:val="left"/>
      </w:pPr>
      <w:r w:rsidRPr="002B71A4">
        <w:rPr>
          <w:b/>
          <w:bCs/>
        </w:rPr>
        <w:t>Activités d’efficacité du développement :</w:t>
      </w:r>
      <w:r>
        <w:t xml:space="preserve"> coûts des activités de nature consultative en matière de politiques, technique et de mise en œuvre nécessaires pour atteindre les objectifs des programmes et des projets dans les domaines d’intervention des organisations. Ces apports sont essentiels à l’obtention des résultats de développement </w:t>
      </w:r>
      <w:r>
        <w:lastRenderedPageBreak/>
        <w:t>et humanitaires et ne sont pas inclus dans des composantes ou projets spécifiques dans les documents de programme au niveau national, régional ou mondial.</w:t>
      </w:r>
    </w:p>
    <w:p w14:paraId="201AAB27" w14:textId="77777777" w:rsidR="002B71A4" w:rsidRDefault="002B71A4" w:rsidP="002B71A4">
      <w:pPr>
        <w:pStyle w:val="ListParagraph"/>
        <w:numPr>
          <w:ilvl w:val="0"/>
          <w:numId w:val="11"/>
        </w:numPr>
        <w:spacing w:after="204" w:line="259" w:lineRule="auto"/>
        <w:ind w:right="-27"/>
        <w:jc w:val="left"/>
      </w:pPr>
      <w:r w:rsidRPr="002B71A4">
        <w:rPr>
          <w:b/>
          <w:bCs/>
        </w:rPr>
        <w:t>Activités de coordination du développement des Nations Unies :</w:t>
      </w:r>
      <w:r>
        <w:t xml:space="preserve"> activités et coûts associés soutenant la coordination des activités de développement du système des Nations Unies.</w:t>
      </w:r>
    </w:p>
    <w:p w14:paraId="11FCA342" w14:textId="270DFDAA" w:rsidR="002B71A4" w:rsidRDefault="0087796D" w:rsidP="002B71A4">
      <w:pPr>
        <w:pStyle w:val="ListParagraph"/>
        <w:numPr>
          <w:ilvl w:val="0"/>
          <w:numId w:val="11"/>
        </w:numPr>
        <w:spacing w:after="204" w:line="259" w:lineRule="auto"/>
        <w:ind w:right="-27"/>
        <w:jc w:val="left"/>
      </w:pPr>
      <w:r w:rsidRPr="0087796D">
        <w:rPr>
          <w:b/>
          <w:bCs/>
        </w:rPr>
        <w:t xml:space="preserve">Services </w:t>
      </w:r>
      <w:proofErr w:type="gramStart"/>
      <w:r w:rsidRPr="0087796D">
        <w:rPr>
          <w:b/>
          <w:bCs/>
        </w:rPr>
        <w:t>d’appui</w:t>
      </w:r>
      <w:r w:rsidR="002B71A4" w:rsidRPr="002B71A4">
        <w:rPr>
          <w:b/>
          <w:bCs/>
        </w:rPr>
        <w:t>:</w:t>
      </w:r>
      <w:proofErr w:type="gramEnd"/>
      <w:r w:rsidR="002B71A4">
        <w:t xml:space="preserve"> services et coûts associés généralement fournis au niveau institutionnel afin de promouvoir l’identité, l’orientation et le bon fonctionnement d’une organisation, permettant collectivement à celle-ci de mettre en œuvre ses programmes mandatés et ses agendas normatifs. Ces fonctions indirectes et les coûts associés ne peuvent pas être aisément ou directement imputés à des « programmes » spécifiques. Elles comprennent les sous-catégories suivantes :</w:t>
      </w:r>
    </w:p>
    <w:p w14:paraId="1684F5AD" w14:textId="5DB014B5" w:rsidR="002B71A4" w:rsidRDefault="002B71A4" w:rsidP="002B71A4">
      <w:pPr>
        <w:pStyle w:val="ListParagraph"/>
        <w:numPr>
          <w:ilvl w:val="1"/>
          <w:numId w:val="13"/>
        </w:numPr>
        <w:spacing w:after="204" w:line="259" w:lineRule="auto"/>
        <w:ind w:right="-27"/>
        <w:jc w:val="left"/>
      </w:pPr>
      <w:r w:rsidRPr="002B71A4">
        <w:rPr>
          <w:b/>
          <w:bCs/>
        </w:rPr>
        <w:t>Activités de gestion :</w:t>
      </w:r>
      <w:r>
        <w:t xml:space="preserve"> activités et coûts associés à la direction exécutive, à la représentation, aux relations extérieures et aux partenariats, aux communications institutionnelles, aux services juridiques, aux technologies de l’information, aux finances, à l’administration, à la sécurité et aux ressources humaines. Les coûts de gestion peuvent être classés comme récurrents ou non récurrents ;</w:t>
      </w:r>
    </w:p>
    <w:p w14:paraId="5682BAAF" w14:textId="59C8B13C" w:rsidR="002B71A4" w:rsidRDefault="002B71A4" w:rsidP="002B71A4">
      <w:pPr>
        <w:pStyle w:val="ListParagraph"/>
        <w:numPr>
          <w:ilvl w:val="1"/>
          <w:numId w:val="13"/>
        </w:numPr>
        <w:spacing w:after="204" w:line="259" w:lineRule="auto"/>
        <w:ind w:right="-27"/>
        <w:jc w:val="left"/>
      </w:pPr>
      <w:r w:rsidRPr="002B71A4">
        <w:rPr>
          <w:b/>
          <w:bCs/>
        </w:rPr>
        <w:t>Activités indépendantes de contrôle et d’assurance :</w:t>
      </w:r>
      <w:r>
        <w:t xml:space="preserve"> activités et coûts associés soutenant les fonctions d’audit indépendant et d’enquête, ainsi que la fonction d’évaluation institutionnelle ;</w:t>
      </w:r>
    </w:p>
    <w:p w14:paraId="0A039A01" w14:textId="1FA654E2" w:rsidR="002B71A4" w:rsidRPr="00901311" w:rsidRDefault="002B71A4" w:rsidP="002B71A4">
      <w:pPr>
        <w:pStyle w:val="ListParagraph"/>
        <w:numPr>
          <w:ilvl w:val="1"/>
          <w:numId w:val="13"/>
        </w:numPr>
        <w:spacing w:after="204" w:line="259" w:lineRule="auto"/>
        <w:ind w:right="-27"/>
        <w:jc w:val="left"/>
      </w:pPr>
      <w:r w:rsidRPr="002B71A4">
        <w:rPr>
          <w:b/>
          <w:bCs/>
        </w:rPr>
        <w:t>Activités à des fins spéciales :</w:t>
      </w:r>
      <w:r>
        <w:t xml:space="preserve"> activités et coûts associés : (1) aux investissements en capital et (2) aux services fournis à d’autres organisations des Nations Unies.</w:t>
      </w:r>
    </w:p>
    <w:p w14:paraId="39CDAE95" w14:textId="7B2E74BD" w:rsidR="00EA3FB1" w:rsidRDefault="001A2865">
      <w:pPr>
        <w:numPr>
          <w:ilvl w:val="0"/>
          <w:numId w:val="1"/>
        </w:numPr>
        <w:ind w:right="0" w:hanging="360"/>
      </w:pPr>
      <w:r>
        <w:t>Ces catégories de classification des coûts fournissent une base solide pour une meilleure transparence, cohérence et un meilleur alignement des catégories de budget au niveau mondial avec le modèle d</w:t>
      </w:r>
      <w:r w:rsidR="00465447">
        <w:t>’</w:t>
      </w:r>
      <w:r>
        <w:t>affaires du PNUD. En outre, elles améliorent l</w:t>
      </w:r>
      <w:r w:rsidR="00465447">
        <w:t>’</w:t>
      </w:r>
      <w:r>
        <w:t>alignement des ressources avec les résultats et la budgétisation des projets d</w:t>
      </w:r>
      <w:r w:rsidR="00465447">
        <w:t>’</w:t>
      </w:r>
      <w:r>
        <w:t xml:space="preserve">une manière qui rend le coût réel des projets plus transparent et assure que les capacités requises de fond, en matière de politique et en matière </w:t>
      </w:r>
      <w:r w:rsidR="00283305">
        <w:t>de mise en œuvre sont mesurées.</w:t>
      </w:r>
    </w:p>
    <w:p w14:paraId="27635186" w14:textId="57E65BAF" w:rsidR="00BC3352" w:rsidRPr="00901311" w:rsidRDefault="00BC3352" w:rsidP="00BC3352">
      <w:pPr>
        <w:numPr>
          <w:ilvl w:val="0"/>
          <w:numId w:val="1"/>
        </w:numPr>
        <w:ind w:right="0"/>
      </w:pPr>
      <w:r>
        <w:t xml:space="preserve">Les ressources ordinaires financent les activités de l’organisation relevant de </w:t>
      </w:r>
      <w:r w:rsidRPr="00CF0824">
        <w:t xml:space="preserve">toutes les catégories harmonisées de classification des coûts (activités de développement/humanitaires et </w:t>
      </w:r>
      <w:r w:rsidR="0087796D">
        <w:t>s</w:t>
      </w:r>
      <w:r w:rsidR="0087796D" w:rsidRPr="0087796D">
        <w:t>ervices d’appui</w:t>
      </w:r>
      <w:r w:rsidRPr="00CF0824">
        <w:t>)</w:t>
      </w:r>
      <w:r>
        <w:t>. Ces activités et leur attribution en ressources ordinaires sont approuvées par le Conseil d’administration tous les quatre ans par le biais d’un budget intégré et se trouvent sur l’ensemble des trois niveaux de l’organisation, aux niveaux du pays de programme, des centres régionaux et des sièges.</w:t>
      </w:r>
    </w:p>
    <w:p w14:paraId="63D1BCC8" w14:textId="3A511EB7" w:rsidR="00EA3FB1" w:rsidRPr="00901311" w:rsidRDefault="001A2865" w:rsidP="00BC3352">
      <w:pPr>
        <w:spacing w:after="22" w:line="259" w:lineRule="auto"/>
        <w:ind w:left="720" w:right="0" w:firstLine="0"/>
        <w:jc w:val="left"/>
      </w:pPr>
      <w:r>
        <w:t xml:space="preserve"> </w:t>
      </w:r>
    </w:p>
    <w:p w14:paraId="0044270B" w14:textId="59919444" w:rsidR="00EA3FB1" w:rsidRPr="00901311" w:rsidRDefault="001A2865">
      <w:pPr>
        <w:numPr>
          <w:ilvl w:val="0"/>
          <w:numId w:val="2"/>
        </w:numPr>
        <w:ind w:right="0"/>
      </w:pPr>
      <w:r>
        <w:t>Les autres ressources financent les activités de l</w:t>
      </w:r>
      <w:r w:rsidR="00465447">
        <w:t>’</w:t>
      </w:r>
      <w:r>
        <w:t>organisation qui rentrent dans le cadre des</w:t>
      </w:r>
      <w:r w:rsidR="00BC3352">
        <w:t xml:space="preserve"> </w:t>
      </w:r>
      <w:r w:rsidR="00BC3352" w:rsidRPr="00BC3352">
        <w:t xml:space="preserve">activités de développement/humanitaires et des </w:t>
      </w:r>
      <w:r w:rsidR="0087796D">
        <w:t>s</w:t>
      </w:r>
      <w:r w:rsidR="0087796D" w:rsidRPr="0087796D">
        <w:t>ervices d’appui</w:t>
      </w:r>
      <w:r w:rsidR="00283305">
        <w:t>.</w:t>
      </w:r>
    </w:p>
    <w:p w14:paraId="519A7111" w14:textId="77777777" w:rsidR="00EA3FB1" w:rsidRPr="00901311" w:rsidRDefault="00EA3FB1">
      <w:pPr>
        <w:spacing w:after="60" w:line="259" w:lineRule="auto"/>
        <w:ind w:left="0" w:right="0" w:firstLine="0"/>
        <w:jc w:val="left"/>
      </w:pPr>
    </w:p>
    <w:p w14:paraId="2CF06921" w14:textId="77777777" w:rsidR="00EA3FB1" w:rsidRPr="00901311" w:rsidRDefault="001A2865">
      <w:pPr>
        <w:numPr>
          <w:ilvl w:val="0"/>
          <w:numId w:val="2"/>
        </w:numPr>
        <w:ind w:right="0"/>
      </w:pPr>
      <w:r>
        <w:t>En ce qui concerne les activités de programme et d</w:t>
      </w:r>
      <w:r w:rsidR="00465447">
        <w:t>’</w:t>
      </w:r>
      <w:r>
        <w:t>efficacité du développement, ces coûts sont directement attribués et imputés aux programmes et projets. Ces activités et leur attribution en autres ressources sont approuvées par le biais d</w:t>
      </w:r>
      <w:r w:rsidR="00465447">
        <w:t>’</w:t>
      </w:r>
      <w:r>
        <w:t>accords de partage des coûts et de fonds d</w:t>
      </w:r>
      <w:r w:rsidR="00465447">
        <w:t>’</w:t>
      </w:r>
      <w:r>
        <w:t>affectation spéciale entre les gouvernements, le PNUD et d</w:t>
      </w:r>
      <w:r w:rsidR="00465447">
        <w:t>’</w:t>
      </w:r>
      <w:r>
        <w:t>autres donateurs, à la fois les tierces parties et les pays de programme.</w:t>
      </w:r>
      <w:r w:rsidR="00465447">
        <w:t xml:space="preserve"> </w:t>
      </w:r>
      <w:r w:rsidR="00283305">
        <w:t>Elles se trouvent principaleme</w:t>
      </w:r>
      <w:r>
        <w:t>nt au niveau du pays de programme, mais également des ce</w:t>
      </w:r>
      <w:r w:rsidR="00283305">
        <w:t>ntres régionaux et des sièges.</w:t>
      </w:r>
    </w:p>
    <w:p w14:paraId="1DFDD196" w14:textId="77777777" w:rsidR="00EA3FB1" w:rsidRPr="00901311" w:rsidRDefault="00EA3FB1">
      <w:pPr>
        <w:spacing w:after="61" w:line="259" w:lineRule="auto"/>
        <w:ind w:left="0" w:right="0" w:firstLine="0"/>
        <w:jc w:val="left"/>
      </w:pPr>
    </w:p>
    <w:p w14:paraId="2D5E1C9E" w14:textId="4E470073" w:rsidR="00EA3FB1" w:rsidRPr="00901311" w:rsidRDefault="001A2865">
      <w:pPr>
        <w:numPr>
          <w:ilvl w:val="0"/>
          <w:numId w:val="2"/>
        </w:numPr>
        <w:ind w:right="0"/>
      </w:pPr>
      <w:r>
        <w:lastRenderedPageBreak/>
        <w:t>En ce qui concerne les activités de gestion, ces activités et leur attribution en autres ressources sont approuvées en principe par le Conseil d</w:t>
      </w:r>
      <w:r w:rsidR="00465447">
        <w:t>’</w:t>
      </w:r>
      <w:r>
        <w:t>administration par le biais d</w:t>
      </w:r>
      <w:r w:rsidR="00465447">
        <w:t>’</w:t>
      </w:r>
      <w:r>
        <w:t>une politique de recouvrement des coûts au moyen de la méthode harmonisée de calcul des taux de recouvrement des coûts pour les autres ressources (</w:t>
      </w:r>
      <w:r w:rsidR="00AF7989">
        <w:t>autres que les ressources de base</w:t>
      </w:r>
      <w:r>
        <w:t xml:space="preserve">) </w:t>
      </w:r>
      <w:hyperlink r:id="rId37">
        <w:r w:rsidRPr="00BC3352">
          <w:rPr>
            <w:rStyle w:val="Hyperlink"/>
          </w:rPr>
          <w:t>(</w:t>
        </w:r>
      </w:hyperlink>
      <w:hyperlink r:id="rId38">
        <w:r w:rsidRPr="00BC3352">
          <w:rPr>
            <w:rStyle w:val="Hyperlink"/>
          </w:rPr>
          <w:t>DP</w:t>
        </w:r>
      </w:hyperlink>
      <w:hyperlink r:id="rId39">
        <w:r w:rsidRPr="00BC3352">
          <w:rPr>
            <w:rStyle w:val="Hyperlink"/>
          </w:rPr>
          <w:t>-</w:t>
        </w:r>
      </w:hyperlink>
      <w:hyperlink r:id="rId40">
        <w:r w:rsidRPr="00BC3352">
          <w:rPr>
            <w:rStyle w:val="Hyperlink"/>
          </w:rPr>
          <w:t>FPA/2013/1</w:t>
        </w:r>
      </w:hyperlink>
      <w:hyperlink r:id="rId41">
        <w:r w:rsidRPr="00BC3352">
          <w:rPr>
            <w:rStyle w:val="Hyperlink"/>
          </w:rPr>
          <w:t xml:space="preserve"> </w:t>
        </w:r>
      </w:hyperlink>
      <w:r w:rsidRPr="00BC3352">
        <w:t xml:space="preserve">et </w:t>
      </w:r>
      <w:hyperlink r:id="rId42">
        <w:r w:rsidRPr="00BC3352">
          <w:rPr>
            <w:rStyle w:val="Hyperlink"/>
          </w:rPr>
          <w:t xml:space="preserve">Décision du </w:t>
        </w:r>
      </w:hyperlink>
      <w:hyperlink r:id="rId43">
        <w:r w:rsidRPr="00BC3352">
          <w:rPr>
            <w:rStyle w:val="Hyperlink"/>
          </w:rPr>
          <w:t>Conseil d</w:t>
        </w:r>
        <w:r w:rsidR="00465447" w:rsidRPr="00BC3352">
          <w:rPr>
            <w:rStyle w:val="Hyperlink"/>
          </w:rPr>
          <w:t>’</w:t>
        </w:r>
        <w:r w:rsidRPr="00BC3352">
          <w:rPr>
            <w:rStyle w:val="Hyperlink"/>
          </w:rPr>
          <w:t>administration 2013/9</w:t>
        </w:r>
      </w:hyperlink>
      <w:hyperlink r:id="rId44">
        <w:r w:rsidRPr="00BC3352">
          <w:rPr>
            <w:rStyle w:val="Hyperlink"/>
          </w:rPr>
          <w:t>)</w:t>
        </w:r>
      </w:hyperlink>
      <w:r w:rsidRPr="00BC3352">
        <w:t xml:space="preserve"> </w:t>
      </w:r>
      <w:r>
        <w:t>et son application aux accords de partage des coûts et de fonds d</w:t>
      </w:r>
      <w:r w:rsidR="00465447">
        <w:t>’</w:t>
      </w:r>
      <w:r>
        <w:t>affectation spéciale entre les gouvernements,</w:t>
      </w:r>
      <w:r w:rsidR="00465447">
        <w:t xml:space="preserve"> le PNUD et d’autres donateurs.</w:t>
      </w:r>
      <w:r>
        <w:t xml:space="preserve"> La politique en matière de recouvrement des coûts autorise l</w:t>
      </w:r>
      <w:r w:rsidR="00465447">
        <w:t>’</w:t>
      </w:r>
      <w:r>
        <w:t>application de frais d</w:t>
      </w:r>
      <w:r w:rsidR="00465447">
        <w:t>’</w:t>
      </w:r>
      <w:r>
        <w:t>appui général à la gestion sur toutes les activités de partage des coûts et de fonds d</w:t>
      </w:r>
      <w:r w:rsidR="00465447">
        <w:t>’</w:t>
      </w:r>
      <w:r>
        <w:t>affectation spéciale qui génèrent des revenus de recouvrement des coûts, et leur utilisation pour le fina</w:t>
      </w:r>
      <w:r w:rsidR="00283305">
        <w:t>ncement d</w:t>
      </w:r>
      <w:r w:rsidR="00465447">
        <w:t>’</w:t>
      </w:r>
      <w:r w:rsidR="00283305">
        <w:t>activités de gestion.</w:t>
      </w:r>
    </w:p>
    <w:p w14:paraId="0E7CAAEC" w14:textId="77777777" w:rsidR="00EA3FB1" w:rsidRPr="00901311" w:rsidRDefault="00EA3FB1">
      <w:pPr>
        <w:spacing w:after="16" w:line="259" w:lineRule="auto"/>
        <w:ind w:left="0" w:right="0" w:firstLine="0"/>
        <w:jc w:val="left"/>
      </w:pPr>
    </w:p>
    <w:p w14:paraId="5FB5EB30" w14:textId="77777777" w:rsidR="00EA3FB1" w:rsidRPr="00901311" w:rsidRDefault="001A2865">
      <w:pPr>
        <w:pStyle w:val="Heading1"/>
        <w:spacing w:after="221"/>
        <w:ind w:left="-5"/>
      </w:pPr>
      <w:r>
        <w:t>Méthode harmonisée de recouvrement des coûts</w:t>
      </w:r>
    </w:p>
    <w:p w14:paraId="610C66E7" w14:textId="7F5503F8" w:rsidR="00EA3FB1" w:rsidRPr="00901311" w:rsidRDefault="00BC3352">
      <w:pPr>
        <w:numPr>
          <w:ilvl w:val="0"/>
          <w:numId w:val="3"/>
        </w:numPr>
        <w:ind w:right="0"/>
      </w:pPr>
      <w:r w:rsidRPr="00BC3352">
        <w:t>Le recouvrement des coûts désigne l’exigence pour une organisation de recouvrer l’ensemble de ses coûts. Cela garantit que les ressources ordinaires ne sont pas utilisées pour subventionner la mise en œuvre de programmes financés par d’autres ressources, et que tous les coûts directs des programmes financés par d’autres ressources sont imputés à la source de financement appropriée. L’objectif fondamental du recouvrement des coûts est d’assurer un financement proportionnel des coûts organisationnels entre les ressources ordinaires et les autres ressources. L’approche harmonisée du recouvrement des coûts fait référence à une méthode normalisée de calcul et de recouvrement des coûts entre plusieurs organismes des Nations Unies tels que l’UNICEF, le FNUAP et ONU-Femmes, dans laquelle toutes les entités utilisent le même système de classification des coûts et la même méthodologie pour déterminer le niveau de coûts facturés pour leurs services.</w:t>
      </w:r>
    </w:p>
    <w:p w14:paraId="33D49D49" w14:textId="77777777" w:rsidR="00EA3FB1" w:rsidRPr="00901311" w:rsidRDefault="001A2865">
      <w:pPr>
        <w:spacing w:after="63" w:line="259" w:lineRule="auto"/>
        <w:ind w:left="720" w:right="0" w:firstLine="0"/>
        <w:jc w:val="left"/>
      </w:pPr>
      <w:r>
        <w:t xml:space="preserve"> </w:t>
      </w:r>
    </w:p>
    <w:p w14:paraId="7EA2CC89" w14:textId="11B7F424" w:rsidR="00EA3FB1" w:rsidRPr="00901311" w:rsidRDefault="001A2865">
      <w:pPr>
        <w:numPr>
          <w:ilvl w:val="0"/>
          <w:numId w:val="3"/>
        </w:numPr>
        <w:spacing w:after="49"/>
        <w:ind w:right="0"/>
      </w:pPr>
      <w:r>
        <w:t xml:space="preserve">Dans le contexte de la méthode harmonisée de calcul des taux de recouvrement des coûts pour les autres ressources </w:t>
      </w:r>
      <w:r w:rsidRPr="00283305">
        <w:t>(</w:t>
      </w:r>
      <w:r w:rsidRPr="007A6520">
        <w:rPr>
          <w:bCs/>
          <w:color w:val="auto"/>
          <w:u w:val="single"/>
        </w:rPr>
        <w:t>document du Conseil d</w:t>
      </w:r>
      <w:r w:rsidR="00465447" w:rsidRPr="007A6520">
        <w:rPr>
          <w:bCs/>
          <w:color w:val="auto"/>
          <w:u w:val="single"/>
        </w:rPr>
        <w:t>’</w:t>
      </w:r>
      <w:r w:rsidRPr="007A6520">
        <w:rPr>
          <w:bCs/>
          <w:color w:val="auto"/>
          <w:u w:val="single"/>
        </w:rPr>
        <w:t xml:space="preserve">administration </w:t>
      </w:r>
      <w:hyperlink r:id="rId45">
        <w:r w:rsidRPr="007A6520">
          <w:rPr>
            <w:bCs/>
            <w:color w:val="auto"/>
            <w:u w:val="single"/>
          </w:rPr>
          <w:t>DP</w:t>
        </w:r>
      </w:hyperlink>
      <w:hyperlink r:id="rId46">
        <w:r w:rsidRPr="007A6520">
          <w:rPr>
            <w:bCs/>
            <w:color w:val="auto"/>
            <w:u w:val="single"/>
          </w:rPr>
          <w:t>-</w:t>
        </w:r>
      </w:hyperlink>
      <w:hyperlink r:id="rId47">
        <w:r w:rsidRPr="007A6520">
          <w:rPr>
            <w:bCs/>
            <w:color w:val="auto"/>
            <w:u w:val="single"/>
          </w:rPr>
          <w:t>FPA/2013/1</w:t>
        </w:r>
      </w:hyperlink>
      <w:hyperlink r:id="rId48">
        <w:r>
          <w:rPr>
            <w:b/>
          </w:rPr>
          <w:t xml:space="preserve"> </w:t>
        </w:r>
      </w:hyperlink>
      <w:r>
        <w:t>et</w:t>
      </w:r>
      <w:r>
        <w:rPr>
          <w:b/>
        </w:rPr>
        <w:t xml:space="preserve"> </w:t>
      </w:r>
      <w:r w:rsidRPr="007A6520">
        <w:rPr>
          <w:bCs/>
          <w:color w:val="auto"/>
          <w:u w:val="single"/>
        </w:rPr>
        <w:t>Décision du Conseil d</w:t>
      </w:r>
      <w:r w:rsidR="00465447" w:rsidRPr="007A6520">
        <w:rPr>
          <w:bCs/>
          <w:color w:val="auto"/>
          <w:u w:val="single"/>
        </w:rPr>
        <w:t>’</w:t>
      </w:r>
      <w:r w:rsidRPr="007A6520">
        <w:rPr>
          <w:bCs/>
          <w:color w:val="auto"/>
          <w:u w:val="single"/>
        </w:rPr>
        <w:t>administration 2013/9</w:t>
      </w:r>
      <w:hyperlink r:id="rId49">
        <w:r>
          <w:t>)</w:t>
        </w:r>
      </w:hyperlink>
      <w:r>
        <w:t>, les coûts organisationnels entre les ressources ordinaires et les autres ressources seront financés plus équitablement au moyen de</w:t>
      </w:r>
      <w:r w:rsidR="00283305">
        <w:t xml:space="preserve"> deux stratégies principales :</w:t>
      </w:r>
    </w:p>
    <w:p w14:paraId="468DADDD" w14:textId="77777777" w:rsidR="00EA3FB1" w:rsidRPr="00901311" w:rsidRDefault="001A2865">
      <w:pPr>
        <w:numPr>
          <w:ilvl w:val="1"/>
          <w:numId w:val="3"/>
        </w:numPr>
        <w:spacing w:after="48"/>
        <w:ind w:right="0"/>
      </w:pPr>
      <w:r>
        <w:t>L</w:t>
      </w:r>
      <w:r w:rsidR="00465447">
        <w:t>’</w:t>
      </w:r>
      <w:r>
        <w:t>augmentation du taux de recouvrement des coûts, du taux minimal de 7 pour cent à 8 pour cent (entrant en vigueur le premier janvier 2017), permettant ainsi à plus de coûts organisationnels d</w:t>
      </w:r>
      <w:r w:rsidR="00465447">
        <w:t>’</w:t>
      </w:r>
      <w:r>
        <w:t>être financés à partir des revenus du recouvrement des coûts reçus grâce à la gestion des autres ressources (et moins à parti</w:t>
      </w:r>
      <w:r w:rsidR="00283305">
        <w:t>r des ressources ordinaires) ;</w:t>
      </w:r>
    </w:p>
    <w:p w14:paraId="4453C822" w14:textId="6B334B19" w:rsidR="00EA3FB1" w:rsidRPr="00901311" w:rsidRDefault="001A2865">
      <w:pPr>
        <w:numPr>
          <w:ilvl w:val="1"/>
          <w:numId w:val="3"/>
        </w:numPr>
        <w:ind w:right="0"/>
      </w:pPr>
      <w:r>
        <w:t>L</w:t>
      </w:r>
      <w:r w:rsidR="00465447">
        <w:t>’</w:t>
      </w:r>
      <w:r>
        <w:t>imputation directe des coûts organisationnels éligibles des projets aux projets et programmes financés par les ressources ordinaires et d</w:t>
      </w:r>
      <w:r w:rsidR="00465447">
        <w:t>’</w:t>
      </w:r>
      <w:r>
        <w:t>autres ressources, en particulier la catégorie de l</w:t>
      </w:r>
      <w:r w:rsidR="00465447">
        <w:t>’</w:t>
      </w:r>
      <w:r>
        <w:t>efficacité du développement. Les coûts directs des projets font partie des intrants du budget du projet et sont directement liés à l</w:t>
      </w:r>
      <w:r w:rsidR="00465447">
        <w:t>’</w:t>
      </w:r>
      <w:r>
        <w:t>atteinte d</w:t>
      </w:r>
      <w:r w:rsidR="00283305">
        <w:t>es résultats de développement</w:t>
      </w:r>
      <w:r w:rsidR="00023301">
        <w:t xml:space="preserve"> (</w:t>
      </w:r>
      <w:hyperlink r:id="rId50" w:tgtFrame="_blank" w:history="1">
        <w:r w:rsidR="00023301" w:rsidRPr="00023301">
          <w:rPr>
            <w:rStyle w:val="Hyperlink"/>
          </w:rPr>
          <w:t>Préparation de budgets de projets entièrement chiffrés</w:t>
        </w:r>
      </w:hyperlink>
      <w:r w:rsidR="00023301">
        <w:t xml:space="preserve"> </w:t>
      </w:r>
      <w:r w:rsidR="00BC3352" w:rsidRPr="00BC3352">
        <w:t xml:space="preserve">(en anglais) </w:t>
      </w:r>
      <w:r w:rsidR="00023301" w:rsidRPr="00BC3352">
        <w:t xml:space="preserve">et </w:t>
      </w:r>
      <w:hyperlink r:id="rId51" w:history="1">
        <w:r w:rsidR="00023301" w:rsidRPr="00BC3352">
          <w:rPr>
            <w:rStyle w:val="Hyperlink"/>
          </w:rPr>
          <w:t>Annexe 1</w:t>
        </w:r>
      </w:hyperlink>
      <w:r w:rsidR="00BC3352" w:rsidRPr="00BC3352">
        <w:t xml:space="preserve"> (en anglais)</w:t>
      </w:r>
      <w:r w:rsidR="00023301" w:rsidRPr="00BC3352">
        <w:t>)</w:t>
      </w:r>
      <w:r w:rsidR="00283305" w:rsidRPr="00BC3352">
        <w:t>.</w:t>
      </w:r>
    </w:p>
    <w:p w14:paraId="5D3199D1" w14:textId="77777777" w:rsidR="001B6D0D" w:rsidRPr="00901311" w:rsidRDefault="001B6D0D" w:rsidP="001B6D0D">
      <w:pPr>
        <w:ind w:left="1133" w:right="0" w:firstLine="0"/>
      </w:pPr>
    </w:p>
    <w:p w14:paraId="52E6BC1E" w14:textId="77777777" w:rsidR="00EA3FB1" w:rsidRPr="00901311" w:rsidRDefault="001A2865">
      <w:pPr>
        <w:numPr>
          <w:ilvl w:val="0"/>
          <w:numId w:val="3"/>
        </w:numPr>
        <w:spacing w:after="47"/>
        <w:ind w:right="0"/>
      </w:pPr>
      <w:r>
        <w:t>Ce qui précède représente également deux types de coûts que le PNUD distingue lors de la mi</w:t>
      </w:r>
      <w:r w:rsidR="00283305">
        <w:t>se en œuvre de ses activités :</w:t>
      </w:r>
    </w:p>
    <w:p w14:paraId="78CBB8E4" w14:textId="02CD5491" w:rsidR="00EA3FB1" w:rsidRPr="00901311" w:rsidRDefault="001A2865" w:rsidP="00AA3236">
      <w:pPr>
        <w:numPr>
          <w:ilvl w:val="1"/>
          <w:numId w:val="3"/>
        </w:numPr>
        <w:spacing w:after="48"/>
        <w:ind w:right="0"/>
      </w:pPr>
      <w:r>
        <w:t>Les coûts organisationnels qui sont directement liés aux budgets des projets, à l</w:t>
      </w:r>
      <w:r w:rsidR="00465447">
        <w:t>’</w:t>
      </w:r>
      <w:r>
        <w:t xml:space="preserve">atteinte des résultats de développement et qui découlent de la mise en œuvre de projets et programmes </w:t>
      </w:r>
      <w:r>
        <w:lastRenderedPageBreak/>
        <w:t xml:space="preserve">financés à </w:t>
      </w:r>
      <w:r w:rsidRPr="00BC3352">
        <w:t>partir des ressources ordinaires et d</w:t>
      </w:r>
      <w:r w:rsidR="00465447" w:rsidRPr="00BC3352">
        <w:t>’</w:t>
      </w:r>
      <w:r w:rsidRPr="00BC3352">
        <w:t>autres ressources. Ce sont les coûts directs des projets.</w:t>
      </w:r>
      <w:r w:rsidR="00F443B7" w:rsidRPr="00BC3352">
        <w:t xml:space="preserve"> (Se référer à </w:t>
      </w:r>
      <w:hyperlink r:id="rId52">
        <w:r w:rsidR="00BC3352">
          <w:rPr>
            <w:rStyle w:val="Hyperlink"/>
          </w:rPr>
          <w:t xml:space="preserve">Planification et paiement de la prestation Services d'appui aux projets </w:t>
        </w:r>
      </w:hyperlink>
      <w:r w:rsidR="00BC3352" w:rsidRPr="00BC3352">
        <w:t>(en anglais))</w:t>
      </w:r>
      <w:r w:rsidR="00BC3352">
        <w:t>.</w:t>
      </w:r>
    </w:p>
    <w:p w14:paraId="2B6EB9C5" w14:textId="4F21ADF0" w:rsidR="00F443B7" w:rsidRPr="00901311" w:rsidRDefault="001A2865" w:rsidP="00F443B7">
      <w:pPr>
        <w:numPr>
          <w:ilvl w:val="1"/>
          <w:numId w:val="3"/>
        </w:numPr>
        <w:spacing w:after="48"/>
        <w:ind w:right="0"/>
      </w:pPr>
      <w:r>
        <w:t>Coûts qui s</w:t>
      </w:r>
      <w:r w:rsidR="00465447">
        <w:t>’</w:t>
      </w:r>
      <w:r>
        <w:t>ajoutent aux coûts directs des projets et qui sont engendrés par une organisation lors d</w:t>
      </w:r>
      <w:r w:rsidR="00465447">
        <w:t>’</w:t>
      </w:r>
      <w:r>
        <w:t>une fonction et en appui à des activités, projets et programmes financés à partir de ses autres ressources, et ne peuvent pas être liés directement à des activités, projets ou programmes précis. Ce sont les coûts d</w:t>
      </w:r>
      <w:r w:rsidR="00465447">
        <w:t>’</w:t>
      </w:r>
      <w:r>
        <w:t xml:space="preserve">appui général à la gestion. </w:t>
      </w:r>
      <w:r w:rsidR="00F443B7">
        <w:t>(</w:t>
      </w:r>
      <w:r w:rsidR="00F443B7" w:rsidRPr="00BC3352">
        <w:t xml:space="preserve">Se référer à </w:t>
      </w:r>
      <w:hyperlink r:id="rId53" w:history="1">
        <w:r w:rsidR="00F443B7" w:rsidRPr="00BC3352">
          <w:rPr>
            <w:rStyle w:val="Hyperlink"/>
          </w:rPr>
          <w:t>Recouvrement des coûts provenant d’autres ressources - Appui général à la gestion</w:t>
        </w:r>
      </w:hyperlink>
      <w:r w:rsidR="00F443B7" w:rsidRPr="00BC3352">
        <w:t xml:space="preserve"> (GMS))</w:t>
      </w:r>
    </w:p>
    <w:p w14:paraId="3A80F58B" w14:textId="51D98352" w:rsidR="00EA3FB1" w:rsidRPr="00901311" w:rsidRDefault="00EA3FB1" w:rsidP="00F443B7">
      <w:pPr>
        <w:ind w:right="0"/>
      </w:pPr>
    </w:p>
    <w:p w14:paraId="65D541B4" w14:textId="7F838621" w:rsidR="00EA3FB1" w:rsidRPr="00901311" w:rsidRDefault="002F2E97">
      <w:pPr>
        <w:numPr>
          <w:ilvl w:val="0"/>
          <w:numId w:val="3"/>
        </w:numPr>
        <w:ind w:right="0"/>
      </w:pPr>
      <w:r>
        <w:t>Les principes</w:t>
      </w:r>
      <w:r w:rsidR="001A2865">
        <w:t xml:space="preserve"> et les avantages fondamentaux de l</w:t>
      </w:r>
      <w:r w:rsidR="00465447">
        <w:t>’</w:t>
      </w:r>
      <w:r w:rsidR="001A2865">
        <w:t>application de la méthode de recouvrement des coûts contribuent à un partage des coûts plus équitable des activités de gestion entre les ressources ordinaires et les autres ressources. En finançant des activités d</w:t>
      </w:r>
      <w:r w:rsidR="00465447">
        <w:t>’</w:t>
      </w:r>
      <w:r w:rsidR="001A2865">
        <w:t>efficacité du développement qualifiées, le cas échéant, directement à partir de programmes et projets financés par les ressources ordinaires et les autres ressources (en appliquant la politique et les méthodes des coûts directs des projets), les revenus du recouvrement des coûts (ressources extrabudgétaires), auparavant utilisés pour financer les activités d</w:t>
      </w:r>
      <w:r w:rsidR="00465447">
        <w:t>’</w:t>
      </w:r>
      <w:r w:rsidR="001A2865">
        <w:t>efficacité du développement, sont utilisés pour financer les activités de gestion, pour l</w:t>
      </w:r>
      <w:r w:rsidR="00465447">
        <w:t>’</w:t>
      </w:r>
      <w:r w:rsidR="001A2865">
        <w:t>instant financées à partir des ressources ordinaires. Ces ressources ordinaires seront alors allouées de nouveau pour financer les activités de programme, un avantage majeur du ca</w:t>
      </w:r>
      <w:r w:rsidR="00283305">
        <w:t>dre de recouvrement des coûts.</w:t>
      </w:r>
    </w:p>
    <w:p w14:paraId="41469027" w14:textId="77777777" w:rsidR="00EA3FB1" w:rsidRPr="00901311" w:rsidRDefault="00EA3FB1">
      <w:pPr>
        <w:spacing w:after="60" w:line="259" w:lineRule="auto"/>
        <w:ind w:left="720" w:right="0" w:firstLine="0"/>
        <w:jc w:val="left"/>
      </w:pPr>
    </w:p>
    <w:p w14:paraId="4B14F066" w14:textId="3BB4F66D" w:rsidR="00EA3FB1" w:rsidRPr="00901311" w:rsidRDefault="001A2865" w:rsidP="00A02DA9">
      <w:pPr>
        <w:numPr>
          <w:ilvl w:val="0"/>
          <w:numId w:val="3"/>
        </w:numPr>
        <w:ind w:right="0"/>
      </w:pPr>
      <w:r>
        <w:t>La méthode de recouvrement des coûts permet l</w:t>
      </w:r>
      <w:r w:rsidR="00465447">
        <w:t>’</w:t>
      </w:r>
      <w:r>
        <w:t>alignement des coûts organisationnels avec les cadres de résultats appropriés et les voies de financement pour que le PNUD finance de manière plus durable les structures et capacités organisationnelles requises pour rendre compte de manière réussie des résultats de programme. En outre, la politique en matière de financement multiple des postes éligibles fournit la flexibilité d</w:t>
      </w:r>
      <w:r w:rsidR="00465447">
        <w:t>’</w:t>
      </w:r>
      <w:r>
        <w:t>aligner les coûts avec les cadres de résultats et les sources de financement connexes (</w:t>
      </w:r>
      <w:hyperlink r:id="rId54" w:history="1">
        <w:r w:rsidR="005255FF" w:rsidRPr="005255FF">
          <w:rPr>
            <w:rStyle w:val="Hyperlink"/>
          </w:rPr>
          <w:t>Utilisation de lignes budgétaires multiples pour les postes</w:t>
        </w:r>
      </w:hyperlink>
      <w:r>
        <w:t>), et aide les fonctionnaires de la coordination à appliquer les politiques et méthodes des coûts directs des projets.</w:t>
      </w:r>
    </w:p>
    <w:p w14:paraId="7D5756C9" w14:textId="77777777" w:rsidR="00EA3FB1" w:rsidRPr="00901311" w:rsidRDefault="00EA3FB1">
      <w:pPr>
        <w:spacing w:after="60" w:line="259" w:lineRule="auto"/>
        <w:ind w:left="0" w:right="0" w:firstLine="0"/>
        <w:jc w:val="left"/>
      </w:pPr>
    </w:p>
    <w:p w14:paraId="1AA96624" w14:textId="77777777" w:rsidR="00EA3FB1" w:rsidRPr="00901311" w:rsidRDefault="001A2865">
      <w:pPr>
        <w:numPr>
          <w:ilvl w:val="0"/>
          <w:numId w:val="3"/>
        </w:numPr>
        <w:spacing w:after="46"/>
        <w:ind w:right="0"/>
      </w:pPr>
      <w:r>
        <w:t>La capacité du PNUD à équilibrer les intérêts de tous les donateurs, les ressources ordinaires (de base) et les autres ressources (</w:t>
      </w:r>
      <w:r w:rsidR="00AF7989">
        <w:t>autres que les ressources de base</w:t>
      </w:r>
      <w:r>
        <w:t>) est fondamental au succès de la méthode</w:t>
      </w:r>
      <w:r w:rsidR="00283305">
        <w:t xml:space="preserve"> de recouvrement des coûts en :</w:t>
      </w:r>
    </w:p>
    <w:p w14:paraId="6FC03623" w14:textId="77777777" w:rsidR="00EA3FB1" w:rsidRPr="00901311" w:rsidRDefault="001A2865">
      <w:pPr>
        <w:numPr>
          <w:ilvl w:val="1"/>
          <w:numId w:val="3"/>
        </w:numPr>
        <w:spacing w:after="49"/>
        <w:ind w:right="0"/>
      </w:pPr>
      <w:proofErr w:type="gramStart"/>
      <w:r>
        <w:t>continuant</w:t>
      </w:r>
      <w:proofErr w:type="gramEnd"/>
      <w:r>
        <w:t xml:space="preserve"> de prendre des mesures pour contenir les coûts organisationnels au moyen de mesures d</w:t>
      </w:r>
      <w:r w:rsidR="00465447">
        <w:t>’</w:t>
      </w:r>
      <w:r>
        <w:t>effectivité et d</w:t>
      </w:r>
      <w:r w:rsidR="00465447">
        <w:t>’</w:t>
      </w:r>
      <w:r>
        <w:t>efficacité ; assurer aux donateurs de ressources ordinaires (de base) que celles-ci ne représentent pas une part disproportionnée des coûts organisationnels en continuant de rendre disponible le montant maximal de ressources ordinaires pour les</w:t>
      </w:r>
      <w:r w:rsidR="00283305">
        <w:t xml:space="preserve"> activités programmatiques ; et</w:t>
      </w:r>
    </w:p>
    <w:p w14:paraId="3BE9CC5C" w14:textId="77777777" w:rsidR="00EA3FB1" w:rsidRPr="00901311" w:rsidRDefault="001A2865">
      <w:pPr>
        <w:numPr>
          <w:ilvl w:val="1"/>
          <w:numId w:val="3"/>
        </w:numPr>
        <w:ind w:right="0"/>
      </w:pPr>
      <w:proofErr w:type="gramStart"/>
      <w:r>
        <w:t>assurant</w:t>
      </w:r>
      <w:proofErr w:type="gramEnd"/>
      <w:r>
        <w:t xml:space="preserve"> aux donateurs d</w:t>
      </w:r>
      <w:r w:rsidR="00465447">
        <w:t>’</w:t>
      </w:r>
      <w:r>
        <w:t>autres ressources (</w:t>
      </w:r>
      <w:r w:rsidR="00AF7989">
        <w:t>autres que les ressources de base</w:t>
      </w:r>
      <w:r>
        <w:t>) que les coûts transférés à des programmes et projets sont justifiés, et qu</w:t>
      </w:r>
      <w:r w:rsidR="00465447">
        <w:t>’</w:t>
      </w:r>
      <w:r>
        <w:t>ils ne sont pas imputés deux fois pour la même chose (les fins ou l</w:t>
      </w:r>
      <w:r w:rsidR="00465447">
        <w:t>’</w:t>
      </w:r>
      <w:r>
        <w:t>utilisation du recouvrement des coûts de l</w:t>
      </w:r>
      <w:r w:rsidR="00465447">
        <w:t>’</w:t>
      </w:r>
      <w:r>
        <w:t>appui général à la gestion ne dupliquent pas les fins ou l</w:t>
      </w:r>
      <w:r w:rsidR="00465447">
        <w:t>’</w:t>
      </w:r>
      <w:r>
        <w:t>utilisation des coûts directs des projets). Les frais d</w:t>
      </w:r>
      <w:r w:rsidR="00465447">
        <w:t>’</w:t>
      </w:r>
      <w:r>
        <w:t>appui général à la gestion recouvrent les coûts de l</w:t>
      </w:r>
      <w:r w:rsidR="00465447">
        <w:t>’</w:t>
      </w:r>
      <w:r>
        <w:t>infrastructure organisationnelle ; les coûts directs des projets font partie des</w:t>
      </w:r>
      <w:r w:rsidR="00283305">
        <w:t xml:space="preserve"> intrants du budget du projet.</w:t>
      </w:r>
    </w:p>
    <w:p w14:paraId="401DD64A" w14:textId="77777777" w:rsidR="00EA3FB1" w:rsidRPr="00901311" w:rsidRDefault="001A2865">
      <w:pPr>
        <w:numPr>
          <w:ilvl w:val="0"/>
          <w:numId w:val="3"/>
        </w:numPr>
        <w:ind w:right="0"/>
      </w:pPr>
      <w:r>
        <w:lastRenderedPageBreak/>
        <w:t>Cette section couvre les politiques relatives au cadre conceptuel de financement harmonisé, à la méthode et aux politiques en matière de recouvrement des coûts, et aux procédures relatives aux revenus de recouvrement des coûts reçus à partir des programmes et projets fina</w:t>
      </w:r>
      <w:r w:rsidR="00283305">
        <w:t>ncés par les autres ressources.</w:t>
      </w:r>
    </w:p>
    <w:p w14:paraId="53B2BB29" w14:textId="77777777" w:rsidR="00EA3FB1" w:rsidRPr="00901311" w:rsidRDefault="001A2865">
      <w:pPr>
        <w:spacing w:after="0" w:line="259" w:lineRule="auto"/>
        <w:ind w:left="720" w:right="0" w:firstLine="0"/>
        <w:jc w:val="left"/>
      </w:pPr>
      <w:r>
        <w:t xml:space="preserve"> </w:t>
      </w:r>
    </w:p>
    <w:p w14:paraId="0AC2EB6A" w14:textId="77777777" w:rsidR="00EA3FB1" w:rsidRPr="00901311" w:rsidRDefault="001A2865">
      <w:pPr>
        <w:numPr>
          <w:ilvl w:val="0"/>
          <w:numId w:val="3"/>
        </w:numPr>
        <w:ind w:right="0"/>
      </w:pPr>
      <w:r>
        <w:t xml:space="preserve">La politique et les méthodes des coûts directs des projets peuvent être </w:t>
      </w:r>
      <w:r w:rsidR="005E15E6">
        <w:t>consultées</w:t>
      </w:r>
      <w:r>
        <w:t xml:space="preserve"> dans une sous-section séparée dans la section</w:t>
      </w:r>
      <w:r w:rsidR="00283305">
        <w:t xml:space="preserve"> Planification des ressources.</w:t>
      </w:r>
    </w:p>
    <w:p w14:paraId="72CDFAFA" w14:textId="77777777" w:rsidR="00EA3FB1" w:rsidRPr="00901311" w:rsidRDefault="00EA3FB1">
      <w:pPr>
        <w:spacing w:after="139" w:line="259" w:lineRule="auto"/>
        <w:ind w:left="0" w:right="0" w:firstLine="0"/>
        <w:jc w:val="left"/>
      </w:pPr>
    </w:p>
    <w:p w14:paraId="63222EDF" w14:textId="77777777" w:rsidR="00EA3FB1" w:rsidRPr="00901311" w:rsidRDefault="001A2865">
      <w:pPr>
        <w:pStyle w:val="Heading1"/>
        <w:ind w:left="-5"/>
      </w:pPr>
      <w:r>
        <w:t>Documents de référence</w:t>
      </w:r>
    </w:p>
    <w:p w14:paraId="316D0A23" w14:textId="41C2A737" w:rsidR="00EA3FB1" w:rsidRPr="00BC3352" w:rsidRDefault="00450C33" w:rsidP="00BC3352">
      <w:pPr>
        <w:ind w:left="0" w:firstLine="0"/>
      </w:pPr>
      <w:r w:rsidRPr="00073A2C">
        <w:t>Feuille de route pour l</w:t>
      </w:r>
      <w:r w:rsidR="00465447" w:rsidRPr="00073A2C">
        <w:t>’</w:t>
      </w:r>
      <w:r w:rsidRPr="00073A2C">
        <w:t>établissement d</w:t>
      </w:r>
      <w:r w:rsidR="00465447" w:rsidRPr="00073A2C">
        <w:t>’</w:t>
      </w:r>
      <w:r w:rsidR="00F7212C" w:rsidRPr="00073A2C">
        <w:t>un budget intégré : e</w:t>
      </w:r>
      <w:r w:rsidRPr="00073A2C">
        <w:t>xamen commun du PNUD, du FNUAP et de l</w:t>
      </w:r>
      <w:r w:rsidR="00465447" w:rsidRPr="00073A2C">
        <w:t>’</w:t>
      </w:r>
      <w:r w:rsidRPr="00073A2C">
        <w:t>UNICEF sur l</w:t>
      </w:r>
      <w:r w:rsidR="00465447" w:rsidRPr="00073A2C">
        <w:t>’</w:t>
      </w:r>
      <w:r w:rsidRPr="00073A2C">
        <w:t>incidence des définitions des coûts et des catégories d</w:t>
      </w:r>
      <w:r w:rsidR="00465447" w:rsidRPr="00073A2C">
        <w:t>’</w:t>
      </w:r>
      <w:r w:rsidRPr="00073A2C">
        <w:t>activités sur l</w:t>
      </w:r>
      <w:r w:rsidR="00465447" w:rsidRPr="00073A2C">
        <w:t>’</w:t>
      </w:r>
      <w:r w:rsidRPr="00073A2C">
        <w:t>harmonisation</w:t>
      </w:r>
      <w:hyperlink r:id="rId55">
        <w:r w:rsidRPr="00BC3352">
          <w:rPr>
            <w:rStyle w:val="Hyperlink"/>
          </w:rPr>
          <w:t xml:space="preserve"> </w:t>
        </w:r>
      </w:hyperlink>
      <w:r w:rsidRPr="00073A2C">
        <w:t>des taux de recouvrement des coûts</w:t>
      </w:r>
      <w:r w:rsidR="005E15E6" w:rsidRPr="00BC3352">
        <w:t xml:space="preserve"> </w:t>
      </w:r>
      <w:hyperlink r:id="rId56">
        <w:r w:rsidRPr="00BC3352">
          <w:rPr>
            <w:rStyle w:val="Hyperlink"/>
          </w:rPr>
          <w:t>(DP/FPA/2012/1)</w:t>
        </w:r>
      </w:hyperlink>
    </w:p>
    <w:p w14:paraId="3F2AB47C" w14:textId="03E47BEA" w:rsidR="00EA3FB1" w:rsidRDefault="00450C33" w:rsidP="00BC3352">
      <w:pPr>
        <w:ind w:left="0" w:firstLine="0"/>
      </w:pPr>
      <w:r w:rsidRPr="00DB7676">
        <w:t>Feuille de route pour l</w:t>
      </w:r>
      <w:r w:rsidR="00465447" w:rsidRPr="00DB7676">
        <w:t>’</w:t>
      </w:r>
      <w:r w:rsidRPr="00DB7676">
        <w:t>établissement d</w:t>
      </w:r>
      <w:r w:rsidR="00465447" w:rsidRPr="00DB7676">
        <w:t>’</w:t>
      </w:r>
      <w:r w:rsidRPr="00DB7676">
        <w:t>un budget intégré : examen commun sur l</w:t>
      </w:r>
      <w:r w:rsidR="00465447" w:rsidRPr="00DB7676">
        <w:t>’</w:t>
      </w:r>
      <w:r w:rsidRPr="00DB7676">
        <w:t>incidence des définitions des coûts et des catégories d</w:t>
      </w:r>
      <w:r w:rsidR="00465447" w:rsidRPr="00DB7676">
        <w:t>’</w:t>
      </w:r>
      <w:r w:rsidRPr="00DB7676">
        <w:t>activités sur l</w:t>
      </w:r>
      <w:r w:rsidR="00465447" w:rsidRPr="00DB7676">
        <w:t>’</w:t>
      </w:r>
      <w:r w:rsidRPr="00DB7676">
        <w:t>harmonisation des taux de recouvrement des coûts</w:t>
      </w:r>
      <w:r w:rsidR="00283305" w:rsidRPr="00DB7676">
        <w:t xml:space="preserve"> </w:t>
      </w:r>
      <w:r w:rsidRPr="00DB7676">
        <w:t>(</w:t>
      </w:r>
      <w:hyperlink r:id="rId57" w:history="1">
        <w:r w:rsidRPr="00DB7676">
          <w:rPr>
            <w:rStyle w:val="Hyperlink"/>
          </w:rPr>
          <w:t>DP/2013/41</w:t>
        </w:r>
      </w:hyperlink>
      <w:r w:rsidRPr="00DB7676">
        <w:t>)</w:t>
      </w:r>
      <w:hyperlink r:id="rId58">
        <w:r w:rsidRPr="00BC3352">
          <w:rPr>
            <w:rStyle w:val="Hyperlink"/>
          </w:rPr>
          <w:t xml:space="preserve"> </w:t>
        </w:r>
      </w:hyperlink>
    </w:p>
    <w:p w14:paraId="02060E19" w14:textId="77777777" w:rsidR="008D33C6" w:rsidRDefault="008D33C6" w:rsidP="008D33C6">
      <w:pPr>
        <w:ind w:left="0" w:firstLine="0"/>
      </w:pPr>
    </w:p>
    <w:p w14:paraId="5F362C64" w14:textId="34AC7674" w:rsidR="008D33C6" w:rsidRDefault="008D33C6" w:rsidP="008D33C6">
      <w:pPr>
        <w:ind w:left="0" w:firstLine="0"/>
      </w:pPr>
      <w:r w:rsidRPr="008D33C6">
        <w:t>Plan intégré des ressources du PNUD et estimations du budget intégré 2026-2029 (</w:t>
      </w:r>
      <w:hyperlink r:id="rId59" w:history="1">
        <w:r w:rsidRPr="008D33C6">
          <w:rPr>
            <w:rStyle w:val="Hyperlink"/>
          </w:rPr>
          <w:t>DP/2025/23</w:t>
        </w:r>
      </w:hyperlink>
      <w:r>
        <w:t xml:space="preserve"> (en anglais))</w:t>
      </w:r>
    </w:p>
    <w:p w14:paraId="2CE9AB69" w14:textId="77777777" w:rsidR="008D33C6" w:rsidRDefault="008D33C6" w:rsidP="008D33C6">
      <w:pPr>
        <w:ind w:left="0" w:firstLine="0"/>
      </w:pPr>
    </w:p>
    <w:p w14:paraId="0D830391" w14:textId="1BCD0D8C" w:rsidR="008D33C6" w:rsidRDefault="008D33C6" w:rsidP="008D33C6">
      <w:pPr>
        <w:ind w:left="0" w:firstLine="0"/>
      </w:pPr>
      <w:r w:rsidRPr="008D33C6">
        <w:t>Arrangements en matière de programmation, 2014-2017 (</w:t>
      </w:r>
      <w:hyperlink r:id="rId60" w:history="1">
        <w:r w:rsidRPr="008D33C6">
          <w:rPr>
            <w:rStyle w:val="Hyperlink"/>
          </w:rPr>
          <w:t>DP/2012/25</w:t>
        </w:r>
      </w:hyperlink>
      <w:r w:rsidRPr="008D33C6">
        <w:t xml:space="preserve"> et </w:t>
      </w:r>
      <w:hyperlink r:id="rId61" w:history="1">
        <w:proofErr w:type="spellStart"/>
        <w:r w:rsidRPr="008D33C6">
          <w:rPr>
            <w:rStyle w:val="Hyperlink"/>
          </w:rPr>
          <w:t>Corrigendum</w:t>
        </w:r>
        <w:proofErr w:type="spellEnd"/>
        <w:r w:rsidRPr="008D33C6">
          <w:rPr>
            <w:rStyle w:val="Hyperlink"/>
          </w:rPr>
          <w:t xml:space="preserve"> 1</w:t>
        </w:r>
      </w:hyperlink>
      <w:r w:rsidRPr="008D33C6">
        <w:t xml:space="preserve"> </w:t>
      </w:r>
      <w:r>
        <w:t>(en anglais))</w:t>
      </w:r>
    </w:p>
    <w:p w14:paraId="2855944D" w14:textId="77777777" w:rsidR="008D33C6" w:rsidRDefault="008D33C6" w:rsidP="008D33C6">
      <w:pPr>
        <w:ind w:left="0" w:firstLine="0"/>
      </w:pPr>
    </w:p>
    <w:p w14:paraId="1F611FFA" w14:textId="17E2FEEB" w:rsidR="008D33C6" w:rsidRDefault="008D33C6" w:rsidP="008D33C6">
      <w:pPr>
        <w:ind w:left="0" w:firstLine="0"/>
      </w:pPr>
      <w:r w:rsidRPr="008D33C6">
        <w:t xml:space="preserve">Proposition conjointe globale relative à la politique de recouvrement des coûts – </w:t>
      </w:r>
      <w:hyperlink r:id="rId62" w:history="1">
        <w:r w:rsidRPr="008D33C6">
          <w:rPr>
            <w:rStyle w:val="Hyperlink"/>
          </w:rPr>
          <w:t>DP/FPA-ICEF-UNW/2020/1</w:t>
        </w:r>
      </w:hyperlink>
      <w:r w:rsidRPr="008D33C6">
        <w:t xml:space="preserve"> </w:t>
      </w:r>
    </w:p>
    <w:p w14:paraId="69BFAB1A" w14:textId="77777777" w:rsidR="008D33C6" w:rsidRDefault="008D33C6" w:rsidP="008D33C6">
      <w:pPr>
        <w:ind w:left="0" w:firstLine="0"/>
      </w:pPr>
    </w:p>
    <w:p w14:paraId="539E4B80" w14:textId="6194FE0D" w:rsidR="008D33C6" w:rsidRPr="008D33C6" w:rsidRDefault="008D33C6" w:rsidP="008D33C6">
      <w:pPr>
        <w:ind w:left="0" w:firstLine="0"/>
      </w:pPr>
      <w:r w:rsidRPr="008D33C6">
        <w:t xml:space="preserve">Examen complet de la politique conjointe de recouvrement des coûts – </w:t>
      </w:r>
      <w:hyperlink r:id="rId63" w:history="1">
        <w:r w:rsidRPr="008D33C6">
          <w:rPr>
            <w:rStyle w:val="Hyperlink"/>
          </w:rPr>
          <w:t>DP/FPA-ICEF-UNW/2024/1</w:t>
        </w:r>
      </w:hyperlink>
    </w:p>
    <w:p w14:paraId="1EDE5CE4" w14:textId="77777777" w:rsidR="008D33C6" w:rsidRPr="00BC3352" w:rsidRDefault="008D33C6" w:rsidP="00BC3352">
      <w:pPr>
        <w:ind w:left="0" w:firstLine="0"/>
      </w:pPr>
    </w:p>
    <w:p w14:paraId="0D19E95D" w14:textId="12C8FECB" w:rsidR="00DB197A" w:rsidRDefault="00DB197A" w:rsidP="000E0A1C">
      <w:pPr>
        <w:spacing w:before="240"/>
        <w:ind w:left="360" w:right="0" w:firstLine="0"/>
        <w:rPr>
          <w:rFonts w:eastAsia="Times New Roman" w:cs="Times New Roman"/>
          <w:b/>
          <w:color w:val="212121"/>
          <w:u w:val="single"/>
          <w:shd w:val="clear" w:color="auto" w:fill="FFFFFF"/>
          <w:lang w:eastAsia="en-US" w:bidi="ar-SA"/>
        </w:rPr>
      </w:pPr>
    </w:p>
    <w:p w14:paraId="43E37196" w14:textId="0789580B" w:rsidR="00BB3D0F" w:rsidRDefault="00BB3D0F" w:rsidP="000E0A1C">
      <w:pPr>
        <w:spacing w:before="240"/>
        <w:ind w:left="360" w:right="0" w:firstLine="0"/>
        <w:rPr>
          <w:rFonts w:eastAsia="Times New Roman" w:cs="Times New Roman"/>
          <w:b/>
          <w:color w:val="212121"/>
          <w:u w:val="single"/>
          <w:shd w:val="clear" w:color="auto" w:fill="FFFFFF"/>
          <w:lang w:eastAsia="en-US" w:bidi="ar-SA"/>
        </w:rPr>
      </w:pPr>
    </w:p>
    <w:p w14:paraId="0ADD6F2C" w14:textId="77777777" w:rsidR="00BB3D0F" w:rsidRPr="00AC0DF6" w:rsidRDefault="00BB3D0F" w:rsidP="00BB3D0F">
      <w:pPr>
        <w:shd w:val="clear" w:color="auto" w:fill="FFFFFF"/>
        <w:spacing w:after="0" w:line="240" w:lineRule="auto"/>
        <w:ind w:left="0" w:firstLine="0"/>
        <w:textAlignment w:val="top"/>
        <w:rPr>
          <w:i/>
          <w:iCs/>
        </w:rPr>
      </w:pPr>
      <w:r w:rsidRPr="00AC0DF6">
        <w:rPr>
          <w:b/>
          <w:bCs/>
          <w:i/>
          <w:iCs/>
          <w:u w:val="single"/>
        </w:rPr>
        <w:t xml:space="preserve">Avertissement </w:t>
      </w:r>
      <w:r w:rsidRPr="00AC0DF6">
        <w:rPr>
          <w:i/>
          <w:iCs/>
        </w:rPr>
        <w:t>: Ce document a été traduit de l'anglais vers le français. En cas de divergence entre cette traduction et le document anglais original, le document anglais original prévaudra.</w:t>
      </w:r>
    </w:p>
    <w:p w14:paraId="6BFEB11D" w14:textId="77777777" w:rsidR="00BB3D0F" w:rsidRPr="00AC0DF6" w:rsidRDefault="00BB3D0F" w:rsidP="00BB3D0F">
      <w:pPr>
        <w:shd w:val="clear" w:color="auto" w:fill="FFFFFF"/>
        <w:spacing w:after="0" w:line="240" w:lineRule="auto"/>
        <w:ind w:left="0" w:firstLine="0"/>
        <w:textAlignment w:val="top"/>
        <w:rPr>
          <w:rFonts w:cstheme="minorHAnsi"/>
          <w:i/>
          <w:iCs/>
        </w:rPr>
      </w:pPr>
    </w:p>
    <w:p w14:paraId="24DDA657" w14:textId="77777777" w:rsidR="00BB3D0F" w:rsidRPr="00AC0DF6" w:rsidRDefault="00BB3D0F" w:rsidP="00BB3D0F">
      <w:pPr>
        <w:shd w:val="clear" w:color="auto" w:fill="FFFFFF"/>
        <w:spacing w:after="0" w:line="240" w:lineRule="auto"/>
        <w:ind w:left="0" w:firstLine="0"/>
        <w:textAlignment w:val="top"/>
        <w:rPr>
          <w:rFonts w:eastAsia="Times New Roman" w:cstheme="minorHAnsi"/>
          <w:i/>
          <w:iCs/>
          <w:vanish/>
          <w:lang w:val="fr-CH"/>
        </w:rPr>
      </w:pPr>
    </w:p>
    <w:p w14:paraId="6643145F" w14:textId="77777777" w:rsidR="00BB3D0F" w:rsidRPr="00AC0DF6" w:rsidRDefault="00BB3D0F" w:rsidP="00BB3D0F">
      <w:pPr>
        <w:ind w:left="0" w:firstLine="0"/>
        <w:rPr>
          <w:rFonts w:cstheme="minorHAnsi"/>
          <w:i/>
          <w:iCs/>
          <w:vanish/>
          <w:lang w:val="fr-CH"/>
        </w:rPr>
      </w:pPr>
    </w:p>
    <w:p w14:paraId="36716644" w14:textId="77777777" w:rsidR="00BB3D0F" w:rsidRPr="00AC0DF6" w:rsidRDefault="00BB3D0F" w:rsidP="00BB3D0F">
      <w:pPr>
        <w:ind w:left="0" w:firstLine="0"/>
        <w:rPr>
          <w:rFonts w:cstheme="minorHAnsi"/>
          <w:i/>
          <w:iCs/>
          <w:vanish/>
          <w:lang w:val="fr-CH"/>
        </w:rPr>
      </w:pPr>
    </w:p>
    <w:p w14:paraId="376D0BCE" w14:textId="77777777" w:rsidR="00BB3D0F" w:rsidRPr="00AC0DF6" w:rsidRDefault="00BB3D0F" w:rsidP="00BB3D0F">
      <w:pPr>
        <w:ind w:left="0" w:firstLine="0"/>
        <w:rPr>
          <w:rFonts w:cstheme="minorHAnsi"/>
          <w:i/>
          <w:iCs/>
          <w:vanish/>
          <w:lang w:val="fr-CH"/>
        </w:rPr>
      </w:pPr>
    </w:p>
    <w:p w14:paraId="6D6AB427" w14:textId="77777777" w:rsidR="00BB3D0F" w:rsidRPr="00AC0DF6" w:rsidRDefault="00BB3D0F" w:rsidP="00BB3D0F">
      <w:pPr>
        <w:ind w:left="0" w:firstLine="0"/>
        <w:rPr>
          <w:rFonts w:cstheme="minorHAnsi"/>
          <w:i/>
          <w:iCs/>
          <w:vanish/>
          <w:lang w:val="fr-CH"/>
        </w:rPr>
      </w:pPr>
    </w:p>
    <w:p w14:paraId="318E1F99" w14:textId="15EB8775" w:rsidR="00BB3D0F" w:rsidRPr="00AC0DF6" w:rsidRDefault="00BB3D0F" w:rsidP="00BB3D0F">
      <w:pPr>
        <w:ind w:left="0" w:firstLine="0"/>
        <w:rPr>
          <w:rFonts w:eastAsia="Times New Roman" w:cs="Times New Roman"/>
          <w:i/>
          <w:iCs/>
          <w:color w:val="212121"/>
          <w:shd w:val="clear" w:color="auto" w:fill="FFFFFF"/>
          <w:lang w:eastAsia="en-US"/>
        </w:rPr>
      </w:pPr>
      <w:proofErr w:type="gramStart"/>
      <w:r w:rsidRPr="00AC0DF6">
        <w:rPr>
          <w:rStyle w:val="Hyperlink"/>
          <w:rFonts w:cstheme="minorHAnsi"/>
          <w:b/>
          <w:i/>
          <w:iCs/>
          <w:color w:val="000000" w:themeColor="text1"/>
        </w:rPr>
        <w:t>Disclaimer:</w:t>
      </w:r>
      <w:proofErr w:type="gramEnd"/>
      <w:r w:rsidR="00AC0DF6" w:rsidRPr="00AC0DF6">
        <w:rPr>
          <w:rStyle w:val="Hyperlink"/>
          <w:rFonts w:cstheme="minorHAnsi"/>
          <w:b/>
          <w:i/>
          <w:iCs/>
          <w:color w:val="000000" w:themeColor="text1"/>
          <w:u w:val="none"/>
        </w:rPr>
        <w:t xml:space="preserve"> </w:t>
      </w:r>
      <w:r w:rsidRPr="00AC0DF6">
        <w:rPr>
          <w:rFonts w:eastAsia="Times New Roman" w:cs="Times New Roman"/>
          <w:i/>
          <w:iCs/>
          <w:color w:val="212121"/>
          <w:shd w:val="clear" w:color="auto" w:fill="FFFFFF"/>
          <w:lang w:eastAsia="en-US"/>
        </w:rPr>
        <w:t xml:space="preserve">This document </w:t>
      </w:r>
      <w:proofErr w:type="spellStart"/>
      <w:r w:rsidRPr="00AC0DF6">
        <w:rPr>
          <w:rFonts w:eastAsia="Times New Roman" w:cs="Times New Roman"/>
          <w:i/>
          <w:iCs/>
          <w:color w:val="212121"/>
          <w:shd w:val="clear" w:color="auto" w:fill="FFFFFF"/>
          <w:lang w:eastAsia="en-US"/>
        </w:rPr>
        <w:t>was</w:t>
      </w:r>
      <w:proofErr w:type="spellEnd"/>
      <w:r w:rsidRPr="00AC0DF6">
        <w:rPr>
          <w:rFonts w:eastAsia="Times New Roman" w:cs="Times New Roman"/>
          <w:i/>
          <w:iCs/>
          <w:color w:val="212121"/>
          <w:shd w:val="clear" w:color="auto" w:fill="FFFFFF"/>
          <w:lang w:eastAsia="en-US"/>
        </w:rPr>
        <w:t xml:space="preserve"> </w:t>
      </w:r>
      <w:proofErr w:type="spellStart"/>
      <w:r w:rsidRPr="00AC0DF6">
        <w:rPr>
          <w:rFonts w:eastAsia="Times New Roman" w:cs="Times New Roman"/>
          <w:i/>
          <w:iCs/>
          <w:color w:val="212121"/>
          <w:shd w:val="clear" w:color="auto" w:fill="FFFFFF"/>
          <w:lang w:eastAsia="en-US"/>
        </w:rPr>
        <w:t>translated</w:t>
      </w:r>
      <w:proofErr w:type="spellEnd"/>
      <w:r w:rsidRPr="00AC0DF6">
        <w:rPr>
          <w:rFonts w:eastAsia="Times New Roman" w:cs="Times New Roman"/>
          <w:i/>
          <w:iCs/>
          <w:color w:val="212121"/>
          <w:shd w:val="clear" w:color="auto" w:fill="FFFFFF"/>
          <w:lang w:eastAsia="en-US"/>
        </w:rPr>
        <w:t xml:space="preserve"> </w:t>
      </w:r>
      <w:proofErr w:type="spellStart"/>
      <w:r w:rsidRPr="00AC0DF6">
        <w:rPr>
          <w:rFonts w:eastAsia="Times New Roman" w:cs="Times New Roman"/>
          <w:i/>
          <w:iCs/>
          <w:color w:val="212121"/>
          <w:shd w:val="clear" w:color="auto" w:fill="FFFFFF"/>
          <w:lang w:eastAsia="en-US"/>
        </w:rPr>
        <w:t>from</w:t>
      </w:r>
      <w:proofErr w:type="spellEnd"/>
      <w:r w:rsidRPr="00AC0DF6">
        <w:rPr>
          <w:rFonts w:eastAsia="Times New Roman" w:cs="Times New Roman"/>
          <w:i/>
          <w:iCs/>
          <w:color w:val="212121"/>
          <w:shd w:val="clear" w:color="auto" w:fill="FFFFFF"/>
          <w:lang w:eastAsia="en-US"/>
        </w:rPr>
        <w:t xml:space="preserve"> English </w:t>
      </w:r>
      <w:proofErr w:type="spellStart"/>
      <w:r w:rsidRPr="00AC0DF6">
        <w:rPr>
          <w:rFonts w:eastAsia="Times New Roman" w:cs="Times New Roman"/>
          <w:i/>
          <w:iCs/>
          <w:color w:val="212121"/>
          <w:shd w:val="clear" w:color="auto" w:fill="FFFFFF"/>
          <w:lang w:eastAsia="en-US"/>
        </w:rPr>
        <w:t>into</w:t>
      </w:r>
      <w:proofErr w:type="spellEnd"/>
      <w:r w:rsidRPr="00AC0DF6">
        <w:rPr>
          <w:rFonts w:eastAsia="Times New Roman" w:cs="Times New Roman"/>
          <w:i/>
          <w:iCs/>
          <w:color w:val="212121"/>
          <w:shd w:val="clear" w:color="auto" w:fill="FFFFFF"/>
          <w:lang w:eastAsia="en-US"/>
        </w:rPr>
        <w:t xml:space="preserve"> French. In the </w:t>
      </w:r>
      <w:proofErr w:type="spellStart"/>
      <w:r w:rsidRPr="00AC0DF6">
        <w:rPr>
          <w:rFonts w:eastAsia="Times New Roman" w:cs="Times New Roman"/>
          <w:i/>
          <w:iCs/>
          <w:color w:val="212121"/>
          <w:shd w:val="clear" w:color="auto" w:fill="FFFFFF"/>
          <w:lang w:eastAsia="en-US"/>
        </w:rPr>
        <w:t>event</w:t>
      </w:r>
      <w:proofErr w:type="spellEnd"/>
      <w:r w:rsidRPr="00AC0DF6">
        <w:rPr>
          <w:rFonts w:eastAsia="Times New Roman" w:cs="Times New Roman"/>
          <w:i/>
          <w:iCs/>
          <w:color w:val="212121"/>
          <w:shd w:val="clear" w:color="auto" w:fill="FFFFFF"/>
          <w:lang w:eastAsia="en-US"/>
        </w:rPr>
        <w:t xml:space="preserve"> of </w:t>
      </w:r>
      <w:proofErr w:type="spellStart"/>
      <w:r w:rsidRPr="00AC0DF6">
        <w:rPr>
          <w:rFonts w:eastAsia="Times New Roman" w:cs="Times New Roman"/>
          <w:i/>
          <w:iCs/>
          <w:color w:val="212121"/>
          <w:shd w:val="clear" w:color="auto" w:fill="FFFFFF"/>
          <w:lang w:eastAsia="en-US"/>
        </w:rPr>
        <w:t>any</w:t>
      </w:r>
      <w:proofErr w:type="spellEnd"/>
      <w:r w:rsidRPr="00AC0DF6">
        <w:rPr>
          <w:rFonts w:eastAsia="Times New Roman" w:cs="Times New Roman"/>
          <w:i/>
          <w:iCs/>
          <w:color w:val="212121"/>
          <w:shd w:val="clear" w:color="auto" w:fill="FFFFFF"/>
          <w:lang w:eastAsia="en-US"/>
        </w:rPr>
        <w:t xml:space="preserve"> </w:t>
      </w:r>
      <w:proofErr w:type="spellStart"/>
      <w:r w:rsidRPr="00AC0DF6">
        <w:rPr>
          <w:rFonts w:eastAsia="Times New Roman" w:cs="Times New Roman"/>
          <w:i/>
          <w:iCs/>
          <w:color w:val="212121"/>
          <w:shd w:val="clear" w:color="auto" w:fill="FFFFFF"/>
          <w:lang w:eastAsia="en-US"/>
        </w:rPr>
        <w:t>discrepancy</w:t>
      </w:r>
      <w:proofErr w:type="spellEnd"/>
      <w:r w:rsidRPr="00AC0DF6">
        <w:rPr>
          <w:rFonts w:eastAsia="Times New Roman" w:cs="Times New Roman"/>
          <w:i/>
          <w:iCs/>
          <w:color w:val="212121"/>
          <w:shd w:val="clear" w:color="auto" w:fill="FFFFFF"/>
          <w:lang w:eastAsia="en-US"/>
        </w:rPr>
        <w:t xml:space="preserve"> </w:t>
      </w:r>
      <w:proofErr w:type="spellStart"/>
      <w:r w:rsidRPr="00AC0DF6">
        <w:rPr>
          <w:rFonts w:eastAsia="Times New Roman" w:cs="Times New Roman"/>
          <w:i/>
          <w:iCs/>
          <w:color w:val="212121"/>
          <w:shd w:val="clear" w:color="auto" w:fill="FFFFFF"/>
          <w:lang w:eastAsia="en-US"/>
        </w:rPr>
        <w:t>between</w:t>
      </w:r>
      <w:proofErr w:type="spellEnd"/>
      <w:r w:rsidRPr="00AC0DF6">
        <w:rPr>
          <w:rFonts w:eastAsia="Times New Roman" w:cs="Times New Roman"/>
          <w:i/>
          <w:iCs/>
          <w:color w:val="212121"/>
          <w:shd w:val="clear" w:color="auto" w:fill="FFFFFF"/>
          <w:lang w:eastAsia="en-US"/>
        </w:rPr>
        <w:t xml:space="preserve"> </w:t>
      </w:r>
      <w:proofErr w:type="spellStart"/>
      <w:r w:rsidRPr="00AC0DF6">
        <w:rPr>
          <w:rFonts w:eastAsia="Times New Roman" w:cs="Times New Roman"/>
          <w:i/>
          <w:iCs/>
          <w:color w:val="212121"/>
          <w:shd w:val="clear" w:color="auto" w:fill="FFFFFF"/>
          <w:lang w:eastAsia="en-US"/>
        </w:rPr>
        <w:t>this</w:t>
      </w:r>
      <w:proofErr w:type="spellEnd"/>
      <w:r w:rsidRPr="00AC0DF6">
        <w:rPr>
          <w:rFonts w:eastAsia="Times New Roman" w:cs="Times New Roman"/>
          <w:i/>
          <w:iCs/>
          <w:color w:val="212121"/>
          <w:shd w:val="clear" w:color="auto" w:fill="FFFFFF"/>
          <w:lang w:eastAsia="en-US"/>
        </w:rPr>
        <w:t xml:space="preserve"> translation and the original English document, the original English document </w:t>
      </w:r>
      <w:proofErr w:type="spellStart"/>
      <w:r w:rsidRPr="00AC0DF6">
        <w:rPr>
          <w:rFonts w:eastAsia="Times New Roman" w:cs="Times New Roman"/>
          <w:i/>
          <w:iCs/>
          <w:color w:val="212121"/>
          <w:shd w:val="clear" w:color="auto" w:fill="FFFFFF"/>
          <w:lang w:eastAsia="en-US"/>
        </w:rPr>
        <w:t>shall</w:t>
      </w:r>
      <w:proofErr w:type="spellEnd"/>
      <w:r w:rsidRPr="00AC0DF6">
        <w:rPr>
          <w:rFonts w:eastAsia="Times New Roman" w:cs="Times New Roman"/>
          <w:i/>
          <w:iCs/>
          <w:color w:val="212121"/>
          <w:shd w:val="clear" w:color="auto" w:fill="FFFFFF"/>
          <w:lang w:eastAsia="en-US"/>
        </w:rPr>
        <w:t xml:space="preserve"> </w:t>
      </w:r>
      <w:proofErr w:type="spellStart"/>
      <w:r w:rsidRPr="00AC0DF6">
        <w:rPr>
          <w:rFonts w:eastAsia="Times New Roman" w:cs="Times New Roman"/>
          <w:i/>
          <w:iCs/>
          <w:color w:val="212121"/>
          <w:shd w:val="clear" w:color="auto" w:fill="FFFFFF"/>
          <w:lang w:eastAsia="en-US"/>
        </w:rPr>
        <w:t>prevail</w:t>
      </w:r>
      <w:proofErr w:type="spellEnd"/>
      <w:r w:rsidRPr="00AC0DF6">
        <w:rPr>
          <w:rFonts w:eastAsia="Times New Roman" w:cs="Times New Roman"/>
          <w:i/>
          <w:iCs/>
          <w:color w:val="212121"/>
          <w:shd w:val="clear" w:color="auto" w:fill="FFFFFF"/>
          <w:lang w:eastAsia="en-US"/>
        </w:rPr>
        <w:t>.</w:t>
      </w:r>
    </w:p>
    <w:p w14:paraId="3B035B96" w14:textId="77777777" w:rsidR="00BB3D0F" w:rsidRPr="00023301" w:rsidRDefault="00BB3D0F" w:rsidP="000E0A1C">
      <w:pPr>
        <w:spacing w:before="240"/>
        <w:ind w:left="360" w:right="0" w:firstLine="0"/>
        <w:rPr>
          <w:lang w:val="en-GB"/>
        </w:rPr>
      </w:pPr>
    </w:p>
    <w:sectPr w:rsidR="00BB3D0F" w:rsidRPr="00023301" w:rsidSect="00450C33">
      <w:headerReference w:type="default" r:id="rId64"/>
      <w:footerReference w:type="even" r:id="rId65"/>
      <w:footerReference w:type="default" r:id="rId66"/>
      <w:footerReference w:type="first" r:id="rId67"/>
      <w:pgSz w:w="11906" w:h="16838"/>
      <w:pgMar w:top="1133" w:right="845" w:bottom="1331"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2A2C3" w14:textId="77777777" w:rsidR="00B37947" w:rsidRDefault="00B37947">
      <w:pPr>
        <w:spacing w:after="0" w:line="240" w:lineRule="auto"/>
      </w:pPr>
      <w:r>
        <w:separator/>
      </w:r>
    </w:p>
  </w:endnote>
  <w:endnote w:type="continuationSeparator" w:id="0">
    <w:p w14:paraId="18038F81" w14:textId="77777777" w:rsidR="00B37947" w:rsidRDefault="00B3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159A" w14:textId="77777777" w:rsidR="005121D0" w:rsidRDefault="00F3304C">
    <w:pPr>
      <w:spacing w:after="0" w:line="259" w:lineRule="auto"/>
      <w:ind w:left="0" w:right="0" w:firstLine="0"/>
      <w:jc w:val="center"/>
    </w:pPr>
    <w:r>
      <w:fldChar w:fldCharType="begin"/>
    </w:r>
    <w:r>
      <w:instrText xml:space="preserve"> PAGE   \* MERGEFORMAT </w:instrText>
    </w:r>
    <w:r>
      <w:fldChar w:fldCharType="separate"/>
    </w:r>
    <w:r w:rsidR="005121D0">
      <w:t>1</w:t>
    </w:r>
    <w:r>
      <w:fldChar w:fldCharType="end"/>
    </w:r>
    <w:r w:rsidR="005121D0">
      <w:t xml:space="preserve"> </w:t>
    </w:r>
  </w:p>
  <w:p w14:paraId="128C6A26" w14:textId="77777777" w:rsidR="005121D0" w:rsidRDefault="005121D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C927" w14:textId="2B6F81EE" w:rsidR="005121D0" w:rsidRDefault="005121D0">
    <w:pPr>
      <w:spacing w:after="0" w:line="259" w:lineRule="auto"/>
      <w:ind w:left="0" w:right="0" w:firstLine="0"/>
      <w:jc w:val="left"/>
    </w:pPr>
    <w:r>
      <w:t>Page </w:t>
    </w:r>
    <w:r>
      <w:rPr>
        <w:b/>
      </w:rPr>
      <w:fldChar w:fldCharType="begin"/>
    </w:r>
    <w:r>
      <w:rPr>
        <w:b/>
      </w:rPr>
      <w:instrText xml:space="preserve"> PAGE  \* Arabic  \* MERGEFORMAT </w:instrText>
    </w:r>
    <w:r>
      <w:rPr>
        <w:b/>
      </w:rPr>
      <w:fldChar w:fldCharType="separate"/>
    </w:r>
    <w:r w:rsidR="00C35749">
      <w:rPr>
        <w:b/>
        <w:noProof/>
      </w:rPr>
      <w:t>4</w:t>
    </w:r>
    <w:r>
      <w:rPr>
        <w:b/>
      </w:rPr>
      <w:fldChar w:fldCharType="end"/>
    </w:r>
    <w:r>
      <w:t xml:space="preserve"> de </w:t>
    </w:r>
    <w:fldSimple w:instr=" NUMPAGES  \* Arabic  \* MERGEFORMAT ">
      <w:r w:rsidR="00C35749" w:rsidRPr="00C35749">
        <w:rPr>
          <w:b/>
          <w:noProof/>
        </w:rPr>
        <w:t>6</w:t>
      </w:r>
    </w:fldSimple>
    <w:r>
      <w:t xml:space="preserve"> </w:t>
    </w:r>
    <w:r w:rsidR="00B44013">
      <w:tab/>
    </w:r>
    <w:r w:rsidR="00B44013">
      <w:tab/>
    </w:r>
    <w:r w:rsidR="002E40E6">
      <w:t>D</w:t>
    </w:r>
    <w:r w:rsidR="002E40E6" w:rsidRPr="002E40E6">
      <w:t>ate d'entrée en vigueur</w:t>
    </w:r>
    <w:r w:rsidR="00D059EA">
      <w:t xml:space="preserve"> </w:t>
    </w:r>
    <w:r>
      <w:t xml:space="preserve">: </w:t>
    </w:r>
    <w:sdt>
      <w:sdtPr>
        <w:alias w:val="Date effective"/>
        <w:tag w:val="UNDP_POPP_EFFECTIVEDATE"/>
        <w:id w:val="-193468291"/>
        <w:placeholder>
          <w:docPart w:val="314DB8B8F1D54D7283FBE9EC32ABC810"/>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9BBEAA40-800C-4F8D-ABB2-7664AA18801C}"/>
        <w:date w:fullDate="2026-01-01T00:00:00Z">
          <w:dateFormat w:val="dd/MM/yyyy"/>
          <w:lid w:val="en-US"/>
          <w:storeMappedDataAs w:val="dateTime"/>
          <w:calendar w:val="gregorian"/>
        </w:date>
      </w:sdtPr>
      <w:sdtEndPr/>
      <w:sdtContent>
        <w:r w:rsidR="00BB3D0F">
          <w:t>01</w:t>
        </w:r>
        <w:r w:rsidR="00DE1534" w:rsidRPr="00023301">
          <w:t>/0</w:t>
        </w:r>
        <w:r w:rsidR="00BB3D0F">
          <w:t>1</w:t>
        </w:r>
        <w:r w:rsidR="00DE1534" w:rsidRPr="00023301">
          <w:t>/20</w:t>
        </w:r>
        <w:r w:rsidR="00BB3D0F">
          <w:t>26</w:t>
        </w:r>
      </w:sdtContent>
    </w:sdt>
    <w:r w:rsidR="00B44013">
      <w:tab/>
    </w:r>
    <w:r w:rsidR="00B44013">
      <w:tab/>
    </w:r>
    <w:r w:rsidR="00B44013">
      <w:tab/>
      <w:t xml:space="preserve">Version # : </w:t>
    </w:r>
    <w:sdt>
      <w:sdtPr>
        <w:alias w:val="POPPRefItemVersion"/>
        <w:tag w:val="UNDP_POPP_REFITEM_VERSION"/>
        <w:id w:val="-2129066328"/>
        <w:placeholder>
          <w:docPart w:val="42317960ED9749FF9FD2BD6C0049ABF5"/>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9BBEAA40-800C-4F8D-ABB2-7664AA18801C}"/>
        <w:text/>
      </w:sdtPr>
      <w:sdtEndPr/>
      <w:sdtContent>
        <w:r w:rsidR="00BB3D0F">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5C6F" w14:textId="77777777" w:rsidR="005121D0" w:rsidRDefault="00F3304C">
    <w:pPr>
      <w:spacing w:after="0" w:line="259" w:lineRule="auto"/>
      <w:ind w:left="0" w:right="0" w:firstLine="0"/>
      <w:jc w:val="center"/>
    </w:pPr>
    <w:r>
      <w:fldChar w:fldCharType="begin"/>
    </w:r>
    <w:r>
      <w:instrText xml:space="preserve"> PAGE   \* MERGEFORMAT </w:instrText>
    </w:r>
    <w:r>
      <w:fldChar w:fldCharType="separate"/>
    </w:r>
    <w:r w:rsidR="005121D0">
      <w:t>1</w:t>
    </w:r>
    <w:r>
      <w:fldChar w:fldCharType="end"/>
    </w:r>
    <w:r w:rsidR="005121D0">
      <w:t xml:space="preserve"> </w:t>
    </w:r>
  </w:p>
  <w:p w14:paraId="0CA2D3B6" w14:textId="77777777" w:rsidR="005121D0" w:rsidRDefault="005121D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0A26E" w14:textId="77777777" w:rsidR="00B37947" w:rsidRDefault="00B37947">
      <w:pPr>
        <w:spacing w:after="0" w:line="240" w:lineRule="auto"/>
      </w:pPr>
      <w:r>
        <w:separator/>
      </w:r>
    </w:p>
  </w:footnote>
  <w:footnote w:type="continuationSeparator" w:id="0">
    <w:p w14:paraId="6BD704E7" w14:textId="77777777" w:rsidR="00B37947" w:rsidRDefault="00B37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5A58" w14:textId="2962DCBB" w:rsidR="005121D0" w:rsidRDefault="005B2FB7" w:rsidP="005B7B4F">
    <w:pPr>
      <w:pStyle w:val="Header"/>
      <w:spacing w:before="100" w:beforeAutospacing="1" w:after="100" w:afterAutospacing="1"/>
      <w:ind w:left="9711" w:right="43"/>
    </w:pPr>
    <w:r>
      <w:rPr>
        <w:noProof/>
      </w:rPr>
      <w:drawing>
        <wp:anchor distT="0" distB="0" distL="114300" distR="114300" simplePos="0" relativeHeight="251658240" behindDoc="0" locked="0" layoutInCell="1" allowOverlap="1" wp14:anchorId="50BABDD6" wp14:editId="4F3ABE1A">
          <wp:simplePos x="0" y="0"/>
          <wp:positionH relativeFrom="margin">
            <wp:align>right</wp:align>
          </wp:positionH>
          <wp:positionV relativeFrom="paragraph">
            <wp:posOffset>-9525</wp:posOffset>
          </wp:positionV>
          <wp:extent cx="260198" cy="529050"/>
          <wp:effectExtent l="0" t="0" r="6985" b="444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198" cy="5290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AF7"/>
    <w:multiLevelType w:val="hybridMultilevel"/>
    <w:tmpl w:val="0D549F42"/>
    <w:lvl w:ilvl="0" w:tplc="3474BF00">
      <w:start w:val="1"/>
      <w:numFmt w:val="lowerLetter"/>
      <w:lvlText w:val="%1."/>
      <w:lvlJc w:val="left"/>
      <w:pPr>
        <w:ind w:left="106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5A0CE8">
      <w:start w:val="1"/>
      <w:numFmt w:val="lowerLetter"/>
      <w:lvlText w:val="%2)"/>
      <w:lvlJc w:val="left"/>
      <w:pPr>
        <w:ind w:left="1785" w:hanging="360"/>
      </w:pPr>
      <w:rPr>
        <w:rFonts w:hint="default"/>
      </w:rPr>
    </w:lvl>
    <w:lvl w:ilvl="2" w:tplc="2B081C8A">
      <w:start w:val="1"/>
      <w:numFmt w:val="lowerRoman"/>
      <w:lvlText w:val="(%3)"/>
      <w:lvlJc w:val="left"/>
      <w:pPr>
        <w:ind w:left="3045" w:hanging="720"/>
      </w:pPr>
      <w:rPr>
        <w:rFonts w:hint="default"/>
      </w:r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 w15:restartNumberingAfterBreak="0">
    <w:nsid w:val="153546BA"/>
    <w:multiLevelType w:val="hybridMultilevel"/>
    <w:tmpl w:val="2E34C9B6"/>
    <w:lvl w:ilvl="0" w:tplc="FFFFFFFF">
      <w:start w:val="1"/>
      <w:numFmt w:val="lowerLetter"/>
      <w:lvlText w:val="%1)"/>
      <w:lvlJc w:val="left"/>
      <w:pPr>
        <w:ind w:left="720" w:hanging="360"/>
      </w:pPr>
    </w:lvl>
    <w:lvl w:ilvl="1" w:tplc="2B081C8A">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853C22"/>
    <w:multiLevelType w:val="hybridMultilevel"/>
    <w:tmpl w:val="3732E08E"/>
    <w:lvl w:ilvl="0" w:tplc="4A8C4D9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739DF"/>
    <w:multiLevelType w:val="hybridMultilevel"/>
    <w:tmpl w:val="DEF4BA26"/>
    <w:lvl w:ilvl="0" w:tplc="C40A2F7A">
      <w:start w:val="9"/>
      <w:numFmt w:val="decimal"/>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D62C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2A88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1084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B07F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86AC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B65E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5491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FA59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8F7F7E"/>
    <w:multiLevelType w:val="hybridMultilevel"/>
    <w:tmpl w:val="CF0A6D3E"/>
    <w:lvl w:ilvl="0" w:tplc="6D2A4A76">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0E8496">
      <w:start w:val="1"/>
      <w:numFmt w:val="lowerLetter"/>
      <w:lvlText w:val="%2"/>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8481A4">
      <w:start w:val="1"/>
      <w:numFmt w:val="lowerRoman"/>
      <w:lvlText w:val="%3"/>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B6DA0C">
      <w:start w:val="1"/>
      <w:numFmt w:val="decimal"/>
      <w:lvlText w:val="%4"/>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C0FEB8">
      <w:start w:val="1"/>
      <w:numFmt w:val="lowerLetter"/>
      <w:lvlText w:val="%5"/>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508010">
      <w:start w:val="1"/>
      <w:numFmt w:val="lowerRoman"/>
      <w:lvlText w:val="%6"/>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A1E8A">
      <w:start w:val="1"/>
      <w:numFmt w:val="decimal"/>
      <w:lvlText w:val="%7"/>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B6E3D2">
      <w:start w:val="1"/>
      <w:numFmt w:val="lowerLetter"/>
      <w:lvlText w:val="%8"/>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208FF0">
      <w:start w:val="1"/>
      <w:numFmt w:val="lowerRoman"/>
      <w:lvlText w:val="%9"/>
      <w:lvlJc w:val="left"/>
      <w:pPr>
        <w:ind w:left="6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C30395"/>
    <w:multiLevelType w:val="hybridMultilevel"/>
    <w:tmpl w:val="D90AF7B8"/>
    <w:lvl w:ilvl="0" w:tplc="4A8C4D9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74BF00">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F690AC">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0E3A7A">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34C104">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8EEC5C">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EE9A46">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34C0CE">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C66F16">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5034A6"/>
    <w:multiLevelType w:val="hybridMultilevel"/>
    <w:tmpl w:val="B2B8CA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75890"/>
    <w:multiLevelType w:val="hybridMultilevel"/>
    <w:tmpl w:val="C5BC441E"/>
    <w:lvl w:ilvl="0" w:tplc="95E84ADE">
      <w:start w:val="14"/>
      <w:numFmt w:val="decimal"/>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DCCDF4">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10FD18">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36AF1C">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F01D26">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562F40">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16B474">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6A0DAC">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3EE276">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D846CF6"/>
    <w:multiLevelType w:val="hybridMultilevel"/>
    <w:tmpl w:val="BA38A5BA"/>
    <w:lvl w:ilvl="0" w:tplc="04090017">
      <w:start w:val="1"/>
      <w:numFmt w:val="lowerLetter"/>
      <w:lvlText w:val="%1)"/>
      <w:lvlJc w:val="left"/>
      <w:pPr>
        <w:ind w:left="691" w:hanging="360"/>
      </w:pPr>
    </w:lvl>
    <w:lvl w:ilvl="1" w:tplc="04090019">
      <w:start w:val="1"/>
      <w:numFmt w:val="lowerLetter"/>
      <w:lvlText w:val="%2."/>
      <w:lvlJc w:val="left"/>
      <w:pPr>
        <w:ind w:left="1411" w:hanging="360"/>
      </w:pPr>
    </w:lvl>
    <w:lvl w:ilvl="2" w:tplc="0409001B">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9" w15:restartNumberingAfterBreak="0">
    <w:nsid w:val="5E022C7F"/>
    <w:multiLevelType w:val="hybridMultilevel"/>
    <w:tmpl w:val="67021202"/>
    <w:lvl w:ilvl="0" w:tplc="FFFFFFFF">
      <w:start w:val="1"/>
      <w:numFmt w:val="lowerLetter"/>
      <w:lvlText w:val="%1)"/>
      <w:lvlJc w:val="left"/>
      <w:pPr>
        <w:ind w:left="720" w:hanging="360"/>
      </w:pPr>
    </w:lvl>
    <w:lvl w:ilvl="1" w:tplc="2B081C8A">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6B1144"/>
    <w:multiLevelType w:val="hybridMultilevel"/>
    <w:tmpl w:val="17046B42"/>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66D074C2"/>
    <w:multiLevelType w:val="hybridMultilevel"/>
    <w:tmpl w:val="013E195A"/>
    <w:lvl w:ilvl="0" w:tplc="FFFFFFFF">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133"/>
      </w:pPr>
      <w:rPr>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4BC186A"/>
    <w:multiLevelType w:val="hybridMultilevel"/>
    <w:tmpl w:val="9254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D7652A"/>
    <w:multiLevelType w:val="hybridMultilevel"/>
    <w:tmpl w:val="8AB6CE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11"/>
  </w:num>
  <w:num w:numId="6">
    <w:abstractNumId w:val="10"/>
  </w:num>
  <w:num w:numId="7">
    <w:abstractNumId w:val="0"/>
  </w:num>
  <w:num w:numId="8">
    <w:abstractNumId w:val="8"/>
  </w:num>
  <w:num w:numId="9">
    <w:abstractNumId w:val="13"/>
  </w:num>
  <w:num w:numId="10">
    <w:abstractNumId w:val="2"/>
  </w:num>
  <w:num w:numId="11">
    <w:abstractNumId w:val="6"/>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B1"/>
    <w:rsid w:val="00023301"/>
    <w:rsid w:val="000435C6"/>
    <w:rsid w:val="00073A2C"/>
    <w:rsid w:val="000B59AF"/>
    <w:rsid w:val="000E0A1C"/>
    <w:rsid w:val="000F4CB4"/>
    <w:rsid w:val="00106159"/>
    <w:rsid w:val="00156381"/>
    <w:rsid w:val="00167EF7"/>
    <w:rsid w:val="001A2865"/>
    <w:rsid w:val="001B6D0D"/>
    <w:rsid w:val="001F448B"/>
    <w:rsid w:val="001F568E"/>
    <w:rsid w:val="0024143E"/>
    <w:rsid w:val="00253A57"/>
    <w:rsid w:val="00266997"/>
    <w:rsid w:val="00283305"/>
    <w:rsid w:val="002B71A4"/>
    <w:rsid w:val="002E40E6"/>
    <w:rsid w:val="002F2E97"/>
    <w:rsid w:val="00300430"/>
    <w:rsid w:val="003125F3"/>
    <w:rsid w:val="003A6F61"/>
    <w:rsid w:val="003D7C39"/>
    <w:rsid w:val="003E1553"/>
    <w:rsid w:val="00427506"/>
    <w:rsid w:val="00450C33"/>
    <w:rsid w:val="00465447"/>
    <w:rsid w:val="00475CC2"/>
    <w:rsid w:val="00482561"/>
    <w:rsid w:val="00502E2F"/>
    <w:rsid w:val="005121D0"/>
    <w:rsid w:val="005214BE"/>
    <w:rsid w:val="005255FF"/>
    <w:rsid w:val="00535F32"/>
    <w:rsid w:val="00552F45"/>
    <w:rsid w:val="005A64A8"/>
    <w:rsid w:val="005B2FB7"/>
    <w:rsid w:val="005B7B4F"/>
    <w:rsid w:val="005C48C6"/>
    <w:rsid w:val="005E15E6"/>
    <w:rsid w:val="006362B3"/>
    <w:rsid w:val="006835B8"/>
    <w:rsid w:val="006B682A"/>
    <w:rsid w:val="00725E06"/>
    <w:rsid w:val="0073161F"/>
    <w:rsid w:val="00764A8D"/>
    <w:rsid w:val="007A0994"/>
    <w:rsid w:val="007A6520"/>
    <w:rsid w:val="0087796D"/>
    <w:rsid w:val="008D33C6"/>
    <w:rsid w:val="008F1BBF"/>
    <w:rsid w:val="00901311"/>
    <w:rsid w:val="009253F9"/>
    <w:rsid w:val="00980DCC"/>
    <w:rsid w:val="00982FD3"/>
    <w:rsid w:val="009D6100"/>
    <w:rsid w:val="00A02DA9"/>
    <w:rsid w:val="00A12E52"/>
    <w:rsid w:val="00A23E95"/>
    <w:rsid w:val="00A342D7"/>
    <w:rsid w:val="00A6413E"/>
    <w:rsid w:val="00AA3236"/>
    <w:rsid w:val="00AC0DF6"/>
    <w:rsid w:val="00AE3DC9"/>
    <w:rsid w:val="00AF7989"/>
    <w:rsid w:val="00B37947"/>
    <w:rsid w:val="00B44013"/>
    <w:rsid w:val="00B46260"/>
    <w:rsid w:val="00B84B89"/>
    <w:rsid w:val="00BB3D0F"/>
    <w:rsid w:val="00BC3352"/>
    <w:rsid w:val="00BF0272"/>
    <w:rsid w:val="00C35749"/>
    <w:rsid w:val="00CF0824"/>
    <w:rsid w:val="00D059EA"/>
    <w:rsid w:val="00D7285E"/>
    <w:rsid w:val="00DB0571"/>
    <w:rsid w:val="00DB197A"/>
    <w:rsid w:val="00DB4B36"/>
    <w:rsid w:val="00DB7676"/>
    <w:rsid w:val="00DD74D2"/>
    <w:rsid w:val="00DE1534"/>
    <w:rsid w:val="00DF3800"/>
    <w:rsid w:val="00E63C7A"/>
    <w:rsid w:val="00E82A90"/>
    <w:rsid w:val="00EA3FB1"/>
    <w:rsid w:val="00F32309"/>
    <w:rsid w:val="00F3304C"/>
    <w:rsid w:val="00F33FAA"/>
    <w:rsid w:val="00F443B7"/>
    <w:rsid w:val="00F7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8B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0C33"/>
    <w:pPr>
      <w:spacing w:after="5" w:line="269" w:lineRule="auto"/>
      <w:ind w:left="711" w:right="2" w:hanging="351"/>
      <w:jc w:val="both"/>
    </w:pPr>
    <w:rPr>
      <w:rFonts w:ascii="Calibri" w:eastAsia="Calibri" w:hAnsi="Calibri" w:cs="Calibri"/>
      <w:color w:val="000000"/>
    </w:rPr>
  </w:style>
  <w:style w:type="paragraph" w:styleId="Heading1">
    <w:name w:val="heading 1"/>
    <w:next w:val="Normal"/>
    <w:link w:val="Heading1Char"/>
    <w:uiPriority w:val="9"/>
    <w:unhideWhenUsed/>
    <w:qFormat/>
    <w:rsid w:val="00450C33"/>
    <w:pPr>
      <w:keepNext/>
      <w:keepLines/>
      <w:spacing w:after="136"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0C33"/>
    <w:rPr>
      <w:rFonts w:ascii="Calibri" w:eastAsia="Calibri" w:hAnsi="Calibri" w:cs="Calibri"/>
      <w:b/>
      <w:color w:val="000000"/>
      <w:sz w:val="22"/>
    </w:rPr>
  </w:style>
  <w:style w:type="table" w:customStyle="1" w:styleId="TableGrid">
    <w:name w:val="TableGrid"/>
    <w:rsid w:val="00450C33"/>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27506"/>
    <w:rPr>
      <w:color w:val="0000FF" w:themeColor="hyperlink"/>
      <w:u w:val="single"/>
    </w:rPr>
  </w:style>
  <w:style w:type="paragraph" w:styleId="BalloonText">
    <w:name w:val="Balloon Text"/>
    <w:basedOn w:val="Normal"/>
    <w:link w:val="BalloonTextChar"/>
    <w:uiPriority w:val="99"/>
    <w:semiHidden/>
    <w:unhideWhenUsed/>
    <w:rsid w:val="005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4A8"/>
    <w:rPr>
      <w:rFonts w:ascii="Tahoma" w:eastAsia="Calibri" w:hAnsi="Tahoma" w:cs="Tahoma"/>
      <w:color w:val="000000"/>
      <w:sz w:val="16"/>
      <w:szCs w:val="16"/>
    </w:rPr>
  </w:style>
  <w:style w:type="paragraph" w:styleId="Header">
    <w:name w:val="header"/>
    <w:basedOn w:val="Normal"/>
    <w:link w:val="HeaderChar"/>
    <w:uiPriority w:val="99"/>
    <w:unhideWhenUsed/>
    <w:rsid w:val="005B7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4F"/>
    <w:rPr>
      <w:rFonts w:ascii="Calibri" w:eastAsia="Calibri" w:hAnsi="Calibri" w:cs="Calibri"/>
      <w:color w:val="000000"/>
    </w:rPr>
  </w:style>
  <w:style w:type="character" w:styleId="PlaceholderText">
    <w:name w:val="Placeholder Text"/>
    <w:basedOn w:val="DefaultParagraphFont"/>
    <w:uiPriority w:val="99"/>
    <w:semiHidden/>
    <w:rsid w:val="005B7B4F"/>
    <w:rPr>
      <w:color w:val="808080"/>
    </w:rPr>
  </w:style>
  <w:style w:type="character" w:styleId="FollowedHyperlink">
    <w:name w:val="FollowedHyperlink"/>
    <w:basedOn w:val="DefaultParagraphFont"/>
    <w:uiPriority w:val="99"/>
    <w:semiHidden/>
    <w:unhideWhenUsed/>
    <w:rsid w:val="00982FD3"/>
    <w:rPr>
      <w:color w:val="800080" w:themeColor="followedHyperlink"/>
      <w:u w:val="single"/>
    </w:rPr>
  </w:style>
  <w:style w:type="paragraph" w:styleId="ListParagraph">
    <w:name w:val="List Paragraph"/>
    <w:basedOn w:val="Normal"/>
    <w:uiPriority w:val="34"/>
    <w:qFormat/>
    <w:rsid w:val="00283305"/>
    <w:pPr>
      <w:ind w:left="720"/>
      <w:contextualSpacing/>
    </w:pPr>
  </w:style>
  <w:style w:type="character" w:customStyle="1" w:styleId="ms-rtethemeforecolor-5-0">
    <w:name w:val="ms-rtethemeforecolor-5-0"/>
    <w:basedOn w:val="DefaultParagraphFont"/>
    <w:rsid w:val="00023301"/>
  </w:style>
  <w:style w:type="character" w:styleId="UnresolvedMention">
    <w:name w:val="Unresolved Mention"/>
    <w:basedOn w:val="DefaultParagraphFont"/>
    <w:uiPriority w:val="99"/>
    <w:rsid w:val="00023301"/>
    <w:rPr>
      <w:color w:val="605E5C"/>
      <w:shd w:val="clear" w:color="auto" w:fill="E1DFDD"/>
    </w:rPr>
  </w:style>
  <w:style w:type="character" w:customStyle="1" w:styleId="ui-provider">
    <w:name w:val="ui-provider"/>
    <w:basedOn w:val="DefaultParagraphFont"/>
    <w:rsid w:val="00525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15274">
      <w:bodyDiv w:val="1"/>
      <w:marLeft w:val="0"/>
      <w:marRight w:val="0"/>
      <w:marTop w:val="0"/>
      <w:marBottom w:val="0"/>
      <w:divBdr>
        <w:top w:val="none" w:sz="0" w:space="0" w:color="auto"/>
        <w:left w:val="none" w:sz="0" w:space="0" w:color="auto"/>
        <w:bottom w:val="none" w:sz="0" w:space="0" w:color="auto"/>
        <w:right w:val="none" w:sz="0" w:space="0" w:color="auto"/>
      </w:divBdr>
    </w:div>
    <w:div w:id="456946121">
      <w:bodyDiv w:val="1"/>
      <w:marLeft w:val="0"/>
      <w:marRight w:val="0"/>
      <w:marTop w:val="0"/>
      <w:marBottom w:val="0"/>
      <w:divBdr>
        <w:top w:val="none" w:sz="0" w:space="0" w:color="auto"/>
        <w:left w:val="none" w:sz="0" w:space="0" w:color="auto"/>
        <w:bottom w:val="none" w:sz="0" w:space="0" w:color="auto"/>
        <w:right w:val="none" w:sz="0" w:space="0" w:color="auto"/>
      </w:divBdr>
    </w:div>
    <w:div w:id="1733455688">
      <w:bodyDiv w:val="1"/>
      <w:marLeft w:val="0"/>
      <w:marRight w:val="0"/>
      <w:marTop w:val="0"/>
      <w:marBottom w:val="0"/>
      <w:divBdr>
        <w:top w:val="none" w:sz="0" w:space="0" w:color="auto"/>
        <w:left w:val="none" w:sz="0" w:space="0" w:color="auto"/>
        <w:bottom w:val="none" w:sz="0" w:space="0" w:color="auto"/>
        <w:right w:val="none" w:sz="0" w:space="0" w:color="auto"/>
      </w:divBdr>
    </w:div>
    <w:div w:id="1832870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dp.org/content/undp/fr/home/operations/executive_board/documents_for_sessions/adv2013-second.html" TargetMode="External"/><Relationship Id="rId21" Type="http://schemas.openxmlformats.org/officeDocument/2006/relationships/hyperlink" Target="https://popp.undp.org/SitePages/POPPSubject.aspx" TargetMode="External"/><Relationship Id="rId42" Type="http://schemas.openxmlformats.org/officeDocument/2006/relationships/hyperlink" Target="http://www.undp.org/content/undp/fr/home/operations/executive_board/documents_for_sessions/adv2012-second.html" TargetMode="External"/><Relationship Id="rId47" Type="http://schemas.openxmlformats.org/officeDocument/2006/relationships/hyperlink" Target="http://www.undp.org/content/undp/fr/home/operations/executive_board/documents_for_sessions/adv2013-annual.html" TargetMode="External"/><Relationship Id="rId63" Type="http://schemas.openxmlformats.org/officeDocument/2006/relationships/hyperlink" Target="https://docs.un.org/fr/DP/FPA-ICEF-UNW/2024/1"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undp.org/content/undp/fr/home/operations/executive_board/documents_for_sessions/adv2012-second.html" TargetMode="External"/><Relationship Id="rId29" Type="http://schemas.openxmlformats.org/officeDocument/2006/relationships/hyperlink" Target="http://www.undp.org/content/undp/fr/home/operations/executive_board/documents_for_sessions/adv2013-second.html" TargetMode="External"/><Relationship Id="rId11" Type="http://schemas.openxmlformats.org/officeDocument/2006/relationships/endnotes" Target="endnotes.xml"/><Relationship Id="rId24" Type="http://schemas.openxmlformats.org/officeDocument/2006/relationships/hyperlink" Target="https://docs.un.org/fr/DP/2021/2" TargetMode="External"/><Relationship Id="rId32" Type="http://schemas.openxmlformats.org/officeDocument/2006/relationships/hyperlink" Target="https://docs.un.org/fr/dp/2013/40" TargetMode="External"/><Relationship Id="rId37" Type="http://schemas.openxmlformats.org/officeDocument/2006/relationships/hyperlink" Target="http://www.undp.org/content/undp/fr/home/operations/executive_board/documents_for_sessions/adv2013-first.html" TargetMode="External"/><Relationship Id="rId40" Type="http://schemas.openxmlformats.org/officeDocument/2006/relationships/hyperlink" Target="https://digitallibrary.un.org/record/740041/files/DP_2013_1-FR.pdf" TargetMode="External"/><Relationship Id="rId45" Type="http://schemas.openxmlformats.org/officeDocument/2006/relationships/hyperlink" Target="http://www.undp.org/content/undp/fr/home/operations/executive_board/documents_for_sessions/adv2013-first.html" TargetMode="External"/><Relationship Id="rId53" Type="http://schemas.openxmlformats.org/officeDocument/2006/relationships/hyperlink" Target="https://popp.undp.org/fr/node/10556" TargetMode="External"/><Relationship Id="rId58" Type="http://schemas.openxmlformats.org/officeDocument/2006/relationships/hyperlink" Target="http://www.undp.org/content/undp/fr/home/operations/executive_board/documents_for_sessions/adv2013-annual.html" TargetMode="External"/><Relationship Id="rId66"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undp.org/sites/g/files/zskgke326/files/undp/library/corporate/Executive%20Board/2012/second-regular-session/English/dp2012-25Corr.1.doc" TargetMode="External"/><Relationship Id="rId19" Type="http://schemas.openxmlformats.org/officeDocument/2006/relationships/hyperlink" Target="https://popp.undp.org/node/2226" TargetMode="External"/><Relationship Id="rId14" Type="http://schemas.openxmlformats.org/officeDocument/2006/relationships/hyperlink" Target="https://digitallibrary.un.org/record/732003/files/DP-FPA_2012_1--E_ICEF_2012_AB_L.6-FR.pdf" TargetMode="External"/><Relationship Id="rId22" Type="http://schemas.openxmlformats.org/officeDocument/2006/relationships/hyperlink" Target="https://digitallibrary.un.org/record/754898?ln=fr" TargetMode="External"/><Relationship Id="rId27" Type="http://schemas.openxmlformats.org/officeDocument/2006/relationships/hyperlink" Target="https://popp.undp.org/document/decisions-adopted-executive-board-2013-funding-differentiated-physical-presence" TargetMode="External"/><Relationship Id="rId30" Type="http://schemas.openxmlformats.org/officeDocument/2006/relationships/hyperlink" Target="https://digitallibrary.un.org/record/731816?ln=fr" TargetMode="External"/><Relationship Id="rId35" Type="http://schemas.openxmlformats.org/officeDocument/2006/relationships/hyperlink" Target="https://popp.undp.org/policy-page/un-agency-services" TargetMode="External"/><Relationship Id="rId43" Type="http://schemas.openxmlformats.org/officeDocument/2006/relationships/hyperlink" Target="https://digitallibrary.un.org/record/746506/files/DP_2013_10-FR.pdf?ln=fr" TargetMode="External"/><Relationship Id="rId48" Type="http://schemas.openxmlformats.org/officeDocument/2006/relationships/hyperlink" Target="http://www.undp.org/content/undp/fr/home/operations/executive_board/documents_for_sessions/adv2013-second.html" TargetMode="External"/><Relationship Id="rId56" Type="http://schemas.openxmlformats.org/officeDocument/2006/relationships/hyperlink" Target="https://digitallibrary.un.org/record/716620?ln=es&amp;v=pdf" TargetMode="External"/><Relationship Id="rId64" Type="http://schemas.openxmlformats.org/officeDocument/2006/relationships/header" Target="header1.xml"/><Relationship Id="rId69"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popp.undp.org/node/1711" TargetMode="External"/><Relationship Id="rId3" Type="http://schemas.openxmlformats.org/officeDocument/2006/relationships/customXml" Target="../customXml/item3.xml"/><Relationship Id="rId12" Type="http://schemas.openxmlformats.org/officeDocument/2006/relationships/hyperlink" Target="http://www.undp.org/content/undp/fr/home/operations/executive_board/documents_for_sessions/adv2013-second.html" TargetMode="External"/><Relationship Id="rId17" Type="http://schemas.openxmlformats.org/officeDocument/2006/relationships/hyperlink" Target="http://www.undp.org/content/undp/fr/home/operations/executive_board/documents_for_sessions/adv2012-second.html" TargetMode="External"/><Relationship Id="rId25" Type="http://schemas.openxmlformats.org/officeDocument/2006/relationships/hyperlink" Target="https://docs.un.org/fr/dp/FPA-ICEF-UNW/2024/1" TargetMode="External"/><Relationship Id="rId33" Type="http://schemas.openxmlformats.org/officeDocument/2006/relationships/hyperlink" Target="http://www.undp.org/content/undp/fr/home/operations/executive_board/documents_for_sessions/adv2013-second.html" TargetMode="External"/><Relationship Id="rId38" Type="http://schemas.openxmlformats.org/officeDocument/2006/relationships/hyperlink" Target="http://www.undp.org/content/undp/fr/home/operations/executive_board/documents_for_sessions/adv2012-second.html" TargetMode="External"/><Relationship Id="rId46" Type="http://schemas.openxmlformats.org/officeDocument/2006/relationships/hyperlink" Target="http://www.undp.org/content/undp/fr/home/operations/executive_board/documents_for_sessions/adv2013-annual.html" TargetMode="External"/><Relationship Id="rId59" Type="http://schemas.openxmlformats.org/officeDocument/2006/relationships/hyperlink" Target="https://www.undp.org/sites/g/files/zskgke326/files/2025-07/dp-2025-23_undp-integrated-resources-plan-and-integrated-budget-estimates-2026-2029_0.pdf" TargetMode="External"/><Relationship Id="rId67" Type="http://schemas.openxmlformats.org/officeDocument/2006/relationships/footer" Target="footer3.xml"/><Relationship Id="rId20" Type="http://schemas.openxmlformats.org/officeDocument/2006/relationships/hyperlink" Target="http://www.undp.org/content/undp/fr/home/operations/executive_board/documents_for_sessions/adv2013-first.html" TargetMode="External"/><Relationship Id="rId41" Type="http://schemas.openxmlformats.org/officeDocument/2006/relationships/hyperlink" Target="http://www.undp.org/content/undp/fr/home/operations/executive_board/documents_for_sessions/adv2012-second.html" TargetMode="External"/><Relationship Id="rId54" Type="http://schemas.openxmlformats.org/officeDocument/2006/relationships/hyperlink" Target="https://popp.undp.org/fr/node/11136" TargetMode="External"/><Relationship Id="rId62" Type="http://schemas.openxmlformats.org/officeDocument/2006/relationships/hyperlink" Target="https://docs.un.org/fr/DP/FPA-ICEF-UNW/2020/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undp.org/content/undp/fr/home/operations/executive_board/documents_for_sessions/adv2013-annual.html" TargetMode="External"/><Relationship Id="rId23" Type="http://schemas.openxmlformats.org/officeDocument/2006/relationships/hyperlink" Target="http://www.undp.org/content/undp/fr/home/operations/executive_board/documents_for_sessions/adv2012-second.html" TargetMode="External"/><Relationship Id="rId28" Type="http://schemas.openxmlformats.org/officeDocument/2006/relationships/hyperlink" Target="https://digitallibrary.un.org/record/731816?ln=fr" TargetMode="External"/><Relationship Id="rId36" Type="http://schemas.openxmlformats.org/officeDocument/2006/relationships/hyperlink" Target="https://popp.undp.org/node/11271" TargetMode="External"/><Relationship Id="rId49" Type="http://schemas.openxmlformats.org/officeDocument/2006/relationships/hyperlink" Target="http://www.undp.org/content/undp/fr/home/operations/executive_board/documents_for_sessions/adv2013-annual.html" TargetMode="External"/><Relationship Id="rId57" Type="http://schemas.openxmlformats.org/officeDocument/2006/relationships/hyperlink" Target="https://digitallibrary.un.org/record/755299?ln=es&amp;v=pdf" TargetMode="External"/><Relationship Id="rId10" Type="http://schemas.openxmlformats.org/officeDocument/2006/relationships/footnotes" Target="footnotes.xml"/><Relationship Id="rId31" Type="http://schemas.openxmlformats.org/officeDocument/2006/relationships/hyperlink" Target="http://www.undp.org/content/undp/fr/home/operations/executive_board/documents_for_sessions/adv2013-second.html" TargetMode="External"/><Relationship Id="rId44" Type="http://schemas.openxmlformats.org/officeDocument/2006/relationships/hyperlink" Target="http://www.undp.org/content/undp/fr/home/operations/executive_board/documents_for_sessions/adv2013-annual.html" TargetMode="External"/><Relationship Id="rId52" Type="http://schemas.openxmlformats.org/officeDocument/2006/relationships/hyperlink" Target="https://popp.undp.org/node/11271" TargetMode="External"/><Relationship Id="rId60" Type="http://schemas.openxmlformats.org/officeDocument/2006/relationships/hyperlink" Target="https://docs.un.org/fr/DP/2012/25"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undp.org/content/undp/fr/home/operations/executive_board/documents_for_sessions/adv2013-first.html" TargetMode="External"/><Relationship Id="rId18" Type="http://schemas.openxmlformats.org/officeDocument/2006/relationships/hyperlink" Target="http://www.undp.org/content/undp/fr/home/operations/executive_board/documents_for_sessions/adv2013-second.html" TargetMode="External"/><Relationship Id="rId39" Type="http://schemas.openxmlformats.org/officeDocument/2006/relationships/hyperlink" Target="http://www.undp.org/content/undp/fr/home/operations/executive_board/documents_for_sessions/adv2013-first.html" TargetMode="External"/><Relationship Id="rId34" Type="http://schemas.openxmlformats.org/officeDocument/2006/relationships/hyperlink" Target="https://popp.undp.org/fr/node/10556" TargetMode="External"/><Relationship Id="rId50" Type="http://schemas.openxmlformats.org/officeDocument/2006/relationships/hyperlink" Target="https://popp.undp.org/node/1706" TargetMode="External"/><Relationship Id="rId55" Type="http://schemas.openxmlformats.org/officeDocument/2006/relationships/hyperlink" Target="http://www.undp.org/content/undp/fr/home/operations/executive_board/documents_for_sessions/adv2013-firs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DB8B8F1D54D7283FBE9EC32ABC810"/>
        <w:category>
          <w:name w:val="General"/>
          <w:gallery w:val="placeholder"/>
        </w:category>
        <w:types>
          <w:type w:val="bbPlcHdr"/>
        </w:types>
        <w:behaviors>
          <w:behavior w:val="content"/>
        </w:behaviors>
        <w:guid w:val="{AA493F52-372B-499A-B595-D46C17B7C37F}"/>
      </w:docPartPr>
      <w:docPartBody>
        <w:p w:rsidR="00FA3253" w:rsidRDefault="00471C88">
          <w:r w:rsidRPr="00EC38FF">
            <w:rPr>
              <w:rStyle w:val="PlaceholderText"/>
            </w:rPr>
            <w:t>[Effective Date]</w:t>
          </w:r>
        </w:p>
      </w:docPartBody>
    </w:docPart>
    <w:docPart>
      <w:docPartPr>
        <w:name w:val="42317960ED9749FF9FD2BD6C0049ABF5"/>
        <w:category>
          <w:name w:val="General"/>
          <w:gallery w:val="placeholder"/>
        </w:category>
        <w:types>
          <w:type w:val="bbPlcHdr"/>
        </w:types>
        <w:behaviors>
          <w:behavior w:val="content"/>
        </w:behaviors>
        <w:guid w:val="{2813F033-CF97-48EB-8298-223B27FD28E4}"/>
      </w:docPartPr>
      <w:docPartBody>
        <w:p w:rsidR="008C0CDE" w:rsidRDefault="00740693" w:rsidP="00740693">
          <w:pPr>
            <w:pStyle w:val="42317960ED9749FF9FD2BD6C0049ABF5"/>
          </w:pPr>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70621"/>
    <w:rsid w:val="00220FA9"/>
    <w:rsid w:val="00470621"/>
    <w:rsid w:val="00471C88"/>
    <w:rsid w:val="00740693"/>
    <w:rsid w:val="00763B5B"/>
    <w:rsid w:val="00847F3F"/>
    <w:rsid w:val="008C0CDE"/>
    <w:rsid w:val="00950A13"/>
    <w:rsid w:val="009B4A7B"/>
    <w:rsid w:val="00A166B4"/>
    <w:rsid w:val="00A4647D"/>
    <w:rsid w:val="00BD4C50"/>
    <w:rsid w:val="00C3591A"/>
    <w:rsid w:val="00CD08D7"/>
    <w:rsid w:val="00DB0052"/>
    <w:rsid w:val="00DE3853"/>
    <w:rsid w:val="00FA3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693"/>
    <w:rPr>
      <w:color w:val="808080"/>
    </w:rPr>
  </w:style>
  <w:style w:type="paragraph" w:customStyle="1" w:styleId="42317960ED9749FF9FD2BD6C0049ABF5">
    <w:name w:val="42317960ED9749FF9FD2BD6C0049ABF5"/>
    <w:rsid w:val="00740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UNITBMS-1904581467-53</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2026-01-01T00:00:00</UNDP_POPP_EFFECTIVEDATE>
    <UNDP_POPP_FILEVERSION xmlns="8264c5cc-ec60-4b56-8111-ce635d3d139a">512</UNDP_POPP_FILEVERSION>
    <UNDP_POPP_REFITEM_VERSION xmlns="8264c5cc-ec60-4b56-8111-ce635d3d139a">7</UNDP_POPP_REFITEM_VERSION>
    <UNDP_POPP_ISACTIVE xmlns="8264c5cc-ec60-4b56-8111-ce635d3d139a">true</UNDP_POPP_ISACTIVE>
    <UNDP_POPP_TITLE_EN xmlns="8264c5cc-ec60-4b56-8111-ce635d3d139a">Cadre conceptuel de financement harmonisé et la méthode de recouvrement des coûts</UNDP_POPP_TITLE_EN>
    <_dlc_DocIdUrl xmlns="8264c5cc-ec60-4b56-8111-ce635d3d139a">
      <Url>https://intranet.undp.org/unit/bms/dir/internal/init_popp/_layouts/15/DocIdRedir.aspx?ID=UNITBMS-1904581467-53</Url>
      <Description>UNITBMS-1904581467-53</Description>
    </_dlc_DocIdUrl>
    <DLCPolicyLabelLock xmlns="e560140e-7b2f-4392-90df-e7567e3021a3" xsi:nil="true"/>
    <DLCPolicyLabelClientValue xmlns="e560140e-7b2f-4392-90df-e7567e3021a3">Effective Date: 1/1/2026                                                Version #: 7.0</DLCPolicyLabelClientValue>
    <UNDP_POPP_BUSINESSUNITID_HIDDEN xmlns="8264c5cc-ec60-4b56-8111-ce635d3d139a" xsi:nil="true"/>
    <DLCPolicyLabelValue xmlns="e560140e-7b2f-4392-90df-e7567e3021a3">Effective Date: 1/1/2026                                                Version #: 7.0</DLCPolicyLabelValue>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3A782-28DE-4B39-9E3A-A225F1740A5A}">
  <ds:schemaRefs>
    <ds:schemaRef ds:uri="http://schemas.microsoft.com/sharepoint/events"/>
  </ds:schemaRefs>
</ds:datastoreItem>
</file>

<file path=customXml/itemProps2.xml><?xml version="1.0" encoding="utf-8"?>
<ds:datastoreItem xmlns:ds="http://schemas.openxmlformats.org/officeDocument/2006/customXml" ds:itemID="{9BBEAA40-800C-4F8D-ABB2-7664AA18801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F41A19D8-E4FF-46DD-87E2-8A99F65F5F2C}">
  <ds:schemaRefs>
    <ds:schemaRef ds:uri="office.server.policy"/>
  </ds:schemaRefs>
</ds:datastoreItem>
</file>

<file path=customXml/itemProps4.xml><?xml version="1.0" encoding="utf-8"?>
<ds:datastoreItem xmlns:ds="http://schemas.openxmlformats.org/officeDocument/2006/customXml" ds:itemID="{F3DB96D3-666A-471F-9840-B13E1DCDED52}">
  <ds:schemaRefs>
    <ds:schemaRef ds:uri="http://schemas.microsoft.com/sharepoint/v3/contenttype/forms"/>
  </ds:schemaRefs>
</ds:datastoreItem>
</file>

<file path=customXml/itemProps5.xml><?xml version="1.0" encoding="utf-8"?>
<ds:datastoreItem xmlns:ds="http://schemas.openxmlformats.org/officeDocument/2006/customXml" ds:itemID="{2611249F-1354-446D-AA43-618B7CE28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3384</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Arilda Dragjoshi</cp:lastModifiedBy>
  <cp:revision>15</cp:revision>
  <cp:lastPrinted>2016-06-29T23:14:00Z</cp:lastPrinted>
  <dcterms:created xsi:type="dcterms:W3CDTF">2023-03-27T18:51:00Z</dcterms:created>
  <dcterms:modified xsi:type="dcterms:W3CDTF">2026-03-11T11:42:00Z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bfd01d4f-b782-4010-acc3-17d095f62e79</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3</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