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088A6" w14:textId="77777777" w:rsidR="00550A4A" w:rsidRPr="00550A4A" w:rsidRDefault="00550A4A" w:rsidP="00550A4A">
      <w:pPr>
        <w:spacing w:after="0" w:line="259" w:lineRule="auto"/>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b/>
          <w:color w:val="000000"/>
          <w:kern w:val="0"/>
          <w:sz w:val="28"/>
          <w:szCs w:val="22"/>
          <w:lang w:val="es-ES" w:eastAsia="es-ES" w:bidi="es-ES"/>
          <w14:ligatures w14:val="none"/>
        </w:rPr>
        <w:t xml:space="preserve">Propiedades, Planta y Equipo (PP&amp;E)   </w:t>
      </w:r>
    </w:p>
    <w:p w14:paraId="437727FD" w14:textId="77777777" w:rsidR="00550A4A" w:rsidRPr="00550A4A" w:rsidRDefault="00550A4A" w:rsidP="00550A4A">
      <w:pPr>
        <w:spacing w:after="20" w:line="259" w:lineRule="auto"/>
        <w:rPr>
          <w:rFonts w:ascii="Calibri" w:eastAsia="Calibri" w:hAnsi="Calibri" w:cs="Calibri"/>
          <w:color w:val="000000"/>
          <w:kern w:val="0"/>
          <w:sz w:val="22"/>
          <w:szCs w:val="22"/>
          <w:lang w:val="es-ES" w:eastAsia="es-ES" w:bidi="es-ES"/>
          <w14:ligatures w14:val="none"/>
        </w:rPr>
      </w:pPr>
    </w:p>
    <w:p w14:paraId="4D45ED06" w14:textId="77777777" w:rsidR="00550A4A" w:rsidRPr="00550A4A" w:rsidRDefault="00550A4A" w:rsidP="00550A4A">
      <w:pPr>
        <w:numPr>
          <w:ilvl w:val="0"/>
          <w:numId w:val="1"/>
        </w:numPr>
        <w:spacing w:after="5"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El término «Propiedades, Planta y Equipo» se refiere a un artículo tangible o físicamente verificable que cumple con TODOS los cinco criterios siguientes: </w:t>
      </w:r>
    </w:p>
    <w:p w14:paraId="0EA2F066" w14:textId="77777777" w:rsidR="00550A4A" w:rsidRPr="00550A4A" w:rsidRDefault="00550A4A" w:rsidP="00550A4A">
      <w:pPr>
        <w:numPr>
          <w:ilvl w:val="1"/>
          <w:numId w:val="1"/>
        </w:numPr>
        <w:spacing w:after="34"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Proporciona beneficios económicos o de servicio futuros al PNUD (Programa de las Naciones Unidas para el Desarrollo), es decir, el artículo de PPE se conserva para utilizarlo en la ejecución de programas del PNUD o para fines administrativos.  </w:t>
      </w:r>
    </w:p>
    <w:p w14:paraId="1BED3E24" w14:textId="77777777" w:rsidR="00550A4A" w:rsidRPr="00550A4A" w:rsidRDefault="00550A4A" w:rsidP="00550A4A">
      <w:pPr>
        <w:numPr>
          <w:ilvl w:val="1"/>
          <w:numId w:val="1"/>
        </w:numPr>
        <w:spacing w:after="5"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Se espera que sea usado durante más de un período sobre el que se informa, que es de 12 meses. </w:t>
      </w:r>
    </w:p>
    <w:p w14:paraId="7775B0AF" w14:textId="77777777" w:rsidR="00550A4A" w:rsidRPr="00550A4A" w:rsidRDefault="00550A4A" w:rsidP="00550A4A">
      <w:pPr>
        <w:numPr>
          <w:ilvl w:val="1"/>
          <w:numId w:val="1"/>
        </w:numPr>
        <w:spacing w:after="31"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Tiene un valor de USD 5000 (USD 5000 para el FNUDC [Fondo de las Naciones Unidas para el Desarrollo de la Capitalización]</w:t>
      </w:r>
      <w:r w:rsidRPr="00550A4A">
        <w:rPr>
          <w:rFonts w:ascii="Calibri" w:eastAsia="Calibri" w:hAnsi="Calibri" w:cs="Calibri"/>
          <w:color w:val="000000"/>
          <w:kern w:val="0"/>
          <w:sz w:val="22"/>
          <w:szCs w:val="22"/>
          <w:vertAlign w:val="superscript"/>
          <w:lang w:val="es-ES" w:eastAsia="es-ES" w:bidi="es-ES"/>
          <w14:ligatures w14:val="none"/>
        </w:rPr>
        <w:t xml:space="preserve"> </w:t>
      </w:r>
      <w:r w:rsidRPr="00550A4A">
        <w:rPr>
          <w:rFonts w:ascii="Calibri" w:eastAsia="Calibri" w:hAnsi="Calibri" w:cs="Calibri"/>
          <w:color w:val="000000"/>
          <w:kern w:val="0"/>
          <w:sz w:val="22"/>
          <w:szCs w:val="22"/>
          <w:lang w:val="es-ES" w:eastAsia="es-ES" w:bidi="es-ES"/>
          <w14:ligatures w14:val="none"/>
        </w:rPr>
        <w:t xml:space="preserve">también) o más (nuevo umbral de capitalización vigente desde el 1.1.2020). </w:t>
      </w:r>
    </w:p>
    <w:p w14:paraId="79081FF5" w14:textId="77777777" w:rsidR="00550A4A" w:rsidRPr="00550A4A" w:rsidRDefault="00550A4A" w:rsidP="00550A4A">
      <w:pPr>
        <w:numPr>
          <w:ilvl w:val="1"/>
          <w:numId w:val="1"/>
        </w:numPr>
        <w:spacing w:after="34"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Es usado y controlado por el PNUD. </w:t>
      </w:r>
    </w:p>
    <w:p w14:paraId="47BEF9E8" w14:textId="77777777" w:rsidR="00550A4A" w:rsidRPr="00550A4A" w:rsidRDefault="00550A4A" w:rsidP="00550A4A">
      <w:pPr>
        <w:numPr>
          <w:ilvl w:val="1"/>
          <w:numId w:val="1"/>
        </w:numPr>
        <w:spacing w:after="5"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Tiene un costo que puede determinarse de manera fiable. </w:t>
      </w:r>
    </w:p>
    <w:p w14:paraId="04861586" w14:textId="77777777" w:rsidR="00550A4A" w:rsidRPr="00550A4A" w:rsidRDefault="00550A4A" w:rsidP="00550A4A">
      <w:pPr>
        <w:spacing w:after="17" w:line="259" w:lineRule="auto"/>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 </w:t>
      </w:r>
    </w:p>
    <w:p w14:paraId="26F459CC" w14:textId="77777777" w:rsidR="00550A4A" w:rsidRPr="00550A4A" w:rsidRDefault="00550A4A" w:rsidP="00550A4A">
      <w:pPr>
        <w:numPr>
          <w:ilvl w:val="0"/>
          <w:numId w:val="1"/>
        </w:numPr>
        <w:spacing w:after="5"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La Gestión de Activos Fijos es el proceso de proteger, mantener, gestionar y rendir cuentas de PPE, Arrendamientos Financieros e Intangibles usados y controlados por el PNUD.  </w:t>
      </w:r>
    </w:p>
    <w:p w14:paraId="0725AFB8" w14:textId="77777777" w:rsidR="00550A4A" w:rsidRPr="00550A4A" w:rsidRDefault="00550A4A" w:rsidP="00550A4A">
      <w:pPr>
        <w:spacing w:after="21" w:line="259" w:lineRule="auto"/>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 </w:t>
      </w:r>
    </w:p>
    <w:p w14:paraId="4BD2D9B2" w14:textId="77777777" w:rsidR="00550A4A" w:rsidRPr="00550A4A" w:rsidRDefault="00550A4A" w:rsidP="00550A4A">
      <w:pPr>
        <w:numPr>
          <w:ilvl w:val="0"/>
          <w:numId w:val="1"/>
        </w:numPr>
        <w:spacing w:after="5"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b/>
          <w:color w:val="000000"/>
          <w:kern w:val="0"/>
          <w:sz w:val="22"/>
          <w:szCs w:val="22"/>
          <w:lang w:val="es-ES" w:eastAsia="es-ES" w:bidi="es-ES"/>
          <w14:ligatures w14:val="none"/>
        </w:rPr>
        <w:t xml:space="preserve">Propiedades, Planta y Equipo/Activo Fijo y Activo </w:t>
      </w:r>
      <w:r w:rsidRPr="00550A4A">
        <w:rPr>
          <w:rFonts w:ascii="Calibri" w:eastAsia="Calibri" w:hAnsi="Calibri" w:cs="Calibri"/>
          <w:color w:val="000000"/>
          <w:kern w:val="0"/>
          <w:sz w:val="22"/>
          <w:szCs w:val="22"/>
          <w:lang w:val="es-ES" w:eastAsia="es-ES" w:bidi="es-ES"/>
          <w14:ligatures w14:val="none"/>
        </w:rPr>
        <w:t xml:space="preserve">se utilizan de manera indistinta para representar el mismo grupo de activos. La Gestión de Activos Fijos es el proceso de proteger, mantener, gestionar y rendir cuentas de PPE, Arrendamientos Financieros e Intangibles usados y controlados por el PNUD.    </w:t>
      </w:r>
    </w:p>
    <w:p w14:paraId="72F64FD0" w14:textId="77777777" w:rsidR="00550A4A" w:rsidRPr="00550A4A" w:rsidRDefault="00550A4A" w:rsidP="00550A4A">
      <w:pPr>
        <w:spacing w:after="22" w:line="259" w:lineRule="auto"/>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 </w:t>
      </w:r>
    </w:p>
    <w:p w14:paraId="6E60C9B5" w14:textId="77777777" w:rsidR="00550A4A" w:rsidRPr="00550A4A" w:rsidRDefault="00550A4A" w:rsidP="00550A4A">
      <w:pPr>
        <w:numPr>
          <w:ilvl w:val="0"/>
          <w:numId w:val="1"/>
        </w:numPr>
        <w:spacing w:after="5"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b/>
          <w:bCs/>
          <w:color w:val="000000"/>
          <w:kern w:val="0"/>
          <w:sz w:val="22"/>
          <w:szCs w:val="22"/>
          <w:lang w:val="es-ES" w:eastAsia="es-ES" w:bidi="es-ES"/>
          <w14:ligatures w14:val="none"/>
        </w:rPr>
        <w:t xml:space="preserve">Planta </w:t>
      </w:r>
      <w:r w:rsidRPr="00550A4A">
        <w:rPr>
          <w:rFonts w:ascii="Calibri" w:eastAsia="Calibri" w:hAnsi="Calibri" w:cs="Calibri"/>
          <w:color w:val="000000"/>
          <w:kern w:val="0"/>
          <w:sz w:val="22"/>
          <w:szCs w:val="22"/>
          <w:lang w:val="es-ES" w:eastAsia="es-ES" w:bidi="es-ES"/>
          <w14:ligatures w14:val="none"/>
        </w:rPr>
        <w:t xml:space="preserve">comprende aquellos activos que se agrupan; se conservan en uso para la producción o el suministro de bienes o servicios; se utilizan en la ejecución de programas y operaciones administrativas del PNUD; y se espera que se usen durante más de un período financiero sobre el que se informa. Algunos ejemplos de dichos activos son la maquinaria pesada; el mobiliario y los accesorios. El costo combinado de dicho grupo de activos en conjunto debe ser de USD 5000 o más y debe cumplir con los criterios de capitalización descritos en «Reconocimiento». </w:t>
      </w:r>
    </w:p>
    <w:p w14:paraId="12271B5E" w14:textId="77777777" w:rsidR="00550A4A" w:rsidRPr="00550A4A" w:rsidRDefault="00550A4A" w:rsidP="00550A4A">
      <w:pPr>
        <w:spacing w:after="23" w:line="259" w:lineRule="auto"/>
        <w:ind w:left="46"/>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 </w:t>
      </w:r>
    </w:p>
    <w:p w14:paraId="0151AD4F" w14:textId="77777777" w:rsidR="00550A4A" w:rsidRPr="00550A4A" w:rsidRDefault="00550A4A" w:rsidP="00550A4A">
      <w:pPr>
        <w:numPr>
          <w:ilvl w:val="0"/>
          <w:numId w:val="1"/>
        </w:numPr>
        <w:spacing w:after="5"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b/>
          <w:bCs/>
          <w:color w:val="000000"/>
          <w:kern w:val="0"/>
          <w:sz w:val="22"/>
          <w:szCs w:val="22"/>
          <w:lang w:val="es-ES" w:eastAsia="es-ES" w:bidi="es-ES"/>
          <w14:ligatures w14:val="none"/>
        </w:rPr>
        <w:t xml:space="preserve">Propiedad </w:t>
      </w:r>
      <w:r w:rsidRPr="00550A4A">
        <w:rPr>
          <w:rFonts w:ascii="Calibri" w:eastAsia="Calibri" w:hAnsi="Calibri" w:cs="Calibri"/>
          <w:color w:val="000000"/>
          <w:kern w:val="0"/>
          <w:sz w:val="22"/>
          <w:szCs w:val="22"/>
          <w:lang w:val="es-ES" w:eastAsia="es-ES" w:bidi="es-ES"/>
          <w14:ligatures w14:val="none"/>
        </w:rPr>
        <w:t xml:space="preserve">se define como una clase de activos que son: (a) </w:t>
      </w:r>
      <w:r w:rsidRPr="00550A4A">
        <w:rPr>
          <w:rFonts w:ascii="Calibri" w:eastAsia="Calibri" w:hAnsi="Calibri" w:cs="Calibri"/>
          <w:color w:val="000000"/>
          <w:kern w:val="0"/>
          <w:sz w:val="22"/>
          <w:szCs w:val="22"/>
          <w:u w:val="single"/>
          <w:lang w:val="es-ES" w:eastAsia="es-ES" w:bidi="es-ES"/>
          <w14:ligatures w14:val="none"/>
        </w:rPr>
        <w:t>Terrenos</w:t>
      </w:r>
      <w:r w:rsidRPr="00550A4A">
        <w:rPr>
          <w:rFonts w:ascii="Calibri" w:eastAsia="Calibri" w:hAnsi="Calibri" w:cs="Calibri"/>
          <w:color w:val="000000"/>
          <w:kern w:val="0"/>
          <w:sz w:val="22"/>
          <w:szCs w:val="22"/>
          <w:lang w:val="es-ES" w:eastAsia="es-ES" w:bidi="es-ES"/>
          <w14:ligatures w14:val="none"/>
        </w:rPr>
        <w:t xml:space="preserve"> o (b) </w:t>
      </w:r>
      <w:r w:rsidRPr="00550A4A">
        <w:rPr>
          <w:rFonts w:ascii="Calibri" w:eastAsia="Calibri" w:hAnsi="Calibri" w:cs="Calibri"/>
          <w:color w:val="000000"/>
          <w:kern w:val="0"/>
          <w:sz w:val="22"/>
          <w:szCs w:val="22"/>
          <w:u w:val="single"/>
          <w:lang w:val="es-ES" w:eastAsia="es-ES" w:bidi="es-ES"/>
          <w14:ligatures w14:val="none"/>
        </w:rPr>
        <w:t>Edificios</w:t>
      </w:r>
      <w:r w:rsidRPr="00550A4A">
        <w:rPr>
          <w:rFonts w:ascii="Calibri" w:eastAsia="Calibri" w:hAnsi="Calibri" w:cs="Calibri"/>
          <w:color w:val="000000"/>
          <w:kern w:val="0"/>
          <w:sz w:val="22"/>
          <w:szCs w:val="22"/>
          <w:lang w:val="es-ES" w:eastAsia="es-ES" w:bidi="es-ES"/>
          <w14:ligatures w14:val="none"/>
        </w:rPr>
        <w:t xml:space="preserve"> que son poseídos y/o controlados por el PNUD con un costo (o valor si son donados) de USD 5000 o más; y el costo del Terreno o el Edificio puede medirse de manera fiable. </w:t>
      </w:r>
    </w:p>
    <w:p w14:paraId="3572601B" w14:textId="77777777" w:rsidR="00550A4A" w:rsidRPr="00550A4A" w:rsidRDefault="00550A4A" w:rsidP="00550A4A">
      <w:pPr>
        <w:spacing w:after="22" w:line="259" w:lineRule="auto"/>
        <w:ind w:left="46"/>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 </w:t>
      </w:r>
    </w:p>
    <w:p w14:paraId="7FDDAC52" w14:textId="77777777" w:rsidR="00550A4A" w:rsidRPr="00550A4A" w:rsidRDefault="00550A4A" w:rsidP="00550A4A">
      <w:pPr>
        <w:numPr>
          <w:ilvl w:val="0"/>
          <w:numId w:val="1"/>
        </w:numPr>
        <w:spacing w:after="5"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b/>
          <w:color w:val="000000"/>
          <w:kern w:val="0"/>
          <w:sz w:val="22"/>
          <w:szCs w:val="22"/>
          <w:lang w:val="es-ES" w:eastAsia="es-ES" w:bidi="es-ES"/>
          <w14:ligatures w14:val="none"/>
        </w:rPr>
        <w:t xml:space="preserve">Activos Intangibles </w:t>
      </w:r>
      <w:r w:rsidRPr="00550A4A">
        <w:rPr>
          <w:rFonts w:ascii="Calibri" w:eastAsia="Calibri" w:hAnsi="Calibri" w:cs="Calibri"/>
          <w:color w:val="000000"/>
          <w:kern w:val="0"/>
          <w:sz w:val="22"/>
          <w:szCs w:val="22"/>
          <w:lang w:val="es-ES" w:eastAsia="es-ES" w:bidi="es-ES"/>
          <w14:ligatures w14:val="none"/>
        </w:rPr>
        <w:t xml:space="preserve">son los artículos no físicos de valor que posee el PNUD. Las características que definen a un Activo Intangible son que no tienen una existencia física (no pueden tocarse) ni un valor monetario fijo. No pueden verse ni tocarse, pero son importantes para el éxito del PNUD. Los Activos Intangibles pueden generarse en forma interna, como un software desarrollado en forma interna, o adquirirse de fuentes externas, p. ej., un fondo de comercio (que puede no regir para el PNUD) o una marca, p. ej., si el PNUD utiliza una marca comercial respetable en la ejecución de uno de sus proyectos.  </w:t>
      </w:r>
    </w:p>
    <w:p w14:paraId="7628BA26" w14:textId="77777777" w:rsidR="00550A4A" w:rsidRPr="00550A4A" w:rsidRDefault="00550A4A" w:rsidP="00550A4A">
      <w:pPr>
        <w:spacing w:after="21" w:line="259" w:lineRule="auto"/>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 </w:t>
      </w:r>
    </w:p>
    <w:p w14:paraId="137A4775" w14:textId="77777777" w:rsidR="00550A4A" w:rsidRPr="00550A4A" w:rsidRDefault="00550A4A" w:rsidP="00550A4A">
      <w:pPr>
        <w:numPr>
          <w:ilvl w:val="0"/>
          <w:numId w:val="1"/>
        </w:numPr>
        <w:spacing w:after="35"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Los umbrales de capitalización para los Intangibles son los siguientes:  </w:t>
      </w:r>
    </w:p>
    <w:p w14:paraId="55140C86" w14:textId="77777777" w:rsidR="00550A4A" w:rsidRPr="00550A4A" w:rsidRDefault="00550A4A" w:rsidP="00550A4A">
      <w:pPr>
        <w:numPr>
          <w:ilvl w:val="1"/>
          <w:numId w:val="1"/>
        </w:numPr>
        <w:spacing w:after="34" w:line="249" w:lineRule="auto"/>
        <w:ind w:left="1350"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lastRenderedPageBreak/>
        <w:t xml:space="preserve">Software desarrollado en forma interna USD 50 000                                                                   </w:t>
      </w:r>
    </w:p>
    <w:p w14:paraId="7D315348" w14:textId="77777777" w:rsidR="00550A4A" w:rsidRPr="00550A4A" w:rsidRDefault="00550A4A" w:rsidP="00550A4A">
      <w:pPr>
        <w:numPr>
          <w:ilvl w:val="1"/>
          <w:numId w:val="1"/>
        </w:numPr>
        <w:spacing w:after="5" w:line="249" w:lineRule="auto"/>
        <w:ind w:left="1350"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Intangibles adquiridos en forma externa (software y otros intangibles) USD 5000 </w:t>
      </w:r>
    </w:p>
    <w:p w14:paraId="6854F2DB" w14:textId="77777777" w:rsidR="00550A4A" w:rsidRPr="00550A4A" w:rsidRDefault="00550A4A" w:rsidP="00550A4A">
      <w:pPr>
        <w:spacing w:after="5" w:line="249" w:lineRule="auto"/>
        <w:ind w:left="720" w:right="32" w:hanging="370"/>
        <w:jc w:val="both"/>
        <w:rPr>
          <w:rFonts w:ascii="Calibri" w:eastAsia="Calibri" w:hAnsi="Calibri" w:cs="Calibri"/>
          <w:color w:val="000000"/>
          <w:kern w:val="0"/>
          <w:sz w:val="22"/>
          <w:szCs w:val="22"/>
          <w:lang w:val="es-ES" w:eastAsia="es-ES" w:bidi="es-ES"/>
          <w14:ligatures w14:val="none"/>
        </w:rPr>
      </w:pPr>
    </w:p>
    <w:p w14:paraId="1DF5A596" w14:textId="77777777" w:rsidR="00550A4A" w:rsidRPr="00550A4A" w:rsidRDefault="00550A4A" w:rsidP="00550A4A">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550A4A">
        <w:rPr>
          <w:rFonts w:ascii="Calibri" w:eastAsia="Calibri" w:hAnsi="Calibri" w:cs="Calibri"/>
          <w:b/>
          <w:color w:val="000000"/>
          <w:kern w:val="0"/>
          <w:sz w:val="22"/>
          <w:szCs w:val="22"/>
          <w:lang w:val="es-ES" w:eastAsia="es-ES" w:bidi="es-ES"/>
          <w14:ligatures w14:val="none"/>
        </w:rPr>
        <w:t xml:space="preserve">Uso y Control  </w:t>
      </w:r>
    </w:p>
    <w:p w14:paraId="73DE1FCA" w14:textId="77777777" w:rsidR="00550A4A" w:rsidRPr="00550A4A" w:rsidRDefault="00550A4A" w:rsidP="00550A4A">
      <w:pPr>
        <w:spacing w:after="20" w:line="259" w:lineRule="auto"/>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  </w:t>
      </w:r>
    </w:p>
    <w:p w14:paraId="2B768058" w14:textId="77777777" w:rsidR="00550A4A" w:rsidRPr="00550A4A" w:rsidRDefault="00550A4A" w:rsidP="00550A4A">
      <w:pPr>
        <w:numPr>
          <w:ilvl w:val="0"/>
          <w:numId w:val="2"/>
        </w:numPr>
        <w:spacing w:after="5"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El término «uso y control» es fundamental, dado que determina si un activo debe o no capitalizarse.  Cuando un activo se capitaliza, el costo total del activo se contabiliza como gasto a través de varios </w:t>
      </w:r>
      <w:hyperlink r:id="rId7" w:history="1">
        <w:r w:rsidRPr="00550A4A">
          <w:rPr>
            <w:rFonts w:ascii="Calibri" w:eastAsia="Calibri" w:hAnsi="Calibri" w:cs="Calibri"/>
            <w:color w:val="0563C1"/>
            <w:kern w:val="0"/>
            <w:sz w:val="22"/>
            <w:szCs w:val="22"/>
            <w:u w:val="single"/>
            <w:lang w:val="es-ES" w:eastAsia="es-ES" w:bidi="es-ES"/>
            <w14:ligatures w14:val="none"/>
          </w:rPr>
          <w:t>periodos contables</w:t>
        </w:r>
      </w:hyperlink>
      <w:r w:rsidRPr="00550A4A">
        <w:rPr>
          <w:rFonts w:ascii="Calibri" w:eastAsia="Calibri" w:hAnsi="Calibri" w:cs="Calibri"/>
          <w:color w:val="000000"/>
          <w:kern w:val="0"/>
          <w:sz w:val="22"/>
          <w:szCs w:val="22"/>
          <w:lang w:val="es-ES" w:eastAsia="es-ES" w:bidi="es-ES"/>
          <w14:ligatures w14:val="none"/>
        </w:rPr>
        <w:t xml:space="preserve"> en lugar de </w:t>
      </w:r>
      <w:hyperlink r:id="rId8" w:history="1">
        <w:r w:rsidRPr="00550A4A">
          <w:rPr>
            <w:rFonts w:ascii="Calibri" w:eastAsia="Calibri" w:hAnsi="Calibri" w:cs="Calibri"/>
            <w:color w:val="0563C1"/>
            <w:kern w:val="0"/>
            <w:sz w:val="22"/>
            <w:szCs w:val="22"/>
            <w:u w:val="single"/>
            <w:lang w:val="es-ES" w:eastAsia="es-ES" w:bidi="es-ES"/>
            <w14:ligatures w14:val="none"/>
          </w:rPr>
          <w:t>contabilizarse como gasto</w:t>
        </w:r>
      </w:hyperlink>
      <w:r w:rsidRPr="00550A4A">
        <w:rPr>
          <w:rFonts w:ascii="Calibri" w:eastAsia="Calibri" w:hAnsi="Calibri" w:cs="Calibri"/>
          <w:color w:val="000000"/>
          <w:kern w:val="0"/>
          <w:sz w:val="22"/>
          <w:szCs w:val="22"/>
          <w:lang w:val="es-ES" w:eastAsia="es-ES" w:bidi="es-ES"/>
          <w14:ligatures w14:val="none"/>
        </w:rPr>
        <w:t xml:space="preserve"> al momento de la compra.  </w:t>
      </w:r>
    </w:p>
    <w:p w14:paraId="7C268276" w14:textId="77777777" w:rsidR="00550A4A" w:rsidRPr="00550A4A" w:rsidRDefault="00550A4A" w:rsidP="00550A4A">
      <w:pPr>
        <w:spacing w:after="22" w:line="259" w:lineRule="auto"/>
        <w:ind w:left="46"/>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 </w:t>
      </w:r>
    </w:p>
    <w:p w14:paraId="6C67E88B" w14:textId="77777777" w:rsidR="00550A4A" w:rsidRPr="00550A4A" w:rsidRDefault="00550A4A" w:rsidP="00550A4A">
      <w:pPr>
        <w:numPr>
          <w:ilvl w:val="0"/>
          <w:numId w:val="2"/>
        </w:numPr>
        <w:spacing w:after="5"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El PNUD tiene el </w:t>
      </w:r>
      <w:r w:rsidRPr="00550A4A">
        <w:rPr>
          <w:rFonts w:ascii="Calibri" w:eastAsia="Calibri" w:hAnsi="Calibri" w:cs="Calibri"/>
          <w:b/>
          <w:color w:val="000000"/>
          <w:kern w:val="0"/>
          <w:sz w:val="22"/>
          <w:szCs w:val="22"/>
          <w:u w:val="single" w:color="000000"/>
          <w:lang w:val="es-ES" w:eastAsia="es-ES" w:bidi="es-ES"/>
          <w14:ligatures w14:val="none"/>
        </w:rPr>
        <w:t>control</w:t>
      </w:r>
      <w:r w:rsidRPr="00550A4A">
        <w:rPr>
          <w:rFonts w:ascii="Calibri" w:eastAsia="Calibri" w:hAnsi="Calibri" w:cs="Calibri"/>
          <w:color w:val="000000"/>
          <w:kern w:val="0"/>
          <w:sz w:val="22"/>
          <w:szCs w:val="22"/>
          <w:lang w:val="es-ES" w:eastAsia="es-ES" w:bidi="es-ES"/>
          <w14:ligatures w14:val="none"/>
        </w:rPr>
        <w:t xml:space="preserve"> sobre un activo cuando puede usar o de otro modo beneficiarse del activo en la búsqueda de sus objetivos y puede excluir o de otro modo regular el acceso de otros a dicho beneficio. En general, un activo cumplirá con los criterios de «uso y control» cuando esté físicamente ubicado en las instalaciones del PNUD (ya sean poseídas o arrendadas). </w:t>
      </w:r>
    </w:p>
    <w:p w14:paraId="69510A1D" w14:textId="77777777" w:rsidR="00550A4A" w:rsidRPr="00550A4A" w:rsidRDefault="00550A4A" w:rsidP="00550A4A">
      <w:pPr>
        <w:spacing w:after="20" w:line="259" w:lineRule="auto"/>
        <w:ind w:left="46"/>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 </w:t>
      </w:r>
    </w:p>
    <w:p w14:paraId="64FDF0D8" w14:textId="77777777" w:rsidR="00550A4A" w:rsidRPr="00550A4A" w:rsidRDefault="00550A4A" w:rsidP="00550A4A">
      <w:pPr>
        <w:numPr>
          <w:ilvl w:val="0"/>
          <w:numId w:val="2"/>
        </w:numPr>
        <w:spacing w:after="5"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El PNUD opera según diferentes modalidades de implementación. Estas modalidades de implementación son también un indicador útil de si el PNUD usa y controla un activo. Todos los activos comprados a partir del presupuesto de apoyo bienal o del presupuesto institucional (es decir, el presupuesto administrativo o de operaciones del PNUD) califican para la capitalización si cumplen con los 5 criterios mencionados en el </w:t>
      </w:r>
      <w:r w:rsidRPr="00550A4A">
        <w:rPr>
          <w:rFonts w:ascii="Calibri" w:eastAsia="Calibri" w:hAnsi="Calibri" w:cs="Calibri"/>
          <w:b/>
          <w:bCs/>
          <w:color w:val="000000"/>
          <w:kern w:val="0"/>
          <w:sz w:val="22"/>
          <w:szCs w:val="22"/>
          <w:lang w:val="es-ES" w:eastAsia="es-ES" w:bidi="es-ES"/>
          <w14:ligatures w14:val="none"/>
        </w:rPr>
        <w:t xml:space="preserve">párrafo Reconocimiento más arriba. </w:t>
      </w:r>
      <w:r w:rsidRPr="00550A4A">
        <w:rPr>
          <w:rFonts w:ascii="Calibri" w:eastAsia="Calibri" w:hAnsi="Calibri" w:cs="Calibri"/>
          <w:color w:val="000000"/>
          <w:kern w:val="0"/>
          <w:sz w:val="22"/>
          <w:szCs w:val="22"/>
          <w:lang w:val="es-ES" w:eastAsia="es-ES" w:bidi="es-ES"/>
          <w14:ligatures w14:val="none"/>
        </w:rPr>
        <w:t>Los activos adquiridos para proyectos ejecutados a través del Apoyo a las Oficinas en los Países para NIM (Implementación Nacional) y la modalidad de Implementación Directa pueden calificar para la capitalización, siempre que los activos estén bajos «uso y control» del PNUD.</w:t>
      </w:r>
      <w:r w:rsidRPr="00550A4A">
        <w:rPr>
          <w:rFonts w:ascii="Calibri" w:eastAsia="Calibri" w:hAnsi="Calibri" w:cs="Calibri"/>
          <w:b/>
          <w:bCs/>
          <w:color w:val="000000"/>
          <w:kern w:val="0"/>
          <w:sz w:val="22"/>
          <w:szCs w:val="22"/>
          <w:u w:val="single"/>
          <w:lang w:val="es-ES" w:eastAsia="es-ES" w:bidi="es-ES"/>
          <w14:ligatures w14:val="none"/>
        </w:rPr>
        <w:t xml:space="preserve"> Dichos activos se denominan en esta política activos de proyectos de desarrollo</w:t>
      </w:r>
      <w:r w:rsidRPr="00550A4A">
        <w:rPr>
          <w:rFonts w:ascii="Calibri" w:eastAsia="Calibri" w:hAnsi="Calibri" w:cs="Calibri"/>
          <w:color w:val="000000"/>
          <w:kern w:val="0"/>
          <w:sz w:val="22"/>
          <w:szCs w:val="22"/>
          <w:lang w:val="es-ES" w:eastAsia="es-ES" w:bidi="es-ES"/>
          <w14:ligatures w14:val="none"/>
        </w:rPr>
        <w:t xml:space="preserve">. Si un proyecto en el cual el PNUD tiene «uso y control» de sus activos se espera que dure exactamente un año o menos y los activos están bajo uso y control del PNUD antes del cierre del proyecto, las oficinas deben registrar y capitalizar dichos activos en lugar de contabilizarlos como gastos dado que el proceso de transferir activos lleva tiempo y dichos activos habrán sido usados y controlados por el PNUD durante más de 12 meses. </w:t>
      </w:r>
    </w:p>
    <w:p w14:paraId="7D0D8766" w14:textId="77777777" w:rsidR="00550A4A" w:rsidRPr="00550A4A" w:rsidRDefault="00550A4A" w:rsidP="00550A4A">
      <w:pPr>
        <w:spacing w:after="21" w:line="259" w:lineRule="auto"/>
        <w:ind w:left="46"/>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 </w:t>
      </w:r>
    </w:p>
    <w:p w14:paraId="0B105AB4" w14:textId="77777777" w:rsidR="00550A4A" w:rsidRPr="00550A4A" w:rsidRDefault="00550A4A" w:rsidP="00550A4A">
      <w:pPr>
        <w:numPr>
          <w:ilvl w:val="0"/>
          <w:numId w:val="2"/>
        </w:numPr>
        <w:spacing w:after="5"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En aquellas modalidades de implementación según las cuales el PNUD generalmente no usa ni controla los activos, como en los proyectos completamente NIM, el activo se contabilizará como gasto y no se capitalizará.   </w:t>
      </w:r>
    </w:p>
    <w:p w14:paraId="0D746E9B" w14:textId="77777777" w:rsidR="00550A4A" w:rsidRPr="00550A4A" w:rsidRDefault="00550A4A" w:rsidP="00550A4A">
      <w:pPr>
        <w:spacing w:after="21" w:line="259" w:lineRule="auto"/>
        <w:ind w:left="46"/>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 </w:t>
      </w:r>
    </w:p>
    <w:p w14:paraId="46C3E129" w14:textId="77777777" w:rsidR="00550A4A" w:rsidRPr="00550A4A" w:rsidRDefault="00550A4A" w:rsidP="00550A4A">
      <w:pPr>
        <w:numPr>
          <w:ilvl w:val="0"/>
          <w:numId w:val="2"/>
        </w:numPr>
        <w:spacing w:after="5"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Además de la ubicación y la modalidad de implementación, los siguientes son criterios adicionales que pueden utilizarse para determinar si el PNUD tiene control sobre PPE: </w:t>
      </w:r>
    </w:p>
    <w:p w14:paraId="63A1CC37" w14:textId="77777777" w:rsidR="00550A4A" w:rsidRPr="00550A4A" w:rsidRDefault="00550A4A" w:rsidP="00550A4A">
      <w:pPr>
        <w:spacing w:after="21" w:line="259" w:lineRule="auto"/>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 </w:t>
      </w:r>
    </w:p>
    <w:p w14:paraId="51245084" w14:textId="77777777" w:rsidR="00550A4A" w:rsidRPr="00550A4A" w:rsidRDefault="00550A4A" w:rsidP="00550A4A">
      <w:pPr>
        <w:numPr>
          <w:ilvl w:val="1"/>
          <w:numId w:val="2"/>
        </w:numPr>
        <w:spacing w:after="34"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¿La compra del artículo de PPE se llevó a cabo según las instrucciones dadas por el PNUD o fue el resultado de estas? </w:t>
      </w:r>
    </w:p>
    <w:p w14:paraId="7931BF6D" w14:textId="77777777" w:rsidR="00550A4A" w:rsidRPr="00550A4A" w:rsidRDefault="00550A4A" w:rsidP="00550A4A">
      <w:pPr>
        <w:numPr>
          <w:ilvl w:val="1"/>
          <w:numId w:val="2"/>
        </w:numPr>
        <w:spacing w:after="33"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¿El título legal está a nombre del PNUD? </w:t>
      </w:r>
    </w:p>
    <w:p w14:paraId="0489B2E2" w14:textId="77777777" w:rsidR="00550A4A" w:rsidRPr="00550A4A" w:rsidRDefault="00550A4A" w:rsidP="00550A4A">
      <w:pPr>
        <w:numPr>
          <w:ilvl w:val="1"/>
          <w:numId w:val="2"/>
        </w:numPr>
        <w:spacing w:after="32"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¿El artículo de PPE está físicamente ubicado en las instalaciones o en las ubicaciones utilizadas por el PNUD? </w:t>
      </w:r>
    </w:p>
    <w:p w14:paraId="31A04C5D" w14:textId="77777777" w:rsidR="00550A4A" w:rsidRPr="00550A4A" w:rsidRDefault="00550A4A" w:rsidP="00550A4A">
      <w:pPr>
        <w:numPr>
          <w:ilvl w:val="1"/>
          <w:numId w:val="2"/>
        </w:numPr>
        <w:spacing w:after="34"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lastRenderedPageBreak/>
        <w:t xml:space="preserve">¿El artículo de PPE es utilizado físicamente por el personal empleado por el PNUD o por el personal que trabaja bajo las instrucciones del PNUD? </w:t>
      </w:r>
    </w:p>
    <w:p w14:paraId="6D9E5177" w14:textId="77777777" w:rsidR="00550A4A" w:rsidRPr="00550A4A" w:rsidRDefault="00550A4A" w:rsidP="00550A4A">
      <w:pPr>
        <w:numPr>
          <w:ilvl w:val="1"/>
          <w:numId w:val="2"/>
        </w:numPr>
        <w:spacing w:after="34"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¿El PNUD puede decidir sobre un uso alternativo del artículo de PPE? </w:t>
      </w:r>
    </w:p>
    <w:p w14:paraId="6DA83F95" w14:textId="77777777" w:rsidR="00550A4A" w:rsidRPr="00550A4A" w:rsidRDefault="00550A4A" w:rsidP="00550A4A">
      <w:pPr>
        <w:numPr>
          <w:ilvl w:val="1"/>
          <w:numId w:val="2"/>
        </w:numPr>
        <w:spacing w:after="32"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¿Es el PNUD quien decide sobre la venta o la enajenación del artículo de PPE? </w:t>
      </w:r>
    </w:p>
    <w:p w14:paraId="6A9C32FC" w14:textId="77777777" w:rsidR="00550A4A" w:rsidRPr="00550A4A" w:rsidRDefault="00550A4A" w:rsidP="00550A4A">
      <w:pPr>
        <w:numPr>
          <w:ilvl w:val="1"/>
          <w:numId w:val="2"/>
        </w:numPr>
        <w:spacing w:after="32"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Si el artículo de PPE debiera quitarse o destruirse, ¿tomaría el PNUD la decisión de reemplazarlo? </w:t>
      </w:r>
    </w:p>
    <w:p w14:paraId="055CD121" w14:textId="77777777" w:rsidR="00550A4A" w:rsidRPr="00550A4A" w:rsidRDefault="00550A4A" w:rsidP="00550A4A">
      <w:pPr>
        <w:numPr>
          <w:ilvl w:val="1"/>
          <w:numId w:val="2"/>
        </w:numPr>
        <w:spacing w:after="5"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¿Inspecciona un representante del PNUD con regularidad el PPE para determinar su condición de uso actual?  </w:t>
      </w:r>
    </w:p>
    <w:p w14:paraId="54CFA1D3" w14:textId="77777777" w:rsidR="00550A4A" w:rsidRPr="00550A4A" w:rsidRDefault="00550A4A" w:rsidP="00550A4A">
      <w:pPr>
        <w:spacing w:after="5" w:line="249" w:lineRule="auto"/>
        <w:ind w:left="720" w:right="32" w:hanging="370"/>
        <w:jc w:val="both"/>
        <w:rPr>
          <w:rFonts w:ascii="Calibri" w:eastAsia="Calibri" w:hAnsi="Calibri" w:cs="Calibri"/>
          <w:color w:val="000000"/>
          <w:kern w:val="0"/>
          <w:sz w:val="22"/>
          <w:szCs w:val="22"/>
          <w:lang w:val="es-ES" w:eastAsia="es-ES" w:bidi="es-ES"/>
          <w14:ligatures w14:val="none"/>
        </w:rPr>
      </w:pPr>
    </w:p>
    <w:p w14:paraId="3C7FF664" w14:textId="77777777" w:rsidR="00550A4A" w:rsidRPr="00550A4A" w:rsidRDefault="00550A4A" w:rsidP="00550A4A">
      <w:pPr>
        <w:numPr>
          <w:ilvl w:val="0"/>
          <w:numId w:val="2"/>
        </w:numPr>
        <w:spacing w:after="5"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Al determinar si un activo debe o no registrarse en los libros del PNUD, debe tenerse en cuenta la sustancia de la transacción. Por ejemplo, si el PNUD entrega un vehículo a un asociado en la ejecución que tiene «uso y control» totales sobre el activo pero que sin embargo conserva el título del vehículo en nombre del PNUD, el vehículo no debe registrarse en los libros del PNUD dado que el PNUD no gestiona este vehículo diariamente ni tiene control sobre cómo se utiliza.  Se recomienda que, en todos los casos, al margen del caso de implementación por parte de una ONG (organización no gubernamental)</w:t>
      </w:r>
      <w:r w:rsidRPr="00550A4A">
        <w:rPr>
          <w:rFonts w:ascii="Calibri" w:eastAsia="Calibri" w:hAnsi="Calibri" w:cs="Calibri"/>
          <w:b/>
          <w:bCs/>
          <w:color w:val="000000"/>
          <w:kern w:val="0"/>
          <w:sz w:val="22"/>
          <w:szCs w:val="22"/>
          <w:lang w:val="es-ES" w:eastAsia="es-ES" w:bidi="es-ES"/>
          <w14:ligatures w14:val="none"/>
        </w:rPr>
        <w:t>, la entrega de un vehículo esté acompañada también por la transferencia del título.</w:t>
      </w:r>
      <w:r w:rsidRPr="00550A4A">
        <w:rPr>
          <w:rFonts w:ascii="Calibri" w:eastAsia="Calibri" w:hAnsi="Calibri" w:cs="Calibri"/>
          <w:color w:val="000000"/>
          <w:kern w:val="0"/>
          <w:sz w:val="22"/>
          <w:szCs w:val="22"/>
          <w:lang w:val="es-ES" w:eastAsia="es-ES" w:bidi="es-ES"/>
          <w14:ligatures w14:val="none"/>
        </w:rPr>
        <w:t xml:space="preserve"> Todos los vehículos que aún tienen el título del PNUD deben utilizarse de conformidad con la política de gestión de vehículos del PNUD. </w:t>
      </w:r>
    </w:p>
    <w:p w14:paraId="141C32E5" w14:textId="77777777" w:rsidR="00550A4A" w:rsidRPr="00550A4A" w:rsidRDefault="00550A4A" w:rsidP="00550A4A">
      <w:pPr>
        <w:spacing w:after="0" w:line="259" w:lineRule="auto"/>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b/>
          <w:color w:val="000000"/>
          <w:kern w:val="0"/>
          <w:sz w:val="22"/>
          <w:szCs w:val="22"/>
          <w:lang w:val="es-ES" w:eastAsia="es-ES" w:bidi="es-ES"/>
          <w14:ligatures w14:val="none"/>
        </w:rPr>
        <w:t xml:space="preserve"> </w:t>
      </w:r>
    </w:p>
    <w:p w14:paraId="18D9497F" w14:textId="77777777" w:rsidR="00550A4A" w:rsidRPr="00550A4A" w:rsidRDefault="00550A4A" w:rsidP="00550A4A">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550A4A">
        <w:rPr>
          <w:rFonts w:ascii="Calibri" w:eastAsia="Calibri" w:hAnsi="Calibri" w:cs="Calibri"/>
          <w:b/>
          <w:color w:val="000000"/>
          <w:kern w:val="0"/>
          <w:sz w:val="22"/>
          <w:szCs w:val="22"/>
          <w:lang w:val="es-ES" w:eastAsia="es-ES" w:bidi="es-ES"/>
          <w14:ligatures w14:val="none"/>
        </w:rPr>
        <w:t xml:space="preserve">Gestión de Activos </w:t>
      </w:r>
      <w:r w:rsidRPr="00550A4A">
        <w:rPr>
          <w:rFonts w:ascii="Calibri" w:eastAsia="Calibri" w:hAnsi="Calibri" w:cs="Calibri"/>
          <w:color w:val="000000"/>
          <w:kern w:val="0"/>
          <w:sz w:val="22"/>
          <w:szCs w:val="22"/>
          <w:lang w:val="es-ES" w:eastAsia="es-ES" w:bidi="es-ES"/>
          <w14:ligatures w14:val="none"/>
        </w:rPr>
        <w:t xml:space="preserve"> </w:t>
      </w:r>
    </w:p>
    <w:p w14:paraId="62E5397E" w14:textId="77777777" w:rsidR="00550A4A" w:rsidRPr="00550A4A" w:rsidRDefault="00550A4A" w:rsidP="00550A4A">
      <w:pPr>
        <w:spacing w:after="21" w:line="259" w:lineRule="auto"/>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  </w:t>
      </w:r>
    </w:p>
    <w:p w14:paraId="0EDB84FF" w14:textId="77777777" w:rsidR="00550A4A" w:rsidRPr="00550A4A" w:rsidRDefault="00550A4A" w:rsidP="00550A4A">
      <w:pPr>
        <w:numPr>
          <w:ilvl w:val="0"/>
          <w:numId w:val="3"/>
        </w:numPr>
        <w:spacing w:after="5"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Todos los artículos de PPE, Arrendamientos Financieros y Activos Intangibles usados y controlados por el PNUD, independientemente de su valor, deben ser gestionados de manera apropiada en conformidad con el Reglamento Financiero y Reglamentación Financiera Detallada del PNUD. Estas directrices, junto con el Marco de Control Interno (ICF) y el contenido de esta POPP, establecen los procedimientos y sistemas que facilitan el cumplimiento con las Normas Internacionales de Contabilidad del Sector Público (IPSAS), así como también con la presentación de informes precisos. Dicho cumplimiento incluye la verificación periódica de la existencia de activos; la evaluación del deterioro de activos; la conciliación de los resultados de la verificación física con los registros; además de controles internos para asegurar la integridad y la precisión de los registros.  </w:t>
      </w:r>
    </w:p>
    <w:p w14:paraId="1689E589" w14:textId="77777777" w:rsidR="00550A4A" w:rsidRPr="00550A4A" w:rsidRDefault="00550A4A" w:rsidP="00550A4A">
      <w:pPr>
        <w:spacing w:after="0" w:line="259" w:lineRule="auto"/>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  </w:t>
      </w:r>
    </w:p>
    <w:p w14:paraId="43376367" w14:textId="77777777" w:rsidR="00550A4A" w:rsidRPr="00550A4A" w:rsidRDefault="00550A4A" w:rsidP="00550A4A">
      <w:pPr>
        <w:spacing w:after="0" w:line="259" w:lineRule="auto"/>
        <w:ind w:left="-5" w:hanging="10"/>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b/>
          <w:color w:val="000000"/>
          <w:kern w:val="0"/>
          <w:sz w:val="22"/>
          <w:szCs w:val="22"/>
          <w:lang w:val="es-ES" w:eastAsia="es-ES" w:bidi="es-ES"/>
          <w14:ligatures w14:val="none"/>
        </w:rPr>
        <w:t>Clases de PPE</w:t>
      </w:r>
      <w:r w:rsidRPr="00550A4A">
        <w:rPr>
          <w:rFonts w:ascii="Calibri" w:eastAsia="Calibri" w:hAnsi="Calibri" w:cs="Calibri"/>
          <w:color w:val="000000"/>
          <w:kern w:val="0"/>
          <w:sz w:val="22"/>
          <w:szCs w:val="22"/>
          <w:lang w:val="es-ES" w:eastAsia="es-ES" w:bidi="es-ES"/>
          <w14:ligatures w14:val="none"/>
        </w:rPr>
        <w:t xml:space="preserve"> </w:t>
      </w:r>
    </w:p>
    <w:p w14:paraId="3EED4DD2" w14:textId="77777777" w:rsidR="00550A4A" w:rsidRPr="00550A4A" w:rsidRDefault="00550A4A" w:rsidP="00550A4A">
      <w:pPr>
        <w:spacing w:after="20" w:line="259" w:lineRule="auto"/>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  </w:t>
      </w:r>
    </w:p>
    <w:p w14:paraId="30CF3E3E" w14:textId="77777777" w:rsidR="00550A4A" w:rsidRPr="00550A4A" w:rsidRDefault="00550A4A" w:rsidP="00550A4A">
      <w:pPr>
        <w:numPr>
          <w:ilvl w:val="0"/>
          <w:numId w:val="3"/>
        </w:numPr>
        <w:spacing w:after="5"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El PNUD reconoce las siguientes clases o grupos de PPE: </w:t>
      </w:r>
    </w:p>
    <w:p w14:paraId="199398E8" w14:textId="77777777" w:rsidR="00550A4A" w:rsidRPr="00550A4A" w:rsidRDefault="00550A4A" w:rsidP="00550A4A">
      <w:pPr>
        <w:spacing w:after="14" w:line="259" w:lineRule="auto"/>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  </w:t>
      </w:r>
    </w:p>
    <w:p w14:paraId="4E5DC197" w14:textId="77777777" w:rsidR="00550A4A" w:rsidRPr="00550A4A" w:rsidRDefault="00550A4A" w:rsidP="00550A4A">
      <w:pPr>
        <w:keepNext/>
        <w:keepLines/>
        <w:spacing w:after="0" w:line="259" w:lineRule="auto"/>
        <w:ind w:left="1090" w:hanging="10"/>
        <w:outlineLvl w:val="0"/>
        <w:rPr>
          <w:rFonts w:ascii="Calibri" w:eastAsia="Calibri" w:hAnsi="Calibri" w:cs="Calibri"/>
          <w:b/>
          <w:color w:val="000000"/>
          <w:kern w:val="0"/>
          <w:sz w:val="22"/>
          <w:szCs w:val="22"/>
          <w:lang w:val="es-ES" w:eastAsia="es-ES" w:bidi="es-ES"/>
          <w14:ligatures w14:val="none"/>
        </w:rPr>
      </w:pPr>
      <w:r w:rsidRPr="00550A4A">
        <w:rPr>
          <w:rFonts w:ascii="Calibri" w:eastAsia="Calibri" w:hAnsi="Calibri" w:cs="Calibri"/>
          <w:b/>
          <w:color w:val="000000"/>
          <w:kern w:val="0"/>
          <w:sz w:val="22"/>
          <w:szCs w:val="22"/>
          <w:lang w:val="es-ES" w:eastAsia="es-ES" w:bidi="es-ES"/>
          <w14:ligatures w14:val="none"/>
        </w:rPr>
        <w:t>a) Activos tangibles</w:t>
      </w:r>
      <w:r w:rsidRPr="00550A4A">
        <w:rPr>
          <w:rFonts w:ascii="Calibri" w:eastAsia="Calibri" w:hAnsi="Calibri" w:cs="Calibri"/>
          <w:color w:val="000000"/>
          <w:kern w:val="0"/>
          <w:sz w:val="22"/>
          <w:szCs w:val="22"/>
          <w:lang w:val="es-ES" w:eastAsia="es-ES" w:bidi="es-ES"/>
          <w14:ligatures w14:val="none"/>
        </w:rPr>
        <w:t xml:space="preserve"> </w:t>
      </w:r>
    </w:p>
    <w:p w14:paraId="7DD8985E" w14:textId="77777777" w:rsidR="00550A4A" w:rsidRPr="00550A4A" w:rsidRDefault="00550A4A" w:rsidP="00550A4A">
      <w:pPr>
        <w:numPr>
          <w:ilvl w:val="0"/>
          <w:numId w:val="4"/>
        </w:numPr>
        <w:spacing w:after="33" w:line="249" w:lineRule="auto"/>
        <w:ind w:right="32" w:hanging="37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Terrenos </w:t>
      </w:r>
    </w:p>
    <w:p w14:paraId="795A382B" w14:textId="77777777" w:rsidR="00550A4A" w:rsidRPr="00550A4A" w:rsidRDefault="00550A4A" w:rsidP="00550A4A">
      <w:pPr>
        <w:numPr>
          <w:ilvl w:val="0"/>
          <w:numId w:val="4"/>
        </w:numPr>
        <w:spacing w:after="34" w:line="249" w:lineRule="auto"/>
        <w:ind w:right="32" w:hanging="37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Edificios </w:t>
      </w:r>
    </w:p>
    <w:p w14:paraId="1529CABA" w14:textId="77777777" w:rsidR="00550A4A" w:rsidRPr="00550A4A" w:rsidRDefault="00550A4A" w:rsidP="00550A4A">
      <w:pPr>
        <w:numPr>
          <w:ilvl w:val="0"/>
          <w:numId w:val="4"/>
        </w:numPr>
        <w:spacing w:after="29" w:line="249" w:lineRule="auto"/>
        <w:ind w:right="32" w:hanging="37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Mejoras de Locales Arrendados  </w:t>
      </w:r>
    </w:p>
    <w:p w14:paraId="7F52F3D8" w14:textId="77777777" w:rsidR="00550A4A" w:rsidRPr="00550A4A" w:rsidRDefault="00550A4A" w:rsidP="00550A4A">
      <w:pPr>
        <w:numPr>
          <w:ilvl w:val="0"/>
          <w:numId w:val="4"/>
        </w:numPr>
        <w:spacing w:after="29" w:line="249" w:lineRule="auto"/>
        <w:ind w:right="32" w:hanging="37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Equipo de comunicaciones y TI </w:t>
      </w:r>
    </w:p>
    <w:p w14:paraId="2C61A11A" w14:textId="77777777" w:rsidR="00550A4A" w:rsidRPr="00550A4A" w:rsidRDefault="00550A4A" w:rsidP="00550A4A">
      <w:pPr>
        <w:spacing w:after="31" w:line="249" w:lineRule="auto"/>
        <w:ind w:left="1800" w:right="3474"/>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v)</w:t>
      </w:r>
      <w:r w:rsidRPr="00550A4A">
        <w:rPr>
          <w:rFonts w:ascii="Arial" w:eastAsia="Calibri" w:hAnsi="Arial" w:cs="Calibri"/>
          <w:color w:val="000000"/>
          <w:kern w:val="0"/>
          <w:sz w:val="22"/>
          <w:szCs w:val="22"/>
          <w:lang w:val="es-ES" w:eastAsia="es-ES" w:bidi="es-ES"/>
          <w14:ligatures w14:val="none"/>
        </w:rPr>
        <w:t xml:space="preserve">   </w:t>
      </w:r>
      <w:r w:rsidRPr="00550A4A">
        <w:rPr>
          <w:rFonts w:ascii="Calibri" w:eastAsia="Calibri" w:hAnsi="Calibri" w:cs="Calibri"/>
          <w:color w:val="000000"/>
          <w:kern w:val="0"/>
          <w:sz w:val="22"/>
          <w:szCs w:val="22"/>
          <w:lang w:val="es-ES" w:eastAsia="es-ES" w:bidi="es-ES"/>
          <w14:ligatures w14:val="none"/>
        </w:rPr>
        <w:t xml:space="preserve">Maquinaria pesada y otros equipos </w:t>
      </w:r>
    </w:p>
    <w:p w14:paraId="386E3132" w14:textId="77777777" w:rsidR="00550A4A" w:rsidRPr="00550A4A" w:rsidRDefault="00550A4A" w:rsidP="00550A4A">
      <w:pPr>
        <w:spacing w:after="31" w:line="249" w:lineRule="auto"/>
        <w:ind w:left="1800" w:right="3474"/>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vi)</w:t>
      </w:r>
      <w:r w:rsidRPr="00550A4A">
        <w:rPr>
          <w:rFonts w:ascii="Arial" w:eastAsia="Calibri" w:hAnsi="Arial" w:cs="Calibri"/>
          <w:color w:val="000000"/>
          <w:kern w:val="0"/>
          <w:sz w:val="22"/>
          <w:szCs w:val="22"/>
          <w:lang w:val="es-ES" w:eastAsia="es-ES" w:bidi="es-ES"/>
          <w14:ligatures w14:val="none"/>
        </w:rPr>
        <w:t xml:space="preserve">  </w:t>
      </w:r>
      <w:r w:rsidRPr="00550A4A">
        <w:rPr>
          <w:rFonts w:ascii="Calibri" w:eastAsia="Calibri" w:hAnsi="Calibri" w:cs="Calibri"/>
          <w:color w:val="000000"/>
          <w:kern w:val="0"/>
          <w:sz w:val="22"/>
          <w:szCs w:val="22"/>
          <w:lang w:val="es-ES" w:eastAsia="es-ES" w:bidi="es-ES"/>
          <w14:ligatures w14:val="none"/>
        </w:rPr>
        <w:t xml:space="preserve">Vehículos </w:t>
      </w:r>
    </w:p>
    <w:p w14:paraId="76622154" w14:textId="77777777" w:rsidR="00550A4A" w:rsidRPr="00550A4A" w:rsidRDefault="00550A4A" w:rsidP="00550A4A">
      <w:pPr>
        <w:spacing w:after="5" w:line="249" w:lineRule="auto"/>
        <w:ind w:left="1800" w:right="32"/>
        <w:jc w:val="both"/>
        <w:rPr>
          <w:rFonts w:ascii="Calibri" w:eastAsia="Calibri" w:hAnsi="Calibri" w:cs="Calibri"/>
          <w:color w:val="000000"/>
          <w:kern w:val="0"/>
          <w:sz w:val="22"/>
          <w:szCs w:val="22"/>
          <w:lang w:val="es-ES" w:eastAsia="es-ES" w:bidi="es-ES"/>
          <w14:ligatures w14:val="none"/>
        </w:rPr>
      </w:pPr>
      <w:proofErr w:type="spellStart"/>
      <w:r w:rsidRPr="00550A4A">
        <w:rPr>
          <w:rFonts w:ascii="Calibri" w:eastAsia="Calibri" w:hAnsi="Calibri" w:cs="Calibri"/>
          <w:color w:val="000000"/>
          <w:kern w:val="0"/>
          <w:sz w:val="22"/>
          <w:szCs w:val="22"/>
          <w:lang w:val="es-ES" w:eastAsia="es-ES" w:bidi="es-ES"/>
          <w14:ligatures w14:val="none"/>
        </w:rPr>
        <w:lastRenderedPageBreak/>
        <w:t>vii</w:t>
      </w:r>
      <w:proofErr w:type="spellEnd"/>
      <w:r w:rsidRPr="00550A4A">
        <w:rPr>
          <w:rFonts w:ascii="Calibri" w:eastAsia="Calibri" w:hAnsi="Calibri" w:cs="Calibri"/>
          <w:color w:val="000000"/>
          <w:kern w:val="0"/>
          <w:sz w:val="22"/>
          <w:szCs w:val="22"/>
          <w:lang w:val="es-ES" w:eastAsia="es-ES" w:bidi="es-ES"/>
          <w14:ligatures w14:val="none"/>
        </w:rPr>
        <w:t>)</w:t>
      </w:r>
      <w:r w:rsidRPr="00550A4A">
        <w:rPr>
          <w:rFonts w:ascii="Arial" w:eastAsia="Calibri" w:hAnsi="Arial" w:cs="Calibri"/>
          <w:color w:val="000000"/>
          <w:kern w:val="0"/>
          <w:sz w:val="22"/>
          <w:szCs w:val="22"/>
          <w:lang w:val="es-ES" w:eastAsia="es-ES" w:bidi="es-ES"/>
          <w14:ligatures w14:val="none"/>
        </w:rPr>
        <w:t xml:space="preserve">  </w:t>
      </w:r>
      <w:r w:rsidRPr="00550A4A">
        <w:rPr>
          <w:rFonts w:ascii="Calibri" w:eastAsia="Calibri" w:hAnsi="Calibri" w:cs="Calibri"/>
          <w:color w:val="000000"/>
          <w:kern w:val="0"/>
          <w:sz w:val="22"/>
          <w:szCs w:val="22"/>
          <w:lang w:val="es-ES" w:eastAsia="es-ES" w:bidi="es-ES"/>
          <w14:ligatures w14:val="none"/>
        </w:rPr>
        <w:t xml:space="preserve">Mobiliario y Accesorios </w:t>
      </w:r>
    </w:p>
    <w:p w14:paraId="2DA58F60" w14:textId="77777777" w:rsidR="00550A4A" w:rsidRPr="00550A4A" w:rsidRDefault="00550A4A" w:rsidP="00550A4A">
      <w:pPr>
        <w:spacing w:after="15" w:line="259" w:lineRule="auto"/>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  </w:t>
      </w:r>
    </w:p>
    <w:p w14:paraId="437A1317" w14:textId="77777777" w:rsidR="00550A4A" w:rsidRPr="00550A4A" w:rsidRDefault="00550A4A" w:rsidP="00550A4A">
      <w:pPr>
        <w:keepNext/>
        <w:keepLines/>
        <w:spacing w:after="0" w:line="259" w:lineRule="auto"/>
        <w:ind w:left="1090" w:hanging="10"/>
        <w:outlineLvl w:val="0"/>
        <w:rPr>
          <w:rFonts w:ascii="Calibri" w:eastAsia="Calibri" w:hAnsi="Calibri" w:cs="Calibri"/>
          <w:b/>
          <w:color w:val="000000"/>
          <w:kern w:val="0"/>
          <w:sz w:val="22"/>
          <w:szCs w:val="22"/>
          <w:lang w:val="es-ES" w:eastAsia="es-ES" w:bidi="es-ES"/>
          <w14:ligatures w14:val="none"/>
        </w:rPr>
      </w:pPr>
      <w:r w:rsidRPr="00550A4A">
        <w:rPr>
          <w:rFonts w:ascii="Calibri" w:eastAsia="Calibri" w:hAnsi="Calibri" w:cs="Calibri"/>
          <w:b/>
          <w:color w:val="000000"/>
          <w:kern w:val="0"/>
          <w:sz w:val="22"/>
          <w:szCs w:val="22"/>
          <w:lang w:val="es-ES" w:eastAsia="es-ES" w:bidi="es-ES"/>
          <w14:ligatures w14:val="none"/>
        </w:rPr>
        <w:t>b)</w:t>
      </w:r>
      <w:r w:rsidRPr="00550A4A">
        <w:rPr>
          <w:rFonts w:ascii="Arial" w:eastAsia="Calibri" w:hAnsi="Arial" w:cs="Calibri"/>
          <w:b/>
          <w:color w:val="000000"/>
          <w:kern w:val="0"/>
          <w:sz w:val="22"/>
          <w:szCs w:val="22"/>
          <w:lang w:val="es-ES" w:eastAsia="es-ES" w:bidi="es-ES"/>
          <w14:ligatures w14:val="none"/>
        </w:rPr>
        <w:t xml:space="preserve"> </w:t>
      </w:r>
      <w:r w:rsidRPr="00550A4A">
        <w:rPr>
          <w:rFonts w:ascii="Calibri" w:eastAsia="Calibri" w:hAnsi="Calibri" w:cs="Calibri"/>
          <w:b/>
          <w:color w:val="000000"/>
          <w:kern w:val="0"/>
          <w:sz w:val="22"/>
          <w:szCs w:val="22"/>
          <w:lang w:val="es-ES" w:eastAsia="es-ES" w:bidi="es-ES"/>
          <w14:ligatures w14:val="none"/>
        </w:rPr>
        <w:t xml:space="preserve">Activos intangibles </w:t>
      </w:r>
    </w:p>
    <w:p w14:paraId="3D3B428E" w14:textId="77777777" w:rsidR="00550A4A" w:rsidRPr="00550A4A" w:rsidRDefault="00550A4A" w:rsidP="00550A4A">
      <w:pPr>
        <w:spacing w:after="5" w:line="249" w:lineRule="auto"/>
        <w:ind w:left="1080" w:right="32"/>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Un activo intangible es un activo no monetario identificable sin sustancia física. Algunos ejemplos de activos intangibles incluyen licencias de software, marcas comerciales, derechos de autor y software desarrollado.   </w:t>
      </w:r>
    </w:p>
    <w:p w14:paraId="25751C53" w14:textId="77777777" w:rsidR="00550A4A" w:rsidRPr="00550A4A" w:rsidRDefault="00550A4A" w:rsidP="00550A4A">
      <w:pPr>
        <w:spacing w:after="14" w:line="259" w:lineRule="auto"/>
        <w:ind w:left="1440"/>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 </w:t>
      </w:r>
    </w:p>
    <w:p w14:paraId="18CC74B8" w14:textId="77777777" w:rsidR="00550A4A" w:rsidRPr="00550A4A" w:rsidRDefault="00550A4A" w:rsidP="00550A4A">
      <w:pPr>
        <w:keepNext/>
        <w:keepLines/>
        <w:spacing w:after="0" w:line="259" w:lineRule="auto"/>
        <w:ind w:left="1090" w:hanging="10"/>
        <w:outlineLvl w:val="0"/>
        <w:rPr>
          <w:rFonts w:ascii="Calibri" w:eastAsia="Calibri" w:hAnsi="Calibri" w:cs="Calibri"/>
          <w:b/>
          <w:color w:val="000000"/>
          <w:kern w:val="0"/>
          <w:sz w:val="22"/>
          <w:szCs w:val="22"/>
          <w:lang w:val="es-ES" w:eastAsia="es-ES" w:bidi="es-ES"/>
          <w14:ligatures w14:val="none"/>
        </w:rPr>
      </w:pPr>
      <w:r w:rsidRPr="00550A4A">
        <w:rPr>
          <w:rFonts w:ascii="Calibri" w:eastAsia="Calibri" w:hAnsi="Calibri" w:cs="Calibri"/>
          <w:b/>
          <w:color w:val="000000"/>
          <w:kern w:val="0"/>
          <w:sz w:val="22"/>
          <w:szCs w:val="22"/>
          <w:lang w:val="es-ES" w:eastAsia="es-ES" w:bidi="es-ES"/>
          <w14:ligatures w14:val="none"/>
        </w:rPr>
        <w:t>c)</w:t>
      </w:r>
      <w:r w:rsidRPr="00550A4A">
        <w:rPr>
          <w:rFonts w:ascii="Arial" w:eastAsia="Calibri" w:hAnsi="Arial" w:cs="Calibri"/>
          <w:b/>
          <w:color w:val="000000"/>
          <w:kern w:val="0"/>
          <w:sz w:val="22"/>
          <w:szCs w:val="22"/>
          <w:lang w:val="es-ES" w:eastAsia="es-ES" w:bidi="es-ES"/>
          <w14:ligatures w14:val="none"/>
        </w:rPr>
        <w:t xml:space="preserve"> </w:t>
      </w:r>
      <w:r w:rsidRPr="00550A4A">
        <w:rPr>
          <w:rFonts w:ascii="Calibri" w:eastAsia="Calibri" w:hAnsi="Calibri" w:cs="Calibri"/>
          <w:b/>
          <w:color w:val="000000"/>
          <w:kern w:val="0"/>
          <w:sz w:val="22"/>
          <w:szCs w:val="22"/>
          <w:lang w:val="es-ES" w:eastAsia="es-ES" w:bidi="es-ES"/>
          <w14:ligatures w14:val="none"/>
        </w:rPr>
        <w:t>Arrendamientos financieros</w:t>
      </w:r>
      <w:r w:rsidRPr="00550A4A">
        <w:rPr>
          <w:rFonts w:ascii="Calibri" w:eastAsia="Calibri" w:hAnsi="Calibri" w:cs="Calibri"/>
          <w:color w:val="000000"/>
          <w:kern w:val="0"/>
          <w:sz w:val="22"/>
          <w:szCs w:val="22"/>
          <w:lang w:val="es-ES" w:eastAsia="es-ES" w:bidi="es-ES"/>
          <w14:ligatures w14:val="none"/>
        </w:rPr>
        <w:t xml:space="preserve"> </w:t>
      </w:r>
    </w:p>
    <w:p w14:paraId="76A68524" w14:textId="77777777" w:rsidR="00550A4A" w:rsidRPr="00550A4A" w:rsidRDefault="00550A4A" w:rsidP="00550A4A">
      <w:pPr>
        <w:spacing w:after="5" w:line="249" w:lineRule="auto"/>
        <w:ind w:left="1080" w:right="32"/>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Un arrendamiento financiero es un arrendamiento de capital que transfiere sustancialmente todos los riesgos y las ventajas inherentes a la propiedad de un activo. El título puede o no transferirse eventualmente, si bien el PNUD no posee el título legal durante la vigencia del arrendamiento. </w:t>
      </w:r>
    </w:p>
    <w:p w14:paraId="6D4EAF29" w14:textId="77777777" w:rsidR="00550A4A" w:rsidRPr="00550A4A" w:rsidRDefault="00550A4A" w:rsidP="00550A4A">
      <w:pPr>
        <w:spacing w:after="20" w:line="259" w:lineRule="auto"/>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 </w:t>
      </w:r>
    </w:p>
    <w:p w14:paraId="7EA2A61C" w14:textId="77777777" w:rsidR="00550A4A" w:rsidRPr="00550A4A" w:rsidRDefault="00550A4A" w:rsidP="00550A4A">
      <w:pPr>
        <w:spacing w:after="5" w:line="249" w:lineRule="auto"/>
        <w:ind w:left="715" w:right="32" w:hanging="37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16.</w:t>
      </w:r>
      <w:r w:rsidRPr="00550A4A">
        <w:rPr>
          <w:rFonts w:ascii="Arial" w:eastAsia="Calibri" w:hAnsi="Arial" w:cs="Calibri"/>
          <w:color w:val="000000"/>
          <w:kern w:val="0"/>
          <w:sz w:val="22"/>
          <w:szCs w:val="22"/>
          <w:lang w:val="es-ES" w:eastAsia="es-ES" w:bidi="es-ES"/>
          <w14:ligatures w14:val="none"/>
        </w:rPr>
        <w:t xml:space="preserve"> </w:t>
      </w:r>
      <w:r w:rsidRPr="00550A4A">
        <w:rPr>
          <w:rFonts w:ascii="Calibri" w:eastAsia="Calibri" w:hAnsi="Calibri" w:cs="Calibri"/>
          <w:color w:val="000000"/>
          <w:kern w:val="0"/>
          <w:sz w:val="22"/>
          <w:szCs w:val="22"/>
          <w:lang w:val="es-ES" w:eastAsia="es-ES" w:bidi="es-ES"/>
          <w14:ligatures w14:val="none"/>
        </w:rPr>
        <w:t xml:space="preserve">Esta política no rige para artículos de inventario adquiridos exclusivamente para la distribución a terceros en la realización de su misión ni para artículos que serán utilizados por el PNUD para fines administrativos dentro de 12 meses, es decir, consumibles o insumos. Consulte la Política de Gestión de Inventario para conocer más detalles. </w:t>
      </w:r>
    </w:p>
    <w:p w14:paraId="40CB87DE" w14:textId="77777777" w:rsidR="00550A4A" w:rsidRPr="00550A4A" w:rsidRDefault="00550A4A" w:rsidP="00550A4A">
      <w:pPr>
        <w:spacing w:after="0" w:line="259" w:lineRule="auto"/>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 </w:t>
      </w:r>
    </w:p>
    <w:p w14:paraId="5B2827B0" w14:textId="77777777" w:rsidR="00550A4A" w:rsidRPr="00550A4A" w:rsidRDefault="00550A4A" w:rsidP="00550A4A">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550A4A">
        <w:rPr>
          <w:rFonts w:ascii="Calibri" w:eastAsia="Calibri" w:hAnsi="Calibri" w:cs="Calibri"/>
          <w:b/>
          <w:color w:val="000000"/>
          <w:kern w:val="0"/>
          <w:sz w:val="22"/>
          <w:szCs w:val="22"/>
          <w:lang w:val="es-ES" w:eastAsia="es-ES" w:bidi="es-ES"/>
          <w14:ligatures w14:val="none"/>
        </w:rPr>
        <w:t>PPE conforme a las Normas Internacionales de Contabilidad del Sector Público (IPSAS)</w:t>
      </w:r>
      <w:r w:rsidRPr="00550A4A">
        <w:rPr>
          <w:rFonts w:ascii="Calibri" w:eastAsia="Calibri" w:hAnsi="Calibri" w:cs="Calibri"/>
          <w:color w:val="000000"/>
          <w:kern w:val="0"/>
          <w:sz w:val="22"/>
          <w:szCs w:val="22"/>
          <w:lang w:val="es-ES" w:eastAsia="es-ES" w:bidi="es-ES"/>
          <w14:ligatures w14:val="none"/>
        </w:rPr>
        <w:t xml:space="preserve"> </w:t>
      </w:r>
    </w:p>
    <w:p w14:paraId="2E877530" w14:textId="77777777" w:rsidR="00550A4A" w:rsidRPr="00550A4A" w:rsidRDefault="00550A4A" w:rsidP="00550A4A">
      <w:pPr>
        <w:spacing w:after="21" w:line="259" w:lineRule="auto"/>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  </w:t>
      </w:r>
    </w:p>
    <w:p w14:paraId="1DA77BA5" w14:textId="77777777" w:rsidR="00550A4A" w:rsidRPr="00550A4A" w:rsidRDefault="00550A4A" w:rsidP="00550A4A">
      <w:pPr>
        <w:numPr>
          <w:ilvl w:val="0"/>
          <w:numId w:val="5"/>
        </w:numPr>
        <w:spacing w:after="5"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El PPE usado y controlado por el PNUD se capitalizará conforme a las IPSAS.   </w:t>
      </w:r>
    </w:p>
    <w:p w14:paraId="3D3F2E2D" w14:textId="77777777" w:rsidR="00550A4A" w:rsidRPr="00550A4A" w:rsidRDefault="00550A4A" w:rsidP="00550A4A">
      <w:pPr>
        <w:spacing w:after="21" w:line="259" w:lineRule="auto"/>
        <w:ind w:left="46"/>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 </w:t>
      </w:r>
    </w:p>
    <w:p w14:paraId="3BDB47E5" w14:textId="77777777" w:rsidR="00550A4A" w:rsidRPr="00550A4A" w:rsidRDefault="00550A4A" w:rsidP="00550A4A">
      <w:pPr>
        <w:numPr>
          <w:ilvl w:val="0"/>
          <w:numId w:val="5"/>
        </w:numPr>
        <w:spacing w:after="5"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La </w:t>
      </w:r>
      <w:r w:rsidRPr="00550A4A">
        <w:rPr>
          <w:rFonts w:ascii="Calibri" w:eastAsia="Calibri" w:hAnsi="Calibri" w:cs="Calibri"/>
          <w:color w:val="000000"/>
          <w:kern w:val="0"/>
          <w:sz w:val="22"/>
          <w:szCs w:val="22"/>
          <w:u w:val="single"/>
          <w:lang w:val="es-ES" w:eastAsia="es-ES" w:bidi="es-ES"/>
          <w14:ligatures w14:val="none"/>
        </w:rPr>
        <w:t>capitalización</w:t>
      </w:r>
      <w:r w:rsidRPr="00550A4A">
        <w:rPr>
          <w:rFonts w:ascii="Calibri" w:eastAsia="Calibri" w:hAnsi="Calibri" w:cs="Calibri"/>
          <w:color w:val="000000"/>
          <w:kern w:val="0"/>
          <w:sz w:val="22"/>
          <w:szCs w:val="22"/>
          <w:lang w:val="es-ES" w:eastAsia="es-ES" w:bidi="es-ES"/>
          <w14:ligatures w14:val="none"/>
        </w:rPr>
        <w:t xml:space="preserve"> es el proceso de registrar los costos asociados con la adquisición o la construcción de un activo en el estado de situación financiera en oposición a contabilizar como gasto el costo total de una sola vez. Este costo luego se contabiliza como gasto durante la vida útil (el período promedio durante el cual se utiliza un activo) de un activo mediante un proceso conocido como Depreciación. </w:t>
      </w:r>
    </w:p>
    <w:p w14:paraId="6661E3F8" w14:textId="77777777" w:rsidR="00550A4A" w:rsidRPr="00550A4A" w:rsidRDefault="00550A4A" w:rsidP="00550A4A">
      <w:pPr>
        <w:spacing w:after="22" w:line="259" w:lineRule="auto"/>
        <w:ind w:left="46"/>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 </w:t>
      </w:r>
    </w:p>
    <w:p w14:paraId="5473A1BF" w14:textId="77777777" w:rsidR="00550A4A" w:rsidRPr="00550A4A" w:rsidRDefault="00550A4A" w:rsidP="00550A4A">
      <w:pPr>
        <w:numPr>
          <w:ilvl w:val="0"/>
          <w:numId w:val="5"/>
        </w:numPr>
        <w:spacing w:after="5"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La </w:t>
      </w:r>
      <w:r w:rsidRPr="00550A4A">
        <w:rPr>
          <w:rFonts w:ascii="Calibri" w:eastAsia="Calibri" w:hAnsi="Calibri" w:cs="Calibri"/>
          <w:color w:val="000000"/>
          <w:kern w:val="0"/>
          <w:sz w:val="22"/>
          <w:szCs w:val="22"/>
          <w:u w:val="single"/>
          <w:lang w:val="es-ES" w:eastAsia="es-ES" w:bidi="es-ES"/>
          <w14:ligatures w14:val="none"/>
        </w:rPr>
        <w:t>depreciación</w:t>
      </w:r>
      <w:r w:rsidRPr="00550A4A">
        <w:rPr>
          <w:rFonts w:ascii="Calibri" w:eastAsia="Calibri" w:hAnsi="Calibri" w:cs="Calibri"/>
          <w:color w:val="000000"/>
          <w:kern w:val="0"/>
          <w:sz w:val="22"/>
          <w:szCs w:val="22"/>
          <w:lang w:val="es-ES" w:eastAsia="es-ES" w:bidi="es-ES"/>
          <w14:ligatures w14:val="none"/>
        </w:rPr>
        <w:t xml:space="preserve"> es la medida del desgaste, el consumo u otra pérdida de valor de un activo a lo largo de su vida útil. Esto se conoce también como gasto de depreciación.  </w:t>
      </w:r>
    </w:p>
    <w:p w14:paraId="7310F181" w14:textId="77777777" w:rsidR="00550A4A" w:rsidRPr="00550A4A" w:rsidRDefault="00550A4A" w:rsidP="00550A4A">
      <w:pPr>
        <w:spacing w:after="23" w:line="259" w:lineRule="auto"/>
        <w:ind w:left="720"/>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 </w:t>
      </w:r>
    </w:p>
    <w:p w14:paraId="6C0DC8E3" w14:textId="77777777" w:rsidR="00550A4A" w:rsidRPr="00550A4A" w:rsidRDefault="00550A4A" w:rsidP="00550A4A">
      <w:pPr>
        <w:numPr>
          <w:ilvl w:val="0"/>
          <w:numId w:val="5"/>
        </w:numPr>
        <w:spacing w:after="5"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El valor de reposición o el valor normal de mercado es el monto por el cual podría intercambiarse un activo, o una obligación liquidada, entre partes dispuestas e informadas en una transacción entre partes independientes.  </w:t>
      </w:r>
    </w:p>
    <w:p w14:paraId="67E0A360" w14:textId="77777777" w:rsidR="00550A4A" w:rsidRPr="00550A4A" w:rsidRDefault="00550A4A" w:rsidP="00550A4A">
      <w:pPr>
        <w:spacing w:after="21" w:line="259" w:lineRule="auto"/>
        <w:ind w:left="46"/>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 </w:t>
      </w:r>
    </w:p>
    <w:p w14:paraId="2FE87DE8" w14:textId="77777777" w:rsidR="00550A4A" w:rsidRPr="00550A4A" w:rsidRDefault="00550A4A" w:rsidP="00550A4A">
      <w:pPr>
        <w:numPr>
          <w:ilvl w:val="0"/>
          <w:numId w:val="5"/>
        </w:numPr>
        <w:spacing w:after="0" w:line="242"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El valor neto contable </w:t>
      </w:r>
      <w:r w:rsidRPr="00550A4A">
        <w:rPr>
          <w:rFonts w:ascii="Calibri" w:eastAsia="Calibri" w:hAnsi="Calibri" w:cs="Calibri"/>
          <w:color w:val="000000"/>
          <w:kern w:val="0"/>
          <w:sz w:val="22"/>
          <w:szCs w:val="22"/>
          <w:u w:val="single" w:color="000000"/>
          <w:lang w:val="es-ES" w:eastAsia="es-ES" w:bidi="es-ES"/>
          <w14:ligatures w14:val="none"/>
        </w:rPr>
        <w:t>es el monto por el cual se reconoce un activo después de deducir cualquier depreciación acumulada y cualquier pérdida por deterioro acumulada.</w:t>
      </w:r>
      <w:r w:rsidRPr="00550A4A">
        <w:rPr>
          <w:rFonts w:ascii="Calibri" w:eastAsia="Calibri" w:hAnsi="Calibri" w:cs="Calibri"/>
          <w:color w:val="000000"/>
          <w:kern w:val="0"/>
          <w:sz w:val="22"/>
          <w:szCs w:val="22"/>
          <w:lang w:val="es-ES" w:eastAsia="es-ES" w:bidi="es-ES"/>
          <w14:ligatures w14:val="none"/>
        </w:rPr>
        <w:t xml:space="preserve"> </w:t>
      </w:r>
    </w:p>
    <w:p w14:paraId="0532F391" w14:textId="77777777" w:rsidR="00550A4A" w:rsidRPr="00550A4A" w:rsidRDefault="00550A4A" w:rsidP="00550A4A">
      <w:pPr>
        <w:spacing w:after="0" w:line="259" w:lineRule="auto"/>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b/>
          <w:color w:val="000000"/>
          <w:kern w:val="0"/>
          <w:sz w:val="22"/>
          <w:szCs w:val="22"/>
          <w:lang w:val="es-ES" w:eastAsia="es-ES" w:bidi="es-ES"/>
          <w14:ligatures w14:val="none"/>
        </w:rPr>
        <w:t xml:space="preserve"> </w:t>
      </w:r>
      <w:r w:rsidRPr="00550A4A">
        <w:rPr>
          <w:rFonts w:ascii="Calibri" w:eastAsia="Calibri" w:hAnsi="Calibri" w:cs="Calibri"/>
          <w:color w:val="000000"/>
          <w:kern w:val="0"/>
          <w:sz w:val="22"/>
          <w:szCs w:val="22"/>
          <w:lang w:val="es-ES" w:eastAsia="es-ES" w:bidi="es-ES"/>
          <w14:ligatures w14:val="none"/>
        </w:rPr>
        <w:t xml:space="preserve"> </w:t>
      </w:r>
    </w:p>
    <w:p w14:paraId="0EB6C3B1" w14:textId="77777777" w:rsidR="00550A4A" w:rsidRPr="00550A4A" w:rsidRDefault="00550A4A" w:rsidP="00550A4A">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550A4A">
        <w:rPr>
          <w:rFonts w:ascii="Calibri" w:eastAsia="Calibri" w:hAnsi="Calibri" w:cs="Calibri"/>
          <w:b/>
          <w:color w:val="000000"/>
          <w:kern w:val="0"/>
          <w:sz w:val="22"/>
          <w:szCs w:val="22"/>
          <w:lang w:val="es-ES" w:eastAsia="es-ES" w:bidi="es-ES"/>
          <w14:ligatures w14:val="none"/>
        </w:rPr>
        <w:t xml:space="preserve">Impacto en la Utilización del Presupuesto </w:t>
      </w:r>
      <w:r w:rsidRPr="00550A4A">
        <w:rPr>
          <w:rFonts w:ascii="Calibri" w:eastAsia="Calibri" w:hAnsi="Calibri" w:cs="Calibri"/>
          <w:color w:val="000000"/>
          <w:kern w:val="0"/>
          <w:sz w:val="22"/>
          <w:szCs w:val="22"/>
          <w:lang w:val="es-ES" w:eastAsia="es-ES" w:bidi="es-ES"/>
          <w14:ligatures w14:val="none"/>
        </w:rPr>
        <w:t xml:space="preserve"> </w:t>
      </w:r>
    </w:p>
    <w:p w14:paraId="147E11C1" w14:textId="77777777" w:rsidR="00550A4A" w:rsidRPr="00550A4A" w:rsidRDefault="00550A4A" w:rsidP="00550A4A">
      <w:pPr>
        <w:spacing w:after="22" w:line="259" w:lineRule="auto"/>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  </w:t>
      </w:r>
    </w:p>
    <w:p w14:paraId="437BD249" w14:textId="77777777" w:rsidR="00550A4A" w:rsidRPr="00550A4A" w:rsidRDefault="00550A4A" w:rsidP="00550A4A">
      <w:pPr>
        <w:numPr>
          <w:ilvl w:val="0"/>
          <w:numId w:val="6"/>
        </w:numPr>
        <w:spacing w:after="5"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Todo el PPE se verificará con el presupuesto en el momento de la adquisición, pero no se verificará con el presupuesto para establecer el gasto de depreciación. Si bien la depreciación es un tipo de gasto, la depreciación no genera una salida de efectivo y, por lo tanto, no hay ningún impacto en </w:t>
      </w:r>
      <w:r w:rsidRPr="00550A4A">
        <w:rPr>
          <w:rFonts w:ascii="Calibri" w:eastAsia="Calibri" w:hAnsi="Calibri" w:cs="Calibri"/>
          <w:color w:val="000000"/>
          <w:kern w:val="0"/>
          <w:sz w:val="22"/>
          <w:szCs w:val="22"/>
          <w:lang w:val="es-ES" w:eastAsia="es-ES" w:bidi="es-ES"/>
          <w14:ligatures w14:val="none"/>
        </w:rPr>
        <w:lastRenderedPageBreak/>
        <w:t xml:space="preserve">la utilización del presupuesto.  Esto significa que, cuando se adquiere un activo con un costo de compra de USD 10 000, los USD 10 000 se cargan al presupuesto cuando la orden de compra (OC) se aprueba y se verifica con el presupuesto. Los siguientes gastos de depreciación, si bien se contabilizan en el plan de cuentas (COA) del proyecto, no se cargan al presupuesto, sino que reflejan el uso del activo a través del tiempo. El siguiente GMS (apoyo general a la gestión) que se carga al gasto de depreciación se verifica con el presupuesto y por este motivo es importante que todos los activos se registren en función a un COA válido y que todos los activos se enajenen antes de cerrar un proyecto. </w:t>
      </w:r>
    </w:p>
    <w:p w14:paraId="003F04B4" w14:textId="77777777" w:rsidR="00550A4A" w:rsidRPr="00550A4A" w:rsidRDefault="00550A4A" w:rsidP="00550A4A">
      <w:pPr>
        <w:spacing w:after="17" w:line="259" w:lineRule="auto"/>
        <w:ind w:left="46"/>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 </w:t>
      </w:r>
    </w:p>
    <w:p w14:paraId="0CA41A20" w14:textId="77777777" w:rsidR="00550A4A" w:rsidRPr="00550A4A" w:rsidRDefault="00550A4A" w:rsidP="00550A4A">
      <w:pPr>
        <w:numPr>
          <w:ilvl w:val="0"/>
          <w:numId w:val="6"/>
        </w:numPr>
        <w:spacing w:after="5"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Dada la integridad de los datos de Gestión de Activos de Quantum sobre PPE, esta información debe utilizarse como una herramienta para la planificación del presupuesto y la reposición. Por ejemplo, una oficina debe revisar los activos en su registro de activos que han alcanzado el evento determinante para su reposición y realizar el presupuesto en consecuencia. </w:t>
      </w:r>
    </w:p>
    <w:p w14:paraId="0E8B01F7" w14:textId="77777777" w:rsidR="00550A4A" w:rsidRPr="00550A4A" w:rsidRDefault="00550A4A" w:rsidP="00550A4A">
      <w:pPr>
        <w:spacing w:after="20" w:line="259" w:lineRule="auto"/>
        <w:ind w:left="106"/>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 </w:t>
      </w:r>
    </w:p>
    <w:p w14:paraId="05D71566" w14:textId="77777777" w:rsidR="00550A4A" w:rsidRPr="00550A4A" w:rsidRDefault="00550A4A" w:rsidP="00550A4A">
      <w:pPr>
        <w:numPr>
          <w:ilvl w:val="0"/>
          <w:numId w:val="6"/>
        </w:numPr>
        <w:spacing w:after="5"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Dado que la depreciación no tendrá un impacto en la utilización del presupuesto, habrá diferencias en los gastos de depreciación entre la contabilidad del Libro Mayor (GL) y balance del proyecto. Esta diferencia es perfectamente aceptable como resultado del diseño del proceso comercial de PPE según las IPSAS. </w:t>
      </w:r>
    </w:p>
    <w:p w14:paraId="275CA8E2" w14:textId="77777777" w:rsidR="00550A4A" w:rsidRPr="00550A4A" w:rsidRDefault="00550A4A" w:rsidP="00550A4A">
      <w:pPr>
        <w:spacing w:after="0" w:line="259" w:lineRule="auto"/>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  </w:t>
      </w:r>
    </w:p>
    <w:p w14:paraId="28C7B87D" w14:textId="77777777" w:rsidR="00550A4A" w:rsidRPr="00550A4A" w:rsidRDefault="00550A4A" w:rsidP="00550A4A">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550A4A">
        <w:rPr>
          <w:rFonts w:ascii="Calibri" w:eastAsia="Calibri" w:hAnsi="Calibri" w:cs="Calibri"/>
          <w:b/>
          <w:color w:val="000000"/>
          <w:kern w:val="0"/>
          <w:sz w:val="22"/>
          <w:szCs w:val="22"/>
          <w:lang w:val="es-ES" w:eastAsia="es-ES" w:bidi="es-ES"/>
          <w14:ligatures w14:val="none"/>
        </w:rPr>
        <w:t xml:space="preserve">Activos y cierre de proyectos </w:t>
      </w:r>
      <w:r w:rsidRPr="00550A4A">
        <w:rPr>
          <w:rFonts w:ascii="Calibri" w:eastAsia="Calibri" w:hAnsi="Calibri" w:cs="Calibri"/>
          <w:color w:val="000000"/>
          <w:kern w:val="0"/>
          <w:sz w:val="22"/>
          <w:szCs w:val="22"/>
          <w:lang w:val="es-ES" w:eastAsia="es-ES" w:bidi="es-ES"/>
          <w14:ligatures w14:val="none"/>
        </w:rPr>
        <w:t xml:space="preserve"> </w:t>
      </w:r>
    </w:p>
    <w:p w14:paraId="10FD4F18" w14:textId="77777777" w:rsidR="00550A4A" w:rsidRPr="00550A4A" w:rsidRDefault="00550A4A" w:rsidP="00550A4A">
      <w:pPr>
        <w:spacing w:after="22" w:line="259" w:lineRule="auto"/>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  </w:t>
      </w:r>
    </w:p>
    <w:p w14:paraId="60D005F9" w14:textId="77777777" w:rsidR="00550A4A" w:rsidRPr="00550A4A" w:rsidRDefault="00550A4A" w:rsidP="00550A4A">
      <w:pPr>
        <w:numPr>
          <w:ilvl w:val="0"/>
          <w:numId w:val="7"/>
        </w:numPr>
        <w:spacing w:after="5"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No debe dejarse ningún activo en el proyecto cerrado. El proyecto no puede cerrarse si no se completó la enajenación o la transferencia de sus activos.</w:t>
      </w:r>
    </w:p>
    <w:p w14:paraId="27821722" w14:textId="77777777" w:rsidR="00550A4A" w:rsidRPr="00550A4A" w:rsidRDefault="00550A4A" w:rsidP="00550A4A">
      <w:pPr>
        <w:spacing w:after="5" w:line="249" w:lineRule="auto"/>
        <w:ind w:left="705" w:right="32"/>
        <w:jc w:val="both"/>
        <w:rPr>
          <w:rFonts w:ascii="Calibri" w:eastAsia="Calibri" w:hAnsi="Calibri" w:cs="Calibri"/>
          <w:color w:val="000000"/>
          <w:kern w:val="0"/>
          <w:sz w:val="22"/>
          <w:szCs w:val="22"/>
          <w:lang w:val="es-ES" w:eastAsia="es-ES" w:bidi="es-ES"/>
          <w14:ligatures w14:val="none"/>
        </w:rPr>
      </w:pPr>
    </w:p>
    <w:p w14:paraId="44BE4446" w14:textId="77777777" w:rsidR="00550A4A" w:rsidRPr="00550A4A" w:rsidRDefault="00550A4A" w:rsidP="00550A4A">
      <w:pPr>
        <w:numPr>
          <w:ilvl w:val="0"/>
          <w:numId w:val="7"/>
        </w:numPr>
        <w:spacing w:after="5"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Con suficiente antelación al cierre del proyecto, la gestión de proyectos debe identificar los métodos de enajenación de activos teniendo en cuenta las provisiones respectivas del documento del proyecto, la Política del PNUD y las circunstancias locales.</w:t>
      </w:r>
    </w:p>
    <w:p w14:paraId="524E11DD" w14:textId="77777777" w:rsidR="00550A4A" w:rsidRPr="00550A4A" w:rsidRDefault="00550A4A" w:rsidP="00550A4A">
      <w:pPr>
        <w:spacing w:after="5" w:line="249" w:lineRule="auto"/>
        <w:ind w:right="32"/>
        <w:jc w:val="both"/>
        <w:rPr>
          <w:rFonts w:ascii="Calibri" w:eastAsia="Calibri" w:hAnsi="Calibri" w:cs="Calibri"/>
          <w:color w:val="000000"/>
          <w:kern w:val="0"/>
          <w:sz w:val="22"/>
          <w:szCs w:val="22"/>
          <w:lang w:val="es-ES" w:eastAsia="es-ES" w:bidi="es-ES"/>
          <w14:ligatures w14:val="none"/>
        </w:rPr>
      </w:pPr>
    </w:p>
    <w:p w14:paraId="18101C5C" w14:textId="77777777" w:rsidR="00550A4A" w:rsidRPr="00550A4A" w:rsidRDefault="00550A4A" w:rsidP="00550A4A">
      <w:pPr>
        <w:numPr>
          <w:ilvl w:val="0"/>
          <w:numId w:val="7"/>
        </w:numPr>
        <w:spacing w:after="5" w:line="249" w:lineRule="auto"/>
        <w:ind w:right="32" w:hanging="360"/>
        <w:jc w:val="both"/>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Los métodos, los requisitos y los procedimientos de enajenación de activos se describen en detalle en la política de Enajenaciones (</w:t>
      </w:r>
      <w:hyperlink r:id="rId9" w:history="1">
        <w:r w:rsidRPr="00550A4A">
          <w:rPr>
            <w:rFonts w:ascii="Calibri" w:eastAsia="Calibri" w:hAnsi="Calibri" w:cs="Calibri"/>
            <w:color w:val="0563C1"/>
            <w:kern w:val="0"/>
            <w:sz w:val="22"/>
            <w:szCs w:val="22"/>
            <w:u w:val="single"/>
            <w:lang w:val="es-ES" w:eastAsia="es-ES" w:bidi="es-ES"/>
            <w14:ligatures w14:val="none"/>
          </w:rPr>
          <w:t>enlace</w:t>
        </w:r>
      </w:hyperlink>
      <w:r w:rsidRPr="00550A4A">
        <w:rPr>
          <w:rFonts w:ascii="Calibri" w:eastAsia="Calibri" w:hAnsi="Calibri" w:cs="Calibri"/>
          <w:color w:val="000000"/>
          <w:kern w:val="0"/>
          <w:sz w:val="22"/>
          <w:szCs w:val="22"/>
          <w:lang w:val="es-ES" w:eastAsia="es-ES" w:bidi="es-ES"/>
          <w14:ligatures w14:val="none"/>
        </w:rPr>
        <w:t>).</w:t>
      </w:r>
    </w:p>
    <w:p w14:paraId="3D1CBD6E" w14:textId="77777777" w:rsidR="00550A4A" w:rsidRPr="00550A4A" w:rsidRDefault="00550A4A" w:rsidP="00550A4A">
      <w:pPr>
        <w:spacing w:after="20" w:line="259" w:lineRule="auto"/>
        <w:ind w:left="46"/>
        <w:rPr>
          <w:rFonts w:ascii="Calibri" w:eastAsia="Calibri" w:hAnsi="Calibri" w:cs="Calibri"/>
          <w:color w:val="000000"/>
          <w:kern w:val="0"/>
          <w:sz w:val="22"/>
          <w:szCs w:val="22"/>
          <w:lang w:val="es-ES" w:eastAsia="es-ES" w:bidi="es-ES"/>
          <w14:ligatures w14:val="none"/>
        </w:rPr>
      </w:pPr>
      <w:r w:rsidRPr="00550A4A">
        <w:rPr>
          <w:rFonts w:ascii="Calibri" w:eastAsia="Calibri" w:hAnsi="Calibri" w:cs="Calibri"/>
          <w:color w:val="000000"/>
          <w:kern w:val="0"/>
          <w:sz w:val="22"/>
          <w:szCs w:val="22"/>
          <w:lang w:val="es-ES" w:eastAsia="es-ES" w:bidi="es-ES"/>
          <w14:ligatures w14:val="none"/>
        </w:rPr>
        <w:t xml:space="preserve"> </w:t>
      </w:r>
    </w:p>
    <w:p w14:paraId="129BEDCB" w14:textId="77777777" w:rsidR="00550A4A" w:rsidRPr="00550A4A" w:rsidRDefault="00550A4A" w:rsidP="00550A4A">
      <w:pPr>
        <w:spacing w:after="20" w:line="259" w:lineRule="auto"/>
        <w:ind w:left="46"/>
        <w:rPr>
          <w:rFonts w:ascii="Calibri" w:eastAsia="Calibri" w:hAnsi="Calibri" w:cs="Calibri"/>
          <w:color w:val="000000"/>
          <w:kern w:val="0"/>
          <w:sz w:val="22"/>
          <w:szCs w:val="22"/>
          <w:lang w:val="es-ES" w:eastAsia="es-ES" w:bidi="es-ES"/>
          <w14:ligatures w14:val="none"/>
        </w:rPr>
      </w:pPr>
    </w:p>
    <w:p w14:paraId="02FE4D81" w14:textId="77777777" w:rsidR="00550A4A" w:rsidRPr="00550A4A" w:rsidRDefault="00550A4A" w:rsidP="00550A4A">
      <w:pPr>
        <w:spacing w:after="20" w:line="259" w:lineRule="auto"/>
        <w:ind w:left="46"/>
        <w:rPr>
          <w:rFonts w:ascii="Calibri" w:eastAsia="Calibri" w:hAnsi="Calibri" w:cs="Calibri"/>
          <w:color w:val="000000"/>
          <w:kern w:val="0"/>
          <w:sz w:val="22"/>
          <w:szCs w:val="22"/>
          <w:lang w:val="es-ES" w:eastAsia="es-ES" w:bidi="es-ES"/>
          <w14:ligatures w14:val="none"/>
        </w:rPr>
      </w:pPr>
    </w:p>
    <w:p w14:paraId="36F3C740" w14:textId="77777777" w:rsidR="00550A4A" w:rsidRPr="00BA5734" w:rsidRDefault="00550A4A" w:rsidP="00550A4A">
      <w:pPr>
        <w:shd w:val="clear" w:color="auto" w:fill="FFFFFF"/>
        <w:spacing w:before="100" w:beforeAutospacing="1" w:after="100" w:afterAutospacing="1" w:line="240" w:lineRule="auto"/>
        <w:textAlignment w:val="top"/>
        <w:rPr>
          <w:rFonts w:ascii="Calibri" w:hAnsi="Calibri" w:cs="Calibri"/>
          <w:i/>
          <w:iCs/>
          <w:sz w:val="22"/>
          <w:szCs w:val="22"/>
          <w:lang w:val="en-GB"/>
        </w:rPr>
      </w:pPr>
      <w:r w:rsidRPr="00BA5734">
        <w:rPr>
          <w:rFonts w:ascii="Calibri" w:hAnsi="Calibri" w:cs="Calibri"/>
          <w:b/>
          <w:bCs/>
          <w:i/>
          <w:iCs/>
          <w:sz w:val="22"/>
          <w:szCs w:val="22"/>
          <w:lang w:val="en-GB"/>
        </w:rPr>
        <w:t>Disclaimer</w:t>
      </w:r>
      <w:r w:rsidRPr="00BA5734">
        <w:rPr>
          <w:rFonts w:ascii="Calibri" w:hAnsi="Calibri" w:cs="Calibri"/>
          <w:i/>
          <w:iCs/>
          <w:sz w:val="22"/>
          <w:szCs w:val="22"/>
          <w:lang w:val="en-GB"/>
        </w:rPr>
        <w:t>: This document was translated from English into Spanish. In the event of any discrepancy between this translation and the original English document, the original English document shall prevail.</w:t>
      </w:r>
    </w:p>
    <w:p w14:paraId="70E492FD" w14:textId="087B55FB" w:rsidR="00DA504D" w:rsidRPr="00BA5734" w:rsidRDefault="00550A4A" w:rsidP="00550A4A">
      <w:pPr>
        <w:shd w:val="clear" w:color="auto" w:fill="FFFFFF"/>
        <w:spacing w:after="0" w:line="240" w:lineRule="auto"/>
        <w:rPr>
          <w:rFonts w:ascii="Calibri" w:eastAsia="Times New Roman" w:hAnsi="Calibri" w:cs="Calibri"/>
          <w:kern w:val="0"/>
          <w:sz w:val="23"/>
          <w:szCs w:val="23"/>
          <w:lang w:val="es-ES"/>
          <w14:ligatures w14:val="none"/>
        </w:rPr>
      </w:pPr>
      <w:proofErr w:type="spellStart"/>
      <w:r w:rsidRPr="00BA5734">
        <w:rPr>
          <w:rFonts w:ascii="Calibri" w:hAnsi="Calibri" w:cs="Calibri"/>
          <w:b/>
          <w:bCs/>
          <w:i/>
          <w:iCs/>
          <w:sz w:val="22"/>
          <w:szCs w:val="22"/>
        </w:rPr>
        <w:t>Descargo</w:t>
      </w:r>
      <w:proofErr w:type="spellEnd"/>
      <w:r w:rsidRPr="00BA5734">
        <w:rPr>
          <w:rFonts w:ascii="Calibri" w:hAnsi="Calibri" w:cs="Calibri"/>
          <w:b/>
          <w:bCs/>
          <w:i/>
          <w:iCs/>
          <w:sz w:val="22"/>
          <w:szCs w:val="22"/>
        </w:rPr>
        <w:t xml:space="preserve"> de </w:t>
      </w:r>
      <w:proofErr w:type="spellStart"/>
      <w:r w:rsidRPr="00BA5734">
        <w:rPr>
          <w:rFonts w:ascii="Calibri" w:hAnsi="Calibri" w:cs="Calibri"/>
          <w:b/>
          <w:bCs/>
          <w:i/>
          <w:iCs/>
          <w:sz w:val="22"/>
          <w:szCs w:val="22"/>
        </w:rPr>
        <w:t>responsabilidad</w:t>
      </w:r>
      <w:proofErr w:type="spellEnd"/>
      <w:r w:rsidRPr="00BA5734">
        <w:rPr>
          <w:rFonts w:ascii="Calibri" w:hAnsi="Calibri" w:cs="Calibri"/>
          <w:i/>
          <w:iCs/>
          <w:sz w:val="22"/>
          <w:szCs w:val="22"/>
        </w:rPr>
        <w:t xml:space="preserve">: </w:t>
      </w:r>
      <w:proofErr w:type="spellStart"/>
      <w:r w:rsidRPr="00BA5734">
        <w:rPr>
          <w:rFonts w:ascii="Calibri" w:hAnsi="Calibri" w:cs="Calibri"/>
          <w:i/>
          <w:iCs/>
          <w:sz w:val="22"/>
          <w:szCs w:val="22"/>
        </w:rPr>
        <w:t>esta</w:t>
      </w:r>
      <w:proofErr w:type="spellEnd"/>
      <w:r w:rsidRPr="00BA5734">
        <w:rPr>
          <w:rFonts w:ascii="Calibri" w:hAnsi="Calibri" w:cs="Calibri"/>
          <w:i/>
          <w:iCs/>
          <w:sz w:val="22"/>
          <w:szCs w:val="22"/>
        </w:rPr>
        <w:t xml:space="preserve"> es </w:t>
      </w:r>
      <w:proofErr w:type="spellStart"/>
      <w:r w:rsidRPr="00BA5734">
        <w:rPr>
          <w:rFonts w:ascii="Calibri" w:hAnsi="Calibri" w:cs="Calibri"/>
          <w:i/>
          <w:iCs/>
          <w:sz w:val="22"/>
          <w:szCs w:val="22"/>
        </w:rPr>
        <w:t>una</w:t>
      </w:r>
      <w:proofErr w:type="spellEnd"/>
      <w:r w:rsidRPr="00BA5734">
        <w:rPr>
          <w:rFonts w:ascii="Calibri" w:hAnsi="Calibri" w:cs="Calibri"/>
          <w:i/>
          <w:iCs/>
          <w:sz w:val="22"/>
          <w:szCs w:val="22"/>
        </w:rPr>
        <w:t xml:space="preserve"> </w:t>
      </w:r>
      <w:proofErr w:type="spellStart"/>
      <w:r w:rsidRPr="00BA5734">
        <w:rPr>
          <w:rFonts w:ascii="Calibri" w:hAnsi="Calibri" w:cs="Calibri"/>
          <w:i/>
          <w:iCs/>
          <w:sz w:val="22"/>
          <w:szCs w:val="22"/>
        </w:rPr>
        <w:t>traducción</w:t>
      </w:r>
      <w:proofErr w:type="spellEnd"/>
      <w:r w:rsidRPr="00BA5734">
        <w:rPr>
          <w:rFonts w:ascii="Calibri" w:hAnsi="Calibri" w:cs="Calibri"/>
          <w:i/>
          <w:iCs/>
          <w:sz w:val="22"/>
          <w:szCs w:val="22"/>
        </w:rPr>
        <w:t xml:space="preserve"> de un </w:t>
      </w:r>
      <w:proofErr w:type="spellStart"/>
      <w:r w:rsidRPr="00BA5734">
        <w:rPr>
          <w:rFonts w:ascii="Calibri" w:hAnsi="Calibri" w:cs="Calibri"/>
          <w:i/>
          <w:iCs/>
          <w:sz w:val="22"/>
          <w:szCs w:val="22"/>
        </w:rPr>
        <w:t>documento</w:t>
      </w:r>
      <w:proofErr w:type="spellEnd"/>
      <w:r w:rsidRPr="00BA5734">
        <w:rPr>
          <w:rFonts w:ascii="Calibri" w:hAnsi="Calibri" w:cs="Calibri"/>
          <w:i/>
          <w:iCs/>
          <w:sz w:val="22"/>
          <w:szCs w:val="22"/>
        </w:rPr>
        <w:t xml:space="preserve"> original </w:t>
      </w:r>
      <w:proofErr w:type="spellStart"/>
      <w:r w:rsidRPr="00BA5734">
        <w:rPr>
          <w:rFonts w:ascii="Calibri" w:hAnsi="Calibri" w:cs="Calibri"/>
          <w:i/>
          <w:iCs/>
          <w:sz w:val="22"/>
          <w:szCs w:val="22"/>
        </w:rPr>
        <w:t>en</w:t>
      </w:r>
      <w:proofErr w:type="spellEnd"/>
      <w:r w:rsidRPr="00BA5734">
        <w:rPr>
          <w:rFonts w:ascii="Calibri" w:hAnsi="Calibri" w:cs="Calibri"/>
          <w:i/>
          <w:iCs/>
          <w:sz w:val="22"/>
          <w:szCs w:val="22"/>
        </w:rPr>
        <w:t xml:space="preserve"> Inglés. En </w:t>
      </w:r>
      <w:proofErr w:type="spellStart"/>
      <w:r w:rsidRPr="00BA5734">
        <w:rPr>
          <w:rFonts w:ascii="Calibri" w:hAnsi="Calibri" w:cs="Calibri"/>
          <w:i/>
          <w:iCs/>
          <w:sz w:val="22"/>
          <w:szCs w:val="22"/>
        </w:rPr>
        <w:t>caso</w:t>
      </w:r>
      <w:proofErr w:type="spellEnd"/>
      <w:r w:rsidRPr="00BA5734">
        <w:rPr>
          <w:rFonts w:ascii="Calibri" w:hAnsi="Calibri" w:cs="Calibri"/>
          <w:i/>
          <w:iCs/>
          <w:sz w:val="22"/>
          <w:szCs w:val="22"/>
        </w:rPr>
        <w:t xml:space="preserve"> de </w:t>
      </w:r>
      <w:proofErr w:type="spellStart"/>
      <w:r w:rsidRPr="00BA5734">
        <w:rPr>
          <w:rFonts w:ascii="Calibri" w:hAnsi="Calibri" w:cs="Calibri"/>
          <w:i/>
          <w:iCs/>
          <w:sz w:val="22"/>
          <w:szCs w:val="22"/>
        </w:rPr>
        <w:t>discrepancias</w:t>
      </w:r>
      <w:proofErr w:type="spellEnd"/>
      <w:r w:rsidRPr="00BA5734">
        <w:rPr>
          <w:rFonts w:ascii="Calibri" w:hAnsi="Calibri" w:cs="Calibri"/>
          <w:i/>
          <w:iCs/>
          <w:sz w:val="22"/>
          <w:szCs w:val="22"/>
        </w:rPr>
        <w:t xml:space="preserve"> entre </w:t>
      </w:r>
      <w:proofErr w:type="spellStart"/>
      <w:r w:rsidRPr="00BA5734">
        <w:rPr>
          <w:rFonts w:ascii="Calibri" w:hAnsi="Calibri" w:cs="Calibri"/>
          <w:i/>
          <w:iCs/>
          <w:sz w:val="22"/>
          <w:szCs w:val="22"/>
        </w:rPr>
        <w:t>esta</w:t>
      </w:r>
      <w:proofErr w:type="spellEnd"/>
      <w:r w:rsidRPr="00BA5734">
        <w:rPr>
          <w:rFonts w:ascii="Calibri" w:hAnsi="Calibri" w:cs="Calibri"/>
          <w:i/>
          <w:iCs/>
          <w:sz w:val="22"/>
          <w:szCs w:val="22"/>
        </w:rPr>
        <w:t xml:space="preserve"> </w:t>
      </w:r>
      <w:proofErr w:type="spellStart"/>
      <w:r w:rsidRPr="00BA5734">
        <w:rPr>
          <w:rFonts w:ascii="Calibri" w:hAnsi="Calibri" w:cs="Calibri"/>
          <w:i/>
          <w:iCs/>
          <w:sz w:val="22"/>
          <w:szCs w:val="22"/>
        </w:rPr>
        <w:t>traducción</w:t>
      </w:r>
      <w:proofErr w:type="spellEnd"/>
      <w:r w:rsidRPr="00BA5734">
        <w:rPr>
          <w:rFonts w:ascii="Calibri" w:hAnsi="Calibri" w:cs="Calibri"/>
          <w:i/>
          <w:iCs/>
          <w:sz w:val="22"/>
          <w:szCs w:val="22"/>
        </w:rPr>
        <w:t xml:space="preserve"> y </w:t>
      </w:r>
      <w:proofErr w:type="spellStart"/>
      <w:r w:rsidRPr="00BA5734">
        <w:rPr>
          <w:rFonts w:ascii="Calibri" w:hAnsi="Calibri" w:cs="Calibri"/>
          <w:i/>
          <w:iCs/>
          <w:sz w:val="22"/>
          <w:szCs w:val="22"/>
        </w:rPr>
        <w:t>el</w:t>
      </w:r>
      <w:proofErr w:type="spellEnd"/>
      <w:r w:rsidRPr="00BA5734">
        <w:rPr>
          <w:rFonts w:ascii="Calibri" w:hAnsi="Calibri" w:cs="Calibri"/>
          <w:i/>
          <w:iCs/>
          <w:sz w:val="22"/>
          <w:szCs w:val="22"/>
        </w:rPr>
        <w:t xml:space="preserve"> </w:t>
      </w:r>
      <w:proofErr w:type="spellStart"/>
      <w:r w:rsidRPr="00BA5734">
        <w:rPr>
          <w:rFonts w:ascii="Calibri" w:hAnsi="Calibri" w:cs="Calibri"/>
          <w:i/>
          <w:iCs/>
          <w:sz w:val="22"/>
          <w:szCs w:val="22"/>
        </w:rPr>
        <w:t>documento</w:t>
      </w:r>
      <w:proofErr w:type="spellEnd"/>
      <w:r w:rsidRPr="00BA5734">
        <w:rPr>
          <w:rFonts w:ascii="Calibri" w:hAnsi="Calibri" w:cs="Calibri"/>
          <w:i/>
          <w:iCs/>
          <w:sz w:val="22"/>
          <w:szCs w:val="22"/>
        </w:rPr>
        <w:t xml:space="preserve"> original </w:t>
      </w:r>
      <w:proofErr w:type="spellStart"/>
      <w:r w:rsidRPr="00BA5734">
        <w:rPr>
          <w:rFonts w:ascii="Calibri" w:hAnsi="Calibri" w:cs="Calibri"/>
          <w:i/>
          <w:iCs/>
          <w:sz w:val="22"/>
          <w:szCs w:val="22"/>
        </w:rPr>
        <w:t>en</w:t>
      </w:r>
      <w:proofErr w:type="spellEnd"/>
      <w:r w:rsidRPr="00BA5734">
        <w:rPr>
          <w:rFonts w:ascii="Calibri" w:hAnsi="Calibri" w:cs="Calibri"/>
          <w:i/>
          <w:iCs/>
          <w:sz w:val="22"/>
          <w:szCs w:val="22"/>
        </w:rPr>
        <w:t xml:space="preserve"> </w:t>
      </w:r>
      <w:proofErr w:type="spellStart"/>
      <w:r w:rsidRPr="00BA5734">
        <w:rPr>
          <w:rFonts w:ascii="Calibri" w:hAnsi="Calibri" w:cs="Calibri"/>
          <w:i/>
          <w:iCs/>
          <w:sz w:val="22"/>
          <w:szCs w:val="22"/>
        </w:rPr>
        <w:t>inglés</w:t>
      </w:r>
      <w:proofErr w:type="spellEnd"/>
      <w:r w:rsidRPr="00BA5734">
        <w:rPr>
          <w:rFonts w:ascii="Calibri" w:hAnsi="Calibri" w:cs="Calibri"/>
          <w:i/>
          <w:iCs/>
          <w:sz w:val="22"/>
          <w:szCs w:val="22"/>
        </w:rPr>
        <w:t xml:space="preserve">, </w:t>
      </w:r>
      <w:proofErr w:type="spellStart"/>
      <w:r w:rsidRPr="00BA5734">
        <w:rPr>
          <w:rFonts w:ascii="Calibri" w:hAnsi="Calibri" w:cs="Calibri"/>
          <w:i/>
          <w:iCs/>
          <w:sz w:val="22"/>
          <w:szCs w:val="22"/>
        </w:rPr>
        <w:t>prevalecerá</w:t>
      </w:r>
      <w:proofErr w:type="spellEnd"/>
      <w:r w:rsidRPr="00BA5734">
        <w:rPr>
          <w:rFonts w:ascii="Calibri" w:hAnsi="Calibri" w:cs="Calibri"/>
          <w:i/>
          <w:iCs/>
          <w:sz w:val="22"/>
          <w:szCs w:val="22"/>
        </w:rPr>
        <w:t xml:space="preserve"> </w:t>
      </w:r>
      <w:proofErr w:type="spellStart"/>
      <w:r w:rsidRPr="00BA5734">
        <w:rPr>
          <w:rFonts w:ascii="Calibri" w:hAnsi="Calibri" w:cs="Calibri"/>
          <w:i/>
          <w:iCs/>
          <w:sz w:val="22"/>
          <w:szCs w:val="22"/>
        </w:rPr>
        <w:t>el</w:t>
      </w:r>
      <w:proofErr w:type="spellEnd"/>
      <w:r w:rsidRPr="00BA5734">
        <w:rPr>
          <w:rFonts w:ascii="Calibri" w:hAnsi="Calibri" w:cs="Calibri"/>
          <w:i/>
          <w:iCs/>
          <w:sz w:val="22"/>
          <w:szCs w:val="22"/>
        </w:rPr>
        <w:t xml:space="preserve"> </w:t>
      </w:r>
      <w:proofErr w:type="spellStart"/>
      <w:r w:rsidRPr="00BA5734">
        <w:rPr>
          <w:rFonts w:ascii="Calibri" w:hAnsi="Calibri" w:cs="Calibri"/>
          <w:i/>
          <w:iCs/>
          <w:sz w:val="22"/>
          <w:szCs w:val="22"/>
        </w:rPr>
        <w:t>documento</w:t>
      </w:r>
      <w:proofErr w:type="spellEnd"/>
      <w:r w:rsidRPr="00BA5734">
        <w:rPr>
          <w:rFonts w:ascii="Calibri" w:hAnsi="Calibri" w:cs="Calibri"/>
          <w:i/>
          <w:iCs/>
          <w:sz w:val="22"/>
          <w:szCs w:val="22"/>
        </w:rPr>
        <w:t xml:space="preserve"> original </w:t>
      </w:r>
      <w:proofErr w:type="spellStart"/>
      <w:r w:rsidRPr="00BA5734">
        <w:rPr>
          <w:rFonts w:ascii="Calibri" w:hAnsi="Calibri" w:cs="Calibri"/>
          <w:i/>
          <w:iCs/>
          <w:sz w:val="22"/>
          <w:szCs w:val="22"/>
        </w:rPr>
        <w:t>en</w:t>
      </w:r>
      <w:proofErr w:type="spellEnd"/>
      <w:r w:rsidRPr="00BA5734">
        <w:rPr>
          <w:rFonts w:ascii="Calibri" w:hAnsi="Calibri" w:cs="Calibri"/>
          <w:i/>
          <w:iCs/>
          <w:sz w:val="22"/>
          <w:szCs w:val="22"/>
        </w:rPr>
        <w:t xml:space="preserve"> </w:t>
      </w:r>
      <w:proofErr w:type="spellStart"/>
      <w:r w:rsidRPr="00BA5734">
        <w:rPr>
          <w:rFonts w:ascii="Calibri" w:hAnsi="Calibri" w:cs="Calibri"/>
          <w:i/>
          <w:iCs/>
          <w:sz w:val="22"/>
          <w:szCs w:val="22"/>
        </w:rPr>
        <w:t>inglés</w:t>
      </w:r>
      <w:proofErr w:type="spellEnd"/>
      <w:r w:rsidRPr="00BA5734">
        <w:rPr>
          <w:rFonts w:ascii="Calibri" w:hAnsi="Calibri" w:cs="Calibri"/>
          <w:i/>
          <w:iCs/>
          <w:sz w:val="22"/>
          <w:szCs w:val="22"/>
        </w:rPr>
        <w:t>.</w:t>
      </w:r>
    </w:p>
    <w:sectPr w:rsidR="00DA504D" w:rsidRPr="00BA5734" w:rsidSect="00550A4A">
      <w:headerReference w:type="default" r:id="rId10"/>
      <w:footerReference w:type="even" r:id="rId11"/>
      <w:footerReference w:type="default" r:id="rId12"/>
      <w:footerReference w:type="first" r:id="rId13"/>
      <w:footnotePr>
        <w:numRestart w:val="eachPage"/>
      </w:footnotePr>
      <w:pgSz w:w="12240" w:h="15840"/>
      <w:pgMar w:top="1483" w:right="1395" w:bottom="1441"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73503" w14:textId="77777777" w:rsidR="00FA3515" w:rsidRDefault="00FA3515" w:rsidP="00550A4A">
      <w:pPr>
        <w:spacing w:after="0" w:line="240" w:lineRule="auto"/>
      </w:pPr>
      <w:r>
        <w:separator/>
      </w:r>
    </w:p>
  </w:endnote>
  <w:endnote w:type="continuationSeparator" w:id="0">
    <w:p w14:paraId="0A8A72CF" w14:textId="77777777" w:rsidR="00FA3515" w:rsidRDefault="00FA3515" w:rsidP="00550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57F4" w14:textId="77777777" w:rsidR="00550A4A" w:rsidRDefault="00550A4A">
    <w:pPr>
      <w:spacing w:after="0" w:line="259" w:lineRule="auto"/>
      <w:ind w:right="41"/>
      <w:jc w:val="center"/>
    </w:pPr>
    <w:r>
      <w:fldChar w:fldCharType="begin"/>
    </w:r>
    <w:r>
      <w:instrText xml:space="preserve"> PAGE   \* MERGEFORMAT </w:instrText>
    </w:r>
    <w:r>
      <w:fldChar w:fldCharType="separate"/>
    </w:r>
    <w:r>
      <w:t>1</w:t>
    </w:r>
    <w:r>
      <w:fldChar w:fldCharType="end"/>
    </w:r>
    <w:r>
      <w:t xml:space="preserve"> </w:t>
    </w:r>
  </w:p>
  <w:p w14:paraId="78342253" w14:textId="77777777" w:rsidR="00550A4A" w:rsidRDefault="00550A4A">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2E96D" w14:textId="77777777" w:rsidR="00550A4A" w:rsidRPr="00550A4A" w:rsidRDefault="00550A4A">
    <w:pPr>
      <w:spacing w:after="0" w:line="259" w:lineRule="auto"/>
      <w:rPr>
        <w:rFonts w:ascii="Calibri" w:hAnsi="Calibri" w:cs="Calibri"/>
        <w:sz w:val="22"/>
        <w:szCs w:val="22"/>
      </w:rPr>
    </w:pPr>
    <w:r w:rsidRPr="00550A4A">
      <w:rPr>
        <w:rFonts w:ascii="Calibri" w:hAnsi="Calibri" w:cs="Calibri"/>
        <w:sz w:val="22"/>
        <w:szCs w:val="22"/>
      </w:rPr>
      <w:t xml:space="preserve">Página </w:t>
    </w:r>
    <w:r w:rsidRPr="00550A4A">
      <w:rPr>
        <w:rFonts w:ascii="Calibri" w:hAnsi="Calibri" w:cs="Calibri"/>
        <w:b/>
        <w:sz w:val="22"/>
        <w:szCs w:val="22"/>
      </w:rPr>
      <w:fldChar w:fldCharType="begin"/>
    </w:r>
    <w:r w:rsidRPr="00550A4A">
      <w:rPr>
        <w:rFonts w:ascii="Calibri" w:hAnsi="Calibri" w:cs="Calibri"/>
        <w:b/>
        <w:sz w:val="22"/>
        <w:szCs w:val="22"/>
      </w:rPr>
      <w:instrText xml:space="preserve"> PAGE  \* Arabic  \* MERGEFORMAT </w:instrText>
    </w:r>
    <w:r w:rsidRPr="00550A4A">
      <w:rPr>
        <w:rFonts w:ascii="Calibri" w:hAnsi="Calibri" w:cs="Calibri"/>
        <w:b/>
        <w:sz w:val="22"/>
        <w:szCs w:val="22"/>
      </w:rPr>
      <w:fldChar w:fldCharType="separate"/>
    </w:r>
    <w:r w:rsidRPr="00550A4A">
      <w:rPr>
        <w:rFonts w:ascii="Calibri" w:hAnsi="Calibri" w:cs="Calibri"/>
        <w:b/>
        <w:noProof/>
        <w:sz w:val="22"/>
        <w:szCs w:val="22"/>
      </w:rPr>
      <w:t>1</w:t>
    </w:r>
    <w:r w:rsidRPr="00550A4A">
      <w:rPr>
        <w:rFonts w:ascii="Calibri" w:hAnsi="Calibri" w:cs="Calibri"/>
        <w:b/>
        <w:sz w:val="22"/>
        <w:szCs w:val="22"/>
      </w:rPr>
      <w:fldChar w:fldCharType="end"/>
    </w:r>
    <w:r w:rsidRPr="00550A4A">
      <w:rPr>
        <w:rFonts w:ascii="Calibri" w:hAnsi="Calibri" w:cs="Calibri"/>
        <w:sz w:val="22"/>
        <w:szCs w:val="22"/>
      </w:rPr>
      <w:t xml:space="preserve"> de </w:t>
    </w:r>
    <w:r w:rsidRPr="00550A4A">
      <w:rPr>
        <w:rFonts w:ascii="Calibri" w:hAnsi="Calibri" w:cs="Calibri"/>
        <w:b/>
        <w:sz w:val="22"/>
        <w:szCs w:val="22"/>
      </w:rPr>
      <w:fldChar w:fldCharType="begin"/>
    </w:r>
    <w:r w:rsidRPr="00550A4A">
      <w:rPr>
        <w:rFonts w:ascii="Calibri" w:hAnsi="Calibri" w:cs="Calibri"/>
        <w:b/>
        <w:sz w:val="22"/>
        <w:szCs w:val="22"/>
      </w:rPr>
      <w:instrText xml:space="preserve"> NUMPAGES  \* Arabic  \* MERGEFORMAT </w:instrText>
    </w:r>
    <w:r w:rsidRPr="00550A4A">
      <w:rPr>
        <w:rFonts w:ascii="Calibri" w:hAnsi="Calibri" w:cs="Calibri"/>
        <w:b/>
        <w:sz w:val="22"/>
        <w:szCs w:val="22"/>
      </w:rPr>
      <w:fldChar w:fldCharType="separate"/>
    </w:r>
    <w:r w:rsidRPr="00550A4A">
      <w:rPr>
        <w:rFonts w:ascii="Calibri" w:hAnsi="Calibri" w:cs="Calibri"/>
        <w:b/>
        <w:noProof/>
        <w:sz w:val="22"/>
        <w:szCs w:val="22"/>
      </w:rPr>
      <w:t>6</w:t>
    </w:r>
    <w:r w:rsidRPr="00550A4A">
      <w:rPr>
        <w:rFonts w:ascii="Calibri" w:hAnsi="Calibri" w:cs="Calibri"/>
        <w:b/>
        <w:sz w:val="22"/>
        <w:szCs w:val="22"/>
      </w:rPr>
      <w:fldChar w:fldCharType="end"/>
    </w:r>
    <w:r w:rsidRPr="00550A4A">
      <w:rPr>
        <w:rFonts w:ascii="Calibri" w:hAnsi="Calibri" w:cs="Calibri"/>
        <w:sz w:val="22"/>
        <w:szCs w:val="22"/>
      </w:rPr>
      <w:ptab w:relativeTo="margin" w:alignment="center" w:leader="none"/>
    </w:r>
    <w:proofErr w:type="spellStart"/>
    <w:r w:rsidRPr="00550A4A">
      <w:rPr>
        <w:rFonts w:ascii="Calibri" w:hAnsi="Calibri" w:cs="Calibri"/>
        <w:sz w:val="22"/>
        <w:szCs w:val="22"/>
      </w:rPr>
      <w:t>Fecha</w:t>
    </w:r>
    <w:proofErr w:type="spellEnd"/>
    <w:r w:rsidRPr="00550A4A">
      <w:rPr>
        <w:rFonts w:ascii="Calibri" w:hAnsi="Calibri" w:cs="Calibri"/>
        <w:sz w:val="22"/>
        <w:szCs w:val="22"/>
      </w:rPr>
      <w:t xml:space="preserve"> de entrada </w:t>
    </w:r>
    <w:proofErr w:type="spellStart"/>
    <w:r w:rsidRPr="00550A4A">
      <w:rPr>
        <w:rFonts w:ascii="Calibri" w:hAnsi="Calibri" w:cs="Calibri"/>
        <w:sz w:val="22"/>
        <w:szCs w:val="22"/>
      </w:rPr>
      <w:t>en</w:t>
    </w:r>
    <w:proofErr w:type="spellEnd"/>
    <w:r w:rsidRPr="00550A4A">
      <w:rPr>
        <w:rFonts w:ascii="Calibri" w:hAnsi="Calibri" w:cs="Calibri"/>
        <w:sz w:val="22"/>
        <w:szCs w:val="22"/>
      </w:rPr>
      <w:t xml:space="preserve"> vigor: 01/02/2016 </w:t>
    </w:r>
    <w:r w:rsidRPr="00550A4A">
      <w:rPr>
        <w:rFonts w:ascii="Calibri" w:hAnsi="Calibri" w:cs="Calibri"/>
        <w:sz w:val="22"/>
        <w:szCs w:val="22"/>
      </w:rPr>
      <w:ptab w:relativeTo="margin" w:alignment="right" w:leader="none"/>
    </w:r>
    <w:r w:rsidRPr="00550A4A">
      <w:rPr>
        <w:rFonts w:ascii="Calibri" w:hAnsi="Calibri" w:cs="Calibri"/>
        <w:sz w:val="22"/>
        <w:szCs w:val="22"/>
      </w:rPr>
      <w:t xml:space="preserve"> </w:t>
    </w:r>
    <w:proofErr w:type="spellStart"/>
    <w:r w:rsidRPr="00550A4A">
      <w:rPr>
        <w:rFonts w:ascii="Calibri" w:hAnsi="Calibri" w:cs="Calibri"/>
        <w:sz w:val="22"/>
        <w:szCs w:val="22"/>
      </w:rPr>
      <w:t>Versión</w:t>
    </w:r>
    <w:proofErr w:type="spellEnd"/>
    <w:r w:rsidRPr="00550A4A">
      <w:rPr>
        <w:rFonts w:ascii="Calibri" w:hAnsi="Calibri" w:cs="Calibri"/>
        <w:sz w:val="22"/>
        <w:szCs w:val="22"/>
      </w:rPr>
      <w:t xml:space="preserve"> #: </w:t>
    </w:r>
    <w:sdt>
      <w:sdtPr>
        <w:rPr>
          <w:rFonts w:ascii="Calibri" w:hAnsi="Calibri" w:cs="Calibri"/>
          <w:sz w:val="22"/>
          <w:szCs w:val="22"/>
        </w:rPr>
        <w:alias w:val="POPPRefItemVersion"/>
        <w:tag w:val="UNDP_POPP_REFITEM_VERSION"/>
        <w:id w:val="-724597912"/>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8F22706-92E3-4E0C-B955-DC03101A2D80}"/>
        <w:text/>
      </w:sdtPr>
      <w:sdtContent>
        <w:r w:rsidRPr="00550A4A">
          <w:rPr>
            <w:rFonts w:ascii="Calibri" w:hAnsi="Calibri" w:cs="Calibri"/>
            <w:sz w:val="22"/>
            <w:szCs w:val="22"/>
          </w:rPr>
          <w:t>4</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BAB27" w14:textId="77777777" w:rsidR="00550A4A" w:rsidRDefault="00550A4A">
    <w:pPr>
      <w:spacing w:after="0" w:line="259" w:lineRule="auto"/>
      <w:ind w:right="41"/>
      <w:jc w:val="center"/>
    </w:pPr>
    <w:r>
      <w:fldChar w:fldCharType="begin"/>
    </w:r>
    <w:r>
      <w:instrText xml:space="preserve"> PAGE   \* MERGEFORMAT </w:instrText>
    </w:r>
    <w:r>
      <w:fldChar w:fldCharType="separate"/>
    </w:r>
    <w:r>
      <w:t>1</w:t>
    </w:r>
    <w:r>
      <w:fldChar w:fldCharType="end"/>
    </w:r>
    <w:r>
      <w:t xml:space="preserve"> </w:t>
    </w:r>
  </w:p>
  <w:p w14:paraId="36B1A33A" w14:textId="77777777" w:rsidR="00550A4A" w:rsidRDefault="00550A4A">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43601" w14:textId="77777777" w:rsidR="00FA3515" w:rsidRDefault="00FA3515" w:rsidP="00550A4A">
      <w:pPr>
        <w:spacing w:after="0" w:line="240" w:lineRule="auto"/>
      </w:pPr>
      <w:r>
        <w:separator/>
      </w:r>
    </w:p>
  </w:footnote>
  <w:footnote w:type="continuationSeparator" w:id="0">
    <w:p w14:paraId="44065572" w14:textId="77777777" w:rsidR="00FA3515" w:rsidRDefault="00FA3515" w:rsidP="00550A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E6323" w14:textId="2237BD93" w:rsidR="00550A4A" w:rsidRDefault="00550A4A" w:rsidP="009315BD">
    <w:pPr>
      <w:pStyle w:val="Header"/>
      <w:jc w:val="right"/>
    </w:pPr>
    <w:r>
      <w:rPr>
        <w:noProof/>
      </w:rPr>
      <w:drawing>
        <wp:inline distT="0" distB="0" distL="0" distR="0" wp14:anchorId="4F70860B" wp14:editId="2AD34570">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3D8DE6F2" w14:textId="77777777" w:rsidR="00550A4A" w:rsidRDefault="00550A4A" w:rsidP="009315B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2142"/>
    <w:multiLevelType w:val="hybridMultilevel"/>
    <w:tmpl w:val="4B649A5A"/>
    <w:lvl w:ilvl="0" w:tplc="1EC83002">
      <w:start w:val="14"/>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DA672F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78AA86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BC88E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12A6A4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B0A0C9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908B5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FF63B3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3B0513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D11993"/>
    <w:multiLevelType w:val="hybridMultilevel"/>
    <w:tmpl w:val="91C82C52"/>
    <w:lvl w:ilvl="0" w:tplc="BBBE2184">
      <w:start w:val="8"/>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27AC17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1EEF15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2DC1CB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6FC3DD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718546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42202D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148596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190AB7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ACC01ED"/>
    <w:multiLevelType w:val="hybridMultilevel"/>
    <w:tmpl w:val="3BB87E1C"/>
    <w:lvl w:ilvl="0" w:tplc="6D2A83C2">
      <w:start w:val="17"/>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114DE5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F88075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9BCC8C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174AA0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04C504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1E385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4F4FB5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5C01A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957023D"/>
    <w:multiLevelType w:val="hybridMultilevel"/>
    <w:tmpl w:val="27589F08"/>
    <w:lvl w:ilvl="0" w:tplc="5E5EC5F4">
      <w:start w:val="1"/>
      <w:numFmt w:val="lowerRoman"/>
      <w:lvlText w:val="%1)"/>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1A41AEE">
      <w:start w:val="1"/>
      <w:numFmt w:val="lowerLetter"/>
      <w:lvlText w:val="%2"/>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166650E">
      <w:start w:val="1"/>
      <w:numFmt w:val="lowerRoman"/>
      <w:lvlText w:val="%3"/>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8782606">
      <w:start w:val="1"/>
      <w:numFmt w:val="decimal"/>
      <w:lvlText w:val="%4"/>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B815BE">
      <w:start w:val="1"/>
      <w:numFmt w:val="lowerLetter"/>
      <w:lvlText w:val="%5"/>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788854">
      <w:start w:val="1"/>
      <w:numFmt w:val="lowerRoman"/>
      <w:lvlText w:val="%6"/>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1E47B00">
      <w:start w:val="1"/>
      <w:numFmt w:val="decimal"/>
      <w:lvlText w:val="%7"/>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EDC82C8">
      <w:start w:val="1"/>
      <w:numFmt w:val="lowerLetter"/>
      <w:lvlText w:val="%8"/>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92C915E">
      <w:start w:val="1"/>
      <w:numFmt w:val="lowerRoman"/>
      <w:lvlText w:val="%9"/>
      <w:lvlJc w:val="left"/>
      <w:pPr>
        <w:ind w:left="79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75E2060"/>
    <w:multiLevelType w:val="hybridMultilevel"/>
    <w:tmpl w:val="6694A842"/>
    <w:lvl w:ilvl="0" w:tplc="7250D136">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1E8ADE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5187D7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12E65D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7B6B1F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A16D78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8285DF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D785B3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71EF80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A2C0EFA"/>
    <w:multiLevelType w:val="hybridMultilevel"/>
    <w:tmpl w:val="7348F502"/>
    <w:lvl w:ilvl="0" w:tplc="E6169DEC">
      <w:start w:val="22"/>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602B41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46A2E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41683C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8B60F3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CE00F0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7A06A2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5A4CED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9A8A4A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82943C8"/>
    <w:multiLevelType w:val="hybridMultilevel"/>
    <w:tmpl w:val="C6206BC8"/>
    <w:lvl w:ilvl="0" w:tplc="AF7464B4">
      <w:start w:val="25"/>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8B2FCB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DC266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F84754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ACEF75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6D2B84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BCB5F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12E924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822E38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477646921">
    <w:abstractNumId w:val="4"/>
  </w:num>
  <w:num w:numId="2" w16cid:durableId="117460425">
    <w:abstractNumId w:val="1"/>
  </w:num>
  <w:num w:numId="3" w16cid:durableId="1462504271">
    <w:abstractNumId w:val="0"/>
  </w:num>
  <w:num w:numId="4" w16cid:durableId="976107172">
    <w:abstractNumId w:val="3"/>
  </w:num>
  <w:num w:numId="5" w16cid:durableId="1572304474">
    <w:abstractNumId w:val="2"/>
  </w:num>
  <w:num w:numId="6" w16cid:durableId="1661231577">
    <w:abstractNumId w:val="5"/>
  </w:num>
  <w:num w:numId="7" w16cid:durableId="4870158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A4A"/>
    <w:rsid w:val="00550A4A"/>
    <w:rsid w:val="00B8613A"/>
    <w:rsid w:val="00BA5734"/>
    <w:rsid w:val="00BA7F5A"/>
    <w:rsid w:val="00C61B9D"/>
    <w:rsid w:val="00DA504D"/>
    <w:rsid w:val="00E35CC8"/>
    <w:rsid w:val="00FA35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3329E"/>
  <w15:chartTrackingRefBased/>
  <w15:docId w15:val="{7B519A5A-D068-45FC-8962-BF7906155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0A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0A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0A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0A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0A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0A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0A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0A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0A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A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0A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0A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0A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0A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0A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0A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0A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0A4A"/>
    <w:rPr>
      <w:rFonts w:eastAsiaTheme="majorEastAsia" w:cstheme="majorBidi"/>
      <w:color w:val="272727" w:themeColor="text1" w:themeTint="D8"/>
    </w:rPr>
  </w:style>
  <w:style w:type="paragraph" w:styleId="Title">
    <w:name w:val="Title"/>
    <w:basedOn w:val="Normal"/>
    <w:next w:val="Normal"/>
    <w:link w:val="TitleChar"/>
    <w:uiPriority w:val="10"/>
    <w:qFormat/>
    <w:rsid w:val="00550A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0A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0A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0A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0A4A"/>
    <w:pPr>
      <w:spacing w:before="160"/>
      <w:jc w:val="center"/>
    </w:pPr>
    <w:rPr>
      <w:i/>
      <w:iCs/>
      <w:color w:val="404040" w:themeColor="text1" w:themeTint="BF"/>
    </w:rPr>
  </w:style>
  <w:style w:type="character" w:customStyle="1" w:styleId="QuoteChar">
    <w:name w:val="Quote Char"/>
    <w:basedOn w:val="DefaultParagraphFont"/>
    <w:link w:val="Quote"/>
    <w:uiPriority w:val="29"/>
    <w:rsid w:val="00550A4A"/>
    <w:rPr>
      <w:i/>
      <w:iCs/>
      <w:color w:val="404040" w:themeColor="text1" w:themeTint="BF"/>
    </w:rPr>
  </w:style>
  <w:style w:type="paragraph" w:styleId="ListParagraph">
    <w:name w:val="List Paragraph"/>
    <w:basedOn w:val="Normal"/>
    <w:uiPriority w:val="34"/>
    <w:qFormat/>
    <w:rsid w:val="00550A4A"/>
    <w:pPr>
      <w:ind w:left="720"/>
      <w:contextualSpacing/>
    </w:pPr>
  </w:style>
  <w:style w:type="character" w:styleId="IntenseEmphasis">
    <w:name w:val="Intense Emphasis"/>
    <w:basedOn w:val="DefaultParagraphFont"/>
    <w:uiPriority w:val="21"/>
    <w:qFormat/>
    <w:rsid w:val="00550A4A"/>
    <w:rPr>
      <w:i/>
      <w:iCs/>
      <w:color w:val="0F4761" w:themeColor="accent1" w:themeShade="BF"/>
    </w:rPr>
  </w:style>
  <w:style w:type="paragraph" w:styleId="IntenseQuote">
    <w:name w:val="Intense Quote"/>
    <w:basedOn w:val="Normal"/>
    <w:next w:val="Normal"/>
    <w:link w:val="IntenseQuoteChar"/>
    <w:uiPriority w:val="30"/>
    <w:qFormat/>
    <w:rsid w:val="00550A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0A4A"/>
    <w:rPr>
      <w:i/>
      <w:iCs/>
      <w:color w:val="0F4761" w:themeColor="accent1" w:themeShade="BF"/>
    </w:rPr>
  </w:style>
  <w:style w:type="character" w:styleId="IntenseReference">
    <w:name w:val="Intense Reference"/>
    <w:basedOn w:val="DefaultParagraphFont"/>
    <w:uiPriority w:val="32"/>
    <w:qFormat/>
    <w:rsid w:val="00550A4A"/>
    <w:rPr>
      <w:b/>
      <w:bCs/>
      <w:smallCaps/>
      <w:color w:val="0F4761" w:themeColor="accent1" w:themeShade="BF"/>
      <w:spacing w:val="5"/>
    </w:rPr>
  </w:style>
  <w:style w:type="paragraph" w:styleId="Header">
    <w:name w:val="header"/>
    <w:basedOn w:val="Normal"/>
    <w:link w:val="HeaderChar"/>
    <w:uiPriority w:val="99"/>
    <w:unhideWhenUsed/>
    <w:rsid w:val="00550A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le.rae.es/contabilizar?m=form"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erencie.com/periodo-contable.htm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opp.undp.org/es/node/10676"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1954</Words>
  <Characters>11143</Characters>
  <Application>Microsoft Office Word</Application>
  <DocSecurity>0</DocSecurity>
  <Lines>92</Lines>
  <Paragraphs>26</Paragraphs>
  <ScaleCrop>false</ScaleCrop>
  <Company/>
  <LinksUpToDate>false</LinksUpToDate>
  <CharactersWithSpaces>13071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2026-04-27T13:03:00Z</dcterms:created>
  <dcterms:modified xsi:type="dcterms:W3CDTF">2026-04-28T23:29:00Z</dcterms:modified>
</cp:coreProperties>
</file>