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FE3C6" w14:textId="6761BD24" w:rsidR="00232D3C" w:rsidRDefault="008C07AB" w:rsidP="00C06C27">
      <w:pPr>
        <w:spacing w:after="0" w:line="259" w:lineRule="auto"/>
        <w:ind w:left="0" w:firstLine="0"/>
      </w:pPr>
      <w:r>
        <w:rPr>
          <w:b/>
          <w:sz w:val="28"/>
        </w:rPr>
        <w:t>Propiedades, Planta y Equipo (PP</w:t>
      </w:r>
      <w:r w:rsidR="00926F84">
        <w:rPr>
          <w:b/>
          <w:sz w:val="28"/>
        </w:rPr>
        <w:t>&amp;</w:t>
      </w:r>
      <w:r>
        <w:rPr>
          <w:b/>
          <w:sz w:val="28"/>
        </w:rPr>
        <w:t xml:space="preserve">E)   </w:t>
      </w:r>
    </w:p>
    <w:p w14:paraId="77B1DF8B" w14:textId="77777777" w:rsidR="00232D3C" w:rsidRDefault="00232D3C">
      <w:pPr>
        <w:spacing w:after="20" w:line="259" w:lineRule="auto"/>
        <w:ind w:left="0" w:firstLine="0"/>
        <w:jc w:val="left"/>
      </w:pPr>
    </w:p>
    <w:p w14:paraId="7DD9D5AC" w14:textId="77777777" w:rsidR="00232D3C" w:rsidRDefault="0015214B">
      <w:pPr>
        <w:numPr>
          <w:ilvl w:val="0"/>
          <w:numId w:val="1"/>
        </w:numPr>
        <w:ind w:right="32" w:hanging="360"/>
      </w:pPr>
      <w:r>
        <w:t xml:space="preserve">El término «Propiedades, Planta y Equipo» se refiere a un artículo tangible o físicamente verificable que cumple con TODOS los cinco criterios siguientes: </w:t>
      </w:r>
    </w:p>
    <w:p w14:paraId="28E72331" w14:textId="77777777" w:rsidR="00232D3C" w:rsidRDefault="0015214B">
      <w:pPr>
        <w:numPr>
          <w:ilvl w:val="1"/>
          <w:numId w:val="1"/>
        </w:numPr>
        <w:spacing w:after="34"/>
        <w:ind w:right="32" w:hanging="360"/>
      </w:pPr>
      <w:r>
        <w:t xml:space="preserve">Proporciona beneficios económicos o de servicio futuros al PNUD (Programa de las Naciones Unidas para el Desarrollo), es decir, el artículo de PPE se conserva para utilizarlo en la ejecución de programas del PNUD o para fines administrativos.  </w:t>
      </w:r>
    </w:p>
    <w:p w14:paraId="463DE472" w14:textId="77777777" w:rsidR="00232D3C" w:rsidRDefault="0015214B">
      <w:pPr>
        <w:numPr>
          <w:ilvl w:val="1"/>
          <w:numId w:val="1"/>
        </w:numPr>
        <w:ind w:right="32" w:hanging="360"/>
      </w:pPr>
      <w:r>
        <w:t xml:space="preserve">Se espera que sea usado durante más de un período sobre el que se informa, que es de 12 meses. </w:t>
      </w:r>
    </w:p>
    <w:p w14:paraId="4F71B47E" w14:textId="2EA07DBB" w:rsidR="00232D3C" w:rsidRDefault="0015214B">
      <w:pPr>
        <w:numPr>
          <w:ilvl w:val="1"/>
          <w:numId w:val="1"/>
        </w:numPr>
        <w:spacing w:after="31"/>
        <w:ind w:right="32" w:hanging="360"/>
      </w:pPr>
      <w:r>
        <w:t>Tiene un valor de USD 50</w:t>
      </w:r>
      <w:r w:rsidR="7F5EFDF3">
        <w:t>0</w:t>
      </w:r>
      <w:r>
        <w:t>0 (USD 500</w:t>
      </w:r>
      <w:r w:rsidR="19B74B1E">
        <w:t>0</w:t>
      </w:r>
      <w:r>
        <w:t xml:space="preserve"> para el FNUDC [Fondo de las Naciones Unidas para el Desarrollo de la Capitalización]</w:t>
      </w:r>
      <w:r w:rsidR="33974D41" w:rsidRPr="4A2D1FCE">
        <w:rPr>
          <w:vertAlign w:val="superscript"/>
        </w:rPr>
        <w:t xml:space="preserve"> </w:t>
      </w:r>
      <w:r w:rsidR="00014AC9">
        <w:t>también</w:t>
      </w:r>
      <w:r w:rsidR="03759791">
        <w:t>)</w:t>
      </w:r>
      <w:r>
        <w:t xml:space="preserve"> o más (nuevo umbral de capitalización vigente desde el 1.1.20</w:t>
      </w:r>
      <w:r w:rsidR="211C6D6B">
        <w:t>20</w:t>
      </w:r>
      <w:r>
        <w:t xml:space="preserve">). </w:t>
      </w:r>
    </w:p>
    <w:p w14:paraId="58261FC3" w14:textId="77777777" w:rsidR="00232D3C" w:rsidRDefault="0015214B">
      <w:pPr>
        <w:numPr>
          <w:ilvl w:val="1"/>
          <w:numId w:val="1"/>
        </w:numPr>
        <w:spacing w:after="34"/>
        <w:ind w:right="32" w:hanging="360"/>
      </w:pPr>
      <w:r>
        <w:t xml:space="preserve">Es usado y controlado por el PNUD. </w:t>
      </w:r>
    </w:p>
    <w:p w14:paraId="499D5B73" w14:textId="77777777" w:rsidR="00232D3C" w:rsidRDefault="0015214B">
      <w:pPr>
        <w:numPr>
          <w:ilvl w:val="1"/>
          <w:numId w:val="1"/>
        </w:numPr>
        <w:ind w:right="32" w:hanging="360"/>
      </w:pPr>
      <w:r>
        <w:t xml:space="preserve">Tiene un costo que puede determinarse de manera fiable. </w:t>
      </w:r>
    </w:p>
    <w:p w14:paraId="34CA1BED" w14:textId="77777777" w:rsidR="00232D3C" w:rsidRDefault="0015214B">
      <w:pPr>
        <w:spacing w:after="17" w:line="259" w:lineRule="auto"/>
        <w:ind w:left="0" w:firstLine="0"/>
        <w:jc w:val="left"/>
      </w:pPr>
      <w:r>
        <w:t xml:space="preserve"> </w:t>
      </w:r>
    </w:p>
    <w:p w14:paraId="489E2212" w14:textId="77777777" w:rsidR="00232D3C" w:rsidRDefault="0015214B">
      <w:pPr>
        <w:numPr>
          <w:ilvl w:val="0"/>
          <w:numId w:val="1"/>
        </w:numPr>
        <w:ind w:right="32" w:hanging="360"/>
      </w:pPr>
      <w:r>
        <w:t xml:space="preserve">La Gestión de Activos Fijos es el proceso de proteger, mantener, gestionar y rendir cuentas de PPE, Arrendamientos Financieros e Intangibles usados y controlados por el PNUD.  </w:t>
      </w:r>
    </w:p>
    <w:p w14:paraId="758DF79C" w14:textId="77777777" w:rsidR="00232D3C" w:rsidRDefault="0015214B">
      <w:pPr>
        <w:spacing w:after="21" w:line="259" w:lineRule="auto"/>
        <w:ind w:left="0" w:firstLine="0"/>
        <w:jc w:val="left"/>
      </w:pPr>
      <w:r>
        <w:t xml:space="preserve"> </w:t>
      </w:r>
    </w:p>
    <w:p w14:paraId="62610B2A" w14:textId="77777777" w:rsidR="00232D3C" w:rsidRDefault="0015214B">
      <w:pPr>
        <w:numPr>
          <w:ilvl w:val="0"/>
          <w:numId w:val="1"/>
        </w:numPr>
        <w:ind w:right="32" w:hanging="360"/>
      </w:pPr>
      <w:r>
        <w:rPr>
          <w:b/>
        </w:rPr>
        <w:t xml:space="preserve">Propiedades, Planta y Equipo/Activo Fijo y Activo </w:t>
      </w:r>
      <w:r>
        <w:t xml:space="preserve">se utilizan de manera indistinta para representar el mismo grupo de activos. La Gestión de Activos Fijos es el proceso de proteger, mantener, gestionar y rendir cuentas de PPE, Arrendamientos Financieros e Intangibles usados y controlados por el PNUD.    </w:t>
      </w:r>
    </w:p>
    <w:p w14:paraId="3FF62EE3" w14:textId="77777777" w:rsidR="00232D3C" w:rsidRDefault="0015214B">
      <w:pPr>
        <w:spacing w:after="22" w:line="259" w:lineRule="auto"/>
        <w:ind w:left="0" w:firstLine="0"/>
        <w:jc w:val="left"/>
      </w:pPr>
      <w:r>
        <w:t xml:space="preserve"> </w:t>
      </w:r>
    </w:p>
    <w:p w14:paraId="62719221" w14:textId="316EE1C7" w:rsidR="00232D3C" w:rsidRDefault="0015214B">
      <w:pPr>
        <w:numPr>
          <w:ilvl w:val="0"/>
          <w:numId w:val="1"/>
        </w:numPr>
        <w:ind w:right="32" w:hanging="360"/>
      </w:pPr>
      <w:r w:rsidRPr="1489EBC0">
        <w:rPr>
          <w:b/>
          <w:bCs/>
        </w:rPr>
        <w:t xml:space="preserve">Planta </w:t>
      </w:r>
      <w:r>
        <w:t>comprende aquellos activos que se agrupan; se conservan en uso para la producción o el suministro de bienes o servicios; se utilizan en la ejecución de programas y operaciones administrativas del PNUD; y se espera que se usen durante más de un período financiero sobre el que se informa. Algunos ejemplos de dichos activos son la maquinaria pesada; el mobiliario y los accesorios. El costo combinado de dicho grupo de activos en conjunto debe ser de USD 500</w:t>
      </w:r>
      <w:r w:rsidR="69C53F8C">
        <w:t>0</w:t>
      </w:r>
      <w:r>
        <w:t xml:space="preserve"> o más y debe cumplir con los criterios de capitalización descritos en «Reconocimiento». </w:t>
      </w:r>
    </w:p>
    <w:p w14:paraId="39FFE9C2" w14:textId="77777777" w:rsidR="00232D3C" w:rsidRDefault="0015214B">
      <w:pPr>
        <w:spacing w:after="23" w:line="259" w:lineRule="auto"/>
        <w:ind w:left="46" w:firstLine="0"/>
        <w:jc w:val="left"/>
      </w:pPr>
      <w:r>
        <w:t xml:space="preserve"> </w:t>
      </w:r>
    </w:p>
    <w:p w14:paraId="29B7954A" w14:textId="05D85714" w:rsidR="00232D3C" w:rsidRDefault="0015214B">
      <w:pPr>
        <w:numPr>
          <w:ilvl w:val="0"/>
          <w:numId w:val="1"/>
        </w:numPr>
        <w:ind w:right="32" w:hanging="360"/>
      </w:pPr>
      <w:r w:rsidRPr="40E597EC">
        <w:rPr>
          <w:b/>
          <w:bCs/>
        </w:rPr>
        <w:t xml:space="preserve">Propiedad </w:t>
      </w:r>
      <w:r>
        <w:t xml:space="preserve">se define como una clase de activos que son: (a) </w:t>
      </w:r>
      <w:r w:rsidRPr="40E597EC">
        <w:rPr>
          <w:u w:val="single"/>
        </w:rPr>
        <w:t>Terrenos</w:t>
      </w:r>
      <w:r>
        <w:t xml:space="preserve"> o (b) </w:t>
      </w:r>
      <w:r w:rsidRPr="40E597EC">
        <w:rPr>
          <w:u w:val="single"/>
        </w:rPr>
        <w:t>Edificios</w:t>
      </w:r>
      <w:r>
        <w:t xml:space="preserve"> que son poseídos y/o controlados por el PNUD con un costo (o valor si son donados) de USD 500</w:t>
      </w:r>
      <w:r w:rsidR="0866DFAC">
        <w:t>0</w:t>
      </w:r>
      <w:r>
        <w:t xml:space="preserve"> o más; y el costo del Terreno o el Edificio puede medirse de manera fiable. </w:t>
      </w:r>
    </w:p>
    <w:p w14:paraId="02E6FB3F" w14:textId="77777777" w:rsidR="00232D3C" w:rsidRDefault="0015214B">
      <w:pPr>
        <w:spacing w:after="22" w:line="259" w:lineRule="auto"/>
        <w:ind w:left="46" w:firstLine="0"/>
        <w:jc w:val="left"/>
      </w:pPr>
      <w:r>
        <w:t xml:space="preserve"> </w:t>
      </w:r>
    </w:p>
    <w:p w14:paraId="72415EAD" w14:textId="77777777" w:rsidR="00232D3C" w:rsidRDefault="0015214B">
      <w:pPr>
        <w:numPr>
          <w:ilvl w:val="0"/>
          <w:numId w:val="1"/>
        </w:numPr>
        <w:ind w:right="32" w:hanging="360"/>
      </w:pPr>
      <w:r>
        <w:rPr>
          <w:b/>
        </w:rPr>
        <w:t xml:space="preserve">Activos Intangibles </w:t>
      </w:r>
      <w:r>
        <w:t xml:space="preserve">son los artículos no físicos de valor que posee el PNUD. Las características que definen a un Activo Intangible son que no tienen una existencia física (no pueden tocarse) ni un valor monetario fijo. No pueden verse ni tocarse, pero son importantes para el éxito del PNUD. Los Activos Intangibles pueden generarse en forma interna, como un software desarrollado en forma interna, o adquirirse de fuentes externas, p. ej., un fondo de comercio (que puede no regir para el PNUD) o una marca, p. ej., si el PNUD utiliza una marca comercial respetable en la ejecución de uno de sus proyectos.  </w:t>
      </w:r>
    </w:p>
    <w:p w14:paraId="50D9F4EE" w14:textId="77777777" w:rsidR="00232D3C" w:rsidRDefault="0015214B">
      <w:pPr>
        <w:spacing w:after="21" w:line="259" w:lineRule="auto"/>
        <w:ind w:left="0" w:firstLine="0"/>
        <w:jc w:val="left"/>
      </w:pPr>
      <w:r>
        <w:t xml:space="preserve"> </w:t>
      </w:r>
    </w:p>
    <w:p w14:paraId="54963663" w14:textId="77777777" w:rsidR="00232D3C" w:rsidRDefault="0015214B">
      <w:pPr>
        <w:numPr>
          <w:ilvl w:val="0"/>
          <w:numId w:val="1"/>
        </w:numPr>
        <w:spacing w:after="35"/>
        <w:ind w:right="32" w:hanging="360"/>
      </w:pPr>
      <w:r>
        <w:t xml:space="preserve">Los umbrales de capitalización para los Intangibles son los siguientes:  </w:t>
      </w:r>
    </w:p>
    <w:p w14:paraId="21B14B55" w14:textId="04059E10" w:rsidR="00232D3C" w:rsidRDefault="0015214B" w:rsidP="00955EDE">
      <w:pPr>
        <w:numPr>
          <w:ilvl w:val="1"/>
          <w:numId w:val="1"/>
        </w:numPr>
        <w:spacing w:after="34"/>
        <w:ind w:left="1350" w:right="32" w:hanging="360"/>
        <w:jc w:val="left"/>
      </w:pPr>
      <w:r>
        <w:lastRenderedPageBreak/>
        <w:t xml:space="preserve">Software desarrollado en forma interna </w:t>
      </w:r>
      <w:r w:rsidR="00955EDE">
        <w:t>USD 50 000</w:t>
      </w:r>
      <w:r>
        <w:t xml:space="preserve">                                                                   </w:t>
      </w:r>
    </w:p>
    <w:p w14:paraId="29A3CDC7" w14:textId="57914E31" w:rsidR="00232D3C" w:rsidRDefault="0015214B" w:rsidP="00955EDE">
      <w:pPr>
        <w:numPr>
          <w:ilvl w:val="1"/>
          <w:numId w:val="1"/>
        </w:numPr>
        <w:ind w:left="1350" w:right="32" w:hanging="360"/>
      </w:pPr>
      <w:r>
        <w:t xml:space="preserve">Intangibles adquiridos en forma externa (software y otros intangibles) USD 5000 </w:t>
      </w:r>
    </w:p>
    <w:p w14:paraId="23CBF571" w14:textId="26F719FA" w:rsidR="1489EBC0" w:rsidRDefault="1489EBC0" w:rsidP="00B8476C">
      <w:pPr>
        <w:ind w:left="720" w:right="32"/>
      </w:pPr>
    </w:p>
    <w:p w14:paraId="0C1A133A" w14:textId="77777777" w:rsidR="00232D3C" w:rsidRDefault="0015214B">
      <w:pPr>
        <w:pStyle w:val="Heading1"/>
        <w:ind w:left="-5"/>
      </w:pPr>
      <w:r>
        <w:t xml:space="preserve">Uso y Control  </w:t>
      </w:r>
    </w:p>
    <w:p w14:paraId="5F6059EE" w14:textId="77777777" w:rsidR="00232D3C" w:rsidRDefault="0015214B">
      <w:pPr>
        <w:spacing w:after="20" w:line="259" w:lineRule="auto"/>
        <w:ind w:left="0" w:firstLine="0"/>
        <w:jc w:val="left"/>
      </w:pPr>
      <w:r>
        <w:t xml:space="preserve">  </w:t>
      </w:r>
    </w:p>
    <w:p w14:paraId="0E66F2B4" w14:textId="4B203031" w:rsidR="00232D3C" w:rsidRDefault="0015214B">
      <w:pPr>
        <w:numPr>
          <w:ilvl w:val="0"/>
          <w:numId w:val="2"/>
        </w:numPr>
        <w:ind w:right="32" w:hanging="360"/>
      </w:pPr>
      <w:r>
        <w:t>El término «uso y control» es fundamental, dado que determina si un activo debe o no capitalizarse.  Cuando un activo se capitaliza, el costo total del activo se contabiliza como gasto a través de varios</w:t>
      </w:r>
      <w:r w:rsidR="00DC1C9E">
        <w:t xml:space="preserve"> </w:t>
      </w:r>
      <w:hyperlink r:id="rId12" w:history="1">
        <w:r w:rsidR="00DC1C9E">
          <w:rPr>
            <w:rStyle w:val="Hyperlink"/>
          </w:rPr>
          <w:t>periodos contables</w:t>
        </w:r>
      </w:hyperlink>
      <w:r>
        <w:t xml:space="preserve"> en lugar de </w:t>
      </w:r>
      <w:hyperlink r:id="rId13" w:history="1">
        <w:r w:rsidRPr="007F0CEC">
          <w:rPr>
            <w:rStyle w:val="Hyperlink"/>
          </w:rPr>
          <w:t>contabilizarse como gasto</w:t>
        </w:r>
      </w:hyperlink>
      <w:r>
        <w:t xml:space="preserve"> al momento de la compra.  </w:t>
      </w:r>
    </w:p>
    <w:p w14:paraId="1E79A4CE" w14:textId="77777777" w:rsidR="00232D3C" w:rsidRDefault="0015214B">
      <w:pPr>
        <w:spacing w:after="22" w:line="259" w:lineRule="auto"/>
        <w:ind w:left="46" w:firstLine="0"/>
        <w:jc w:val="left"/>
      </w:pPr>
      <w:r>
        <w:t xml:space="preserve"> </w:t>
      </w:r>
    </w:p>
    <w:p w14:paraId="3BB43C44" w14:textId="77777777" w:rsidR="00232D3C" w:rsidRDefault="0015214B">
      <w:pPr>
        <w:numPr>
          <w:ilvl w:val="0"/>
          <w:numId w:val="2"/>
        </w:numPr>
        <w:ind w:right="32" w:hanging="360"/>
      </w:pPr>
      <w:r>
        <w:t xml:space="preserve">El PNUD tiene el </w:t>
      </w:r>
      <w:r>
        <w:rPr>
          <w:b/>
          <w:u w:val="single" w:color="000000"/>
        </w:rPr>
        <w:t>control</w:t>
      </w:r>
      <w:r>
        <w:t xml:space="preserve"> sobre un activo cuando puede usar o de otro modo beneficiarse del activo en la búsqueda de sus objetivos y puede excluir o de otro modo regular el acceso de otros a dicho beneficio. En general, un activo cumplirá con los criterios de «uso y control» cuando esté físicamente ubicado en las instalaciones del PNUD (ya sean poseídas o arrendadas). </w:t>
      </w:r>
    </w:p>
    <w:p w14:paraId="0C78D6D8" w14:textId="77777777" w:rsidR="00232D3C" w:rsidRDefault="0015214B">
      <w:pPr>
        <w:spacing w:after="20" w:line="259" w:lineRule="auto"/>
        <w:ind w:left="46" w:firstLine="0"/>
        <w:jc w:val="left"/>
      </w:pPr>
      <w:r>
        <w:t xml:space="preserve"> </w:t>
      </w:r>
    </w:p>
    <w:p w14:paraId="12D6E3A7" w14:textId="1EB49C17" w:rsidR="00232D3C" w:rsidRDefault="0015214B">
      <w:pPr>
        <w:numPr>
          <w:ilvl w:val="0"/>
          <w:numId w:val="2"/>
        </w:numPr>
        <w:ind w:right="32" w:hanging="360"/>
      </w:pPr>
      <w:r>
        <w:t xml:space="preserve">El PNUD opera según diferentes modalidades de implementación. Estas modalidades de implementación son también un indicador útil de si el PNUD usa y controla un activo. Todos los activos comprados a partir del presupuesto de apoyo bienal o del presupuesto institucional (es decir, el presupuesto administrativo o de operaciones del PNUD) califican para la capitalización si cumplen con los 5 criterios mencionados en el </w:t>
      </w:r>
      <w:r w:rsidRPr="1489EBC0">
        <w:rPr>
          <w:b/>
          <w:bCs/>
        </w:rPr>
        <w:t xml:space="preserve">párrafo Reconocimiento más arriba. </w:t>
      </w:r>
      <w:r>
        <w:t xml:space="preserve">Los activos adquiridos para proyectos ejecutados a través del Apoyo a las Oficinas en los Países para NIM (Implementación Nacional) y la modalidad de Implementación Directa pueden calificar para la capitalización, siempre que los activos estén </w:t>
      </w:r>
      <w:r w:rsidR="00014AC9">
        <w:t>bajos</w:t>
      </w:r>
      <w:r>
        <w:t xml:space="preserve"> «uso y control» del PNUD.</w:t>
      </w:r>
      <w:r w:rsidRPr="1489EBC0">
        <w:rPr>
          <w:b/>
          <w:bCs/>
          <w:u w:val="single"/>
        </w:rPr>
        <w:t xml:space="preserve"> Dichos activos se denominan en esta política activos de proyectos de desarrollo</w:t>
      </w:r>
      <w:r>
        <w:t xml:space="preserve">. Si un proyecto en el cual el PNUD tiene «uso y control» de sus activos se espera que dure exactamente un año o menos y los activos están bajo uso y control del PNUD antes del cierre del proyecto, las oficinas deben registrar y capitalizar dichos activos en lugar de contabilizarlos como gastos dado que el proceso de transferir activos lleva tiempo y dichos activos habrán sido usados y controlados por el PNUD durante más de 12 meses. </w:t>
      </w:r>
    </w:p>
    <w:p w14:paraId="58E84692" w14:textId="77777777" w:rsidR="00232D3C" w:rsidRDefault="0015214B">
      <w:pPr>
        <w:spacing w:after="21" w:line="259" w:lineRule="auto"/>
        <w:ind w:left="46" w:firstLine="0"/>
        <w:jc w:val="left"/>
      </w:pPr>
      <w:r>
        <w:t xml:space="preserve"> </w:t>
      </w:r>
    </w:p>
    <w:p w14:paraId="61E84520" w14:textId="77777777" w:rsidR="00232D3C" w:rsidRDefault="0015214B">
      <w:pPr>
        <w:numPr>
          <w:ilvl w:val="0"/>
          <w:numId w:val="2"/>
        </w:numPr>
        <w:ind w:right="32" w:hanging="360"/>
      </w:pPr>
      <w:r>
        <w:t xml:space="preserve">En aquellas modalidades de implementación según las cuales el PNUD generalmente no usa ni controla los activos, como en los proyectos completamente NIM, el activo se contabilizará como gasto y no se capitalizará.   </w:t>
      </w:r>
    </w:p>
    <w:p w14:paraId="26B0C0A8" w14:textId="77777777" w:rsidR="00232D3C" w:rsidRDefault="0015214B">
      <w:pPr>
        <w:spacing w:after="21" w:line="259" w:lineRule="auto"/>
        <w:ind w:left="46" w:firstLine="0"/>
        <w:jc w:val="left"/>
      </w:pPr>
      <w:r>
        <w:t xml:space="preserve"> </w:t>
      </w:r>
    </w:p>
    <w:p w14:paraId="65DBB350" w14:textId="77777777" w:rsidR="00232D3C" w:rsidRDefault="0015214B">
      <w:pPr>
        <w:numPr>
          <w:ilvl w:val="0"/>
          <w:numId w:val="2"/>
        </w:numPr>
        <w:ind w:right="32" w:hanging="360"/>
      </w:pPr>
      <w:r>
        <w:t xml:space="preserve">Además de la ubicación y la modalidad de implementación, los siguientes son criterios adicionales que pueden utilizarse para determinar si el PNUD tiene control sobre PPE: </w:t>
      </w:r>
    </w:p>
    <w:p w14:paraId="387AEC70" w14:textId="77777777" w:rsidR="00232D3C" w:rsidRDefault="00B0556C">
      <w:pPr>
        <w:spacing w:after="21" w:line="259" w:lineRule="auto"/>
        <w:ind w:left="0" w:firstLine="0"/>
        <w:jc w:val="left"/>
      </w:pPr>
      <w:r>
        <w:t xml:space="preserve"> </w:t>
      </w:r>
    </w:p>
    <w:p w14:paraId="5ECD5F80" w14:textId="77777777" w:rsidR="00232D3C" w:rsidRDefault="0015214B">
      <w:pPr>
        <w:numPr>
          <w:ilvl w:val="1"/>
          <w:numId w:val="2"/>
        </w:numPr>
        <w:spacing w:after="34"/>
        <w:ind w:right="32" w:hanging="360"/>
      </w:pPr>
      <w:r>
        <w:t xml:space="preserve">¿La compra del artículo de PPE se llevó a cabo según las instrucciones dadas por el PNUD o fue el resultado de estas? </w:t>
      </w:r>
    </w:p>
    <w:p w14:paraId="07D5910A" w14:textId="2024119B" w:rsidR="00232D3C" w:rsidRDefault="0015214B">
      <w:pPr>
        <w:numPr>
          <w:ilvl w:val="1"/>
          <w:numId w:val="2"/>
        </w:numPr>
        <w:spacing w:after="33"/>
        <w:ind w:right="32" w:hanging="360"/>
      </w:pPr>
      <w:r>
        <w:t xml:space="preserve">¿El título legal está </w:t>
      </w:r>
      <w:r w:rsidR="3F97306D">
        <w:t>a</w:t>
      </w:r>
      <w:r>
        <w:t xml:space="preserve"> nombre del PNUD? </w:t>
      </w:r>
    </w:p>
    <w:p w14:paraId="2729D073" w14:textId="77777777" w:rsidR="00232D3C" w:rsidRDefault="0015214B">
      <w:pPr>
        <w:numPr>
          <w:ilvl w:val="1"/>
          <w:numId w:val="2"/>
        </w:numPr>
        <w:spacing w:after="32"/>
        <w:ind w:right="32" w:hanging="360"/>
      </w:pPr>
      <w:r>
        <w:t xml:space="preserve">¿El artículo de PPE está físicamente ubicado en las instalaciones o en las ubicaciones utilizadas por el PNUD? </w:t>
      </w:r>
    </w:p>
    <w:p w14:paraId="0A2E9EE0" w14:textId="77777777" w:rsidR="00232D3C" w:rsidRDefault="0015214B">
      <w:pPr>
        <w:numPr>
          <w:ilvl w:val="1"/>
          <w:numId w:val="2"/>
        </w:numPr>
        <w:spacing w:after="34"/>
        <w:ind w:right="32" w:hanging="360"/>
      </w:pPr>
      <w:r>
        <w:lastRenderedPageBreak/>
        <w:t xml:space="preserve">¿El artículo de PPE es utilizado físicamente por el personal empleado por el PNUD o por el personal que trabaja bajo las instrucciones del PNUD? </w:t>
      </w:r>
    </w:p>
    <w:p w14:paraId="3991BBB6" w14:textId="77777777" w:rsidR="00232D3C" w:rsidRDefault="0015214B">
      <w:pPr>
        <w:numPr>
          <w:ilvl w:val="1"/>
          <w:numId w:val="2"/>
        </w:numPr>
        <w:spacing w:after="34"/>
        <w:ind w:right="32" w:hanging="360"/>
      </w:pPr>
      <w:r>
        <w:t xml:space="preserve">¿El PNUD puede decidir sobre un uso alternativo del artículo de PPE? </w:t>
      </w:r>
    </w:p>
    <w:p w14:paraId="26DB01C5" w14:textId="77777777" w:rsidR="00232D3C" w:rsidRDefault="0015214B">
      <w:pPr>
        <w:numPr>
          <w:ilvl w:val="1"/>
          <w:numId w:val="2"/>
        </w:numPr>
        <w:spacing w:after="32"/>
        <w:ind w:right="32" w:hanging="360"/>
      </w:pPr>
      <w:r>
        <w:t xml:space="preserve">¿Es el PNUD quien decide sobre la venta o la enajenación del artículo de PPE? </w:t>
      </w:r>
    </w:p>
    <w:p w14:paraId="3ADFB570" w14:textId="77777777" w:rsidR="00232D3C" w:rsidRDefault="0015214B">
      <w:pPr>
        <w:numPr>
          <w:ilvl w:val="1"/>
          <w:numId w:val="2"/>
        </w:numPr>
        <w:spacing w:after="32"/>
        <w:ind w:right="32" w:hanging="360"/>
      </w:pPr>
      <w:r>
        <w:t xml:space="preserve">Si el artículo de PPE debiera quitarse o destruirse, ¿tomaría el PNUD la decisión de reemplazarlo? </w:t>
      </w:r>
    </w:p>
    <w:p w14:paraId="33405F7B" w14:textId="77777777" w:rsidR="00232D3C" w:rsidRDefault="0015214B">
      <w:pPr>
        <w:numPr>
          <w:ilvl w:val="1"/>
          <w:numId w:val="2"/>
        </w:numPr>
        <w:ind w:right="32" w:hanging="360"/>
      </w:pPr>
      <w:r>
        <w:t xml:space="preserve">¿Inspecciona un representante del PNUD con regularidad el PPE para determinar su condición de uso actual?  </w:t>
      </w:r>
    </w:p>
    <w:p w14:paraId="6B8B0024" w14:textId="399AF55A" w:rsidR="1489EBC0" w:rsidRDefault="1489EBC0" w:rsidP="00B8476C">
      <w:pPr>
        <w:ind w:left="720" w:right="32"/>
      </w:pPr>
    </w:p>
    <w:p w14:paraId="479BCAB3" w14:textId="59C8713B" w:rsidR="00232D3C" w:rsidRDefault="0015214B">
      <w:pPr>
        <w:numPr>
          <w:ilvl w:val="0"/>
          <w:numId w:val="2"/>
        </w:numPr>
        <w:ind w:right="32" w:hanging="360"/>
      </w:pPr>
      <w:r>
        <w:t>Al determinar si un activo debe o no registrarse en los libros del PNUD, debe tenerse en cuenta la sustancia de la transacción. Por ejemplo, si el PNUD entrega un vehículo a un asociado en la ejecución que tiene «uso y control» totales sobre el activo pero que sin embargo conserva el título del vehículo en nombre del PNUD, el vehículo no debe registrarse en los libros del PNUD dado que el PNUD no gestiona este vehículo diariamente ni tiene control sobre cómo se utiliza.  Se recomienda que, en todos los casos, al margen del caso de implementación por parte de una ONG (organización no gubernamental)</w:t>
      </w:r>
      <w:r w:rsidRPr="1489EBC0">
        <w:rPr>
          <w:b/>
          <w:bCs/>
        </w:rPr>
        <w:t>, la entrega de un vehículo esté acompañada también por la transferencia del título.</w:t>
      </w:r>
      <w:r>
        <w:t xml:space="preserve"> Todos los vehículos que aún tienen el título del PNUD deben utilizarse de conformidad con la política de gestión de vehículos del PNUD. </w:t>
      </w:r>
    </w:p>
    <w:p w14:paraId="3EBC06C6" w14:textId="77777777" w:rsidR="00232D3C" w:rsidRDefault="0015214B">
      <w:pPr>
        <w:spacing w:after="0" w:line="259" w:lineRule="auto"/>
        <w:ind w:left="0" w:firstLine="0"/>
        <w:jc w:val="left"/>
      </w:pPr>
      <w:r>
        <w:rPr>
          <w:b/>
        </w:rPr>
        <w:t xml:space="preserve"> </w:t>
      </w:r>
    </w:p>
    <w:p w14:paraId="4E5CBA49" w14:textId="77777777" w:rsidR="00232D3C" w:rsidRDefault="0015214B">
      <w:pPr>
        <w:pStyle w:val="Heading1"/>
        <w:ind w:left="-5"/>
      </w:pPr>
      <w:r>
        <w:t xml:space="preserve">Gestión de Activos </w:t>
      </w:r>
      <w:r>
        <w:rPr>
          <w:b w:val="0"/>
        </w:rPr>
        <w:t xml:space="preserve"> </w:t>
      </w:r>
    </w:p>
    <w:p w14:paraId="566372FC" w14:textId="77777777" w:rsidR="00232D3C" w:rsidRDefault="0015214B">
      <w:pPr>
        <w:spacing w:after="21" w:line="259" w:lineRule="auto"/>
        <w:ind w:left="0" w:firstLine="0"/>
        <w:jc w:val="left"/>
      </w:pPr>
      <w:r>
        <w:t xml:space="preserve">  </w:t>
      </w:r>
    </w:p>
    <w:p w14:paraId="403F200A" w14:textId="79ACD0ED" w:rsidR="00232D3C" w:rsidRDefault="0015214B">
      <w:pPr>
        <w:numPr>
          <w:ilvl w:val="0"/>
          <w:numId w:val="3"/>
        </w:numPr>
        <w:ind w:right="32" w:hanging="360"/>
      </w:pPr>
      <w:r>
        <w:t xml:space="preserve">Todos los artículos de PPE, Arrendamientos Financieros y Activos Intangibles usados y controlados por el PNUD, independientemente de su valor, deben ser gestionados de manera apropiada en conformidad con el Reglamento Financiero y Reglamentación Financiera Detallada del PNUD. Estas directrices, junto con el Marco de Control Interno (ICF) y el contenido de esta POPP, establecen los procedimientos y sistemas que facilitan el cumplimiento con las Normas Internacionales de Contabilidad del Sector Público (IPSAS), así como también con la presentación de informes precisos. Dicho cumplimiento incluye la verificación periódica de la existencia de activos; la evaluación del deterioro de activos; la conciliación de los resultados de la verificación física con los registros; además de controles internos para asegurar la integridad y la precisión de los registros.  </w:t>
      </w:r>
    </w:p>
    <w:p w14:paraId="50BCE816" w14:textId="77777777" w:rsidR="00232D3C" w:rsidRDefault="0015214B">
      <w:pPr>
        <w:spacing w:after="0" w:line="259" w:lineRule="auto"/>
        <w:ind w:left="0" w:firstLine="0"/>
        <w:jc w:val="left"/>
      </w:pPr>
      <w:r>
        <w:t xml:space="preserve">  </w:t>
      </w:r>
    </w:p>
    <w:p w14:paraId="7A2086A1" w14:textId="77777777" w:rsidR="00232D3C" w:rsidRDefault="0015214B">
      <w:pPr>
        <w:spacing w:after="0" w:line="259" w:lineRule="auto"/>
        <w:ind w:left="-5" w:hanging="10"/>
        <w:jc w:val="left"/>
      </w:pPr>
      <w:r>
        <w:rPr>
          <w:b/>
        </w:rPr>
        <w:t>Clases de PPE</w:t>
      </w:r>
      <w:r>
        <w:t xml:space="preserve"> </w:t>
      </w:r>
    </w:p>
    <w:p w14:paraId="4CD9CB3E" w14:textId="77777777" w:rsidR="00232D3C" w:rsidRDefault="0015214B">
      <w:pPr>
        <w:spacing w:after="20" w:line="259" w:lineRule="auto"/>
        <w:ind w:left="0" w:firstLine="0"/>
        <w:jc w:val="left"/>
      </w:pPr>
      <w:r>
        <w:t xml:space="preserve">  </w:t>
      </w:r>
    </w:p>
    <w:p w14:paraId="5A56F3FF" w14:textId="77777777" w:rsidR="00232D3C" w:rsidRDefault="0015214B">
      <w:pPr>
        <w:numPr>
          <w:ilvl w:val="0"/>
          <w:numId w:val="3"/>
        </w:numPr>
        <w:ind w:right="32" w:hanging="360"/>
      </w:pPr>
      <w:r>
        <w:t xml:space="preserve">El PNUD reconoce las siguientes clases o grupos de PPE: </w:t>
      </w:r>
    </w:p>
    <w:p w14:paraId="54DB5BBF" w14:textId="77777777" w:rsidR="00232D3C" w:rsidRDefault="0015214B">
      <w:pPr>
        <w:spacing w:after="14" w:line="259" w:lineRule="auto"/>
        <w:ind w:left="0" w:firstLine="0"/>
        <w:jc w:val="left"/>
      </w:pPr>
      <w:r>
        <w:t xml:space="preserve">  </w:t>
      </w:r>
    </w:p>
    <w:p w14:paraId="7E5B8D9E" w14:textId="77777777" w:rsidR="00232D3C" w:rsidRDefault="0015214B">
      <w:pPr>
        <w:pStyle w:val="Heading1"/>
        <w:ind w:left="1090"/>
      </w:pPr>
      <w:r>
        <w:t>a) Activos tangibles</w:t>
      </w:r>
      <w:r>
        <w:rPr>
          <w:b w:val="0"/>
        </w:rPr>
        <w:t xml:space="preserve"> </w:t>
      </w:r>
    </w:p>
    <w:p w14:paraId="1954E16F" w14:textId="77777777" w:rsidR="00232D3C" w:rsidRDefault="0015214B">
      <w:pPr>
        <w:numPr>
          <w:ilvl w:val="0"/>
          <w:numId w:val="4"/>
        </w:numPr>
        <w:spacing w:after="33"/>
        <w:ind w:right="32" w:firstLine="0"/>
      </w:pPr>
      <w:r>
        <w:t xml:space="preserve">Terrenos </w:t>
      </w:r>
    </w:p>
    <w:p w14:paraId="68591CB0" w14:textId="77777777" w:rsidR="00232D3C" w:rsidRDefault="0015214B">
      <w:pPr>
        <w:numPr>
          <w:ilvl w:val="0"/>
          <w:numId w:val="4"/>
        </w:numPr>
        <w:spacing w:after="34"/>
        <w:ind w:right="32" w:firstLine="0"/>
      </w:pPr>
      <w:r>
        <w:t xml:space="preserve">Edificios </w:t>
      </w:r>
    </w:p>
    <w:p w14:paraId="3DAE8313" w14:textId="77777777" w:rsidR="009315BD" w:rsidRDefault="0015214B">
      <w:pPr>
        <w:numPr>
          <w:ilvl w:val="0"/>
          <w:numId w:val="4"/>
        </w:numPr>
        <w:spacing w:after="29"/>
        <w:ind w:right="32" w:firstLine="0"/>
      </w:pPr>
      <w:r>
        <w:t xml:space="preserve">Mejoras de Locales Arrendados  </w:t>
      </w:r>
    </w:p>
    <w:p w14:paraId="6AE74265" w14:textId="77777777" w:rsidR="00232D3C" w:rsidRDefault="0015214B">
      <w:pPr>
        <w:numPr>
          <w:ilvl w:val="0"/>
          <w:numId w:val="4"/>
        </w:numPr>
        <w:spacing w:after="29"/>
        <w:ind w:right="32" w:firstLine="0"/>
      </w:pPr>
      <w:r>
        <w:t xml:space="preserve">Equipo de comunicaciones y TI </w:t>
      </w:r>
    </w:p>
    <w:p w14:paraId="44EB1C5F" w14:textId="77777777" w:rsidR="009315BD" w:rsidRDefault="0015214B">
      <w:pPr>
        <w:spacing w:after="31"/>
        <w:ind w:left="1800" w:right="3474" w:firstLine="0"/>
      </w:pPr>
      <w:r>
        <w:t>v)</w:t>
      </w:r>
      <w:r>
        <w:rPr>
          <w:rFonts w:ascii="Arial" w:hAnsi="Arial"/>
        </w:rPr>
        <w:t xml:space="preserve">   </w:t>
      </w:r>
      <w:r>
        <w:t xml:space="preserve">Maquinaria pesada y otros equipos </w:t>
      </w:r>
    </w:p>
    <w:p w14:paraId="0AAC2FC6" w14:textId="77777777" w:rsidR="00232D3C" w:rsidRDefault="0015214B">
      <w:pPr>
        <w:spacing w:after="31"/>
        <w:ind w:left="1800" w:right="3474" w:firstLine="0"/>
      </w:pPr>
      <w:r>
        <w:t>vi)</w:t>
      </w:r>
      <w:r>
        <w:rPr>
          <w:rFonts w:ascii="Arial" w:hAnsi="Arial"/>
        </w:rPr>
        <w:t xml:space="preserve">  </w:t>
      </w:r>
      <w:r>
        <w:t xml:space="preserve">Vehículos </w:t>
      </w:r>
    </w:p>
    <w:p w14:paraId="0AB16872" w14:textId="77777777" w:rsidR="00232D3C" w:rsidRDefault="0015214B">
      <w:pPr>
        <w:ind w:left="1800" w:right="32" w:firstLine="0"/>
      </w:pPr>
      <w:proofErr w:type="spellStart"/>
      <w:r>
        <w:lastRenderedPageBreak/>
        <w:t>vii</w:t>
      </w:r>
      <w:proofErr w:type="spellEnd"/>
      <w:r>
        <w:t>)</w:t>
      </w:r>
      <w:r>
        <w:rPr>
          <w:rFonts w:ascii="Arial" w:hAnsi="Arial"/>
        </w:rPr>
        <w:t xml:space="preserve">  </w:t>
      </w:r>
      <w:r>
        <w:t xml:space="preserve">Mobiliario y Accesorios </w:t>
      </w:r>
    </w:p>
    <w:p w14:paraId="530082A7" w14:textId="77777777" w:rsidR="00232D3C" w:rsidRDefault="0015214B">
      <w:pPr>
        <w:spacing w:after="15" w:line="259" w:lineRule="auto"/>
        <w:ind w:left="0" w:firstLine="0"/>
        <w:jc w:val="left"/>
      </w:pPr>
      <w:r>
        <w:t xml:space="preserve">  </w:t>
      </w:r>
    </w:p>
    <w:p w14:paraId="55A12512" w14:textId="77777777" w:rsidR="00232D3C" w:rsidRDefault="0015214B">
      <w:pPr>
        <w:pStyle w:val="Heading1"/>
        <w:ind w:left="1090"/>
      </w:pPr>
      <w:r>
        <w:t>b)</w:t>
      </w:r>
      <w:r>
        <w:rPr>
          <w:rFonts w:ascii="Arial" w:hAnsi="Arial"/>
        </w:rPr>
        <w:t xml:space="preserve"> </w:t>
      </w:r>
      <w:r>
        <w:t xml:space="preserve">Activos intangibles </w:t>
      </w:r>
    </w:p>
    <w:p w14:paraId="22180CAA" w14:textId="75D814E5" w:rsidR="00232D3C" w:rsidRDefault="0015214B">
      <w:pPr>
        <w:ind w:left="1080" w:right="32" w:firstLine="0"/>
      </w:pPr>
      <w:r>
        <w:t xml:space="preserve">Un activo intangible es un activo no monetario identificable sin sustancia física. Algunos ejemplos de activos intangibles incluyen licencias de software, marcas comerciales, derechos de autor y software desarrollado.   </w:t>
      </w:r>
    </w:p>
    <w:p w14:paraId="0FAAA988" w14:textId="77777777" w:rsidR="00232D3C" w:rsidRDefault="0015214B">
      <w:pPr>
        <w:spacing w:after="14" w:line="259" w:lineRule="auto"/>
        <w:ind w:left="1440" w:firstLine="0"/>
        <w:jc w:val="left"/>
      </w:pPr>
      <w:r>
        <w:t xml:space="preserve"> </w:t>
      </w:r>
    </w:p>
    <w:p w14:paraId="21367CBB" w14:textId="77777777" w:rsidR="00232D3C" w:rsidRDefault="0015214B">
      <w:pPr>
        <w:pStyle w:val="Heading1"/>
        <w:ind w:left="1090"/>
      </w:pPr>
      <w:r>
        <w:t>c)</w:t>
      </w:r>
      <w:r>
        <w:rPr>
          <w:rFonts w:ascii="Arial" w:hAnsi="Arial"/>
        </w:rPr>
        <w:t xml:space="preserve"> </w:t>
      </w:r>
      <w:r>
        <w:t>Arrendamientos financieros</w:t>
      </w:r>
      <w:r>
        <w:rPr>
          <w:b w:val="0"/>
        </w:rPr>
        <w:t xml:space="preserve"> </w:t>
      </w:r>
    </w:p>
    <w:p w14:paraId="425BDFDC" w14:textId="77777777" w:rsidR="00232D3C" w:rsidRDefault="0015214B">
      <w:pPr>
        <w:ind w:left="1080" w:right="32" w:firstLine="0"/>
      </w:pPr>
      <w:r>
        <w:t xml:space="preserve">Un arrendamiento financiero es un arrendamiento de capital que transfiere sustancialmente todos los riesgos y las ventajas inherentes a la propiedad de un activo. El título puede o no transferirse eventualmente, si bien el PNUD no posee el título legal durante la vigencia del arrendamiento. </w:t>
      </w:r>
    </w:p>
    <w:p w14:paraId="59A7D12A" w14:textId="77777777" w:rsidR="00232D3C" w:rsidRDefault="0015214B">
      <w:pPr>
        <w:spacing w:after="20" w:line="259" w:lineRule="auto"/>
        <w:ind w:left="0" w:firstLine="0"/>
        <w:jc w:val="left"/>
      </w:pPr>
      <w:r>
        <w:t xml:space="preserve"> </w:t>
      </w:r>
    </w:p>
    <w:p w14:paraId="161014B9" w14:textId="7DA69EAE" w:rsidR="00232D3C" w:rsidRDefault="0015214B">
      <w:pPr>
        <w:ind w:left="715" w:right="32"/>
      </w:pPr>
      <w:r>
        <w:t>16.</w:t>
      </w:r>
      <w:r w:rsidRPr="1489EBC0">
        <w:rPr>
          <w:rFonts w:ascii="Arial" w:hAnsi="Arial"/>
        </w:rPr>
        <w:t xml:space="preserve"> </w:t>
      </w:r>
      <w:r>
        <w:t xml:space="preserve">Esta política no rige para artículos de inventario adquiridos exclusivamente para la distribución a terceros en la realización de su misión ni para artículos que serán utilizados por el PNUD para fines administrativos dentro de 12 meses, es decir, consumibles o insumos. Consulte la Política de Gestión de Inventario para conocer más detalles. </w:t>
      </w:r>
    </w:p>
    <w:p w14:paraId="01F7B63B" w14:textId="77777777" w:rsidR="00232D3C" w:rsidRDefault="0015214B">
      <w:pPr>
        <w:spacing w:after="0" w:line="259" w:lineRule="auto"/>
        <w:ind w:left="0" w:firstLine="0"/>
        <w:jc w:val="left"/>
      </w:pPr>
      <w:r>
        <w:t xml:space="preserve"> </w:t>
      </w:r>
    </w:p>
    <w:p w14:paraId="1716B1AE" w14:textId="77777777" w:rsidR="00232D3C" w:rsidRDefault="0015214B">
      <w:pPr>
        <w:pStyle w:val="Heading1"/>
        <w:ind w:left="-5"/>
      </w:pPr>
      <w:r>
        <w:t>PPE conforme a las Normas Internacionales de Contabilidad del Sector Público (IPSAS)</w:t>
      </w:r>
      <w:r>
        <w:rPr>
          <w:b w:val="0"/>
        </w:rPr>
        <w:t xml:space="preserve"> </w:t>
      </w:r>
    </w:p>
    <w:p w14:paraId="5CAB1530" w14:textId="77777777" w:rsidR="00232D3C" w:rsidRDefault="0015214B">
      <w:pPr>
        <w:spacing w:after="21" w:line="259" w:lineRule="auto"/>
        <w:ind w:left="0" w:firstLine="0"/>
        <w:jc w:val="left"/>
      </w:pPr>
      <w:r>
        <w:t xml:space="preserve">  </w:t>
      </w:r>
    </w:p>
    <w:p w14:paraId="2A58AD07" w14:textId="77777777" w:rsidR="00232D3C" w:rsidRDefault="0015214B">
      <w:pPr>
        <w:numPr>
          <w:ilvl w:val="0"/>
          <w:numId w:val="5"/>
        </w:numPr>
        <w:ind w:right="32" w:hanging="360"/>
      </w:pPr>
      <w:r>
        <w:t xml:space="preserve">El PPE usado y controlado por el PNUD se capitalizará conforme a las IPSAS.   </w:t>
      </w:r>
    </w:p>
    <w:p w14:paraId="26F2B02C" w14:textId="77777777" w:rsidR="00232D3C" w:rsidRDefault="0015214B">
      <w:pPr>
        <w:spacing w:after="21" w:line="259" w:lineRule="auto"/>
        <w:ind w:left="46" w:firstLine="0"/>
        <w:jc w:val="left"/>
      </w:pPr>
      <w:r>
        <w:t xml:space="preserve"> </w:t>
      </w:r>
    </w:p>
    <w:p w14:paraId="475D5E87" w14:textId="7C228566" w:rsidR="00232D3C" w:rsidRDefault="0015214B">
      <w:pPr>
        <w:numPr>
          <w:ilvl w:val="0"/>
          <w:numId w:val="5"/>
        </w:numPr>
        <w:ind w:right="32" w:hanging="360"/>
      </w:pPr>
      <w:r>
        <w:t xml:space="preserve">La </w:t>
      </w:r>
      <w:r w:rsidRPr="1489EBC0">
        <w:rPr>
          <w:u w:val="single"/>
        </w:rPr>
        <w:t>capitalización</w:t>
      </w:r>
      <w:r>
        <w:t xml:space="preserve"> es el proceso de registrar los costos asociados con la adquisición o la construcción de un activo en el estado de situación financiera en oposición a contabilizar como gasto el costo total de una sola vez. Este costo luego se contabiliza como gasto durante la vida útil (el período promedio durante el cual se utiliza un activo) de un activo mediante un proceso conocido como Depreciación. </w:t>
      </w:r>
    </w:p>
    <w:p w14:paraId="64003303" w14:textId="77777777" w:rsidR="00232D3C" w:rsidRDefault="0015214B">
      <w:pPr>
        <w:spacing w:after="22" w:line="259" w:lineRule="auto"/>
        <w:ind w:left="46" w:firstLine="0"/>
        <w:jc w:val="left"/>
      </w:pPr>
      <w:r>
        <w:t xml:space="preserve"> </w:t>
      </w:r>
    </w:p>
    <w:p w14:paraId="76B1EF59" w14:textId="53649490" w:rsidR="00232D3C" w:rsidRDefault="0015214B">
      <w:pPr>
        <w:numPr>
          <w:ilvl w:val="0"/>
          <w:numId w:val="5"/>
        </w:numPr>
        <w:ind w:right="32" w:hanging="360"/>
      </w:pPr>
      <w:r>
        <w:t xml:space="preserve">La </w:t>
      </w:r>
      <w:r w:rsidRPr="1489EBC0">
        <w:rPr>
          <w:u w:val="single"/>
        </w:rPr>
        <w:t>depreciación</w:t>
      </w:r>
      <w:r>
        <w:t xml:space="preserve"> es la medida del desgaste, el consumo u otra pérdida de valor de un activo a lo largo de su vida útil. Esto se conoce también como gasto de depreciación.  </w:t>
      </w:r>
    </w:p>
    <w:p w14:paraId="233833CD" w14:textId="77777777" w:rsidR="00232D3C" w:rsidRDefault="0015214B">
      <w:pPr>
        <w:spacing w:after="23" w:line="259" w:lineRule="auto"/>
        <w:ind w:left="720" w:firstLine="0"/>
        <w:jc w:val="left"/>
      </w:pPr>
      <w:r>
        <w:t xml:space="preserve"> </w:t>
      </w:r>
    </w:p>
    <w:p w14:paraId="3E280CB9" w14:textId="77777777" w:rsidR="00232D3C" w:rsidRDefault="0015214B">
      <w:pPr>
        <w:numPr>
          <w:ilvl w:val="0"/>
          <w:numId w:val="5"/>
        </w:numPr>
        <w:ind w:right="32" w:hanging="360"/>
      </w:pPr>
      <w:r>
        <w:t xml:space="preserve">El valor de reposición o el valor normal de mercado es el monto por el cual podría intercambiarse un activo, o una obligación liquidada, entre partes dispuestas e informadas en una transacción entre partes independientes.  </w:t>
      </w:r>
    </w:p>
    <w:p w14:paraId="217CF977" w14:textId="77777777" w:rsidR="00232D3C" w:rsidRDefault="0015214B">
      <w:pPr>
        <w:spacing w:after="21" w:line="259" w:lineRule="auto"/>
        <w:ind w:left="46" w:firstLine="0"/>
        <w:jc w:val="left"/>
      </w:pPr>
      <w:r>
        <w:t xml:space="preserve"> </w:t>
      </w:r>
    </w:p>
    <w:p w14:paraId="527AFF0E" w14:textId="77777777" w:rsidR="00232D3C" w:rsidRDefault="0015214B">
      <w:pPr>
        <w:numPr>
          <w:ilvl w:val="0"/>
          <w:numId w:val="5"/>
        </w:numPr>
        <w:spacing w:after="0" w:line="242" w:lineRule="auto"/>
        <w:ind w:right="32" w:hanging="360"/>
      </w:pPr>
      <w:r>
        <w:t xml:space="preserve">El valor neto contable </w:t>
      </w:r>
      <w:r>
        <w:rPr>
          <w:u w:val="single" w:color="000000"/>
        </w:rPr>
        <w:t>es el monto por el cual se reconoce un activo después de deducir cualquier depreciación acumulada y cualquier pérdida por deterioro acumulada.</w:t>
      </w:r>
      <w:r>
        <w:t xml:space="preserve"> </w:t>
      </w:r>
    </w:p>
    <w:p w14:paraId="53979819" w14:textId="77777777" w:rsidR="00232D3C" w:rsidRDefault="0015214B">
      <w:pPr>
        <w:spacing w:after="0" w:line="259" w:lineRule="auto"/>
        <w:ind w:left="0" w:firstLine="0"/>
        <w:jc w:val="left"/>
      </w:pPr>
      <w:r>
        <w:rPr>
          <w:b/>
        </w:rPr>
        <w:t xml:space="preserve"> </w:t>
      </w:r>
      <w:r>
        <w:t xml:space="preserve"> </w:t>
      </w:r>
    </w:p>
    <w:p w14:paraId="79B2D304" w14:textId="77777777" w:rsidR="00232D3C" w:rsidRDefault="0015214B">
      <w:pPr>
        <w:pStyle w:val="Heading1"/>
        <w:ind w:left="-5"/>
      </w:pPr>
      <w:r>
        <w:t xml:space="preserve">Impacto en la Utilización del Presupuesto </w:t>
      </w:r>
      <w:r>
        <w:rPr>
          <w:b w:val="0"/>
        </w:rPr>
        <w:t xml:space="preserve"> </w:t>
      </w:r>
    </w:p>
    <w:p w14:paraId="5C563BC9" w14:textId="77777777" w:rsidR="00232D3C" w:rsidRDefault="0015214B">
      <w:pPr>
        <w:spacing w:after="22" w:line="259" w:lineRule="auto"/>
        <w:ind w:left="0" w:firstLine="0"/>
        <w:jc w:val="left"/>
      </w:pPr>
      <w:r>
        <w:t xml:space="preserve">  </w:t>
      </w:r>
    </w:p>
    <w:p w14:paraId="73406742" w14:textId="0F3D04E5" w:rsidR="00232D3C" w:rsidRDefault="0015214B">
      <w:pPr>
        <w:numPr>
          <w:ilvl w:val="0"/>
          <w:numId w:val="6"/>
        </w:numPr>
        <w:ind w:right="32" w:hanging="360"/>
      </w:pPr>
      <w:r>
        <w:t xml:space="preserve">Todo el PPE se verificará con el presupuesto en el momento de la adquisición, pero no se verificará con el presupuesto para establecer el gasto de depreciación. Si bien la depreciación es un tipo de gasto, la depreciación no genera una salida de efectivo y, por lo tanto, no hay ningún impacto en </w:t>
      </w:r>
      <w:r>
        <w:lastRenderedPageBreak/>
        <w:t>la utilización del presupuesto.  Esto significa que, cuando se adquiere un activo con un costo de compra de USD 10 000, los USD 10 000 se cargan al presupuesto cuando la orden de compra (OC) se aprueba y se verifica con el presupuesto. Los siguientes gastos de depreciación, si bien se contabilizan en el plan de cuentas (COA) del proyecto, no se cargan al presupuesto</w:t>
      </w:r>
      <w:r w:rsidR="46739837">
        <w:t>,</w:t>
      </w:r>
      <w:r>
        <w:t xml:space="preserve"> sino que reflejan el uso del activo a través del tiempo. El siguiente GMS (apoyo general a la gestión) que se carga al gasto de depreciación se verifica con el presupuesto y por este motivo es importante que todos los activos se registren en función a un COA válido y que todos los activos se enajenen antes de cerrar un proyecto. </w:t>
      </w:r>
    </w:p>
    <w:p w14:paraId="08C635A2" w14:textId="77777777" w:rsidR="00232D3C" w:rsidRDefault="0015214B">
      <w:pPr>
        <w:spacing w:after="17" w:line="259" w:lineRule="auto"/>
        <w:ind w:left="46" w:firstLine="0"/>
        <w:jc w:val="left"/>
      </w:pPr>
      <w:r>
        <w:t xml:space="preserve"> </w:t>
      </w:r>
    </w:p>
    <w:p w14:paraId="370435A2" w14:textId="21E17E47" w:rsidR="00232D3C" w:rsidRDefault="0015214B">
      <w:pPr>
        <w:numPr>
          <w:ilvl w:val="0"/>
          <w:numId w:val="6"/>
        </w:numPr>
        <w:ind w:right="32" w:hanging="360"/>
      </w:pPr>
      <w:r>
        <w:t xml:space="preserve">Dada la integridad de los datos de Gestión de Activos de </w:t>
      </w:r>
      <w:r w:rsidR="004372CF">
        <w:t>Quantum</w:t>
      </w:r>
      <w:r>
        <w:t xml:space="preserve"> sobre PPE, esta información debe utilizarse como una herramienta para la planificación del presupuesto y la reposición. Por ejemplo, una oficina debe revisar los activos en su registro de activos que han alcanzado el evento determinante para su reposición y realizar el presupuesto en consecuencia. </w:t>
      </w:r>
    </w:p>
    <w:p w14:paraId="378A6104" w14:textId="77777777" w:rsidR="00232D3C" w:rsidRDefault="0015214B">
      <w:pPr>
        <w:spacing w:after="20" w:line="259" w:lineRule="auto"/>
        <w:ind w:left="106" w:firstLine="0"/>
        <w:jc w:val="left"/>
      </w:pPr>
      <w:r>
        <w:t xml:space="preserve"> </w:t>
      </w:r>
    </w:p>
    <w:p w14:paraId="52B8B623" w14:textId="0C777124" w:rsidR="00232D3C" w:rsidRDefault="0015214B">
      <w:pPr>
        <w:numPr>
          <w:ilvl w:val="0"/>
          <w:numId w:val="6"/>
        </w:numPr>
        <w:ind w:right="32" w:hanging="360"/>
      </w:pPr>
      <w:r>
        <w:t xml:space="preserve">Dado que la depreciación no tendrá un impacto en la utilización del presupuesto, habrá diferencias en los gastos de depreciación entre </w:t>
      </w:r>
      <w:r w:rsidR="00CE3F59">
        <w:t>la contabilidad d</w:t>
      </w:r>
      <w:r>
        <w:t xml:space="preserve">el Libro Mayor (GL) y </w:t>
      </w:r>
      <w:r w:rsidR="004372CF">
        <w:t>balance del proyecto</w:t>
      </w:r>
      <w:r>
        <w:t xml:space="preserve">. Esta diferencia es perfectamente aceptable como resultado del diseño del proceso comercial de PPE según las IPSAS. </w:t>
      </w:r>
    </w:p>
    <w:p w14:paraId="133034D5" w14:textId="77777777" w:rsidR="00232D3C" w:rsidRDefault="0015214B">
      <w:pPr>
        <w:spacing w:after="0" w:line="259" w:lineRule="auto"/>
        <w:ind w:left="0" w:firstLine="0"/>
        <w:jc w:val="left"/>
      </w:pPr>
      <w:r>
        <w:t xml:space="preserve">  </w:t>
      </w:r>
    </w:p>
    <w:p w14:paraId="219AF711" w14:textId="77777777" w:rsidR="00BE77E9" w:rsidRDefault="00BE77E9" w:rsidP="00BE77E9">
      <w:pPr>
        <w:pStyle w:val="Heading1"/>
        <w:ind w:left="-5"/>
      </w:pPr>
      <w:r>
        <w:t xml:space="preserve">Activos y cierre de proyectos </w:t>
      </w:r>
      <w:r>
        <w:rPr>
          <w:b w:val="0"/>
        </w:rPr>
        <w:t xml:space="preserve"> </w:t>
      </w:r>
    </w:p>
    <w:p w14:paraId="510510D4" w14:textId="77777777" w:rsidR="00BE77E9" w:rsidRDefault="00BE77E9" w:rsidP="00BE77E9">
      <w:pPr>
        <w:spacing w:after="22" w:line="259" w:lineRule="auto"/>
        <w:ind w:left="0" w:firstLine="0"/>
        <w:jc w:val="left"/>
      </w:pPr>
      <w:r>
        <w:t xml:space="preserve">  </w:t>
      </w:r>
    </w:p>
    <w:p w14:paraId="4A63840F" w14:textId="77777777" w:rsidR="001D4745" w:rsidRDefault="001D4745" w:rsidP="00BE77E9">
      <w:pPr>
        <w:numPr>
          <w:ilvl w:val="0"/>
          <w:numId w:val="7"/>
        </w:numPr>
        <w:ind w:right="32" w:hanging="360"/>
      </w:pPr>
      <w:r>
        <w:t>No debe dejarse ningún activo en el proyecto cerrado. El proyecto no puede cerrarse si no se completó la enajenación o la transferencia de sus activos.</w:t>
      </w:r>
    </w:p>
    <w:p w14:paraId="66CE14A1" w14:textId="77777777" w:rsidR="001D4745" w:rsidRDefault="001D4745" w:rsidP="001D4745">
      <w:pPr>
        <w:ind w:left="705" w:right="32" w:firstLine="0"/>
      </w:pPr>
    </w:p>
    <w:p w14:paraId="0AFA54E2" w14:textId="77777777" w:rsidR="001D4745" w:rsidRDefault="001D4745" w:rsidP="00BE77E9">
      <w:pPr>
        <w:numPr>
          <w:ilvl w:val="0"/>
          <w:numId w:val="7"/>
        </w:numPr>
        <w:ind w:right="32" w:hanging="360"/>
      </w:pPr>
      <w:r>
        <w:t>Con suficiente antelación al cierre del proyecto, la gestión de proyectos debe identificar los métodos de enajenación de activos teniendo en cuenta las provisiones respectivas del documento del proyecto, la Política del PNUD y las circunstancias locales.</w:t>
      </w:r>
    </w:p>
    <w:p w14:paraId="40972743" w14:textId="77777777" w:rsidR="001D4745" w:rsidRDefault="001D4745" w:rsidP="001D4745">
      <w:pPr>
        <w:ind w:left="0" w:right="32" w:firstLine="0"/>
      </w:pPr>
    </w:p>
    <w:p w14:paraId="01CA01EC" w14:textId="230388C4" w:rsidR="00BE77E9" w:rsidRDefault="00580F00" w:rsidP="00BE77E9">
      <w:pPr>
        <w:numPr>
          <w:ilvl w:val="0"/>
          <w:numId w:val="7"/>
        </w:numPr>
        <w:ind w:right="32" w:hanging="360"/>
      </w:pPr>
      <w:r>
        <w:t>Los métodos, los requisitos y los procedimientos de enajenación de activos se describen en detalle en la política de Enajenaciones (</w:t>
      </w:r>
      <w:hyperlink r:id="rId14" w:history="1">
        <w:r w:rsidRPr="00B8476C">
          <w:rPr>
            <w:rStyle w:val="Hyperlink"/>
          </w:rPr>
          <w:t>enlace</w:t>
        </w:r>
      </w:hyperlink>
      <w:r w:rsidRPr="00B8476C">
        <w:t>).</w:t>
      </w:r>
    </w:p>
    <w:p w14:paraId="3DB86046" w14:textId="6465CB2F" w:rsidR="00BE77E9" w:rsidRDefault="00BE77E9" w:rsidP="00BE77E9">
      <w:pPr>
        <w:spacing w:after="20" w:line="259" w:lineRule="auto"/>
        <w:ind w:left="46" w:firstLine="0"/>
        <w:jc w:val="left"/>
      </w:pPr>
      <w:r>
        <w:t xml:space="preserve"> </w:t>
      </w:r>
    </w:p>
    <w:p w14:paraId="3030C243" w14:textId="77777777" w:rsidR="00D20890" w:rsidRDefault="00D20890" w:rsidP="00BE77E9">
      <w:pPr>
        <w:spacing w:after="20" w:line="259" w:lineRule="auto"/>
        <w:ind w:left="46" w:firstLine="0"/>
        <w:jc w:val="left"/>
      </w:pPr>
    </w:p>
    <w:p w14:paraId="4A0C35EA" w14:textId="77777777" w:rsidR="00E46F3C" w:rsidRDefault="00E46F3C" w:rsidP="00BE77E9">
      <w:pPr>
        <w:spacing w:after="20" w:line="259" w:lineRule="auto"/>
        <w:ind w:left="46" w:firstLine="0"/>
        <w:jc w:val="left"/>
      </w:pPr>
    </w:p>
    <w:p w14:paraId="4CBCB656" w14:textId="77777777" w:rsidR="00E46F3C" w:rsidRDefault="00E46F3C" w:rsidP="00BE77E9">
      <w:pPr>
        <w:spacing w:after="20" w:line="259" w:lineRule="auto"/>
        <w:ind w:left="46" w:firstLine="0"/>
        <w:jc w:val="left"/>
      </w:pPr>
    </w:p>
    <w:p w14:paraId="22931FB5" w14:textId="77777777" w:rsidR="00E46F3C" w:rsidRDefault="00E46F3C" w:rsidP="00BE77E9">
      <w:pPr>
        <w:spacing w:after="20" w:line="259" w:lineRule="auto"/>
        <w:ind w:left="46" w:firstLine="0"/>
        <w:jc w:val="left"/>
      </w:pPr>
    </w:p>
    <w:p w14:paraId="2A28513B" w14:textId="77777777" w:rsidR="00E46F3C" w:rsidRPr="00E46F3C" w:rsidRDefault="00E46F3C" w:rsidP="00E46F3C">
      <w:pPr>
        <w:shd w:val="clear" w:color="auto" w:fill="FFFFFF"/>
        <w:spacing w:after="0" w:line="240" w:lineRule="auto"/>
        <w:ind w:left="0" w:firstLine="0"/>
        <w:jc w:val="center"/>
        <w:rPr>
          <w:rFonts w:eastAsia="Times New Roman" w:cs="Times New Roman"/>
          <w:color w:val="333333"/>
          <w:lang w:val="en-US" w:eastAsia="en-US" w:bidi="ar-SA"/>
        </w:rPr>
      </w:pPr>
      <w:r w:rsidRPr="00E46F3C">
        <w:rPr>
          <w:rFonts w:eastAsia="Times New Roman" w:cs="Times New Roman"/>
          <w:b/>
          <w:bCs/>
          <w:i/>
          <w:iCs/>
          <w:color w:val="333333"/>
          <w:lang w:val="en-US" w:eastAsia="en-US" w:bidi="ar-SA"/>
        </w:rPr>
        <w:t>Disclaimer:</w:t>
      </w:r>
      <w:r w:rsidRPr="00E46F3C">
        <w:rPr>
          <w:rFonts w:eastAsia="Times New Roman" w:cs="Times New Roman"/>
          <w:i/>
          <w:iCs/>
          <w:color w:val="333333"/>
          <w:lang w:val="en-US" w:eastAsia="en-US" w:bidi="ar-SA"/>
        </w:rPr>
        <w:t xml:space="preserve"> This document was translated from English into Spanish. In the event of any discrepancy between this translation and the original English document, the original English document shall prevail.</w:t>
      </w:r>
    </w:p>
    <w:p w14:paraId="67C10DDC" w14:textId="77777777" w:rsidR="00E46F3C" w:rsidRPr="00E46F3C" w:rsidRDefault="00E46F3C" w:rsidP="00E46F3C">
      <w:pPr>
        <w:shd w:val="clear" w:color="auto" w:fill="FFFFFF"/>
        <w:spacing w:after="0" w:line="240" w:lineRule="auto"/>
        <w:ind w:left="0" w:firstLine="0"/>
        <w:jc w:val="center"/>
        <w:rPr>
          <w:rFonts w:eastAsia="Times New Roman" w:cs="Times New Roman"/>
          <w:color w:val="333333"/>
          <w:lang w:val="en-US" w:eastAsia="en-US" w:bidi="ar-SA"/>
        </w:rPr>
      </w:pPr>
      <w:r w:rsidRPr="00E46F3C">
        <w:rPr>
          <w:rFonts w:eastAsia="Times New Roman" w:cs="Times New Roman"/>
          <w:i/>
          <w:iCs/>
          <w:color w:val="333333"/>
          <w:lang w:val="en-US" w:eastAsia="en-US" w:bidi="ar-SA"/>
        </w:rPr>
        <w:t> </w:t>
      </w:r>
    </w:p>
    <w:p w14:paraId="743DB16C" w14:textId="77777777" w:rsidR="00E46F3C" w:rsidRPr="00E46F3C" w:rsidRDefault="00E46F3C" w:rsidP="00E46F3C">
      <w:pPr>
        <w:shd w:val="clear" w:color="auto" w:fill="FFFFFF"/>
        <w:spacing w:after="0" w:line="240" w:lineRule="auto"/>
        <w:ind w:left="0" w:firstLine="0"/>
        <w:jc w:val="center"/>
        <w:rPr>
          <w:rFonts w:eastAsia="Times New Roman" w:cs="Times New Roman"/>
          <w:color w:val="333333"/>
          <w:lang w:val="es-ES_tradnl" w:eastAsia="en-US" w:bidi="ar-SA"/>
        </w:rPr>
      </w:pPr>
      <w:r w:rsidRPr="00E46F3C">
        <w:rPr>
          <w:rFonts w:eastAsia="Times New Roman" w:cs="Times New Roman"/>
          <w:b/>
          <w:bCs/>
          <w:i/>
          <w:iCs/>
          <w:color w:val="333333"/>
          <w:shd w:val="clear" w:color="auto" w:fill="FFFFFF"/>
          <w:lang w:val="es-ES_tradnl" w:eastAsia="en-US" w:bidi="ar-SA"/>
        </w:rPr>
        <w:t>Descargo de responsabilidad:</w:t>
      </w:r>
      <w:r w:rsidRPr="00E46F3C">
        <w:rPr>
          <w:rFonts w:eastAsia="Times New Roman" w:cs="Times New Roman"/>
          <w:i/>
          <w:iCs/>
          <w:color w:val="333333"/>
          <w:shd w:val="clear" w:color="auto" w:fill="FFFFFF"/>
          <w:lang w:val="es-ES_tradnl" w:eastAsia="en-US" w:bidi="ar-SA"/>
        </w:rPr>
        <w:t xml:space="preserve"> esta es una traducción de un documento original en inglés. </w:t>
      </w:r>
      <w:r w:rsidRPr="00E46F3C">
        <w:rPr>
          <w:rFonts w:eastAsia="Times New Roman" w:cs="Times New Roman"/>
          <w:i/>
          <w:iCs/>
          <w:color w:val="333333"/>
          <w:shd w:val="clear" w:color="auto" w:fill="FFFFFF"/>
          <w:lang w:val="es-UY" w:eastAsia="en-US" w:bidi="ar-SA"/>
        </w:rPr>
        <w:t>En caso de discrepancias entre esta traducción y el documento original en inglés, prevalecerá el documento original en inglés.</w:t>
      </w:r>
    </w:p>
    <w:p w14:paraId="7DCC69C7" w14:textId="77777777" w:rsidR="00E46F3C" w:rsidRPr="00E46F3C" w:rsidRDefault="00E46F3C" w:rsidP="00E46F3C">
      <w:pPr>
        <w:shd w:val="clear" w:color="auto" w:fill="FFFFFF"/>
        <w:spacing w:after="0" w:line="270" w:lineRule="atLeast"/>
        <w:ind w:left="0" w:firstLine="0"/>
        <w:jc w:val="left"/>
        <w:rPr>
          <w:rFonts w:asciiTheme="minorHAnsi" w:eastAsiaTheme="minorHAnsi" w:hAnsiTheme="minorHAnsi" w:cstheme="minorBidi"/>
          <w:color w:val="auto"/>
          <w:lang w:val="es-ES_tradnl"/>
        </w:rPr>
      </w:pPr>
    </w:p>
    <w:p w14:paraId="65523758" w14:textId="77777777" w:rsidR="00BE77E9" w:rsidRPr="00E46F3C" w:rsidRDefault="00BE77E9" w:rsidP="00E46F3C">
      <w:pPr>
        <w:pStyle w:val="NormalWeb"/>
        <w:shd w:val="clear" w:color="auto" w:fill="FFFFFF"/>
        <w:spacing w:before="0" w:beforeAutospacing="0" w:after="0" w:afterAutospacing="0"/>
        <w:jc w:val="center"/>
        <w:rPr>
          <w:lang w:val="es-ES_tradnl"/>
        </w:rPr>
      </w:pPr>
    </w:p>
    <w:sectPr w:rsidR="00BE77E9" w:rsidRPr="00E46F3C">
      <w:headerReference w:type="default" r:id="rId15"/>
      <w:footerReference w:type="even" r:id="rId16"/>
      <w:footerReference w:type="default" r:id="rId17"/>
      <w:footerReference w:type="first" r:id="rId18"/>
      <w:footnotePr>
        <w:numRestart w:val="eachPage"/>
      </w:footnotePr>
      <w:pgSz w:w="12240" w:h="15840"/>
      <w:pgMar w:top="1483" w:right="1395" w:bottom="144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61541" w14:textId="77777777" w:rsidR="00797A72" w:rsidRDefault="00797A72">
      <w:pPr>
        <w:spacing w:after="0" w:line="240" w:lineRule="auto"/>
      </w:pPr>
      <w:r>
        <w:separator/>
      </w:r>
    </w:p>
  </w:endnote>
  <w:endnote w:type="continuationSeparator" w:id="0">
    <w:p w14:paraId="61C0983A" w14:textId="77777777" w:rsidR="00797A72" w:rsidRDefault="0079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7A1E8" w14:textId="77777777" w:rsidR="00232D3C" w:rsidRDefault="0015214B">
    <w:pPr>
      <w:spacing w:after="0" w:line="259" w:lineRule="auto"/>
      <w:ind w:left="0" w:right="41" w:firstLine="0"/>
      <w:jc w:val="center"/>
    </w:pPr>
    <w:r>
      <w:fldChar w:fldCharType="begin"/>
    </w:r>
    <w:r>
      <w:instrText xml:space="preserve"> PAGE   \* MERGEFORMAT </w:instrText>
    </w:r>
    <w:r>
      <w:fldChar w:fldCharType="separate"/>
    </w:r>
    <w:r>
      <w:t>1</w:t>
    </w:r>
    <w:r>
      <w:fldChar w:fldCharType="end"/>
    </w:r>
    <w:r>
      <w:t xml:space="preserve"> </w:t>
    </w:r>
  </w:p>
  <w:p w14:paraId="5ABAF7E7" w14:textId="77777777" w:rsidR="00232D3C" w:rsidRDefault="0015214B">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D529B" w14:textId="4F11EA65" w:rsidR="00232D3C" w:rsidRDefault="009315BD">
    <w:pPr>
      <w:spacing w:after="0" w:line="259" w:lineRule="auto"/>
      <w:ind w:left="0" w:firstLine="0"/>
      <w:jc w:val="left"/>
    </w:pPr>
    <w:r>
      <w:t xml:space="preserve">Página </w:t>
    </w:r>
    <w:r>
      <w:rPr>
        <w:b/>
      </w:rPr>
      <w:fldChar w:fldCharType="begin"/>
    </w:r>
    <w:r>
      <w:rPr>
        <w:b/>
      </w:rPr>
      <w:instrText xml:space="preserve"> PAGE  \* Arabic  \* MERGEFORMAT </w:instrText>
    </w:r>
    <w:r>
      <w:rPr>
        <w:b/>
      </w:rPr>
      <w:fldChar w:fldCharType="separate"/>
    </w:r>
    <w:r w:rsidR="004218A4">
      <w:rPr>
        <w:b/>
        <w:noProof/>
      </w:rPr>
      <w:t>1</w:t>
    </w:r>
    <w:r>
      <w:rPr>
        <w:b/>
      </w:rPr>
      <w:fldChar w:fldCharType="end"/>
    </w:r>
    <w:r>
      <w:t xml:space="preserve"> de </w:t>
    </w:r>
    <w:r>
      <w:rPr>
        <w:b/>
      </w:rPr>
      <w:fldChar w:fldCharType="begin"/>
    </w:r>
    <w:r>
      <w:rPr>
        <w:b/>
      </w:rPr>
      <w:instrText xml:space="preserve"> NUMPAGES  \* Arabic  \* MERGEFORMAT </w:instrText>
    </w:r>
    <w:r>
      <w:rPr>
        <w:b/>
      </w:rPr>
      <w:fldChar w:fldCharType="separate"/>
    </w:r>
    <w:r w:rsidR="004218A4">
      <w:rPr>
        <w:b/>
        <w:noProof/>
      </w:rPr>
      <w:t>6</w:t>
    </w:r>
    <w:r>
      <w:rPr>
        <w:b/>
      </w:rPr>
      <w:fldChar w:fldCharType="end"/>
    </w:r>
    <w:r>
      <w:ptab w:relativeTo="margin" w:alignment="center" w:leader="none"/>
    </w:r>
    <w:r>
      <w:t>Fecha de entrada en vigor:</w:t>
    </w:r>
    <w:r w:rsidR="00955EDE">
      <w:t xml:space="preserve"> </w:t>
    </w:r>
    <w:r w:rsidR="00955EDE" w:rsidRPr="00955EDE">
      <w:t>01/02/2016</w:t>
    </w:r>
    <w:r>
      <w:t xml:space="preserve"> </w:t>
    </w:r>
    <w:r>
      <w:ptab w:relativeTo="margin" w:alignment="right" w:leader="none"/>
    </w:r>
    <w:r w:rsidR="003450D6" w:rsidRPr="003450D6">
      <w:t xml:space="preserve"> </w:t>
    </w:r>
    <w:r w:rsidR="003450D6" w:rsidRPr="003450D6">
      <w:t>Versión #</w:t>
    </w:r>
    <w:r>
      <w:t xml:space="preserve">: </w:t>
    </w:r>
    <w:sdt>
      <w:sdtPr>
        <w:alias w:val="POPPRefItemVersion"/>
        <w:tag w:val="UNDP_POPP_REFITEM_VERSION"/>
        <w:id w:val="-724597912"/>
        <w:placeholder>
          <w:docPart w:val="C94AD841E19E4E1B9BDC01CBB7EAB88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8F22706-92E3-4E0C-B955-DC03101A2D80}"/>
        <w:text/>
      </w:sdtPr>
      <w:sdtEndPr/>
      <w:sdtContent>
        <w:r w:rsidR="00AB288D">
          <w:t>4</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38494" w14:textId="77777777" w:rsidR="00232D3C" w:rsidRDefault="0015214B">
    <w:pPr>
      <w:spacing w:after="0" w:line="259" w:lineRule="auto"/>
      <w:ind w:left="0" w:right="41" w:firstLine="0"/>
      <w:jc w:val="center"/>
    </w:pPr>
    <w:r>
      <w:fldChar w:fldCharType="begin"/>
    </w:r>
    <w:r>
      <w:instrText xml:space="preserve"> PAGE   \* MERGEFORMAT </w:instrText>
    </w:r>
    <w:r>
      <w:fldChar w:fldCharType="separate"/>
    </w:r>
    <w:r>
      <w:t>1</w:t>
    </w:r>
    <w:r>
      <w:fldChar w:fldCharType="end"/>
    </w:r>
    <w:r>
      <w:t xml:space="preserve"> </w:t>
    </w:r>
  </w:p>
  <w:p w14:paraId="26D1FEAE" w14:textId="77777777" w:rsidR="00232D3C" w:rsidRDefault="0015214B">
    <w:pPr>
      <w:spacing w:after="0" w:line="259" w:lineRule="auto"/>
      <w:ind w:lef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102CB" w14:textId="77777777" w:rsidR="00797A72" w:rsidRDefault="00797A72">
      <w:pPr>
        <w:spacing w:after="0" w:line="259" w:lineRule="auto"/>
        <w:ind w:left="0" w:firstLine="0"/>
        <w:jc w:val="left"/>
      </w:pPr>
      <w:r>
        <w:separator/>
      </w:r>
    </w:p>
  </w:footnote>
  <w:footnote w:type="continuationSeparator" w:id="0">
    <w:p w14:paraId="5ABE7C18" w14:textId="77777777" w:rsidR="00797A72" w:rsidRDefault="00797A72">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74A2F" w14:textId="317988D1" w:rsidR="009315BD" w:rsidRDefault="00AC0C06" w:rsidP="009315BD">
    <w:pPr>
      <w:pStyle w:val="Header"/>
      <w:jc w:val="right"/>
    </w:pPr>
    <w:r>
      <w:rPr>
        <w:noProof/>
      </w:rPr>
      <w:drawing>
        <wp:inline distT="0" distB="0" distL="0" distR="0" wp14:anchorId="567286A5" wp14:editId="02A44515">
          <wp:extent cx="30480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18" b="15579"/>
                  <a:stretch/>
                </pic:blipFill>
                <pic:spPr bwMode="auto">
                  <a:xfrm>
                    <a:off x="0" y="0"/>
                    <a:ext cx="304800" cy="593090"/>
                  </a:xfrm>
                  <a:prstGeom prst="rect">
                    <a:avLst/>
                  </a:prstGeom>
                  <a:ln>
                    <a:noFill/>
                  </a:ln>
                  <a:extLst>
                    <a:ext uri="{53640926-AAD7-44D8-BBD7-CCE9431645EC}">
                      <a14:shadowObscured xmlns:a14="http://schemas.microsoft.com/office/drawing/2010/main"/>
                    </a:ext>
                  </a:extLst>
                </pic:spPr>
              </pic:pic>
            </a:graphicData>
          </a:graphic>
        </wp:inline>
      </w:drawing>
    </w:r>
  </w:p>
  <w:p w14:paraId="4ED5B2D5" w14:textId="77777777" w:rsidR="009315BD" w:rsidRDefault="009315BD" w:rsidP="009315B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E2142"/>
    <w:multiLevelType w:val="hybridMultilevel"/>
    <w:tmpl w:val="4B649A5A"/>
    <w:lvl w:ilvl="0" w:tplc="1EC83002">
      <w:start w:val="1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672F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8AA86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C88E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2A6A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B0A0C9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908B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FF63B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B0513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D11993"/>
    <w:multiLevelType w:val="hybridMultilevel"/>
    <w:tmpl w:val="91C82C52"/>
    <w:lvl w:ilvl="0" w:tplc="BBBE2184">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27AC1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EEF15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DC1CB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FC3DD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18546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2202D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8596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90AB7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CC01ED"/>
    <w:multiLevelType w:val="hybridMultilevel"/>
    <w:tmpl w:val="3BB87E1C"/>
    <w:lvl w:ilvl="0" w:tplc="6D2A83C2">
      <w:start w:val="1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114DE5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F88075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CC8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74AA0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04C504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1E385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F4FB5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C01A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957023D"/>
    <w:multiLevelType w:val="hybridMultilevel"/>
    <w:tmpl w:val="27589F08"/>
    <w:lvl w:ilvl="0" w:tplc="5E5EC5F4">
      <w:start w:val="1"/>
      <w:numFmt w:val="lowerRoman"/>
      <w:lvlText w:val="%1)"/>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A41AEE">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66650E">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8782606">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B815BE">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88854">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1E47B00">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DC82C8">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2C915E">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FA43423"/>
    <w:multiLevelType w:val="hybridMultilevel"/>
    <w:tmpl w:val="0878302E"/>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75E2060"/>
    <w:multiLevelType w:val="hybridMultilevel"/>
    <w:tmpl w:val="6694A842"/>
    <w:lvl w:ilvl="0" w:tplc="7250D13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E8ADE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187D7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2E65D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B6B1F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16D78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8285DF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D785B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71EF80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A2C0EFA"/>
    <w:multiLevelType w:val="hybridMultilevel"/>
    <w:tmpl w:val="7348F502"/>
    <w:lvl w:ilvl="0" w:tplc="E6169DEC">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602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6A2E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1683C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B60F3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CE00F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A06A2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5A4CED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A8A4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82943C8"/>
    <w:multiLevelType w:val="hybridMultilevel"/>
    <w:tmpl w:val="C6206BC8"/>
    <w:lvl w:ilvl="0" w:tplc="AF7464B4">
      <w:start w:val="2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B2FC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DC266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84754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CEF7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D2B8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BCB5F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2E924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822E3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477646921">
    <w:abstractNumId w:val="5"/>
  </w:num>
  <w:num w:numId="2" w16cid:durableId="117460425">
    <w:abstractNumId w:val="1"/>
  </w:num>
  <w:num w:numId="3" w16cid:durableId="1462504271">
    <w:abstractNumId w:val="0"/>
  </w:num>
  <w:num w:numId="4" w16cid:durableId="976107172">
    <w:abstractNumId w:val="3"/>
  </w:num>
  <w:num w:numId="5" w16cid:durableId="1572304474">
    <w:abstractNumId w:val="2"/>
  </w:num>
  <w:num w:numId="6" w16cid:durableId="1661231577">
    <w:abstractNumId w:val="6"/>
  </w:num>
  <w:num w:numId="7" w16cid:durableId="487015880">
    <w:abstractNumId w:val="7"/>
  </w:num>
  <w:num w:numId="8" w16cid:durableId="780296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D3C"/>
    <w:rsid w:val="00014AC9"/>
    <w:rsid w:val="000C1774"/>
    <w:rsid w:val="00105E05"/>
    <w:rsid w:val="0015214B"/>
    <w:rsid w:val="001D4745"/>
    <w:rsid w:val="00232D3C"/>
    <w:rsid w:val="003450D6"/>
    <w:rsid w:val="0041270C"/>
    <w:rsid w:val="004218A4"/>
    <w:rsid w:val="004372CF"/>
    <w:rsid w:val="00577B22"/>
    <w:rsid w:val="00580F00"/>
    <w:rsid w:val="005C7B8B"/>
    <w:rsid w:val="006D5E4E"/>
    <w:rsid w:val="00797A72"/>
    <w:rsid w:val="007F0CEC"/>
    <w:rsid w:val="00841287"/>
    <w:rsid w:val="00864700"/>
    <w:rsid w:val="0089648F"/>
    <w:rsid w:val="008C07AB"/>
    <w:rsid w:val="009165D3"/>
    <w:rsid w:val="00926F84"/>
    <w:rsid w:val="009315BD"/>
    <w:rsid w:val="00955EDE"/>
    <w:rsid w:val="00A72964"/>
    <w:rsid w:val="00A918B5"/>
    <w:rsid w:val="00AB288D"/>
    <w:rsid w:val="00AC0C06"/>
    <w:rsid w:val="00B0556C"/>
    <w:rsid w:val="00B8476C"/>
    <w:rsid w:val="00BE77E9"/>
    <w:rsid w:val="00C06C27"/>
    <w:rsid w:val="00C17F8C"/>
    <w:rsid w:val="00C46E0D"/>
    <w:rsid w:val="00CD1118"/>
    <w:rsid w:val="00CE3F59"/>
    <w:rsid w:val="00CF0760"/>
    <w:rsid w:val="00D07F53"/>
    <w:rsid w:val="00D20890"/>
    <w:rsid w:val="00D54F03"/>
    <w:rsid w:val="00DC1C9E"/>
    <w:rsid w:val="00DD2A4C"/>
    <w:rsid w:val="00E46F3C"/>
    <w:rsid w:val="00EA3169"/>
    <w:rsid w:val="00EF7775"/>
    <w:rsid w:val="00F05510"/>
    <w:rsid w:val="00F26BAA"/>
    <w:rsid w:val="00F40AFB"/>
    <w:rsid w:val="00FF4076"/>
    <w:rsid w:val="03759791"/>
    <w:rsid w:val="0866DFAC"/>
    <w:rsid w:val="1489EBC0"/>
    <w:rsid w:val="163E1A35"/>
    <w:rsid w:val="1775A527"/>
    <w:rsid w:val="1786DFFE"/>
    <w:rsid w:val="19B74B1E"/>
    <w:rsid w:val="211C6D6B"/>
    <w:rsid w:val="25AC3091"/>
    <w:rsid w:val="25D6D033"/>
    <w:rsid w:val="33974D41"/>
    <w:rsid w:val="3F97306D"/>
    <w:rsid w:val="40E597EC"/>
    <w:rsid w:val="41E8EFE4"/>
    <w:rsid w:val="46739837"/>
    <w:rsid w:val="4699EA5E"/>
    <w:rsid w:val="478DAD51"/>
    <w:rsid w:val="4A2D1FCE"/>
    <w:rsid w:val="4FC78D2D"/>
    <w:rsid w:val="4FDC8735"/>
    <w:rsid w:val="57F04FEE"/>
    <w:rsid w:val="5853CC0F"/>
    <w:rsid w:val="5D51DCD4"/>
    <w:rsid w:val="67EC820D"/>
    <w:rsid w:val="68FB3323"/>
    <w:rsid w:val="69C53F8C"/>
    <w:rsid w:val="6AD57A15"/>
    <w:rsid w:val="6FB3CBF3"/>
    <w:rsid w:val="72EB6CB5"/>
    <w:rsid w:val="753F2B3D"/>
    <w:rsid w:val="7636DD49"/>
    <w:rsid w:val="7890F5A2"/>
    <w:rsid w:val="794185DC"/>
    <w:rsid w:val="7F5EF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E565C"/>
  <w15:docId w15:val="{DB5AADB0-67A7-481B-8F20-88C28285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paragraph" w:styleId="Header">
    <w:name w:val="header"/>
    <w:basedOn w:val="Normal"/>
    <w:link w:val="HeaderChar"/>
    <w:uiPriority w:val="99"/>
    <w:unhideWhenUsed/>
    <w:rsid w:val="0093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5BD"/>
    <w:rPr>
      <w:rFonts w:ascii="Calibri" w:eastAsia="Calibri" w:hAnsi="Calibri" w:cs="Calibri"/>
      <w:color w:val="000000"/>
    </w:rPr>
  </w:style>
  <w:style w:type="paragraph" w:styleId="BalloonText">
    <w:name w:val="Balloon Text"/>
    <w:basedOn w:val="Normal"/>
    <w:link w:val="BalloonTextChar"/>
    <w:uiPriority w:val="99"/>
    <w:semiHidden/>
    <w:unhideWhenUsed/>
    <w:rsid w:val="009315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BD"/>
    <w:rPr>
      <w:rFonts w:ascii="Tahoma" w:eastAsia="Calibri" w:hAnsi="Tahoma" w:cs="Tahoma"/>
      <w:color w:val="000000"/>
      <w:sz w:val="16"/>
      <w:szCs w:val="16"/>
    </w:rPr>
  </w:style>
  <w:style w:type="character" w:styleId="PlaceholderText">
    <w:name w:val="Placeholder Text"/>
    <w:basedOn w:val="DefaultParagraphFont"/>
    <w:uiPriority w:val="99"/>
    <w:semiHidden/>
    <w:rsid w:val="009315BD"/>
    <w:rPr>
      <w:color w:val="808080"/>
    </w:rPr>
  </w:style>
  <w:style w:type="paragraph" w:styleId="ListParagraph">
    <w:name w:val="List Paragraph"/>
    <w:basedOn w:val="Normal"/>
    <w:uiPriority w:val="34"/>
    <w:qFormat/>
    <w:rsid w:val="009315BD"/>
    <w:pPr>
      <w:ind w:left="720"/>
      <w:contextualSpacing/>
    </w:pPr>
  </w:style>
  <w:style w:type="character" w:styleId="Hyperlink">
    <w:name w:val="Hyperlink"/>
    <w:basedOn w:val="DefaultParagraphFont"/>
    <w:uiPriority w:val="99"/>
    <w:unhideWhenUsed/>
    <w:rsid w:val="001D4745"/>
    <w:rPr>
      <w:color w:val="0563C1" w:themeColor="hyperlink"/>
      <w:u w:val="single"/>
    </w:rPr>
  </w:style>
  <w:style w:type="character" w:styleId="UnresolvedMention">
    <w:name w:val="Unresolved Mention"/>
    <w:basedOn w:val="DefaultParagraphFont"/>
    <w:uiPriority w:val="99"/>
    <w:semiHidden/>
    <w:unhideWhenUsed/>
    <w:rsid w:val="00B8476C"/>
    <w:rPr>
      <w:color w:val="605E5C"/>
      <w:shd w:val="clear" w:color="auto" w:fill="E1DFDD"/>
    </w:rPr>
  </w:style>
  <w:style w:type="paragraph" w:styleId="NormalWeb">
    <w:name w:val="Normal (Web)"/>
    <w:basedOn w:val="Normal"/>
    <w:uiPriority w:val="99"/>
    <w:unhideWhenUsed/>
    <w:rsid w:val="00D2089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3253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e.rae.es/contabilizar?m=form"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erencie.com/periodo-contabl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es/node/106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4AD841E19E4E1B9BDC01CBB7EAB884"/>
        <w:category>
          <w:name w:val="General"/>
          <w:gallery w:val="placeholder"/>
        </w:category>
        <w:types>
          <w:type w:val="bbPlcHdr"/>
        </w:types>
        <w:behaviors>
          <w:behavior w:val="content"/>
        </w:behaviors>
        <w:guid w:val="{79017ACE-65FE-45BB-A06E-48C4B687E1F2}"/>
      </w:docPartPr>
      <w:docPartBody>
        <w:p w:rsidR="00650648" w:rsidRDefault="005C7B8B">
          <w:r w:rsidRPr="005A59E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7B8B"/>
    <w:rsid w:val="000E5BAF"/>
    <w:rsid w:val="003D1D51"/>
    <w:rsid w:val="004F53A5"/>
    <w:rsid w:val="00592FF4"/>
    <w:rsid w:val="005C7B8B"/>
    <w:rsid w:val="00650648"/>
    <w:rsid w:val="009C7EA7"/>
    <w:rsid w:val="00A31CB6"/>
    <w:rsid w:val="00F914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B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UNITBMS-1904581467-127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2016-01-31T23:00:00+00:00</UNDP_POPP_EFFECTIVEDATE>
    <UNDP_POPP_REFITEM_VERSION xmlns="8264c5cc-ec60-4b56-8111-ce635d3d139a">4</UNDP_POPP_REFITEM_VERSION>
    <UNDP_POPP_FILEVERSION xmlns="8264c5cc-ec60-4b56-8111-ce635d3d139a" xsi:nil="true"/>
    <UNDP_POPP_ISACTIVE xmlns="8264c5cc-ec60-4b56-8111-ce635d3d139a">true</UNDP_POPP_ISACTIVE>
    <UNDP_POPP_TITLE_EN xmlns="8264c5cc-ec60-4b56-8111-ce635d3d139a">Propiedades, Planta y Equipo (PPE)</UNDP_POPP_TITLE_EN>
    <_dlc_DocIdUrl xmlns="8264c5cc-ec60-4b56-8111-ce635d3d139a">
      <Url>https://intranet.undp.org/unit/bms/dir/internal/init_popp/_layouts/15/DocIdRedir.aspx?ID=UNITBMS-1904581467-127</Url>
      <Description>UNITBMS-1904581467-127</Description>
    </_dlc_DocIdUrl>
    <DLCPolicyLabelLock xmlns="e560140e-7b2f-4392-90df-e7567e3021a3" xsi:nil="true"/>
    <DLCPolicyLabelClientValue xmlns="e560140e-7b2f-4392-90df-e7567e3021a3">Effective Date: 1/31/2016                                                Version #: 4.0</DLCPolicyLabelClientValue>
    <UNDP_POPP_BUSINESSUNITID_HIDDEN xmlns="8264c5cc-ec60-4b56-8111-ce635d3d139a" xsi:nil="true"/>
    <DLCPolicyLabelValue xmlns="e560140e-7b2f-4392-90df-e7567e3021a3">Effective Date: 1/31/2016                                                Version #: 4.0</DLCPolicyLabelValue>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2C28FC-C785-4116-ACE8-C8B75B731286}">
  <ds:schemaRefs>
    <ds:schemaRef ds:uri="http://schemas.microsoft.com/sharepoint/v3/contenttype/forms"/>
  </ds:schemaRefs>
</ds:datastoreItem>
</file>

<file path=customXml/itemProps2.xml><?xml version="1.0" encoding="utf-8"?>
<ds:datastoreItem xmlns:ds="http://schemas.openxmlformats.org/officeDocument/2006/customXml" ds:itemID="{18F22706-92E3-4E0C-B955-DC03101A2D80}">
  <ds:schemaRefs>
    <ds:schemaRef ds:uri="8264c5cc-ec60-4b56-8111-ce635d3d139a"/>
    <ds:schemaRef ds:uri="http://schemas.openxmlformats.org/package/2006/metadata/core-properties"/>
    <ds:schemaRef ds:uri="e560140e-7b2f-4392-90df-e7567e3021a3"/>
    <ds:schemaRef ds:uri="http://schemas.microsoft.com/office/2006/documentManagement/types"/>
    <ds:schemaRef ds:uri="http://www.w3.org/XML/1998/namespace"/>
    <ds:schemaRef ds:uri="http://purl.org/dc/elements/1.1/"/>
    <ds:schemaRef ds:uri="http://schemas.microsoft.com/office/infopath/2007/PartnerControls"/>
    <ds:schemaRef ds:uri="http://purl.org/dc/term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C45CA19-1EE1-438F-B4CF-C4188D13B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1C747-4FCA-4DA1-8CA4-61C1C1D7FD2F}">
  <ds:schemaRefs>
    <ds:schemaRef ds:uri="office.server.policy"/>
  </ds:schemaRefs>
</ds:datastoreItem>
</file>

<file path=customXml/itemProps5.xml><?xml version="1.0" encoding="utf-8"?>
<ds:datastoreItem xmlns:ds="http://schemas.openxmlformats.org/officeDocument/2006/customXml" ds:itemID="{BDE00EAE-2758-4155-9C6F-481F5DE4CE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1955</Words>
  <Characters>11148</Characters>
  <Application>Microsoft Office Word</Application>
  <DocSecurity>0</DocSecurity>
  <Lines>92</Lines>
  <Paragraphs>26</Paragraphs>
  <ScaleCrop>false</ScaleCrop>
  <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cp:lastModifiedBy>Emiliana Zhivkova</cp:lastModifiedBy>
  <cp:revision>5</cp:revision>
  <dcterms:created xsi:type="dcterms:W3CDTF">2023-11-29T00:21:00Z</dcterms:created>
  <dcterms:modified xsi:type="dcterms:W3CDTF">2023-11-29T00:23:00Z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353;#Administrative Services|a78f4201-2936-4934-95ba-30c4111d72d7</vt:lpwstr>
  </property>
  <property fmtid="{D5CDD505-2E9C-101B-9397-08002B2CF9AE}" pid="4" name="POPPBusinessProcess">
    <vt:lpwstr/>
  </property>
  <property fmtid="{D5CDD505-2E9C-101B-9397-08002B2CF9AE}" pid="5" name="l0e6ef0c43e74560bd7f3acd1f5e8571">
    <vt:lpwstr>Administrative Services|a78f4201-2936-4934-95ba-30c4111d72d7</vt:lpwstr>
  </property>
  <property fmtid="{D5CDD505-2E9C-101B-9397-08002B2CF9AE}" pid="6" name="UNDP_POPP_BUSINESSUNIT">
    <vt:lpwstr>353;#Administrative Services|a78f4201-2936-4934-95ba-30c4111d72d7</vt:lpwstr>
  </property>
  <property fmtid="{D5CDD505-2E9C-101B-9397-08002B2CF9AE}" pid="7" name="_dlc_DocIdItemGuid">
    <vt:lpwstr>1018f36e-a227-4b68-a58c-fd5b69fbe2cf</vt:lpwstr>
  </property>
  <property fmtid="{D5CDD505-2E9C-101B-9397-08002B2CF9AE}" pid="8" name="UNDPCountry">
    <vt:lpwstr/>
  </property>
  <property fmtid="{D5CDD505-2E9C-101B-9397-08002B2CF9AE}" pid="9" name="UndpDocTypeMM">
    <vt:lpwstr/>
  </property>
  <property fmtid="{D5CDD505-2E9C-101B-9397-08002B2CF9AE}" pid="10" name="UNDPDocumentCategory">
    <vt:lpwstr/>
  </property>
  <property fmtid="{D5CDD505-2E9C-101B-9397-08002B2CF9AE}" pid="11" name="UNDPFocusAreas">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_POPP_BUSINESSPROCESS_HIDDEN">
    <vt:lpwstr/>
  </property>
  <property fmtid="{D5CDD505-2E9C-101B-9397-08002B2CF9AE}" pid="16" name="Location">
    <vt:lpwstr>Public</vt:lpwstr>
  </property>
  <property fmtid="{D5CDD505-2E9C-101B-9397-08002B2CF9AE}" pid="17" name="UndpDocStatus">
    <vt:lpwstr>Draft</vt:lpwstr>
  </property>
  <property fmtid="{D5CDD505-2E9C-101B-9397-08002B2CF9AE}" pid="18" name="UndpClassificationLevel">
    <vt:lpwstr>Internal Use Only</vt:lpwstr>
  </property>
  <property fmtid="{D5CDD505-2E9C-101B-9397-08002B2CF9AE}" pid="19" name="UndpIsTemplate">
    <vt:lpwstr>No</vt:lpwstr>
  </property>
</Properties>
</file>