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B3E6" w14:textId="77777777" w:rsidR="00EE2A01" w:rsidRPr="00610B35" w:rsidRDefault="00E6302F">
      <w:pPr>
        <w:spacing w:after="116" w:line="259" w:lineRule="auto"/>
        <w:ind w:left="0" w:right="0" w:firstLine="0"/>
        <w:jc w:val="left"/>
        <w:rPr>
          <w:rFonts w:asciiTheme="minorHAnsi" w:hAnsiTheme="minorHAnsi" w:cstheme="minorHAnsi"/>
          <w:sz w:val="28"/>
          <w:szCs w:val="28"/>
          <w:lang w:val="fr-FR"/>
        </w:rPr>
      </w:pPr>
      <w:bookmarkStart w:id="0" w:name="_Hlk40957808"/>
      <w:bookmarkEnd w:id="0"/>
      <w:r w:rsidRPr="00610B35">
        <w:rPr>
          <w:rFonts w:asciiTheme="minorHAnsi" w:hAnsiTheme="minorHAnsi" w:cstheme="minorHAnsi"/>
          <w:b/>
          <w:color w:val="000000"/>
          <w:sz w:val="28"/>
          <w:szCs w:val="28"/>
          <w:lang w:val="fr-FR"/>
        </w:rPr>
        <w:t>Modalité de réalisation directe (DIM)</w:t>
      </w:r>
    </w:p>
    <w:p w14:paraId="125667FB" w14:textId="4E7274C9" w:rsidR="00EE2A01" w:rsidRPr="00286DE3" w:rsidRDefault="1935E15C" w:rsidP="1935E15C">
      <w:pPr>
        <w:pStyle w:val="ListParagraph"/>
        <w:numPr>
          <w:ilvl w:val="0"/>
          <w:numId w:val="11"/>
        </w:numPr>
        <w:ind w:right="0"/>
        <w:rPr>
          <w:rFonts w:asciiTheme="minorHAnsi" w:hAnsiTheme="minorHAnsi" w:cstheme="minorHAnsi"/>
          <w:lang w:val="fr-FR"/>
        </w:rPr>
      </w:pPr>
      <w:r w:rsidRPr="00286DE3">
        <w:rPr>
          <w:rFonts w:asciiTheme="minorHAnsi" w:hAnsiTheme="minorHAnsi" w:cstheme="minorHAnsi"/>
          <w:lang w:val="fr-FR"/>
        </w:rPr>
        <w:t xml:space="preserve">La réalisation directe (DIM) est la modalité par laquelle le Programme des Nations Unies pour le développement (PNUD) agit en tant que partenaire de réalisation. Dans la modalité DIM, le PNUD a les capacités techniques et administratives pour prendre en charge la mobilisation des intrants requis et leur mise en œuvre efficace pour atteindre les produits prévus. Le PNUD prend en charge la responsabilité et la </w:t>
      </w:r>
      <w:proofErr w:type="spellStart"/>
      <w:r w:rsidRPr="00286DE3">
        <w:rPr>
          <w:rFonts w:asciiTheme="minorHAnsi" w:hAnsiTheme="minorHAnsi" w:cstheme="minorHAnsi"/>
          <w:lang w:val="fr-FR"/>
        </w:rPr>
        <w:t>redevalibilté</w:t>
      </w:r>
      <w:proofErr w:type="spellEnd"/>
      <w:r w:rsidRPr="00286DE3">
        <w:rPr>
          <w:rFonts w:asciiTheme="minorHAnsi" w:hAnsiTheme="minorHAnsi" w:cstheme="minorHAnsi"/>
          <w:lang w:val="fr-FR"/>
        </w:rPr>
        <w:t xml:space="preserve">  générales de la gestion pour la mise en œuvre des projets. Par conséquent, le PNUD doit suivre toutes les politiques et procédures établies pour ses propres opérations.</w:t>
      </w:r>
    </w:p>
    <w:p w14:paraId="17DFD177" w14:textId="77777777" w:rsidR="00EE2A01" w:rsidRPr="00286DE3" w:rsidRDefault="00E6302F">
      <w:pPr>
        <w:spacing w:after="20"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00738E70" w14:textId="77777777" w:rsidR="00EE2A01" w:rsidRPr="00286DE3" w:rsidRDefault="1935E15C">
      <w:pPr>
        <w:numPr>
          <w:ilvl w:val="0"/>
          <w:numId w:val="11"/>
        </w:numPr>
        <w:ind w:right="0"/>
        <w:rPr>
          <w:rFonts w:asciiTheme="minorHAnsi" w:hAnsiTheme="minorHAnsi" w:cstheme="minorHAnsi"/>
          <w:lang w:val="fr-FR"/>
        </w:rPr>
      </w:pPr>
      <w:r w:rsidRPr="00286DE3">
        <w:rPr>
          <w:rFonts w:asciiTheme="minorHAnsi" w:hAnsiTheme="minorHAnsi" w:cstheme="minorHAnsi"/>
          <w:lang w:val="fr-FR"/>
        </w:rPr>
        <w:t>La responsabilité pour l’exécution des projets DIM appartient au PNUD. Ce rôle dans certains projets se reflète dans l’Accord de base type en matière d’assistance signé par le PNUD avec le gouvernement (ou autre document d’accord avec le gouvernement hôte).</w:t>
      </w:r>
    </w:p>
    <w:p w14:paraId="6C2C07BF" w14:textId="77777777" w:rsidR="00EE2A01" w:rsidRPr="00286DE3" w:rsidRDefault="00E6302F">
      <w:pPr>
        <w:spacing w:after="20"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703218E8" w14:textId="77777777" w:rsidR="00EE2A01" w:rsidRPr="00286DE3" w:rsidRDefault="1935E15C">
      <w:pPr>
        <w:numPr>
          <w:ilvl w:val="0"/>
          <w:numId w:val="11"/>
        </w:numPr>
        <w:spacing w:after="12" w:line="250" w:lineRule="auto"/>
        <w:ind w:right="0"/>
        <w:rPr>
          <w:rFonts w:asciiTheme="minorHAnsi" w:hAnsiTheme="minorHAnsi" w:cstheme="minorHAnsi"/>
          <w:lang w:val="fr-FR"/>
        </w:rPr>
      </w:pPr>
      <w:r w:rsidRPr="00286DE3">
        <w:rPr>
          <w:rFonts w:asciiTheme="minorHAnsi" w:hAnsiTheme="minorHAnsi" w:cstheme="minorHAnsi"/>
          <w:lang w:val="fr-FR"/>
        </w:rPr>
        <w:t>Le PNUD peut déterminer une partie responsable pour entreprendre les activités au sein d’un projet DIM. Une partie responsable est définie comme une entité qui a été choisie pour agir au nom du PNUD sur la base d’un accord ou contrat écrit pour acheter des biens ou fournir des services en utilisant le budget du projet.</w:t>
      </w:r>
      <w:r w:rsidRPr="00286DE3">
        <w:rPr>
          <w:rFonts w:asciiTheme="minorHAnsi" w:hAnsiTheme="minorHAnsi" w:cstheme="minorHAnsi"/>
          <w:color w:val="000000" w:themeColor="text1"/>
          <w:lang w:val="fr-FR"/>
        </w:rPr>
        <w:t xml:space="preserve"> La partie responsable peut décider de l’utilisation de ces biens et services pour entreprendre les activités du projet et générer des produits. Toutes les parties responsables sont directement responsables devant le PNUD conformément aux termes de leur accord ou contrat avec celui-ci.</w:t>
      </w:r>
    </w:p>
    <w:p w14:paraId="212E159F" w14:textId="3DAB4D6A" w:rsidR="00EE2A01" w:rsidRPr="00286DE3" w:rsidRDefault="00EE2A01">
      <w:pPr>
        <w:spacing w:after="50" w:line="259" w:lineRule="auto"/>
        <w:ind w:left="720" w:right="0" w:firstLine="0"/>
        <w:jc w:val="left"/>
        <w:rPr>
          <w:rFonts w:asciiTheme="minorHAnsi" w:hAnsiTheme="minorHAnsi" w:cstheme="minorHAnsi"/>
          <w:lang w:val="fr-FR"/>
        </w:rPr>
      </w:pPr>
    </w:p>
    <w:p w14:paraId="00004337" w14:textId="19473B57" w:rsidR="00EE2A01" w:rsidRPr="00286DE3" w:rsidRDefault="36192F75">
      <w:pPr>
        <w:numPr>
          <w:ilvl w:val="0"/>
          <w:numId w:val="11"/>
        </w:numPr>
        <w:ind w:right="0"/>
        <w:rPr>
          <w:rFonts w:asciiTheme="minorHAnsi" w:hAnsiTheme="minorHAnsi" w:cstheme="minorHAnsi"/>
          <w:lang w:val="fr-FR"/>
        </w:rPr>
      </w:pPr>
      <w:r w:rsidRPr="00286DE3">
        <w:rPr>
          <w:rFonts w:asciiTheme="minorHAnsi" w:hAnsiTheme="minorHAnsi" w:cstheme="minorHAnsi"/>
          <w:lang w:val="fr-FR"/>
        </w:rPr>
        <w:t>Selon la règle 21.02 du Règlement financier et règles de gestion financière du PNUD, une attention particulière doit être accordée aux principes généraux suivants : meilleur rapport qualité/prix ; équité, intégrité, transparence; compétition internationale efficace et intérêt du PNUD.</w:t>
      </w:r>
    </w:p>
    <w:p w14:paraId="251F4F47" w14:textId="77777777" w:rsidR="00EE2A01" w:rsidRPr="00286DE3" w:rsidRDefault="00E6302F">
      <w:pPr>
        <w:spacing w:after="21"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3D311669" w14:textId="77777777" w:rsidR="00EE2A01" w:rsidRPr="00286DE3" w:rsidRDefault="2FEB7B0A">
      <w:pPr>
        <w:numPr>
          <w:ilvl w:val="0"/>
          <w:numId w:val="11"/>
        </w:numPr>
        <w:ind w:right="0"/>
        <w:rPr>
          <w:rFonts w:asciiTheme="minorHAnsi" w:hAnsiTheme="minorHAnsi" w:cstheme="minorHAnsi"/>
          <w:lang w:val="fr-FR"/>
        </w:rPr>
      </w:pPr>
      <w:r w:rsidRPr="00286DE3">
        <w:rPr>
          <w:rFonts w:asciiTheme="minorHAnsi" w:hAnsiTheme="minorHAnsi" w:cstheme="minorHAnsi"/>
          <w:lang w:val="fr-FR"/>
        </w:rPr>
        <w:t>En vertu de la règle 16.05 du Règlement financier et règles de gestion financière du PNUD, la partie responsable peut suivre ses propres procédures, seulement dans la mesure où celles-ci ne contredisent pas les principes dudit Règlement. Lorsque la gouvernance financière de la partie responsable ne fournit pas l’orientation requise pour assurer le meilleur rapport qualité-prix, l’équité, l’intégrité, la transparence et la compétition internationale efficace, la gouvernance du PNUD s’applique.</w:t>
      </w:r>
    </w:p>
    <w:p w14:paraId="1F358394" w14:textId="77777777" w:rsidR="00EE2A01" w:rsidRPr="00286DE3" w:rsidRDefault="00E6302F">
      <w:pPr>
        <w:spacing w:after="21"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6305788A" w14:textId="77777777" w:rsidR="00EE2A01" w:rsidRPr="00286DE3" w:rsidRDefault="2FEB7B0A">
      <w:pPr>
        <w:numPr>
          <w:ilvl w:val="0"/>
          <w:numId w:val="11"/>
        </w:numPr>
        <w:spacing w:after="33"/>
        <w:ind w:right="0"/>
        <w:rPr>
          <w:rFonts w:asciiTheme="minorHAnsi" w:hAnsiTheme="minorHAnsi" w:cstheme="minorHAnsi"/>
          <w:lang w:val="fr-FR"/>
        </w:rPr>
      </w:pPr>
      <w:r w:rsidRPr="00286DE3">
        <w:rPr>
          <w:rFonts w:asciiTheme="minorHAnsi" w:hAnsiTheme="minorHAnsi" w:cstheme="minorHAnsi"/>
          <w:lang w:val="fr-FR"/>
        </w:rPr>
        <w:t>Sans considération de si une partie responsable est choisie ou non, le chef de projet est chargé de :</w:t>
      </w:r>
    </w:p>
    <w:p w14:paraId="63EE33AD"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Gérer la conduite globale du projet ;</w:t>
      </w:r>
    </w:p>
    <w:p w14:paraId="4441631E"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Mettre en œuvre les activités en mobilisant des biens et des services ;</w:t>
      </w:r>
    </w:p>
    <w:p w14:paraId="1B8445A0"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Vérifier les progrès et les changements de direction du plan ;</w:t>
      </w:r>
    </w:p>
    <w:p w14:paraId="3C6FC8CB"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Assurer que les changements sont contrôlés et que les problèmes sont traités ;</w:t>
      </w:r>
    </w:p>
    <w:p w14:paraId="2776DA08"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Contrôler les progrès et les risques ;</w:t>
      </w:r>
    </w:p>
    <w:p w14:paraId="159726EC"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Rendre compte des progrès, notamment des mesures pour traiter les défis et les opportunités.</w:t>
      </w:r>
    </w:p>
    <w:p w14:paraId="62BCE02F" w14:textId="77777777" w:rsidR="00EE2A01" w:rsidRPr="00286DE3" w:rsidRDefault="00E6302F">
      <w:pPr>
        <w:spacing w:after="139" w:line="259" w:lineRule="auto"/>
        <w:ind w:left="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02F14A9D" w14:textId="77777777" w:rsidR="00EE2A01" w:rsidRPr="00286DE3" w:rsidRDefault="00E6302F">
      <w:pPr>
        <w:spacing w:after="179" w:line="259" w:lineRule="auto"/>
        <w:ind w:left="-5" w:right="0" w:hanging="10"/>
        <w:jc w:val="left"/>
        <w:rPr>
          <w:rFonts w:asciiTheme="minorHAnsi" w:hAnsiTheme="minorHAnsi" w:cstheme="minorHAnsi"/>
        </w:rPr>
      </w:pPr>
      <w:r w:rsidRPr="00286DE3">
        <w:rPr>
          <w:rFonts w:asciiTheme="minorHAnsi" w:hAnsiTheme="minorHAnsi" w:cstheme="minorHAnsi"/>
          <w:b/>
        </w:rPr>
        <w:lastRenderedPageBreak/>
        <w:t>GESTION FINANCIÈRE :</w:t>
      </w:r>
    </w:p>
    <w:p w14:paraId="7EA1DA4A" w14:textId="5DD7890D" w:rsidR="00EE2A01" w:rsidRPr="00286DE3" w:rsidRDefault="2FEB7B0A" w:rsidP="2FEB7B0A">
      <w:pPr>
        <w:numPr>
          <w:ilvl w:val="0"/>
          <w:numId w:val="11"/>
        </w:numPr>
        <w:ind w:right="0"/>
        <w:rPr>
          <w:rFonts w:asciiTheme="minorHAnsi" w:hAnsiTheme="minorHAnsi" w:cstheme="minorHAnsi"/>
          <w:lang w:val="fr-FR"/>
        </w:rPr>
      </w:pPr>
      <w:r w:rsidRPr="00286DE3">
        <w:rPr>
          <w:rFonts w:asciiTheme="minorHAnsi" w:hAnsiTheme="minorHAnsi" w:cstheme="minorHAnsi"/>
          <w:lang w:val="fr-FR"/>
        </w:rPr>
        <w:t>Dans le contexte de la modalité DIM, Atlas fournit un système d’informations en matière de gestion pour assurer l’exactitude et la transparence des informations financières. Le bureau de pays doit utiliser Atlas pour garder une trace des états financiers du projet à tout moment, et contrôler les dépenses ; traiter les engagements non réglés ; effectuer des paiements ; et contrôler la performance des contractants. Atlas est utilisé pour la gestion financière et le contrôle de fond. Cela permettra la production de rapports qui feront partie du contrôle central du bureau de pays du PNUD tout en servant d’éléments de base pour les examens périodiques et les communications avec les parties prenantes, comme les rapports en ligne (rapport sur l’état d’avancement des projets et solde du budget du projet) dans l’aperçu exécutif.</w:t>
      </w:r>
    </w:p>
    <w:p w14:paraId="22404A96" w14:textId="77777777" w:rsidR="00EE2A01" w:rsidRPr="00286DE3" w:rsidRDefault="00E6302F">
      <w:pPr>
        <w:spacing w:after="17"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177A2028" w14:textId="77777777" w:rsidR="00EE2A01" w:rsidRPr="00286DE3" w:rsidRDefault="2FEB7B0A">
      <w:pPr>
        <w:numPr>
          <w:ilvl w:val="0"/>
          <w:numId w:val="11"/>
        </w:numPr>
        <w:spacing w:after="151"/>
        <w:ind w:right="0"/>
        <w:rPr>
          <w:rFonts w:asciiTheme="minorHAnsi" w:hAnsiTheme="minorHAnsi" w:cstheme="minorHAnsi"/>
          <w:lang w:val="fr-FR"/>
        </w:rPr>
      </w:pPr>
      <w:r w:rsidRPr="00286DE3">
        <w:rPr>
          <w:rFonts w:asciiTheme="minorHAnsi" w:hAnsiTheme="minorHAnsi" w:cstheme="minorHAnsi"/>
          <w:lang w:val="fr-FR"/>
        </w:rPr>
        <w:t>Tout ajustement au budget initialement approuvé est considéré comme une révision budgétaire dans Atlas à finaliser pour l’année ou les années concernée(s) par l’ajustement.</w:t>
      </w:r>
    </w:p>
    <w:p w14:paraId="433052D5" w14:textId="77777777" w:rsidR="00EE2A01" w:rsidRPr="00286DE3" w:rsidRDefault="00E6302F">
      <w:pPr>
        <w:spacing w:after="139" w:line="259" w:lineRule="auto"/>
        <w:ind w:left="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2FE686FA" w14:textId="77777777" w:rsidR="00EE2A01" w:rsidRPr="00286DE3" w:rsidRDefault="00E6302F">
      <w:pPr>
        <w:spacing w:after="179" w:line="259" w:lineRule="auto"/>
        <w:ind w:left="-5" w:right="0" w:hanging="10"/>
        <w:jc w:val="left"/>
        <w:rPr>
          <w:rFonts w:asciiTheme="minorHAnsi" w:hAnsiTheme="minorHAnsi" w:cstheme="minorHAnsi"/>
          <w:lang w:val="fr-FR"/>
        </w:rPr>
      </w:pPr>
      <w:r w:rsidRPr="00286DE3">
        <w:rPr>
          <w:rFonts w:asciiTheme="minorHAnsi" w:hAnsiTheme="minorHAnsi" w:cstheme="minorHAnsi"/>
          <w:b/>
          <w:lang w:val="fr-FR"/>
        </w:rPr>
        <w:t>ENREGISTRER UN PROJET DIM DANS ATLAS</w:t>
      </w:r>
    </w:p>
    <w:p w14:paraId="39D4F73E" w14:textId="77777777" w:rsidR="00EE2A01" w:rsidRPr="00286DE3" w:rsidRDefault="2FEB7B0A">
      <w:pPr>
        <w:numPr>
          <w:ilvl w:val="0"/>
          <w:numId w:val="11"/>
        </w:numPr>
        <w:spacing w:after="308"/>
        <w:ind w:right="0"/>
        <w:rPr>
          <w:rFonts w:asciiTheme="minorHAnsi" w:hAnsiTheme="minorHAnsi" w:cstheme="minorHAnsi"/>
          <w:lang w:val="fr-FR"/>
        </w:rPr>
      </w:pPr>
      <w:r w:rsidRPr="00286DE3">
        <w:rPr>
          <w:rFonts w:asciiTheme="minorHAnsi" w:hAnsiTheme="minorHAnsi" w:cstheme="minorHAnsi"/>
          <w:lang w:val="fr-FR"/>
        </w:rPr>
        <w:t>Les aspects suivants doivent être pris en compte lors de l’enregistrement d’un projet dans Atlas :</w:t>
      </w:r>
    </w:p>
    <w:p w14:paraId="3A1DD7DF" w14:textId="0E872D3D"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Plan d’action pour la mise en œuvre des programmes de pays (CPAP) - Signé avec le gouvernement – Hors Atlas</w:t>
      </w:r>
    </w:p>
    <w:p w14:paraId="25EF5164" w14:textId="6EF75986" w:rsidR="00EE2A01" w:rsidRPr="00286DE3" w:rsidRDefault="2FEB7B0A">
      <w:pPr>
        <w:numPr>
          <w:ilvl w:val="1"/>
          <w:numId w:val="11"/>
        </w:numPr>
        <w:spacing w:after="167"/>
        <w:ind w:right="0" w:hanging="557"/>
        <w:rPr>
          <w:rFonts w:asciiTheme="minorHAnsi" w:hAnsiTheme="minorHAnsi" w:cstheme="minorHAnsi"/>
          <w:lang w:val="fr-FR"/>
        </w:rPr>
      </w:pPr>
      <w:r w:rsidRPr="00286DE3">
        <w:rPr>
          <w:rFonts w:asciiTheme="minorHAnsi" w:hAnsiTheme="minorHAnsi" w:cstheme="minorHAnsi"/>
          <w:lang w:val="fr-FR"/>
        </w:rPr>
        <w:t>Programme de travail annuel (AWP) - Enregistré dans Atlas y compris diverses activités et divers intrants.</w:t>
      </w:r>
    </w:p>
    <w:p w14:paraId="691238D3" w14:textId="38DDFF55" w:rsidR="00EE2A01" w:rsidRPr="00286DE3" w:rsidRDefault="36192F75">
      <w:pPr>
        <w:numPr>
          <w:ilvl w:val="0"/>
          <w:numId w:val="11"/>
        </w:numPr>
        <w:spacing w:after="311"/>
        <w:ind w:right="0"/>
        <w:rPr>
          <w:rFonts w:asciiTheme="minorHAnsi" w:hAnsiTheme="minorHAnsi" w:cstheme="minorHAnsi"/>
          <w:lang w:val="fr-FR"/>
        </w:rPr>
      </w:pPr>
      <w:r w:rsidRPr="00286DE3">
        <w:rPr>
          <w:rFonts w:asciiTheme="minorHAnsi" w:hAnsiTheme="minorHAnsi" w:cstheme="minorHAnsi"/>
          <w:lang w:val="fr-FR"/>
        </w:rPr>
        <w:t>Le terme « projet » dans la politique du PNUD représente une « attribution/</w:t>
      </w:r>
      <w:proofErr w:type="spellStart"/>
      <w:r w:rsidRPr="00286DE3">
        <w:rPr>
          <w:rFonts w:asciiTheme="minorHAnsi" w:hAnsiTheme="minorHAnsi" w:cstheme="minorHAnsi"/>
          <w:lang w:val="fr-FR"/>
        </w:rPr>
        <w:t>Award</w:t>
      </w:r>
      <w:proofErr w:type="spellEnd"/>
      <w:r w:rsidRPr="00286DE3">
        <w:rPr>
          <w:rFonts w:asciiTheme="minorHAnsi" w:hAnsiTheme="minorHAnsi" w:cstheme="minorHAnsi"/>
          <w:lang w:val="fr-FR"/>
        </w:rPr>
        <w:t> » dans Atlas, alors que le terme « produit/Output » est représenté comme un « projet » dans Atlas (le budget se trouve au niveau du produit/Output). Ainsi, il peut y avoir un projet (« attribution/</w:t>
      </w:r>
      <w:proofErr w:type="spellStart"/>
      <w:r w:rsidRPr="00286DE3">
        <w:rPr>
          <w:rFonts w:asciiTheme="minorHAnsi" w:hAnsiTheme="minorHAnsi" w:cstheme="minorHAnsi"/>
          <w:lang w:val="fr-FR"/>
        </w:rPr>
        <w:t>Award</w:t>
      </w:r>
      <w:proofErr w:type="spellEnd"/>
      <w:r w:rsidRPr="00286DE3">
        <w:rPr>
          <w:rFonts w:asciiTheme="minorHAnsi" w:hAnsiTheme="minorHAnsi" w:cstheme="minorHAnsi"/>
          <w:lang w:val="fr-FR"/>
        </w:rPr>
        <w:t xml:space="preserve">» dans Atlas) avec différents produits/Outputs (« projets » dans Atlas). Cela doit être pris en compte lorsqu’il est décidé de la manière de refléter la structure du projet dans Atlas, puisque </w:t>
      </w:r>
      <w:r w:rsidRPr="00286DE3">
        <w:rPr>
          <w:rFonts w:asciiTheme="minorHAnsi" w:hAnsiTheme="minorHAnsi" w:cstheme="minorHAnsi"/>
          <w:b/>
          <w:bCs/>
          <w:lang w:val="fr-FR"/>
        </w:rPr>
        <w:t>le contrôle financier des budgets dans Atlas se trouve au niveau du projet/Output et non au niveau de l’attribution/</w:t>
      </w:r>
      <w:proofErr w:type="spellStart"/>
      <w:r w:rsidRPr="00286DE3">
        <w:rPr>
          <w:rFonts w:asciiTheme="minorHAnsi" w:hAnsiTheme="minorHAnsi" w:cstheme="minorHAnsi"/>
          <w:b/>
          <w:bCs/>
          <w:lang w:val="fr-FR"/>
        </w:rPr>
        <w:t>Award</w:t>
      </w:r>
      <w:proofErr w:type="spellEnd"/>
      <w:r w:rsidRPr="00286DE3">
        <w:rPr>
          <w:rFonts w:asciiTheme="minorHAnsi" w:hAnsiTheme="minorHAnsi" w:cstheme="minorHAnsi"/>
          <w:b/>
          <w:bCs/>
          <w:lang w:val="fr-FR"/>
        </w:rPr>
        <w:t>. Ainsi, le revenu, les dépenses, les avances etc. seront contrôlés au niveau du « projet/Output » dans Atlas.</w:t>
      </w:r>
    </w:p>
    <w:p w14:paraId="7B1AEC23" w14:textId="162B3C8C" w:rsidR="00EE2A01" w:rsidRPr="00286DE3" w:rsidRDefault="36192F75">
      <w:pPr>
        <w:numPr>
          <w:ilvl w:val="1"/>
          <w:numId w:val="11"/>
        </w:numPr>
        <w:spacing w:after="30"/>
        <w:ind w:right="0" w:hanging="557"/>
        <w:rPr>
          <w:rFonts w:asciiTheme="minorHAnsi" w:hAnsiTheme="minorHAnsi" w:cstheme="minorHAnsi"/>
        </w:rPr>
      </w:pPr>
      <w:r w:rsidRPr="00286DE3">
        <w:rPr>
          <w:rFonts w:asciiTheme="minorHAnsi" w:hAnsiTheme="minorHAnsi" w:cstheme="minorHAnsi"/>
          <w:lang w:val="fr-FR"/>
        </w:rPr>
        <w:t xml:space="preserve">« Agent d’exécution » - Pour les programmes harmonisés, c’est l’institution qui signe le plan d’action pour la mise en œuvre des programmes de pays (CPAP). </w:t>
      </w:r>
      <w:r w:rsidRPr="00286DE3">
        <w:rPr>
          <w:rFonts w:asciiTheme="minorHAnsi" w:hAnsiTheme="minorHAnsi" w:cstheme="minorHAnsi"/>
        </w:rPr>
        <w:t xml:space="preserve">Il </w:t>
      </w:r>
      <w:proofErr w:type="spellStart"/>
      <w:r w:rsidRPr="00286DE3">
        <w:rPr>
          <w:rFonts w:asciiTheme="minorHAnsi" w:hAnsiTheme="minorHAnsi" w:cstheme="minorHAnsi"/>
        </w:rPr>
        <w:t>n’est</w:t>
      </w:r>
      <w:proofErr w:type="spellEnd"/>
      <w:r w:rsidRPr="00286DE3">
        <w:rPr>
          <w:rFonts w:asciiTheme="minorHAnsi" w:hAnsiTheme="minorHAnsi" w:cstheme="minorHAnsi"/>
        </w:rPr>
        <w:t xml:space="preserve"> pas </w:t>
      </w:r>
      <w:proofErr w:type="spellStart"/>
      <w:r w:rsidRPr="00286DE3">
        <w:rPr>
          <w:rFonts w:asciiTheme="minorHAnsi" w:hAnsiTheme="minorHAnsi" w:cstheme="minorHAnsi"/>
        </w:rPr>
        <w:t>enregistré</w:t>
      </w:r>
      <w:proofErr w:type="spellEnd"/>
      <w:r w:rsidRPr="00286DE3">
        <w:rPr>
          <w:rFonts w:asciiTheme="minorHAnsi" w:hAnsiTheme="minorHAnsi" w:cstheme="minorHAnsi"/>
        </w:rPr>
        <w:t xml:space="preserve"> dans Atlas.</w:t>
      </w:r>
    </w:p>
    <w:p w14:paraId="52E1F3B9" w14:textId="2BEF862E" w:rsidR="00EE2A01" w:rsidRPr="00286DE3" w:rsidRDefault="36192F75" w:rsidP="36192F75">
      <w:pPr>
        <w:pStyle w:val="ListParagraph"/>
        <w:numPr>
          <w:ilvl w:val="1"/>
          <w:numId w:val="11"/>
        </w:numPr>
        <w:spacing w:after="28"/>
        <w:ind w:right="0"/>
        <w:rPr>
          <w:rFonts w:asciiTheme="minorHAnsi" w:hAnsiTheme="minorHAnsi" w:cstheme="minorHAnsi"/>
          <w:lang w:val="fr-FR"/>
        </w:rPr>
      </w:pPr>
      <w:r w:rsidRPr="00286DE3">
        <w:rPr>
          <w:rFonts w:asciiTheme="minorHAnsi" w:hAnsiTheme="minorHAnsi" w:cstheme="minorHAnsi"/>
          <w:lang w:val="fr-FR"/>
        </w:rPr>
        <w:t>Partenaire de réalisation - Il désigne le PNUD pour les projets DIM : lors de la création de la proposition/</w:t>
      </w:r>
      <w:proofErr w:type="spellStart"/>
      <w:r w:rsidRPr="00286DE3">
        <w:rPr>
          <w:rFonts w:asciiTheme="minorHAnsi" w:hAnsiTheme="minorHAnsi" w:cstheme="minorHAnsi"/>
          <w:lang w:val="fr-FR"/>
        </w:rPr>
        <w:t>Proposal</w:t>
      </w:r>
      <w:proofErr w:type="spellEnd"/>
      <w:r w:rsidRPr="00286DE3">
        <w:rPr>
          <w:rFonts w:asciiTheme="minorHAnsi" w:hAnsiTheme="minorHAnsi" w:cstheme="minorHAnsi"/>
          <w:lang w:val="fr-FR"/>
        </w:rPr>
        <w:t xml:space="preserve"> , de l’attribution/</w:t>
      </w:r>
      <w:proofErr w:type="spellStart"/>
      <w:r w:rsidRPr="00286DE3">
        <w:rPr>
          <w:rFonts w:asciiTheme="minorHAnsi" w:hAnsiTheme="minorHAnsi" w:cstheme="minorHAnsi"/>
          <w:lang w:val="fr-FR"/>
        </w:rPr>
        <w:t>Award</w:t>
      </w:r>
      <w:proofErr w:type="spellEnd"/>
      <w:r w:rsidRPr="00286DE3">
        <w:rPr>
          <w:rFonts w:asciiTheme="minorHAnsi" w:hAnsiTheme="minorHAnsi" w:cstheme="minorHAnsi"/>
          <w:lang w:val="fr-FR"/>
        </w:rPr>
        <w:t xml:space="preserve"> et du projet/Output dans Atlas, il se trouve dans « ID institution » (ID institution - Code Atlas : 99999). Le PNUD doit également </w:t>
      </w:r>
      <w:proofErr w:type="spellStart"/>
      <w:r w:rsidRPr="00286DE3">
        <w:rPr>
          <w:rFonts w:asciiTheme="minorHAnsi" w:hAnsiTheme="minorHAnsi" w:cstheme="minorHAnsi"/>
          <w:lang w:val="fr-FR"/>
        </w:rPr>
        <w:t>etre</w:t>
      </w:r>
      <w:proofErr w:type="spellEnd"/>
      <w:r w:rsidRPr="00286DE3">
        <w:rPr>
          <w:rFonts w:asciiTheme="minorHAnsi" w:hAnsiTheme="minorHAnsi" w:cstheme="minorHAnsi"/>
          <w:lang w:val="fr-FR"/>
        </w:rPr>
        <w:t xml:space="preserve"> </w:t>
      </w:r>
      <w:proofErr w:type="spellStart"/>
      <w:r w:rsidRPr="00286DE3">
        <w:rPr>
          <w:rFonts w:asciiTheme="minorHAnsi" w:hAnsiTheme="minorHAnsi" w:cstheme="minorHAnsi"/>
          <w:lang w:val="fr-FR"/>
        </w:rPr>
        <w:t>refleté</w:t>
      </w:r>
      <w:proofErr w:type="spellEnd"/>
      <w:r w:rsidRPr="00286DE3">
        <w:rPr>
          <w:rFonts w:asciiTheme="minorHAnsi" w:hAnsiTheme="minorHAnsi" w:cstheme="minorHAnsi"/>
          <w:lang w:val="fr-FR"/>
        </w:rPr>
        <w:t xml:space="preserve"> dans le champ de l’agent d’exécution (Agent d’exécution - Code Atlas : 001981).</w:t>
      </w:r>
    </w:p>
    <w:p w14:paraId="414FE789" w14:textId="60C7C9B2" w:rsidR="00EE2A01" w:rsidRPr="00286DE3" w:rsidRDefault="2FEB7B0A">
      <w:pPr>
        <w:numPr>
          <w:ilvl w:val="1"/>
          <w:numId w:val="11"/>
        </w:numPr>
        <w:spacing w:after="311"/>
        <w:ind w:right="0" w:hanging="557"/>
        <w:rPr>
          <w:rFonts w:asciiTheme="minorHAnsi" w:hAnsiTheme="minorHAnsi" w:cstheme="minorHAnsi"/>
          <w:lang w:val="fr-FR"/>
        </w:rPr>
      </w:pPr>
      <w:r w:rsidRPr="00286DE3">
        <w:rPr>
          <w:rFonts w:asciiTheme="minorHAnsi" w:hAnsiTheme="minorHAnsi" w:cstheme="minorHAnsi"/>
          <w:lang w:val="fr-FR"/>
        </w:rPr>
        <w:t>Les parties responsables doivent se trouver dans Atlas dans les champs au niveau du budget, dans le champ « Agent d’exécution/</w:t>
      </w:r>
      <w:proofErr w:type="spellStart"/>
      <w:r w:rsidRPr="00286DE3">
        <w:rPr>
          <w:rFonts w:asciiTheme="minorHAnsi" w:hAnsiTheme="minorHAnsi" w:cstheme="minorHAnsi"/>
          <w:lang w:val="fr-FR"/>
        </w:rPr>
        <w:t>Implimenting</w:t>
      </w:r>
      <w:proofErr w:type="spellEnd"/>
      <w:r w:rsidRPr="00286DE3">
        <w:rPr>
          <w:rFonts w:asciiTheme="minorHAnsi" w:hAnsiTheme="minorHAnsi" w:cstheme="minorHAnsi"/>
          <w:lang w:val="fr-FR"/>
        </w:rPr>
        <w:t xml:space="preserve"> Agent» (pour les programmes non harmonisés, il doit s’y trouver l’institution de réalisation). Le </w:t>
      </w:r>
      <w:r w:rsidRPr="00286DE3">
        <w:rPr>
          <w:rFonts w:asciiTheme="minorHAnsi" w:hAnsiTheme="minorHAnsi" w:cstheme="minorHAnsi"/>
          <w:lang w:val="fr-FR"/>
        </w:rPr>
        <w:lastRenderedPageBreak/>
        <w:t>partenaire de réalisation (ID institution) peut être le même que celui affiché sous « agent d’exécution » au niveau des champs dans la plupart des cas. Toutefois, pour certaines activités ou pour la gestion de certains intrants, une autre partie (« partie responsable ») peut être désignée. Cette partie peut être le gouvernement, une organisation non gouvernementale ou une institution des Nations Unies.</w:t>
      </w:r>
    </w:p>
    <w:p w14:paraId="317238C1" w14:textId="77777777" w:rsidR="00EE2A01" w:rsidRPr="00286DE3" w:rsidRDefault="2FEB7B0A">
      <w:pPr>
        <w:numPr>
          <w:ilvl w:val="0"/>
          <w:numId w:val="11"/>
        </w:numPr>
        <w:ind w:right="0"/>
        <w:rPr>
          <w:rFonts w:asciiTheme="minorHAnsi" w:hAnsiTheme="minorHAnsi" w:cstheme="minorHAnsi"/>
          <w:lang w:val="fr-FR"/>
        </w:rPr>
      </w:pPr>
      <w:r w:rsidRPr="00286DE3">
        <w:rPr>
          <w:rFonts w:asciiTheme="minorHAnsi" w:hAnsiTheme="minorHAnsi" w:cstheme="minorHAnsi"/>
          <w:lang w:val="fr-FR"/>
        </w:rPr>
        <w:t>Conformément à la politique du PNUD en matière de recettes, tous les fonds seront enregistrés dans Atlas selon les règles établies pour les créances, sans considération de l’origine des fonds, pour mettre en œuvre le projet. Les fonds peuvent provenir de sociétés (montants ciblés pour l’allocation des ressources de base), des fonds de l’institution, des fonds d’affectation spéciale, de partage des coûts de la part du gouvernement, d’institutions financières internationales, de donateurs bilatéraux, etc. Se référer à la section des politiques et procédures en matière de gestion des recettes pour des informations détaillées sur la manière d’enregistrer les recettes pour les projets.</w:t>
      </w:r>
    </w:p>
    <w:p w14:paraId="05F8109E" w14:textId="77777777" w:rsidR="00EE2A01" w:rsidRPr="00286DE3" w:rsidRDefault="00E6302F">
      <w:pPr>
        <w:spacing w:after="21"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18A24256" w14:textId="77777777" w:rsidR="00EE2A01" w:rsidRPr="00286DE3" w:rsidRDefault="2FEB7B0A">
      <w:pPr>
        <w:numPr>
          <w:ilvl w:val="0"/>
          <w:numId w:val="11"/>
        </w:numPr>
        <w:ind w:right="0"/>
        <w:rPr>
          <w:rFonts w:asciiTheme="minorHAnsi" w:hAnsiTheme="minorHAnsi" w:cstheme="minorHAnsi"/>
          <w:lang w:val="fr-FR"/>
        </w:rPr>
      </w:pPr>
      <w:r w:rsidRPr="00286DE3">
        <w:rPr>
          <w:rFonts w:asciiTheme="minorHAnsi" w:hAnsiTheme="minorHAnsi" w:cstheme="minorHAnsi"/>
          <w:lang w:val="fr-FR"/>
        </w:rPr>
        <w:t xml:space="preserve">Conformément à la politique en matière de dépenses du PNUD, les dépenses seront reconnues lorsque les biens (non-capital) ou les services seront reçus par le PNUD. </w:t>
      </w:r>
    </w:p>
    <w:p w14:paraId="23D794EA" w14:textId="77777777"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La propriété, le matériel et l’équipement qui atteignent le plafond de capitalisation seront capitalisés et l’amortissement sera facturé comme une dépense dans la prochaine période d’établissement de rapports</w:t>
      </w:r>
      <w:r w:rsidRPr="00286DE3">
        <w:rPr>
          <w:rFonts w:asciiTheme="minorHAnsi" w:eastAsia="Segoe UI Symbol" w:hAnsiTheme="minorHAnsi" w:cstheme="minorHAnsi"/>
          <w:lang w:val="fr-FR"/>
        </w:rPr>
        <w:t xml:space="preserve">. Les engagements non réglés ne sont plus reconnus comme une dépense. </w:t>
      </w:r>
    </w:p>
    <w:p w14:paraId="2078AD47" w14:textId="77777777" w:rsidR="00EE2A01" w:rsidRPr="00286DE3" w:rsidRDefault="2FEB7B0A">
      <w:pPr>
        <w:numPr>
          <w:ilvl w:val="1"/>
          <w:numId w:val="11"/>
        </w:numPr>
        <w:spacing w:after="313"/>
        <w:ind w:right="0" w:hanging="557"/>
        <w:rPr>
          <w:rFonts w:asciiTheme="minorHAnsi" w:hAnsiTheme="minorHAnsi" w:cstheme="minorHAnsi"/>
          <w:lang w:val="fr-FR"/>
        </w:rPr>
      </w:pPr>
      <w:r w:rsidRPr="00286DE3">
        <w:rPr>
          <w:rFonts w:asciiTheme="minorHAnsi" w:hAnsiTheme="minorHAnsi" w:cstheme="minorHAnsi"/>
          <w:lang w:val="fr-FR"/>
        </w:rPr>
        <w:t xml:space="preserve">Les paiements effectués avant la réception des biens et des services seront reconnus comme des paiements en avance compensés dans le premier avis de paiement. </w:t>
      </w:r>
    </w:p>
    <w:p w14:paraId="509C2F38" w14:textId="77777777" w:rsidR="00EE2A01" w:rsidRPr="00286DE3" w:rsidRDefault="2FEB7B0A">
      <w:pPr>
        <w:numPr>
          <w:ilvl w:val="0"/>
          <w:numId w:val="11"/>
        </w:numPr>
        <w:ind w:right="0"/>
        <w:rPr>
          <w:rFonts w:asciiTheme="minorHAnsi" w:hAnsiTheme="minorHAnsi" w:cstheme="minorHAnsi"/>
          <w:lang w:val="fr-FR"/>
        </w:rPr>
      </w:pPr>
      <w:r w:rsidRPr="00286DE3">
        <w:rPr>
          <w:rFonts w:asciiTheme="minorHAnsi" w:hAnsiTheme="minorHAnsi" w:cstheme="minorHAnsi"/>
          <w:lang w:val="fr-FR"/>
        </w:rPr>
        <w:t>Se référer à la section des politiques et procédures en matière de gestion des dépenses pour des informations détaillées sur la manière d’enregistrer les dépenses pour les projets.</w:t>
      </w:r>
    </w:p>
    <w:p w14:paraId="12CC5A8D" w14:textId="77777777" w:rsidR="00EE2A01" w:rsidRPr="00286DE3" w:rsidRDefault="00E6302F">
      <w:pPr>
        <w:spacing w:after="139" w:line="259" w:lineRule="auto"/>
        <w:ind w:left="72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44BA9995" w14:textId="77777777" w:rsidR="00EE2A01" w:rsidRPr="00286DE3" w:rsidRDefault="00E6302F">
      <w:pPr>
        <w:spacing w:after="179" w:line="259" w:lineRule="auto"/>
        <w:ind w:left="-5" w:right="0" w:hanging="10"/>
        <w:jc w:val="left"/>
        <w:rPr>
          <w:rFonts w:asciiTheme="minorHAnsi" w:hAnsiTheme="minorHAnsi" w:cstheme="minorHAnsi"/>
        </w:rPr>
      </w:pPr>
      <w:r w:rsidRPr="00286DE3">
        <w:rPr>
          <w:rFonts w:asciiTheme="minorHAnsi" w:hAnsiTheme="minorHAnsi" w:cstheme="minorHAnsi"/>
          <w:b/>
        </w:rPr>
        <w:t xml:space="preserve">RAPPORTS FINANCIERS </w:t>
      </w:r>
    </w:p>
    <w:p w14:paraId="45A2B21C" w14:textId="77777777" w:rsidR="00EE2A01" w:rsidRPr="00286DE3" w:rsidRDefault="2FEB7B0A">
      <w:pPr>
        <w:numPr>
          <w:ilvl w:val="0"/>
          <w:numId w:val="11"/>
        </w:numPr>
        <w:spacing w:after="301"/>
        <w:ind w:right="0"/>
        <w:rPr>
          <w:rFonts w:asciiTheme="minorHAnsi" w:hAnsiTheme="minorHAnsi" w:cstheme="minorHAnsi"/>
          <w:lang w:val="fr-FR"/>
        </w:rPr>
      </w:pPr>
      <w:r w:rsidRPr="00286DE3">
        <w:rPr>
          <w:rFonts w:asciiTheme="minorHAnsi" w:hAnsiTheme="minorHAnsi" w:cstheme="minorHAnsi"/>
          <w:lang w:val="fr-FR"/>
        </w:rPr>
        <w:t>L’établissement de rapports financiers et de dispositifs de contrôle utilisés pour contrôler la modalité DIM sont :</w:t>
      </w:r>
    </w:p>
    <w:p w14:paraId="0D97B2DE" w14:textId="4188896F"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Rapport combiné sur l’exécution des projets (CDR)</w:t>
      </w:r>
    </w:p>
    <w:p w14:paraId="0FB5A832" w14:textId="6BA74578" w:rsidR="00EE2A01" w:rsidRPr="00286DE3" w:rsidRDefault="2FEB7B0A">
      <w:pPr>
        <w:numPr>
          <w:ilvl w:val="1"/>
          <w:numId w:val="11"/>
        </w:numPr>
        <w:ind w:right="0" w:hanging="557"/>
        <w:rPr>
          <w:rFonts w:asciiTheme="minorHAnsi" w:hAnsiTheme="minorHAnsi" w:cstheme="minorHAnsi"/>
          <w:lang w:val="fr-FR"/>
        </w:rPr>
      </w:pPr>
      <w:r w:rsidRPr="00286DE3">
        <w:rPr>
          <w:rFonts w:asciiTheme="minorHAnsi" w:hAnsiTheme="minorHAnsi" w:cstheme="minorHAnsi"/>
          <w:lang w:val="fr-FR"/>
        </w:rPr>
        <w:t>Solde du budget du projet (PBB)</w:t>
      </w:r>
    </w:p>
    <w:p w14:paraId="47024CD2" w14:textId="5BE439C4" w:rsidR="00EE2A01" w:rsidRPr="00286DE3" w:rsidRDefault="2FEB7B0A">
      <w:pPr>
        <w:numPr>
          <w:ilvl w:val="1"/>
          <w:numId w:val="11"/>
        </w:numPr>
        <w:spacing w:after="136"/>
        <w:ind w:right="0" w:hanging="557"/>
        <w:rPr>
          <w:rFonts w:asciiTheme="minorHAnsi" w:hAnsiTheme="minorHAnsi" w:cstheme="minorHAnsi"/>
          <w:lang w:val="fr-FR"/>
        </w:rPr>
      </w:pPr>
      <w:r w:rsidRPr="00286DE3">
        <w:rPr>
          <w:rFonts w:asciiTheme="minorHAnsi" w:hAnsiTheme="minorHAnsi" w:cstheme="minorHAnsi"/>
          <w:lang w:val="fr-FR"/>
        </w:rPr>
        <w:t>Rapport détaillé des transactions du projet (PTD)</w:t>
      </w:r>
    </w:p>
    <w:p w14:paraId="7317DCF4" w14:textId="5B976FAC" w:rsidR="002559AE" w:rsidRPr="00286DE3" w:rsidRDefault="00485CFA" w:rsidP="000A1689">
      <w:pPr>
        <w:spacing w:after="136"/>
        <w:ind w:left="0" w:right="0" w:firstLine="0"/>
        <w:rPr>
          <w:rFonts w:asciiTheme="minorHAnsi" w:hAnsiTheme="minorHAnsi" w:cstheme="minorHAnsi"/>
          <w:lang w:val="fr-FR"/>
        </w:rPr>
      </w:pPr>
      <w:r w:rsidRPr="00286DE3">
        <w:rPr>
          <w:rFonts w:asciiTheme="minorHAnsi" w:hAnsiTheme="minorHAnsi" w:cstheme="minorHAnsi"/>
          <w:b/>
          <w:lang w:val="fr-FR"/>
        </w:rPr>
        <w:t xml:space="preserve"> Rapport combiné sur l’exécution des projets (CDR)</w:t>
      </w:r>
      <w:r w:rsidR="00422D02" w:rsidRPr="00286DE3">
        <w:rPr>
          <w:rFonts w:asciiTheme="minorHAnsi" w:hAnsiTheme="minorHAnsi" w:cstheme="minorHAnsi"/>
          <w:lang w:val="fr-FR"/>
        </w:rPr>
        <w:t xml:space="preserve"> </w:t>
      </w:r>
    </w:p>
    <w:p w14:paraId="08D1ACAB" w14:textId="0BF01A8D" w:rsidR="00235AE0" w:rsidRPr="00286DE3" w:rsidRDefault="00235AE0" w:rsidP="00235AE0">
      <w:pPr>
        <w:spacing w:after="34"/>
        <w:ind w:right="190"/>
        <w:rPr>
          <w:rFonts w:asciiTheme="minorHAnsi" w:hAnsiTheme="minorHAnsi" w:cstheme="minorHAnsi"/>
          <w:lang w:val="fr-FR"/>
        </w:rPr>
      </w:pPr>
      <w:r w:rsidRPr="00286DE3">
        <w:rPr>
          <w:rFonts w:asciiTheme="minorHAnsi" w:eastAsia="Times New Roman" w:hAnsiTheme="minorHAnsi" w:cstheme="minorHAnsi"/>
          <w:color w:val="auto"/>
          <w:lang w:val="fr-FR"/>
        </w:rPr>
        <w:t xml:space="preserve">15. </w:t>
      </w:r>
      <w:r w:rsidRPr="00286DE3">
        <w:rPr>
          <w:rFonts w:asciiTheme="minorHAnsi" w:hAnsiTheme="minorHAnsi" w:cstheme="minorHAnsi"/>
          <w:lang w:val="fr-FR"/>
        </w:rPr>
        <w:t>Sur la base des dépenses enregistrées dans Atlas par les partenaires et agents d’exécution des projets, les agences des Nations Unies et le PNUD émet un rapport combiné des dépenses («</w:t>
      </w:r>
      <w:r w:rsidRPr="00286DE3">
        <w:rPr>
          <w:rFonts w:asciiTheme="minorHAnsi" w:hAnsiTheme="minorHAnsi" w:cstheme="minorHAnsi"/>
          <w:b/>
          <w:lang w:val="fr-FR"/>
        </w:rPr>
        <w:t> CDR </w:t>
      </w:r>
      <w:r w:rsidRPr="00286DE3">
        <w:rPr>
          <w:rFonts w:asciiTheme="minorHAnsi" w:hAnsiTheme="minorHAnsi" w:cstheme="minorHAnsi"/>
          <w:lang w:val="fr-FR"/>
        </w:rPr>
        <w:t xml:space="preserve">») à la fin </w:t>
      </w:r>
      <w:bookmarkStart w:id="1" w:name="_Hlk481674077"/>
      <w:r w:rsidRPr="00286DE3">
        <w:rPr>
          <w:rFonts w:asciiTheme="minorHAnsi" w:hAnsiTheme="minorHAnsi" w:cstheme="minorHAnsi"/>
          <w:lang w:val="fr-FR"/>
        </w:rPr>
        <w:t>de chaque</w:t>
      </w:r>
      <w:bookmarkEnd w:id="1"/>
      <w:r w:rsidRPr="00286DE3">
        <w:rPr>
          <w:rFonts w:asciiTheme="minorHAnsi" w:hAnsiTheme="minorHAnsi" w:cstheme="minorHAnsi"/>
          <w:lang w:val="fr-FR"/>
        </w:rPr>
        <w:t xml:space="preserve"> trimestre, et à la fin de l’année, relatif aux projets mis en œuvre au niveau national et aux projets mis en œuvre directement (dès la clôture financière de la période d’établissement de rapports). </w:t>
      </w:r>
      <w:bookmarkStart w:id="2" w:name="_Hlk481674127"/>
      <w:r w:rsidRPr="00286DE3">
        <w:rPr>
          <w:rFonts w:asciiTheme="minorHAnsi" w:hAnsiTheme="minorHAnsi" w:cstheme="minorHAnsi"/>
          <w:lang w:val="fr-FR"/>
        </w:rPr>
        <w:t>Les rapports reflètent les dépenses cumulées, c’est- à-dire que le 2</w:t>
      </w:r>
      <w:r w:rsidRPr="00286DE3">
        <w:rPr>
          <w:rFonts w:asciiTheme="minorHAnsi" w:hAnsiTheme="minorHAnsi" w:cstheme="minorHAnsi"/>
          <w:vertAlign w:val="superscript"/>
          <w:lang w:val="fr-FR"/>
        </w:rPr>
        <w:t>e</w:t>
      </w:r>
      <w:r w:rsidRPr="00286DE3">
        <w:rPr>
          <w:rFonts w:asciiTheme="minorHAnsi" w:hAnsiTheme="minorHAnsi" w:cstheme="minorHAnsi"/>
          <w:lang w:val="fr-FR"/>
        </w:rPr>
        <w:t xml:space="preserve"> trimestre CDR couvre les dépenses engagées de janvier à juin, le 3</w:t>
      </w:r>
      <w:r w:rsidRPr="00286DE3">
        <w:rPr>
          <w:rFonts w:asciiTheme="minorHAnsi" w:hAnsiTheme="minorHAnsi" w:cstheme="minorHAnsi"/>
          <w:vertAlign w:val="superscript"/>
          <w:lang w:val="fr-FR"/>
        </w:rPr>
        <w:t xml:space="preserve">e </w:t>
      </w:r>
      <w:r w:rsidRPr="00286DE3">
        <w:rPr>
          <w:rFonts w:asciiTheme="minorHAnsi" w:hAnsiTheme="minorHAnsi" w:cstheme="minorHAnsi"/>
          <w:lang w:val="fr-FR"/>
        </w:rPr>
        <w:t xml:space="preserve">trimestre CDR couvre les </w:t>
      </w:r>
      <w:r w:rsidRPr="00286DE3">
        <w:rPr>
          <w:rFonts w:asciiTheme="minorHAnsi" w:hAnsiTheme="minorHAnsi" w:cstheme="minorHAnsi"/>
          <w:lang w:val="fr-FR"/>
        </w:rPr>
        <w:lastRenderedPageBreak/>
        <w:t>dépenses cumulées de janvier à septembre et le 4</w:t>
      </w:r>
      <w:r w:rsidRPr="00286DE3">
        <w:rPr>
          <w:rFonts w:asciiTheme="minorHAnsi" w:hAnsiTheme="minorHAnsi" w:cstheme="minorHAnsi"/>
          <w:vertAlign w:val="superscript"/>
          <w:lang w:val="fr-FR"/>
        </w:rPr>
        <w:t>e</w:t>
      </w:r>
      <w:r w:rsidRPr="00286DE3">
        <w:rPr>
          <w:rFonts w:asciiTheme="minorHAnsi" w:hAnsiTheme="minorHAnsi" w:cstheme="minorHAnsi"/>
          <w:lang w:val="fr-FR"/>
        </w:rPr>
        <w:t xml:space="preserve"> trimestre CDR couvre les dépenses cumulées de janvier à décembre. </w:t>
      </w:r>
      <w:bookmarkEnd w:id="2"/>
      <w:r w:rsidRPr="00286DE3">
        <w:rPr>
          <w:rFonts w:asciiTheme="minorHAnsi" w:hAnsiTheme="minorHAnsi" w:cstheme="minorHAnsi"/>
          <w:lang w:val="fr-FR"/>
        </w:rPr>
        <w:t>Le rapport combiné des dépenses est un rapport officiel obligatoire, qui reflète les d</w:t>
      </w:r>
      <w:bookmarkStart w:id="3" w:name="_Hlk40189120"/>
      <w:r w:rsidRPr="00286DE3">
        <w:rPr>
          <w:rFonts w:asciiTheme="minorHAnsi" w:hAnsiTheme="minorHAnsi" w:cstheme="minorHAnsi"/>
          <w:lang w:val="fr-FR"/>
        </w:rPr>
        <w:t>é</w:t>
      </w:r>
      <w:bookmarkEnd w:id="3"/>
      <w:r w:rsidRPr="00286DE3">
        <w:rPr>
          <w:rFonts w:asciiTheme="minorHAnsi" w:hAnsiTheme="minorHAnsi" w:cstheme="minorHAnsi"/>
          <w:lang w:val="fr-FR"/>
        </w:rPr>
        <w:t>penses du projet. Lorsqu’un CDR est généré, le bureau du PNUD doit vérifier que toutes les informations financières sont complètes et correctes, et que les informations financières sont conformes au plan de travail annuel (PTA) approuvé et au budget de projet inscrit dans Atlas. Tout ajustement nécessaire doit être effectué dans Atlas, le cas échéant, avant l’envoi du CDR.</w:t>
      </w:r>
    </w:p>
    <w:p w14:paraId="364A845C" w14:textId="63C49D41" w:rsidR="00235AE0" w:rsidRPr="00286DE3" w:rsidRDefault="00235AE0" w:rsidP="002559AE">
      <w:pPr>
        <w:spacing w:after="136"/>
        <w:ind w:right="0"/>
        <w:rPr>
          <w:rFonts w:asciiTheme="minorHAnsi" w:eastAsia="Times New Roman" w:hAnsiTheme="minorHAnsi" w:cstheme="minorHAnsi"/>
          <w:color w:val="auto"/>
          <w:lang w:val="fr-FR"/>
        </w:rPr>
      </w:pPr>
    </w:p>
    <w:p w14:paraId="074A3E91" w14:textId="1B67187C" w:rsidR="00E54557" w:rsidRPr="00286DE3" w:rsidRDefault="00987F30" w:rsidP="00E54557">
      <w:pPr>
        <w:spacing w:after="136"/>
        <w:ind w:right="0"/>
        <w:rPr>
          <w:rFonts w:asciiTheme="minorHAnsi" w:eastAsia="Times New Roman" w:hAnsiTheme="minorHAnsi" w:cstheme="minorHAnsi"/>
          <w:color w:val="auto"/>
          <w:lang w:val="fr-FR"/>
        </w:rPr>
      </w:pPr>
      <w:r w:rsidRPr="00286DE3">
        <w:rPr>
          <w:rFonts w:asciiTheme="minorHAnsi" w:eastAsia="Times New Roman" w:hAnsiTheme="minorHAnsi" w:cstheme="minorHAnsi"/>
          <w:color w:val="auto"/>
          <w:lang w:val="fr-FR"/>
        </w:rPr>
        <w:t xml:space="preserve">16. </w:t>
      </w:r>
      <w:r w:rsidR="00E54557" w:rsidRPr="00286DE3">
        <w:rPr>
          <w:rFonts w:asciiTheme="minorHAnsi" w:eastAsia="Times New Roman" w:hAnsiTheme="minorHAnsi" w:cstheme="minorHAnsi"/>
          <w:color w:val="auto"/>
          <w:lang w:val="fr-FR"/>
        </w:rPr>
        <w:t xml:space="preserve">Le CDR est généré par </w:t>
      </w:r>
      <w:r w:rsidR="00EC1564" w:rsidRPr="00286DE3">
        <w:rPr>
          <w:rFonts w:asciiTheme="minorHAnsi" w:eastAsia="Times New Roman" w:hAnsiTheme="minorHAnsi" w:cstheme="minorHAnsi"/>
          <w:color w:val="auto"/>
          <w:lang w:val="fr-FR"/>
        </w:rPr>
        <w:t>l</w:t>
      </w:r>
      <w:r w:rsidR="00913DE0" w:rsidRPr="00286DE3">
        <w:rPr>
          <w:rFonts w:asciiTheme="minorHAnsi" w:eastAsia="Times New Roman" w:hAnsiTheme="minorHAnsi" w:cstheme="minorHAnsi"/>
          <w:color w:val="auto"/>
          <w:lang w:val="fr-FR"/>
        </w:rPr>
        <w:t xml:space="preserve">e “Atlas </w:t>
      </w:r>
      <w:proofErr w:type="spellStart"/>
      <w:r w:rsidR="00920D78" w:rsidRPr="00286DE3">
        <w:rPr>
          <w:rFonts w:asciiTheme="minorHAnsi" w:eastAsia="Times New Roman" w:hAnsiTheme="minorHAnsi" w:cstheme="minorHAnsi"/>
          <w:color w:val="auto"/>
          <w:lang w:val="fr-FR"/>
        </w:rPr>
        <w:t>Award</w:t>
      </w:r>
      <w:proofErr w:type="spellEnd"/>
      <w:r w:rsidR="00913DE0" w:rsidRPr="00286DE3">
        <w:rPr>
          <w:rFonts w:asciiTheme="minorHAnsi" w:eastAsia="Times New Roman" w:hAnsiTheme="minorHAnsi" w:cstheme="minorHAnsi"/>
          <w:color w:val="auto"/>
          <w:lang w:val="fr-FR"/>
        </w:rPr>
        <w:t>”</w:t>
      </w:r>
      <w:r w:rsidR="00E54557" w:rsidRPr="00286DE3">
        <w:rPr>
          <w:rFonts w:asciiTheme="minorHAnsi" w:eastAsia="Times New Roman" w:hAnsiTheme="minorHAnsi" w:cstheme="minorHAnsi"/>
          <w:color w:val="auto"/>
          <w:lang w:val="fr-FR"/>
        </w:rPr>
        <w:t xml:space="preserve"> (mais peut également être généré par </w:t>
      </w:r>
      <w:r w:rsidR="00920D78" w:rsidRPr="00286DE3">
        <w:rPr>
          <w:rFonts w:asciiTheme="minorHAnsi" w:eastAsia="Times New Roman" w:hAnsiTheme="minorHAnsi" w:cstheme="minorHAnsi"/>
          <w:color w:val="auto"/>
          <w:lang w:val="fr-FR"/>
        </w:rPr>
        <w:t> » Atlas Output »</w:t>
      </w:r>
      <w:r w:rsidR="00E54557" w:rsidRPr="00286DE3">
        <w:rPr>
          <w:rFonts w:asciiTheme="minorHAnsi" w:eastAsia="Times New Roman" w:hAnsiTheme="minorHAnsi" w:cstheme="minorHAnsi"/>
          <w:color w:val="auto"/>
          <w:lang w:val="fr-FR"/>
        </w:rPr>
        <w:t xml:space="preserve">) </w:t>
      </w:r>
      <w:r w:rsidR="00B51B7F" w:rsidRPr="00286DE3">
        <w:rPr>
          <w:rFonts w:asciiTheme="minorHAnsi" w:eastAsia="Times New Roman" w:hAnsiTheme="minorHAnsi" w:cstheme="minorHAnsi"/>
          <w:color w:val="auto"/>
          <w:lang w:val="fr-FR"/>
        </w:rPr>
        <w:t>et est divisé en trois sections</w:t>
      </w:r>
      <w:r w:rsidR="00E54557" w:rsidRPr="00286DE3">
        <w:rPr>
          <w:rFonts w:asciiTheme="minorHAnsi" w:eastAsia="Times New Roman" w:hAnsiTheme="minorHAnsi" w:cstheme="minorHAnsi"/>
          <w:color w:val="auto"/>
          <w:lang w:val="fr-FR"/>
        </w:rPr>
        <w:t>:</w:t>
      </w:r>
    </w:p>
    <w:p w14:paraId="4B8A9423" w14:textId="5574237B" w:rsidR="00DD603D" w:rsidRPr="00286DE3" w:rsidRDefault="00B51B7F" w:rsidP="00913DE0">
      <w:pPr>
        <w:spacing w:after="136"/>
        <w:ind w:left="1810" w:right="0"/>
        <w:rPr>
          <w:rFonts w:asciiTheme="minorHAnsi" w:eastAsia="Times New Roman" w:hAnsiTheme="minorHAnsi" w:cstheme="minorHAnsi"/>
          <w:color w:val="auto"/>
          <w:lang w:val="fr-FR"/>
        </w:rPr>
      </w:pPr>
      <w:r w:rsidRPr="00286DE3">
        <w:rPr>
          <w:rFonts w:asciiTheme="minorHAnsi" w:eastAsia="Times New Roman" w:hAnsiTheme="minorHAnsi" w:cstheme="minorHAnsi"/>
          <w:color w:val="auto"/>
          <w:lang w:val="fr-FR"/>
        </w:rPr>
        <w:t>a. Dépense</w:t>
      </w:r>
      <w:r w:rsidR="00465E7C" w:rsidRPr="00286DE3">
        <w:rPr>
          <w:rFonts w:asciiTheme="minorHAnsi" w:eastAsia="Times New Roman" w:hAnsiTheme="minorHAnsi" w:cstheme="minorHAnsi"/>
          <w:color w:val="auto"/>
          <w:lang w:val="fr-FR"/>
        </w:rPr>
        <w:t xml:space="preserve"> </w:t>
      </w:r>
      <w:r w:rsidRPr="00286DE3">
        <w:rPr>
          <w:rFonts w:asciiTheme="minorHAnsi" w:eastAsia="Times New Roman" w:hAnsiTheme="minorHAnsi" w:cstheme="minorHAnsi"/>
          <w:color w:val="auto"/>
          <w:lang w:val="fr-FR"/>
        </w:rPr>
        <w:t>par code de fonds</w:t>
      </w:r>
      <w:r w:rsidR="00E54557" w:rsidRPr="00286DE3">
        <w:rPr>
          <w:rFonts w:asciiTheme="minorHAnsi" w:eastAsia="Times New Roman" w:hAnsiTheme="minorHAnsi" w:cstheme="minorHAnsi"/>
          <w:color w:val="auto"/>
          <w:lang w:val="fr-FR"/>
        </w:rPr>
        <w:t>: Montre les dépenses regroupées par production et par code de fonds, ventilées dans les comptes</w:t>
      </w:r>
      <w:r w:rsidR="00F967BA" w:rsidRPr="00286DE3">
        <w:rPr>
          <w:rFonts w:asciiTheme="minorHAnsi" w:eastAsia="Times New Roman" w:hAnsiTheme="minorHAnsi" w:cstheme="minorHAnsi"/>
          <w:color w:val="auto"/>
          <w:lang w:val="fr-FR"/>
        </w:rPr>
        <w:t xml:space="preserve"> respectifs</w:t>
      </w:r>
      <w:r w:rsidR="00E54557" w:rsidRPr="00286DE3">
        <w:rPr>
          <w:rFonts w:asciiTheme="minorHAnsi" w:eastAsia="Times New Roman" w:hAnsiTheme="minorHAnsi" w:cstheme="minorHAnsi"/>
          <w:color w:val="auto"/>
          <w:lang w:val="fr-FR"/>
        </w:rPr>
        <w:t xml:space="preserve"> du grand livre</w:t>
      </w:r>
      <w:r w:rsidR="00DD603D" w:rsidRPr="00286DE3">
        <w:rPr>
          <w:rFonts w:asciiTheme="minorHAnsi" w:eastAsia="Times New Roman" w:hAnsiTheme="minorHAnsi" w:cstheme="minorHAnsi"/>
          <w:color w:val="auto"/>
          <w:lang w:val="fr-FR"/>
        </w:rPr>
        <w:t xml:space="preserve"> </w:t>
      </w:r>
    </w:p>
    <w:p w14:paraId="6CA7D8F3" w14:textId="5E76E33C" w:rsidR="00AB4912" w:rsidRPr="00286DE3" w:rsidRDefault="00B51B7F" w:rsidP="00286DE3">
      <w:pPr>
        <w:spacing w:after="136"/>
        <w:ind w:left="1810" w:right="0"/>
        <w:rPr>
          <w:rFonts w:asciiTheme="minorHAnsi" w:eastAsia="Times New Roman" w:hAnsiTheme="minorHAnsi" w:cstheme="minorHAnsi"/>
          <w:color w:val="auto"/>
          <w:lang w:val="fr-FR"/>
        </w:rPr>
      </w:pPr>
      <w:r w:rsidRPr="00286DE3">
        <w:rPr>
          <w:rFonts w:asciiTheme="minorHAnsi" w:eastAsia="Times New Roman" w:hAnsiTheme="minorHAnsi" w:cstheme="minorHAnsi"/>
          <w:color w:val="auto"/>
          <w:lang w:val="fr-FR"/>
        </w:rPr>
        <w:t>b</w:t>
      </w:r>
      <w:r w:rsidR="00286DE3">
        <w:rPr>
          <w:rFonts w:asciiTheme="minorHAnsi" w:eastAsia="Times New Roman" w:hAnsiTheme="minorHAnsi" w:cstheme="minorHAnsi"/>
          <w:color w:val="auto"/>
          <w:lang w:val="fr-FR"/>
        </w:rPr>
        <w:t>.</w:t>
      </w:r>
      <w:r w:rsidRPr="00286DE3">
        <w:rPr>
          <w:rFonts w:asciiTheme="minorHAnsi" w:eastAsia="Times New Roman" w:hAnsiTheme="minorHAnsi" w:cstheme="minorHAnsi"/>
          <w:color w:val="auto"/>
          <w:lang w:val="fr-FR"/>
        </w:rPr>
        <w:t xml:space="preserve"> Dépense par activité</w:t>
      </w:r>
      <w:r w:rsidR="00E54557" w:rsidRPr="00286DE3">
        <w:rPr>
          <w:rFonts w:asciiTheme="minorHAnsi" w:eastAsia="Times New Roman" w:hAnsiTheme="minorHAnsi" w:cstheme="minorHAnsi"/>
          <w:color w:val="auto"/>
          <w:lang w:val="fr-FR"/>
        </w:rPr>
        <w:t xml:space="preserve">: Indique les dépenses regroupées par production, activité et code de fonds, ventilées dans les comptes </w:t>
      </w:r>
      <w:r w:rsidR="00AB4912" w:rsidRPr="00286DE3">
        <w:rPr>
          <w:rFonts w:asciiTheme="minorHAnsi" w:eastAsia="Times New Roman" w:hAnsiTheme="minorHAnsi" w:cstheme="minorHAnsi"/>
          <w:color w:val="auto"/>
          <w:lang w:val="fr-FR"/>
        </w:rPr>
        <w:t>respectifs du grand livre</w:t>
      </w:r>
      <w:r w:rsidR="00913DE0" w:rsidRPr="00286DE3">
        <w:rPr>
          <w:rFonts w:asciiTheme="minorHAnsi" w:eastAsia="Times New Roman" w:hAnsiTheme="minorHAnsi" w:cstheme="minorHAnsi"/>
          <w:color w:val="auto"/>
          <w:lang w:val="fr-FR"/>
        </w:rPr>
        <w:t>.</w:t>
      </w:r>
    </w:p>
    <w:p w14:paraId="1C128F93" w14:textId="11F861D2" w:rsidR="00487EA8" w:rsidRPr="00286DE3" w:rsidRDefault="00B51B7F" w:rsidP="00E81BD1">
      <w:pPr>
        <w:spacing w:after="136"/>
        <w:ind w:left="1810" w:right="0"/>
        <w:rPr>
          <w:rFonts w:asciiTheme="minorHAnsi" w:eastAsia="Times New Roman" w:hAnsiTheme="minorHAnsi" w:cstheme="minorHAnsi"/>
          <w:color w:val="auto"/>
          <w:lang w:val="fr-FR"/>
        </w:rPr>
      </w:pPr>
      <w:r w:rsidRPr="00286DE3">
        <w:rPr>
          <w:rFonts w:asciiTheme="minorHAnsi" w:eastAsia="Times New Roman" w:hAnsiTheme="minorHAnsi" w:cstheme="minorHAnsi"/>
          <w:color w:val="auto"/>
          <w:lang w:val="fr-FR"/>
        </w:rPr>
        <w:t>c</w:t>
      </w:r>
      <w:r w:rsidR="00286DE3">
        <w:rPr>
          <w:rFonts w:asciiTheme="minorHAnsi" w:eastAsia="Times New Roman" w:hAnsiTheme="minorHAnsi" w:cstheme="minorHAnsi"/>
          <w:color w:val="auto"/>
          <w:lang w:val="fr-FR"/>
        </w:rPr>
        <w:t>.</w:t>
      </w:r>
      <w:r w:rsidRPr="00286DE3">
        <w:rPr>
          <w:rFonts w:asciiTheme="minorHAnsi" w:eastAsia="Times New Roman" w:hAnsiTheme="minorHAnsi" w:cstheme="minorHAnsi"/>
          <w:color w:val="auto"/>
          <w:lang w:val="fr-FR"/>
        </w:rPr>
        <w:t xml:space="preserve"> Utilisation des fond</w:t>
      </w:r>
      <w:r w:rsidR="00487EA8" w:rsidRPr="00286DE3">
        <w:rPr>
          <w:rFonts w:asciiTheme="minorHAnsi" w:eastAsia="Times New Roman" w:hAnsiTheme="minorHAnsi" w:cstheme="minorHAnsi"/>
          <w:color w:val="auto"/>
          <w:lang w:val="fr-FR"/>
        </w:rPr>
        <w:t>s</w:t>
      </w:r>
      <w:r w:rsidR="00E54557" w:rsidRPr="00286DE3">
        <w:rPr>
          <w:rFonts w:asciiTheme="minorHAnsi" w:eastAsia="Times New Roman" w:hAnsiTheme="minorHAnsi" w:cstheme="minorHAnsi"/>
          <w:color w:val="auto"/>
          <w:lang w:val="fr-FR"/>
        </w:rPr>
        <w:t>: Déclare le</w:t>
      </w:r>
      <w:r w:rsidR="00D454DD" w:rsidRPr="00286DE3">
        <w:rPr>
          <w:rFonts w:asciiTheme="minorHAnsi" w:eastAsia="Times New Roman" w:hAnsiTheme="minorHAnsi" w:cstheme="minorHAnsi"/>
          <w:color w:val="auto"/>
          <w:lang w:val="fr-FR"/>
        </w:rPr>
        <w:t xml:space="preserve">s avances </w:t>
      </w:r>
      <w:r w:rsidR="00E33E98" w:rsidRPr="00286DE3">
        <w:rPr>
          <w:rFonts w:asciiTheme="minorHAnsi" w:eastAsia="Times New Roman" w:hAnsiTheme="minorHAnsi" w:cstheme="minorHAnsi"/>
          <w:color w:val="auto"/>
          <w:lang w:val="fr-FR"/>
        </w:rPr>
        <w:t xml:space="preserve">NIM </w:t>
      </w:r>
      <w:r w:rsidR="00D454DD" w:rsidRPr="00286DE3">
        <w:rPr>
          <w:rFonts w:asciiTheme="minorHAnsi" w:eastAsia="Times New Roman" w:hAnsiTheme="minorHAnsi" w:cstheme="minorHAnsi"/>
          <w:color w:val="auto"/>
          <w:lang w:val="fr-FR"/>
        </w:rPr>
        <w:t xml:space="preserve">non remboursées </w:t>
      </w:r>
      <w:r w:rsidR="00920D78" w:rsidRPr="00286DE3">
        <w:rPr>
          <w:rFonts w:asciiTheme="minorHAnsi" w:eastAsia="Times New Roman" w:hAnsiTheme="minorHAnsi" w:cstheme="minorHAnsi"/>
          <w:color w:val="auto"/>
          <w:lang w:val="fr-FR"/>
        </w:rPr>
        <w:t xml:space="preserve">par </w:t>
      </w:r>
      <w:r w:rsidR="00E54557" w:rsidRPr="00286DE3">
        <w:rPr>
          <w:rFonts w:asciiTheme="minorHAnsi" w:eastAsia="Times New Roman" w:hAnsiTheme="minorHAnsi" w:cstheme="minorHAnsi"/>
          <w:color w:val="auto"/>
          <w:lang w:val="fr-FR"/>
        </w:rPr>
        <w:t xml:space="preserve">le partenaire de mise en œuvre, les immobilisations non amorties, les actifs incorporels non amortis, les paiements anticipés, l'inventaire et les engagements en cours pris par le PNUD en tant qu'appui direct au projet. </w:t>
      </w:r>
    </w:p>
    <w:p w14:paraId="6B53F489" w14:textId="77777777" w:rsidR="00A75F04" w:rsidRPr="00286DE3" w:rsidRDefault="00A75F04" w:rsidP="00083EAC">
      <w:pPr>
        <w:spacing w:after="136"/>
        <w:ind w:right="0"/>
        <w:rPr>
          <w:rFonts w:asciiTheme="minorHAnsi" w:eastAsia="Times New Roman" w:hAnsiTheme="minorHAnsi" w:cstheme="minorHAnsi"/>
          <w:color w:val="auto"/>
          <w:lang w:val="fr-FR"/>
        </w:rPr>
      </w:pPr>
    </w:p>
    <w:p w14:paraId="1415B6AC" w14:textId="1F794C2C" w:rsidR="00083EAC" w:rsidRPr="00286DE3" w:rsidRDefault="00163B52" w:rsidP="00163B52">
      <w:pPr>
        <w:spacing w:after="136"/>
        <w:ind w:left="360" w:right="0" w:firstLine="0"/>
        <w:rPr>
          <w:rFonts w:asciiTheme="minorHAnsi" w:eastAsia="Times New Roman" w:hAnsiTheme="minorHAnsi" w:cstheme="minorHAnsi"/>
          <w:color w:val="auto"/>
          <w:lang w:val="fr-FR"/>
        </w:rPr>
      </w:pPr>
      <w:r w:rsidRPr="00286DE3">
        <w:rPr>
          <w:rFonts w:asciiTheme="minorHAnsi" w:eastAsia="Times New Roman" w:hAnsiTheme="minorHAnsi" w:cstheme="minorHAnsi"/>
          <w:color w:val="auto"/>
          <w:lang w:val="fr-FR"/>
        </w:rPr>
        <w:t xml:space="preserve">17. </w:t>
      </w:r>
      <w:r w:rsidR="00083EAC" w:rsidRPr="00286DE3">
        <w:rPr>
          <w:rFonts w:asciiTheme="minorHAnsi" w:eastAsia="Times New Roman" w:hAnsiTheme="minorHAnsi" w:cstheme="minorHAnsi"/>
          <w:color w:val="auto"/>
          <w:lang w:val="fr-FR"/>
        </w:rPr>
        <w:t xml:space="preserve">Dès la communication de la clôture financière de chaque trimestre par l'OFM, les CDR seront automatiquement générés et livrés à la plate-forme </w:t>
      </w:r>
      <w:hyperlink r:id="rId12" w:history="1">
        <w:r w:rsidR="00083EAC" w:rsidRPr="00286DE3">
          <w:rPr>
            <w:rStyle w:val="Hyperlink"/>
            <w:rFonts w:asciiTheme="minorHAnsi" w:eastAsia="Times New Roman" w:hAnsiTheme="minorHAnsi" w:cstheme="minorHAnsi"/>
            <w:lang w:val="fr-FR"/>
          </w:rPr>
          <w:t>CDR Bridge</w:t>
        </w:r>
      </w:hyperlink>
      <w:r w:rsidR="00083EAC" w:rsidRPr="00286DE3">
        <w:rPr>
          <w:rFonts w:asciiTheme="minorHAnsi" w:eastAsia="Times New Roman" w:hAnsiTheme="minorHAnsi" w:cstheme="minorHAnsi"/>
          <w:color w:val="auto"/>
          <w:lang w:val="fr-FR"/>
        </w:rPr>
        <w:t xml:space="preserve"> pour que les bureaux du PNUD y aient accès. Les CDR peuvent également être générés à partir d'Atlas (sous le menu Rapports de l'ONU) dans le même format que ceux disponibles dans le </w:t>
      </w:r>
      <w:hyperlink r:id="rId13" w:history="1">
        <w:r w:rsidR="00083EAC" w:rsidRPr="00286DE3">
          <w:rPr>
            <w:rStyle w:val="Hyperlink"/>
            <w:rFonts w:asciiTheme="minorHAnsi" w:eastAsia="Times New Roman" w:hAnsiTheme="minorHAnsi" w:cstheme="minorHAnsi"/>
            <w:lang w:val="fr-FR"/>
          </w:rPr>
          <w:t>CDR Bridge</w:t>
        </w:r>
      </w:hyperlink>
      <w:r w:rsidR="00083EAC" w:rsidRPr="00286DE3">
        <w:rPr>
          <w:rFonts w:asciiTheme="minorHAnsi" w:eastAsia="Times New Roman" w:hAnsiTheme="minorHAnsi" w:cstheme="minorHAnsi"/>
          <w:color w:val="auto"/>
          <w:lang w:val="fr-FR"/>
        </w:rPr>
        <w:t xml:space="preserve">. Les bureaux sont tenus d'utiliser le </w:t>
      </w:r>
      <w:hyperlink r:id="rId14" w:history="1">
        <w:r w:rsidR="00083EAC" w:rsidRPr="00286DE3">
          <w:rPr>
            <w:rStyle w:val="Hyperlink"/>
            <w:rFonts w:asciiTheme="minorHAnsi" w:eastAsia="Times New Roman" w:hAnsiTheme="minorHAnsi" w:cstheme="minorHAnsi"/>
            <w:lang w:val="fr-FR"/>
          </w:rPr>
          <w:t>CD</w:t>
        </w:r>
        <w:r w:rsidR="005B7B34" w:rsidRPr="00286DE3">
          <w:rPr>
            <w:rStyle w:val="Hyperlink"/>
            <w:rFonts w:asciiTheme="minorHAnsi" w:eastAsia="Times New Roman" w:hAnsiTheme="minorHAnsi" w:cstheme="minorHAnsi"/>
            <w:lang w:val="fr-FR"/>
          </w:rPr>
          <w:t>R Bridge</w:t>
        </w:r>
      </w:hyperlink>
      <w:r w:rsidR="005B7B34" w:rsidRPr="00286DE3">
        <w:rPr>
          <w:rFonts w:asciiTheme="minorHAnsi" w:eastAsia="Times New Roman" w:hAnsiTheme="minorHAnsi" w:cstheme="minorHAnsi"/>
          <w:color w:val="auto"/>
          <w:lang w:val="fr-FR"/>
        </w:rPr>
        <w:t xml:space="preserve"> pour certifier </w:t>
      </w:r>
      <w:r w:rsidR="00306149" w:rsidRPr="00286DE3">
        <w:rPr>
          <w:rFonts w:asciiTheme="minorHAnsi" w:eastAsia="Times New Roman" w:hAnsiTheme="minorHAnsi" w:cstheme="minorHAnsi"/>
          <w:color w:val="auto"/>
          <w:lang w:val="fr-FR"/>
        </w:rPr>
        <w:t xml:space="preserve">les </w:t>
      </w:r>
      <w:r w:rsidR="005B7B34" w:rsidRPr="00286DE3">
        <w:rPr>
          <w:rFonts w:asciiTheme="minorHAnsi" w:eastAsia="Times New Roman" w:hAnsiTheme="minorHAnsi" w:cstheme="minorHAnsi"/>
          <w:color w:val="auto"/>
          <w:lang w:val="fr-FR"/>
        </w:rPr>
        <w:t>CDR.</w:t>
      </w:r>
      <w:r w:rsidR="00083EAC" w:rsidRPr="00286DE3">
        <w:rPr>
          <w:rFonts w:asciiTheme="minorHAnsi" w:eastAsia="Times New Roman" w:hAnsiTheme="minorHAnsi" w:cstheme="minorHAnsi"/>
          <w:color w:val="auto"/>
          <w:lang w:val="fr-FR"/>
        </w:rPr>
        <w:t xml:space="preserve"> La plate-forme suit automatiquement l'acceptation et le rejet des </w:t>
      </w:r>
      <w:proofErr w:type="spellStart"/>
      <w:r w:rsidR="00083EAC" w:rsidRPr="00286DE3">
        <w:rPr>
          <w:rFonts w:asciiTheme="minorHAnsi" w:eastAsia="Times New Roman" w:hAnsiTheme="minorHAnsi" w:cstheme="minorHAnsi"/>
          <w:color w:val="auto"/>
          <w:lang w:val="fr-FR"/>
        </w:rPr>
        <w:t>CDR</w:t>
      </w:r>
      <w:r w:rsidR="009D0AE0" w:rsidRPr="00286DE3">
        <w:rPr>
          <w:rFonts w:asciiTheme="minorHAnsi" w:eastAsia="Times New Roman" w:hAnsiTheme="minorHAnsi" w:cstheme="minorHAnsi"/>
          <w:color w:val="auto"/>
          <w:lang w:val="fr-FR"/>
        </w:rPr>
        <w:t>s</w:t>
      </w:r>
      <w:proofErr w:type="spellEnd"/>
      <w:r w:rsidR="00083EAC" w:rsidRPr="00286DE3">
        <w:rPr>
          <w:rFonts w:asciiTheme="minorHAnsi" w:eastAsia="Times New Roman" w:hAnsiTheme="minorHAnsi" w:cstheme="minorHAnsi"/>
          <w:color w:val="auto"/>
          <w:lang w:val="fr-FR"/>
        </w:rPr>
        <w:t xml:space="preserve"> trimestriels. Les</w:t>
      </w:r>
      <w:r w:rsidR="00E203AB" w:rsidRPr="00286DE3">
        <w:rPr>
          <w:rFonts w:asciiTheme="minorHAnsi" w:eastAsia="Times New Roman" w:hAnsiTheme="minorHAnsi" w:cstheme="minorHAnsi"/>
          <w:color w:val="auto"/>
          <w:lang w:val="fr-FR"/>
        </w:rPr>
        <w:t xml:space="preserve"> </w:t>
      </w:r>
      <w:r w:rsidR="00532B26" w:rsidRPr="00286DE3">
        <w:rPr>
          <w:rFonts w:asciiTheme="minorHAnsi" w:eastAsia="Times New Roman" w:hAnsiTheme="minorHAnsi" w:cstheme="minorHAnsi"/>
          <w:color w:val="auto"/>
          <w:lang w:val="fr-FR"/>
        </w:rPr>
        <w:t xml:space="preserve">bureaux </w:t>
      </w:r>
      <w:r w:rsidR="00083EAC" w:rsidRPr="00286DE3">
        <w:rPr>
          <w:rFonts w:asciiTheme="minorHAnsi" w:eastAsia="Times New Roman" w:hAnsiTheme="minorHAnsi" w:cstheme="minorHAnsi"/>
          <w:color w:val="auto"/>
          <w:lang w:val="fr-FR"/>
        </w:rPr>
        <w:t xml:space="preserve">peuvent également utiliser la plate-forme </w:t>
      </w:r>
      <w:r w:rsidR="00C40A21" w:rsidRPr="00286DE3">
        <w:rPr>
          <w:rFonts w:asciiTheme="minorHAnsi" w:eastAsia="Times New Roman" w:hAnsiTheme="minorHAnsi" w:cstheme="minorHAnsi"/>
          <w:color w:val="auto"/>
          <w:lang w:val="fr-FR"/>
        </w:rPr>
        <w:t>CDR Bridge pour imprimer les</w:t>
      </w:r>
      <w:r w:rsidR="00920D78" w:rsidRPr="00286DE3">
        <w:rPr>
          <w:rFonts w:asciiTheme="minorHAnsi" w:eastAsia="Times New Roman" w:hAnsiTheme="minorHAnsi" w:cstheme="minorHAnsi"/>
          <w:color w:val="auto"/>
          <w:lang w:val="fr-FR"/>
        </w:rPr>
        <w:t xml:space="preserve"> CDR</w:t>
      </w:r>
      <w:r w:rsidR="00083EAC" w:rsidRPr="00286DE3">
        <w:rPr>
          <w:rFonts w:asciiTheme="minorHAnsi" w:eastAsia="Times New Roman" w:hAnsiTheme="minorHAnsi" w:cstheme="minorHAnsi"/>
          <w:color w:val="auto"/>
          <w:lang w:val="fr-FR"/>
        </w:rPr>
        <w:t xml:space="preserve"> pour examen et certification manuelle, mais les</w:t>
      </w:r>
      <w:r w:rsidR="00E203AB" w:rsidRPr="00286DE3">
        <w:rPr>
          <w:rFonts w:asciiTheme="minorHAnsi" w:eastAsia="Times New Roman" w:hAnsiTheme="minorHAnsi" w:cstheme="minorHAnsi"/>
          <w:color w:val="auto"/>
          <w:lang w:val="fr-FR"/>
        </w:rPr>
        <w:t xml:space="preserve"> </w:t>
      </w:r>
      <w:r w:rsidR="00F044AA" w:rsidRPr="00286DE3">
        <w:rPr>
          <w:rFonts w:asciiTheme="minorHAnsi" w:eastAsia="Times New Roman" w:hAnsiTheme="minorHAnsi" w:cstheme="minorHAnsi"/>
          <w:color w:val="auto"/>
          <w:lang w:val="fr-FR"/>
        </w:rPr>
        <w:t xml:space="preserve">bureaux </w:t>
      </w:r>
      <w:r w:rsidR="00083EAC" w:rsidRPr="00286DE3">
        <w:rPr>
          <w:rFonts w:asciiTheme="minorHAnsi" w:eastAsia="Times New Roman" w:hAnsiTheme="minorHAnsi" w:cstheme="minorHAnsi"/>
          <w:color w:val="auto"/>
          <w:lang w:val="fr-FR"/>
        </w:rPr>
        <w:t xml:space="preserve">sont vivement encouragés à certifier les </w:t>
      </w:r>
      <w:r w:rsidR="00920D78" w:rsidRPr="00286DE3">
        <w:rPr>
          <w:rFonts w:asciiTheme="minorHAnsi" w:eastAsia="Times New Roman" w:hAnsiTheme="minorHAnsi" w:cstheme="minorHAnsi"/>
          <w:color w:val="auto"/>
          <w:lang w:val="fr-FR"/>
        </w:rPr>
        <w:t xml:space="preserve">CDR </w:t>
      </w:r>
      <w:r w:rsidR="00083EAC" w:rsidRPr="00286DE3">
        <w:rPr>
          <w:rFonts w:asciiTheme="minorHAnsi" w:eastAsia="Times New Roman" w:hAnsiTheme="minorHAnsi" w:cstheme="minorHAnsi"/>
          <w:color w:val="auto"/>
          <w:lang w:val="fr-FR"/>
        </w:rPr>
        <w:t xml:space="preserve">par voie électronique sur la plate-forme. Une vidéo de formation enregistrée sur l'utilisation de la plate-forme </w:t>
      </w:r>
      <w:hyperlink r:id="rId15" w:history="1">
        <w:r w:rsidR="00083EAC" w:rsidRPr="00286DE3">
          <w:rPr>
            <w:rStyle w:val="Hyperlink"/>
            <w:rFonts w:asciiTheme="minorHAnsi" w:eastAsia="Times New Roman" w:hAnsiTheme="minorHAnsi" w:cstheme="minorHAnsi"/>
            <w:lang w:val="fr-FR"/>
          </w:rPr>
          <w:t>CDR Bridge</w:t>
        </w:r>
      </w:hyperlink>
      <w:r w:rsidR="00083EAC" w:rsidRPr="00286DE3">
        <w:rPr>
          <w:rFonts w:asciiTheme="minorHAnsi" w:eastAsia="Times New Roman" w:hAnsiTheme="minorHAnsi" w:cstheme="minorHAnsi"/>
          <w:color w:val="auto"/>
          <w:lang w:val="fr-FR"/>
        </w:rPr>
        <w:t xml:space="preserve"> est disponible sur la plate-forme. Les </w:t>
      </w:r>
      <w:r w:rsidR="00E203AB" w:rsidRPr="00286DE3">
        <w:rPr>
          <w:rFonts w:asciiTheme="minorHAnsi" w:eastAsia="Times New Roman" w:hAnsiTheme="minorHAnsi" w:cstheme="minorHAnsi"/>
          <w:color w:val="auto"/>
          <w:lang w:val="fr-FR"/>
        </w:rPr>
        <w:t xml:space="preserve">bureaux </w:t>
      </w:r>
      <w:r w:rsidR="00083EAC" w:rsidRPr="00286DE3">
        <w:rPr>
          <w:rFonts w:asciiTheme="minorHAnsi" w:eastAsia="Times New Roman" w:hAnsiTheme="minorHAnsi" w:cstheme="minorHAnsi"/>
          <w:color w:val="auto"/>
          <w:lang w:val="fr-FR"/>
        </w:rPr>
        <w:t xml:space="preserve">peuvent également </w:t>
      </w:r>
      <w:hyperlink r:id="rId16" w:history="1">
        <w:r w:rsidR="00083EAC" w:rsidRPr="00286DE3">
          <w:rPr>
            <w:rStyle w:val="Hyperlink"/>
            <w:rFonts w:asciiTheme="minorHAnsi" w:eastAsia="Times New Roman" w:hAnsiTheme="minorHAnsi" w:cstheme="minorHAnsi"/>
            <w:lang w:val="fr-FR"/>
          </w:rPr>
          <w:t>se référer au guide de navigation de CDR Bridge</w:t>
        </w:r>
      </w:hyperlink>
      <w:r w:rsidR="00083EAC" w:rsidRPr="00286DE3">
        <w:rPr>
          <w:rFonts w:asciiTheme="minorHAnsi" w:eastAsia="Times New Roman" w:hAnsiTheme="minorHAnsi" w:cstheme="minorHAnsi"/>
          <w:color w:val="auto"/>
          <w:lang w:val="fr-FR"/>
        </w:rPr>
        <w:t>.</w:t>
      </w:r>
    </w:p>
    <w:p w14:paraId="366319E4" w14:textId="77777777" w:rsidR="00712821" w:rsidRPr="00286DE3" w:rsidRDefault="00712821" w:rsidP="00C85C33">
      <w:pPr>
        <w:spacing w:after="136"/>
        <w:ind w:left="0" w:right="0" w:firstLine="0"/>
        <w:rPr>
          <w:rFonts w:asciiTheme="minorHAnsi" w:eastAsia="Times New Roman" w:hAnsiTheme="minorHAnsi" w:cstheme="minorHAnsi"/>
          <w:color w:val="auto"/>
          <w:lang w:val="fr-FR"/>
        </w:rPr>
      </w:pPr>
    </w:p>
    <w:p w14:paraId="12E51DCB" w14:textId="2F80BB23" w:rsidR="00712821" w:rsidRPr="00286DE3" w:rsidRDefault="00987F30" w:rsidP="002559AE">
      <w:pPr>
        <w:spacing w:after="136"/>
        <w:ind w:right="0"/>
        <w:rPr>
          <w:rFonts w:asciiTheme="minorHAnsi" w:hAnsiTheme="minorHAnsi" w:cstheme="minorHAnsi"/>
          <w:lang w:val="fr-FR"/>
        </w:rPr>
      </w:pPr>
      <w:r w:rsidRPr="00286DE3">
        <w:rPr>
          <w:rFonts w:asciiTheme="minorHAnsi" w:eastAsia="Times New Roman" w:hAnsiTheme="minorHAnsi" w:cstheme="minorHAnsi"/>
          <w:color w:val="auto"/>
          <w:lang w:val="fr-FR"/>
        </w:rPr>
        <w:t>18</w:t>
      </w:r>
      <w:r w:rsidR="00712821" w:rsidRPr="00286DE3">
        <w:rPr>
          <w:rFonts w:asciiTheme="minorHAnsi" w:eastAsia="Times New Roman" w:hAnsiTheme="minorHAnsi" w:cstheme="minorHAnsi"/>
          <w:color w:val="auto"/>
          <w:lang w:val="fr-FR"/>
        </w:rPr>
        <w:t xml:space="preserve">. </w:t>
      </w:r>
      <w:r w:rsidR="008E0C5D" w:rsidRPr="00286DE3">
        <w:rPr>
          <w:rFonts w:asciiTheme="minorHAnsi" w:eastAsia="Times New Roman" w:hAnsiTheme="minorHAnsi" w:cstheme="minorHAnsi"/>
          <w:color w:val="auto"/>
          <w:lang w:val="fr-FR"/>
        </w:rPr>
        <w:t>Les dépenses par code de fonds et par activité et les rapports d'utilisation des fon</w:t>
      </w:r>
      <w:r w:rsidR="003D6BC4" w:rsidRPr="00286DE3">
        <w:rPr>
          <w:rFonts w:asciiTheme="minorHAnsi" w:eastAsia="Times New Roman" w:hAnsiTheme="minorHAnsi" w:cstheme="minorHAnsi"/>
          <w:color w:val="auto"/>
          <w:lang w:val="fr-FR"/>
        </w:rPr>
        <w:t>ds font partie du dossier du CDR</w:t>
      </w:r>
      <w:r w:rsidR="008E0C5D" w:rsidRPr="00286DE3">
        <w:rPr>
          <w:rFonts w:asciiTheme="minorHAnsi" w:eastAsia="Times New Roman" w:hAnsiTheme="minorHAnsi" w:cstheme="minorHAnsi"/>
          <w:color w:val="auto"/>
          <w:lang w:val="fr-FR"/>
        </w:rPr>
        <w:t xml:space="preserve"> qui doit être certifié. Avant que le rapport ne soit certifié, un fonctionnaire du PNUD doit confirmer électroniquement dans la plate-forme </w:t>
      </w:r>
      <w:hyperlink r:id="rId17" w:history="1">
        <w:r w:rsidR="008E0C5D" w:rsidRPr="00286DE3">
          <w:rPr>
            <w:rStyle w:val="Hyperlink"/>
            <w:rFonts w:asciiTheme="minorHAnsi" w:eastAsia="Times New Roman" w:hAnsiTheme="minorHAnsi" w:cstheme="minorHAnsi"/>
            <w:lang w:val="fr-FR"/>
          </w:rPr>
          <w:t>CDR Bridge</w:t>
        </w:r>
      </w:hyperlink>
      <w:r w:rsidR="008E0C5D" w:rsidRPr="00286DE3">
        <w:rPr>
          <w:rFonts w:asciiTheme="minorHAnsi" w:eastAsia="Times New Roman" w:hAnsiTheme="minorHAnsi" w:cstheme="minorHAnsi"/>
          <w:color w:val="auto"/>
          <w:lang w:val="fr-FR"/>
        </w:rPr>
        <w:t xml:space="preserve"> que les informations financières du rapport sont complètes et exactes et qu'elles sont conformes au plan de travail et au budget du projet. Le </w:t>
      </w:r>
      <w:r w:rsidR="00920D78" w:rsidRPr="00286DE3">
        <w:rPr>
          <w:rFonts w:asciiTheme="minorHAnsi" w:eastAsia="Times New Roman" w:hAnsiTheme="minorHAnsi" w:cstheme="minorHAnsi"/>
          <w:color w:val="auto"/>
          <w:lang w:val="fr-FR"/>
        </w:rPr>
        <w:t xml:space="preserve">CDR </w:t>
      </w:r>
      <w:r w:rsidR="008E0C5D" w:rsidRPr="00286DE3">
        <w:rPr>
          <w:rFonts w:asciiTheme="minorHAnsi" w:eastAsia="Times New Roman" w:hAnsiTheme="minorHAnsi" w:cstheme="minorHAnsi"/>
          <w:color w:val="auto"/>
          <w:lang w:val="fr-FR"/>
        </w:rPr>
        <w:t>est ensuite envoyé électroniquement par courrier électronique ou imprimé et envoyé manuellement au fonctionnaire autorisé du PNUD (personnel du programme) pour certifier et confirmer la validité des dépenses déclarées.  Le CDR Bridge</w:t>
      </w:r>
      <w:r w:rsidR="000F4C41" w:rsidRPr="00286DE3">
        <w:rPr>
          <w:rFonts w:asciiTheme="minorHAnsi" w:eastAsia="Times New Roman" w:hAnsiTheme="minorHAnsi" w:cstheme="minorHAnsi"/>
          <w:color w:val="auto"/>
          <w:lang w:val="fr-FR"/>
        </w:rPr>
        <w:t xml:space="preserve"> va ensuite</w:t>
      </w:r>
      <w:r w:rsidR="008E0C5D" w:rsidRPr="00286DE3">
        <w:rPr>
          <w:rFonts w:asciiTheme="minorHAnsi" w:eastAsia="Times New Roman" w:hAnsiTheme="minorHAnsi" w:cstheme="minorHAnsi"/>
          <w:color w:val="auto"/>
          <w:lang w:val="fr-FR"/>
        </w:rPr>
        <w:t xml:space="preserve"> gén</w:t>
      </w:r>
      <w:r w:rsidR="000F4C41" w:rsidRPr="00286DE3">
        <w:rPr>
          <w:rFonts w:asciiTheme="minorHAnsi" w:eastAsia="Times New Roman" w:hAnsiTheme="minorHAnsi" w:cstheme="minorHAnsi"/>
          <w:color w:val="auto"/>
          <w:lang w:val="fr-FR"/>
        </w:rPr>
        <w:t>é</w:t>
      </w:r>
      <w:r w:rsidR="008E0C5D" w:rsidRPr="00286DE3">
        <w:rPr>
          <w:rFonts w:asciiTheme="minorHAnsi" w:eastAsia="Times New Roman" w:hAnsiTheme="minorHAnsi" w:cstheme="minorHAnsi"/>
          <w:color w:val="auto"/>
          <w:lang w:val="fr-FR"/>
        </w:rPr>
        <w:t>re</w:t>
      </w:r>
      <w:r w:rsidR="000F4C41" w:rsidRPr="00286DE3">
        <w:rPr>
          <w:rFonts w:asciiTheme="minorHAnsi" w:eastAsia="Times New Roman" w:hAnsiTheme="minorHAnsi" w:cstheme="minorHAnsi"/>
          <w:color w:val="auto"/>
          <w:lang w:val="fr-FR"/>
        </w:rPr>
        <w:t>r</w:t>
      </w:r>
      <w:r w:rsidR="008E0C5D" w:rsidRPr="00286DE3">
        <w:rPr>
          <w:rFonts w:asciiTheme="minorHAnsi" w:eastAsia="Times New Roman" w:hAnsiTheme="minorHAnsi" w:cstheme="minorHAnsi"/>
          <w:color w:val="auto"/>
          <w:lang w:val="fr-FR"/>
        </w:rPr>
        <w:t xml:space="preserve"> automatiquement une lettre de couverture qui accompagne la demande de certification du CDR.</w:t>
      </w:r>
    </w:p>
    <w:p w14:paraId="0A01BF88" w14:textId="77777777" w:rsidR="007E6115" w:rsidRPr="00286DE3" w:rsidRDefault="007E6115" w:rsidP="0098614D">
      <w:pPr>
        <w:spacing w:after="136"/>
        <w:ind w:left="0" w:right="0" w:firstLine="0"/>
        <w:rPr>
          <w:rFonts w:asciiTheme="minorHAnsi" w:hAnsiTheme="minorHAnsi" w:cstheme="minorHAnsi"/>
          <w:lang w:val="fr-FR"/>
        </w:rPr>
      </w:pPr>
    </w:p>
    <w:p w14:paraId="3A8BC362" w14:textId="53BD8C87" w:rsidR="0098614D" w:rsidRPr="00286DE3" w:rsidRDefault="00314884" w:rsidP="00AE2316">
      <w:pPr>
        <w:ind w:left="720" w:firstLine="0"/>
        <w:rPr>
          <w:rFonts w:asciiTheme="minorHAnsi" w:hAnsiTheme="minorHAnsi" w:cstheme="minorHAnsi"/>
          <w:lang w:val="fr-FR"/>
        </w:rPr>
      </w:pPr>
      <w:r w:rsidRPr="00286DE3">
        <w:rPr>
          <w:rFonts w:asciiTheme="minorHAnsi" w:hAnsiTheme="minorHAnsi" w:cstheme="minorHAnsi"/>
          <w:lang w:val="fr-FR"/>
        </w:rPr>
        <w:lastRenderedPageBreak/>
        <w:t xml:space="preserve"> </w:t>
      </w:r>
      <w:r w:rsidR="0098614D" w:rsidRPr="00286DE3">
        <w:rPr>
          <w:rFonts w:asciiTheme="minorHAnsi" w:hAnsiTheme="minorHAnsi" w:cstheme="minorHAnsi"/>
          <w:lang w:val="fr-FR"/>
        </w:rPr>
        <w:t xml:space="preserve">19. </w:t>
      </w:r>
      <w:r w:rsidR="00D976CB" w:rsidRPr="00286DE3">
        <w:rPr>
          <w:rFonts w:asciiTheme="minorHAnsi" w:hAnsiTheme="minorHAnsi" w:cstheme="minorHAnsi"/>
          <w:lang w:val="fr-FR"/>
        </w:rPr>
        <w:t xml:space="preserve"> </w:t>
      </w:r>
      <w:r w:rsidR="00EF036D" w:rsidRPr="00286DE3">
        <w:rPr>
          <w:rFonts w:asciiTheme="minorHAnsi" w:hAnsiTheme="minorHAnsi" w:cstheme="minorHAnsi"/>
          <w:lang w:val="fr-FR"/>
        </w:rPr>
        <w:t xml:space="preserve">Les </w:t>
      </w:r>
      <w:proofErr w:type="spellStart"/>
      <w:r w:rsidR="00EF036D" w:rsidRPr="00286DE3">
        <w:rPr>
          <w:rFonts w:asciiTheme="minorHAnsi" w:hAnsiTheme="minorHAnsi" w:cstheme="minorHAnsi"/>
          <w:lang w:val="fr-FR"/>
        </w:rPr>
        <w:t>CDRs</w:t>
      </w:r>
      <w:proofErr w:type="spellEnd"/>
      <w:r w:rsidRPr="00286DE3">
        <w:rPr>
          <w:rFonts w:asciiTheme="minorHAnsi" w:hAnsiTheme="minorHAnsi" w:cstheme="minorHAnsi"/>
          <w:lang w:val="fr-FR"/>
        </w:rPr>
        <w:t xml:space="preserve"> pour les Q1, Q2, Q3 et Q4 seront disponibles dans le </w:t>
      </w:r>
      <w:hyperlink r:id="rId18" w:history="1">
        <w:r w:rsidRPr="00286DE3">
          <w:rPr>
            <w:rStyle w:val="Hyperlink"/>
            <w:rFonts w:asciiTheme="minorHAnsi" w:hAnsiTheme="minorHAnsi" w:cstheme="minorHAnsi"/>
            <w:lang w:val="fr-FR"/>
          </w:rPr>
          <w:t>CDR Bridge</w:t>
        </w:r>
      </w:hyperlink>
      <w:r w:rsidRPr="00286DE3">
        <w:rPr>
          <w:rFonts w:asciiTheme="minorHAnsi" w:hAnsiTheme="minorHAnsi" w:cstheme="minorHAnsi"/>
          <w:lang w:val="fr-FR"/>
        </w:rPr>
        <w:t xml:space="preserve"> mais la certification du </w:t>
      </w:r>
      <w:r w:rsidR="00854CE1" w:rsidRPr="00286DE3">
        <w:rPr>
          <w:rFonts w:asciiTheme="minorHAnsi" w:hAnsiTheme="minorHAnsi" w:cstheme="minorHAnsi"/>
          <w:lang w:val="fr-FR"/>
        </w:rPr>
        <w:t>Q1</w:t>
      </w:r>
      <w:r w:rsidR="00F044AA" w:rsidRPr="00286DE3">
        <w:rPr>
          <w:rFonts w:asciiTheme="minorHAnsi" w:hAnsiTheme="minorHAnsi" w:cstheme="minorHAnsi"/>
          <w:lang w:val="fr-FR"/>
        </w:rPr>
        <w:t xml:space="preserve"> </w:t>
      </w:r>
      <w:r w:rsidR="00854CE1" w:rsidRPr="00286DE3">
        <w:rPr>
          <w:rFonts w:asciiTheme="minorHAnsi" w:hAnsiTheme="minorHAnsi" w:cstheme="minorHAnsi"/>
          <w:lang w:val="fr-FR"/>
        </w:rPr>
        <w:t>CDR</w:t>
      </w:r>
      <w:r w:rsidRPr="00286DE3">
        <w:rPr>
          <w:rFonts w:asciiTheme="minorHAnsi" w:hAnsiTheme="minorHAnsi" w:cstheme="minorHAnsi"/>
          <w:lang w:val="fr-FR"/>
        </w:rPr>
        <w:t xml:space="preserve"> n'est pas obligatoire. Seules les versions Q2, Q3 et Q4 doivent être certifiées. La lettre </w:t>
      </w:r>
      <w:r w:rsidR="006E0597" w:rsidRPr="00286DE3">
        <w:rPr>
          <w:rFonts w:asciiTheme="minorHAnsi" w:hAnsiTheme="minorHAnsi" w:cstheme="minorHAnsi"/>
          <w:lang w:val="fr-FR"/>
        </w:rPr>
        <w:t xml:space="preserve">de couverture </w:t>
      </w:r>
      <w:r w:rsidRPr="00286DE3">
        <w:rPr>
          <w:rFonts w:asciiTheme="minorHAnsi" w:hAnsiTheme="minorHAnsi" w:cstheme="minorHAnsi"/>
          <w:lang w:val="fr-FR"/>
        </w:rPr>
        <w:t xml:space="preserve">générée par </w:t>
      </w:r>
      <w:r w:rsidR="006E0597" w:rsidRPr="00286DE3">
        <w:rPr>
          <w:rFonts w:asciiTheme="minorHAnsi" w:hAnsiTheme="minorHAnsi" w:cstheme="minorHAnsi"/>
          <w:lang w:val="fr-FR"/>
        </w:rPr>
        <w:t>le CD</w:t>
      </w:r>
      <w:r w:rsidR="00B22D61" w:rsidRPr="00286DE3">
        <w:rPr>
          <w:rFonts w:asciiTheme="minorHAnsi" w:hAnsiTheme="minorHAnsi" w:cstheme="minorHAnsi"/>
          <w:lang w:val="fr-FR"/>
        </w:rPr>
        <w:t>R</w:t>
      </w:r>
      <w:r w:rsidR="006E0597" w:rsidRPr="00286DE3">
        <w:rPr>
          <w:rFonts w:asciiTheme="minorHAnsi" w:hAnsiTheme="minorHAnsi" w:cstheme="minorHAnsi"/>
          <w:lang w:val="fr-FR"/>
        </w:rPr>
        <w:t xml:space="preserve"> Bridge</w:t>
      </w:r>
      <w:r w:rsidRPr="00286DE3">
        <w:rPr>
          <w:rFonts w:asciiTheme="minorHAnsi" w:hAnsiTheme="minorHAnsi" w:cstheme="minorHAnsi"/>
          <w:lang w:val="fr-FR"/>
        </w:rPr>
        <w:t xml:space="preserve"> exige que le </w:t>
      </w:r>
      <w:r w:rsidR="006E0597" w:rsidRPr="00286DE3">
        <w:rPr>
          <w:rFonts w:asciiTheme="minorHAnsi" w:hAnsiTheme="minorHAnsi" w:cstheme="minorHAnsi"/>
          <w:lang w:val="fr-FR"/>
        </w:rPr>
        <w:t xml:space="preserve">CDR </w:t>
      </w:r>
      <w:r w:rsidRPr="00286DE3">
        <w:rPr>
          <w:rFonts w:asciiTheme="minorHAnsi" w:hAnsiTheme="minorHAnsi" w:cstheme="minorHAnsi"/>
          <w:lang w:val="fr-FR"/>
        </w:rPr>
        <w:t>soit certifié dans un délai de 15 jours</w:t>
      </w:r>
      <w:r w:rsidR="006C0744" w:rsidRPr="00286DE3">
        <w:rPr>
          <w:rFonts w:asciiTheme="minorHAnsi" w:hAnsiTheme="minorHAnsi" w:cstheme="minorHAnsi"/>
          <w:lang w:val="fr-FR"/>
        </w:rPr>
        <w:t xml:space="preserve"> </w:t>
      </w:r>
      <w:r w:rsidR="006E0597" w:rsidRPr="00286DE3">
        <w:rPr>
          <w:rFonts w:asciiTheme="minorHAnsi" w:hAnsiTheme="minorHAnsi" w:cstheme="minorHAnsi"/>
          <w:lang w:val="fr-FR"/>
        </w:rPr>
        <w:t>ouvrables.</w:t>
      </w:r>
      <w:r w:rsidRPr="00286DE3">
        <w:rPr>
          <w:rFonts w:asciiTheme="minorHAnsi" w:hAnsiTheme="minorHAnsi" w:cstheme="minorHAnsi"/>
          <w:lang w:val="fr-FR"/>
        </w:rPr>
        <w:t xml:space="preserve"> Si aucune réponse n'est reçue dans les 15 jours, la plate-forme enverra une demande de suivi indiquant que le rapport de livraison combiné sera </w:t>
      </w:r>
      <w:r w:rsidR="00D07707" w:rsidRPr="00286DE3">
        <w:rPr>
          <w:rFonts w:asciiTheme="minorHAnsi" w:hAnsiTheme="minorHAnsi" w:cstheme="minorHAnsi"/>
          <w:lang w:val="fr-FR"/>
        </w:rPr>
        <w:t>consid</w:t>
      </w:r>
      <w:r w:rsidR="006D0798" w:rsidRPr="00286DE3">
        <w:rPr>
          <w:rFonts w:asciiTheme="minorHAnsi" w:hAnsiTheme="minorHAnsi" w:cstheme="minorHAnsi"/>
          <w:lang w:val="fr-FR"/>
        </w:rPr>
        <w:t>é</w:t>
      </w:r>
      <w:r w:rsidR="00D07707" w:rsidRPr="00286DE3">
        <w:rPr>
          <w:rFonts w:asciiTheme="minorHAnsi" w:hAnsiTheme="minorHAnsi" w:cstheme="minorHAnsi"/>
          <w:lang w:val="fr-FR"/>
        </w:rPr>
        <w:t>r</w:t>
      </w:r>
      <w:r w:rsidR="006D0798" w:rsidRPr="00286DE3">
        <w:rPr>
          <w:rFonts w:asciiTheme="minorHAnsi" w:hAnsiTheme="minorHAnsi" w:cstheme="minorHAnsi"/>
          <w:lang w:val="fr-FR"/>
        </w:rPr>
        <w:t>é</w:t>
      </w:r>
      <w:r w:rsidR="00D07707" w:rsidRPr="00286DE3">
        <w:rPr>
          <w:rFonts w:asciiTheme="minorHAnsi" w:hAnsiTheme="minorHAnsi" w:cstheme="minorHAnsi"/>
          <w:lang w:val="fr-FR"/>
        </w:rPr>
        <w:t xml:space="preserve"> comme </w:t>
      </w:r>
      <w:r w:rsidRPr="00286DE3">
        <w:rPr>
          <w:rFonts w:asciiTheme="minorHAnsi" w:hAnsiTheme="minorHAnsi" w:cstheme="minorHAnsi"/>
          <w:lang w:val="fr-FR"/>
        </w:rPr>
        <w:t>avoir été accepté si une réponse n'est pas reçue dans les 15 jours à compter de la date de la deuxième demande. La plate-forme suivra, via un code de couleur, l'état des demandes de certification du</w:t>
      </w:r>
      <w:r w:rsidR="00B6724F" w:rsidRPr="00286DE3">
        <w:rPr>
          <w:rFonts w:asciiTheme="minorHAnsi" w:hAnsiTheme="minorHAnsi" w:cstheme="minorHAnsi"/>
          <w:lang w:val="fr-FR"/>
        </w:rPr>
        <w:t xml:space="preserve"> CDR</w:t>
      </w:r>
      <w:r w:rsidRPr="00286DE3">
        <w:rPr>
          <w:rFonts w:asciiTheme="minorHAnsi" w:hAnsiTheme="minorHAnsi" w:cstheme="minorHAnsi"/>
          <w:lang w:val="fr-FR"/>
        </w:rPr>
        <w:t xml:space="preserve">, y compris lorsqu'aucune réponse n'a été reçue et que le </w:t>
      </w:r>
      <w:r w:rsidR="00B6724F" w:rsidRPr="00286DE3">
        <w:rPr>
          <w:rFonts w:asciiTheme="minorHAnsi" w:hAnsiTheme="minorHAnsi" w:cstheme="minorHAnsi"/>
          <w:lang w:val="fr-FR"/>
        </w:rPr>
        <w:t>CDR</w:t>
      </w:r>
      <w:r w:rsidRPr="00286DE3">
        <w:rPr>
          <w:rFonts w:asciiTheme="minorHAnsi" w:hAnsiTheme="minorHAnsi" w:cstheme="minorHAnsi"/>
          <w:lang w:val="fr-FR"/>
        </w:rPr>
        <w:t xml:space="preserve"> a été considéré comme automatiquement accepté.</w:t>
      </w:r>
    </w:p>
    <w:p w14:paraId="236C7A90" w14:textId="3EA5F1B7" w:rsidR="00B6724F" w:rsidRPr="00286DE3" w:rsidRDefault="00B6724F" w:rsidP="00AE2316">
      <w:pPr>
        <w:ind w:left="720" w:firstLine="0"/>
        <w:rPr>
          <w:rFonts w:asciiTheme="minorHAnsi" w:hAnsiTheme="minorHAnsi" w:cstheme="minorHAnsi"/>
          <w:lang w:val="fr-FR"/>
        </w:rPr>
      </w:pPr>
    </w:p>
    <w:p w14:paraId="49CF54D1" w14:textId="77777777" w:rsidR="00F164EB" w:rsidRPr="00286DE3" w:rsidRDefault="00F164EB" w:rsidP="00F164EB">
      <w:pPr>
        <w:rPr>
          <w:rFonts w:asciiTheme="minorHAnsi" w:hAnsiTheme="minorHAnsi" w:cstheme="minorHAnsi"/>
          <w:lang w:val="fr-FR"/>
        </w:rPr>
      </w:pPr>
    </w:p>
    <w:p w14:paraId="3B7B6BD2" w14:textId="6D42CF3E" w:rsidR="00F164EB" w:rsidRPr="00286DE3" w:rsidRDefault="00841D5D" w:rsidP="0098614D">
      <w:pPr>
        <w:rPr>
          <w:rFonts w:asciiTheme="minorHAnsi" w:hAnsiTheme="minorHAnsi" w:cstheme="minorHAnsi"/>
          <w:lang w:val="fr-FR"/>
        </w:rPr>
      </w:pPr>
      <w:r w:rsidRPr="00286DE3">
        <w:rPr>
          <w:rFonts w:asciiTheme="minorHAnsi" w:hAnsiTheme="minorHAnsi" w:cstheme="minorHAnsi"/>
          <w:lang w:val="fr-FR"/>
        </w:rPr>
        <w:t xml:space="preserve">20. </w:t>
      </w:r>
      <w:r w:rsidR="003D6BC4" w:rsidRPr="00286DE3">
        <w:rPr>
          <w:rFonts w:asciiTheme="minorHAnsi" w:hAnsiTheme="minorHAnsi" w:cstheme="minorHAnsi"/>
          <w:lang w:val="fr-FR"/>
        </w:rPr>
        <w:t>À</w:t>
      </w:r>
      <w:r w:rsidR="00B84C59" w:rsidRPr="00286DE3">
        <w:rPr>
          <w:rFonts w:asciiTheme="minorHAnsi" w:hAnsiTheme="minorHAnsi" w:cstheme="minorHAnsi"/>
          <w:lang w:val="fr-FR"/>
        </w:rPr>
        <w:t xml:space="preserve"> la </w:t>
      </w:r>
      <w:r w:rsidR="00B6724F" w:rsidRPr="00286DE3">
        <w:rPr>
          <w:rFonts w:asciiTheme="minorHAnsi" w:hAnsiTheme="minorHAnsi" w:cstheme="minorHAnsi"/>
          <w:lang w:val="fr-FR"/>
        </w:rPr>
        <w:t>fin de l’</w:t>
      </w:r>
      <w:r w:rsidR="00DB3245" w:rsidRPr="00286DE3">
        <w:rPr>
          <w:rFonts w:asciiTheme="minorHAnsi" w:hAnsiTheme="minorHAnsi" w:cstheme="minorHAnsi"/>
          <w:lang w:val="fr-FR"/>
        </w:rPr>
        <w:t>année</w:t>
      </w:r>
      <w:r w:rsidR="00B84C59" w:rsidRPr="00286DE3">
        <w:rPr>
          <w:rFonts w:asciiTheme="minorHAnsi" w:hAnsiTheme="minorHAnsi" w:cstheme="minorHAnsi"/>
          <w:lang w:val="fr-FR"/>
        </w:rPr>
        <w:t>, OAI exige que les cabinets d’audit qui réalisent des audits financiers</w:t>
      </w:r>
      <w:r w:rsidR="00B6724F" w:rsidRPr="00286DE3">
        <w:rPr>
          <w:rFonts w:asciiTheme="minorHAnsi" w:hAnsiTheme="minorHAnsi" w:cstheme="minorHAnsi"/>
          <w:lang w:val="fr-FR"/>
        </w:rPr>
        <w:t xml:space="preserve"> HACT</w:t>
      </w:r>
      <w:r w:rsidR="00B84C59" w:rsidRPr="00286DE3">
        <w:rPr>
          <w:rFonts w:asciiTheme="minorHAnsi" w:hAnsiTheme="minorHAnsi" w:cstheme="minorHAnsi"/>
          <w:lang w:val="fr-FR"/>
        </w:rPr>
        <w:t xml:space="preserve"> ou des audits NIM incluent</w:t>
      </w:r>
      <w:r w:rsidR="000E5609" w:rsidRPr="00286DE3">
        <w:rPr>
          <w:rFonts w:asciiTheme="minorHAnsi" w:hAnsiTheme="minorHAnsi" w:cstheme="minorHAnsi"/>
          <w:lang w:val="fr-FR"/>
        </w:rPr>
        <w:t xml:space="preserve"> une copie </w:t>
      </w:r>
      <w:proofErr w:type="spellStart"/>
      <w:r w:rsidR="000E5609" w:rsidRPr="00286DE3">
        <w:rPr>
          <w:rFonts w:asciiTheme="minorHAnsi" w:hAnsiTheme="minorHAnsi" w:cstheme="minorHAnsi"/>
          <w:lang w:val="fr-FR"/>
        </w:rPr>
        <w:t>des</w:t>
      </w:r>
      <w:r w:rsidR="00B84C59" w:rsidRPr="00286DE3">
        <w:rPr>
          <w:rFonts w:asciiTheme="minorHAnsi" w:hAnsiTheme="minorHAnsi" w:cstheme="minorHAnsi"/>
          <w:lang w:val="fr-FR"/>
        </w:rPr>
        <w:t>CDRs</w:t>
      </w:r>
      <w:proofErr w:type="spellEnd"/>
      <w:r w:rsidR="00B84C59" w:rsidRPr="00286DE3">
        <w:rPr>
          <w:rFonts w:asciiTheme="minorHAnsi" w:hAnsiTheme="minorHAnsi" w:cstheme="minorHAnsi"/>
          <w:lang w:val="fr-FR"/>
        </w:rPr>
        <w:t xml:space="preserve"> signés dans leurs rap</w:t>
      </w:r>
      <w:r w:rsidR="00626F6C" w:rsidRPr="00286DE3">
        <w:rPr>
          <w:rFonts w:asciiTheme="minorHAnsi" w:hAnsiTheme="minorHAnsi" w:cstheme="minorHAnsi"/>
          <w:lang w:val="fr-FR"/>
        </w:rPr>
        <w:t>ports d’audits. Par cons</w:t>
      </w:r>
      <w:r w:rsidR="006D0798" w:rsidRPr="00286DE3">
        <w:rPr>
          <w:rFonts w:asciiTheme="minorHAnsi" w:hAnsiTheme="minorHAnsi" w:cstheme="minorHAnsi"/>
          <w:lang w:val="fr-FR"/>
        </w:rPr>
        <w:t>é</w:t>
      </w:r>
      <w:r w:rsidR="00626F6C" w:rsidRPr="00286DE3">
        <w:rPr>
          <w:rFonts w:asciiTheme="minorHAnsi" w:hAnsiTheme="minorHAnsi" w:cstheme="minorHAnsi"/>
          <w:lang w:val="fr-FR"/>
        </w:rPr>
        <w:t>quent</w:t>
      </w:r>
      <w:r w:rsidR="00B84C59" w:rsidRPr="00286DE3">
        <w:rPr>
          <w:rFonts w:asciiTheme="minorHAnsi" w:hAnsiTheme="minorHAnsi" w:cstheme="minorHAnsi"/>
          <w:lang w:val="fr-FR"/>
        </w:rPr>
        <w:t xml:space="preserve">, les </w:t>
      </w:r>
      <w:r w:rsidR="000E5609" w:rsidRPr="00286DE3">
        <w:rPr>
          <w:rFonts w:asciiTheme="minorHAnsi" w:hAnsiTheme="minorHAnsi" w:cstheme="minorHAnsi"/>
          <w:lang w:val="fr-FR"/>
        </w:rPr>
        <w:t>bureau</w:t>
      </w:r>
      <w:r w:rsidR="00E31515" w:rsidRPr="00286DE3">
        <w:rPr>
          <w:rFonts w:asciiTheme="minorHAnsi" w:hAnsiTheme="minorHAnsi" w:cstheme="minorHAnsi"/>
          <w:lang w:val="fr-FR"/>
        </w:rPr>
        <w:t>x</w:t>
      </w:r>
      <w:r w:rsidR="000E5609" w:rsidRPr="00286DE3">
        <w:rPr>
          <w:rFonts w:asciiTheme="minorHAnsi" w:hAnsiTheme="minorHAnsi" w:cstheme="minorHAnsi"/>
          <w:lang w:val="fr-FR"/>
        </w:rPr>
        <w:t xml:space="preserve"> devraient</w:t>
      </w:r>
      <w:r w:rsidR="00B84C59" w:rsidRPr="00286DE3">
        <w:rPr>
          <w:rFonts w:asciiTheme="minorHAnsi" w:hAnsiTheme="minorHAnsi" w:cstheme="minorHAnsi"/>
          <w:lang w:val="fr-FR"/>
        </w:rPr>
        <w:t xml:space="preserve"> </w:t>
      </w:r>
      <w:r w:rsidR="000E5609" w:rsidRPr="00286DE3">
        <w:rPr>
          <w:rFonts w:asciiTheme="minorHAnsi" w:hAnsiTheme="minorHAnsi" w:cstheme="minorHAnsi"/>
          <w:lang w:val="fr-FR"/>
        </w:rPr>
        <w:t>s’assurer</w:t>
      </w:r>
      <w:r w:rsidR="00626F6C" w:rsidRPr="00286DE3">
        <w:rPr>
          <w:rFonts w:asciiTheme="minorHAnsi" w:hAnsiTheme="minorHAnsi" w:cstheme="minorHAnsi"/>
          <w:lang w:val="fr-FR"/>
        </w:rPr>
        <w:t xml:space="preserve"> que </w:t>
      </w:r>
      <w:r w:rsidR="000E5609" w:rsidRPr="00286DE3">
        <w:rPr>
          <w:rFonts w:asciiTheme="minorHAnsi" w:hAnsiTheme="minorHAnsi" w:cstheme="minorHAnsi"/>
          <w:lang w:val="fr-FR"/>
        </w:rPr>
        <w:t xml:space="preserve">tous les Q4 </w:t>
      </w:r>
      <w:proofErr w:type="spellStart"/>
      <w:r w:rsidR="00B84C59" w:rsidRPr="00286DE3">
        <w:rPr>
          <w:rFonts w:asciiTheme="minorHAnsi" w:hAnsiTheme="minorHAnsi" w:cstheme="minorHAnsi"/>
          <w:lang w:val="fr-FR"/>
        </w:rPr>
        <w:t>CDRs</w:t>
      </w:r>
      <w:proofErr w:type="spellEnd"/>
      <w:r w:rsidR="00B84C59" w:rsidRPr="00286DE3">
        <w:rPr>
          <w:rFonts w:asciiTheme="minorHAnsi" w:hAnsiTheme="minorHAnsi" w:cstheme="minorHAnsi"/>
          <w:lang w:val="fr-FR"/>
        </w:rPr>
        <w:t xml:space="preserve"> </w:t>
      </w:r>
      <w:r w:rsidR="00E92176" w:rsidRPr="00286DE3">
        <w:rPr>
          <w:rFonts w:asciiTheme="minorHAnsi" w:hAnsiTheme="minorHAnsi" w:cstheme="minorHAnsi"/>
          <w:lang w:val="fr-FR"/>
        </w:rPr>
        <w:t>où</w:t>
      </w:r>
      <w:r w:rsidR="00E31515" w:rsidRPr="00286DE3">
        <w:rPr>
          <w:rFonts w:asciiTheme="minorHAnsi" w:hAnsiTheme="minorHAnsi" w:cstheme="minorHAnsi"/>
          <w:lang w:val="fr-FR"/>
        </w:rPr>
        <w:t xml:space="preserve"> le PNUD est le partenaire de mise en </w:t>
      </w:r>
      <w:proofErr w:type="spellStart"/>
      <w:r w:rsidR="00E31515" w:rsidRPr="00286DE3">
        <w:rPr>
          <w:rFonts w:asciiTheme="minorHAnsi" w:hAnsiTheme="minorHAnsi" w:cstheme="minorHAnsi"/>
          <w:lang w:val="fr-FR"/>
        </w:rPr>
        <w:t>oeuvre</w:t>
      </w:r>
      <w:proofErr w:type="spellEnd"/>
      <w:r w:rsidR="00E31515" w:rsidRPr="00286DE3">
        <w:rPr>
          <w:rFonts w:asciiTheme="minorHAnsi" w:hAnsiTheme="minorHAnsi" w:cstheme="minorHAnsi"/>
          <w:lang w:val="fr-FR"/>
        </w:rPr>
        <w:t xml:space="preserve"> sont certifiés.</w:t>
      </w:r>
    </w:p>
    <w:p w14:paraId="08E4316E" w14:textId="77777777" w:rsidR="00F164EB" w:rsidRPr="00286DE3" w:rsidRDefault="00F164EB" w:rsidP="00F164EB">
      <w:pPr>
        <w:rPr>
          <w:rFonts w:asciiTheme="minorHAnsi" w:hAnsiTheme="minorHAnsi" w:cstheme="minorHAnsi"/>
          <w:lang w:val="fr-FR"/>
        </w:rPr>
      </w:pPr>
    </w:p>
    <w:p w14:paraId="60683A0E" w14:textId="72684D6D" w:rsidR="00F164EB" w:rsidRPr="00286DE3" w:rsidRDefault="000C2DC5" w:rsidP="00841D5D">
      <w:pPr>
        <w:ind w:left="345" w:firstLine="0"/>
        <w:rPr>
          <w:rFonts w:asciiTheme="minorHAnsi" w:hAnsiTheme="minorHAnsi" w:cstheme="minorHAnsi"/>
          <w:lang w:val="fr-FR"/>
        </w:rPr>
      </w:pPr>
      <w:r w:rsidRPr="00286DE3">
        <w:rPr>
          <w:rFonts w:asciiTheme="minorHAnsi" w:hAnsiTheme="minorHAnsi" w:cstheme="minorHAnsi"/>
          <w:lang w:val="fr-FR"/>
        </w:rPr>
        <w:t>21.  Un rapport exécutif combiné sur l’exécution des projets</w:t>
      </w:r>
      <w:r w:rsidR="00CF518B" w:rsidRPr="00286DE3">
        <w:rPr>
          <w:rFonts w:asciiTheme="minorHAnsi" w:hAnsiTheme="minorHAnsi" w:cstheme="minorHAnsi"/>
          <w:lang w:val="fr-FR"/>
        </w:rPr>
        <w:t>, résume les dé</w:t>
      </w:r>
      <w:r w:rsidR="00645E16" w:rsidRPr="00286DE3">
        <w:rPr>
          <w:rFonts w:asciiTheme="minorHAnsi" w:hAnsiTheme="minorHAnsi" w:cstheme="minorHAnsi"/>
          <w:lang w:val="fr-FR"/>
        </w:rPr>
        <w:t xml:space="preserve">penses  </w:t>
      </w:r>
      <w:r w:rsidR="00F57072" w:rsidRPr="00286DE3">
        <w:rPr>
          <w:rFonts w:asciiTheme="minorHAnsi" w:hAnsiTheme="minorHAnsi" w:cstheme="minorHAnsi"/>
          <w:lang w:val="fr-FR"/>
        </w:rPr>
        <w:t>conforme</w:t>
      </w:r>
      <w:r w:rsidR="00645E16" w:rsidRPr="00286DE3">
        <w:rPr>
          <w:rFonts w:asciiTheme="minorHAnsi" w:hAnsiTheme="minorHAnsi" w:cstheme="minorHAnsi"/>
          <w:lang w:val="fr-FR"/>
        </w:rPr>
        <w:t xml:space="preserve"> avec </w:t>
      </w:r>
      <w:r w:rsidR="00CF518B" w:rsidRPr="00286DE3">
        <w:rPr>
          <w:rFonts w:asciiTheme="minorHAnsi" w:hAnsiTheme="minorHAnsi" w:cstheme="minorHAnsi"/>
          <w:lang w:val="fr-FR"/>
        </w:rPr>
        <w:t>les sept caté</w:t>
      </w:r>
      <w:r w:rsidR="00645E16" w:rsidRPr="00286DE3">
        <w:rPr>
          <w:rFonts w:asciiTheme="minorHAnsi" w:hAnsiTheme="minorHAnsi" w:cstheme="minorHAnsi"/>
          <w:lang w:val="fr-FR"/>
        </w:rPr>
        <w:t xml:space="preserve">gories de dépenses du grand livre des états financiers du PNUD. </w:t>
      </w:r>
      <w:r w:rsidR="00CF518B" w:rsidRPr="00286DE3">
        <w:rPr>
          <w:rFonts w:asciiTheme="minorHAnsi" w:hAnsiTheme="minorHAnsi" w:cstheme="minorHAnsi"/>
          <w:lang w:val="fr-FR"/>
        </w:rPr>
        <w:t xml:space="preserve">Ce rapport </w:t>
      </w:r>
      <w:r w:rsidRPr="00286DE3">
        <w:rPr>
          <w:rFonts w:asciiTheme="minorHAnsi" w:hAnsiTheme="minorHAnsi" w:cstheme="minorHAnsi"/>
          <w:lang w:val="fr-FR"/>
        </w:rPr>
        <w:t xml:space="preserve">est </w:t>
      </w:r>
      <w:r w:rsidR="00CF518B" w:rsidRPr="00286DE3">
        <w:rPr>
          <w:rFonts w:asciiTheme="minorHAnsi" w:hAnsiTheme="minorHAnsi" w:cstheme="minorHAnsi"/>
          <w:lang w:val="fr-FR"/>
        </w:rPr>
        <w:t xml:space="preserve">uniquement un rapport de gestion et ne fait pas partie du rapport </w:t>
      </w:r>
      <w:proofErr w:type="spellStart"/>
      <w:r w:rsidR="00CF518B" w:rsidRPr="00286DE3">
        <w:rPr>
          <w:rFonts w:asciiTheme="minorHAnsi" w:hAnsiTheme="minorHAnsi" w:cstheme="minorHAnsi"/>
          <w:lang w:val="fr-FR"/>
        </w:rPr>
        <w:t>executif</w:t>
      </w:r>
      <w:proofErr w:type="spellEnd"/>
      <w:r w:rsidR="00CF518B" w:rsidRPr="00286DE3">
        <w:rPr>
          <w:rFonts w:asciiTheme="minorHAnsi" w:hAnsiTheme="minorHAnsi" w:cstheme="minorHAnsi"/>
          <w:lang w:val="fr-FR"/>
        </w:rPr>
        <w:t xml:space="preserve"> combine </w:t>
      </w:r>
      <w:proofErr w:type="spellStart"/>
      <w:r w:rsidR="00CF518B" w:rsidRPr="00286DE3">
        <w:rPr>
          <w:rFonts w:asciiTheme="minorHAnsi" w:hAnsiTheme="minorHAnsi" w:cstheme="minorHAnsi"/>
          <w:lang w:val="fr-FR"/>
        </w:rPr>
        <w:t>envoye</w:t>
      </w:r>
      <w:proofErr w:type="spellEnd"/>
      <w:r w:rsidR="00CF518B" w:rsidRPr="00286DE3">
        <w:rPr>
          <w:rFonts w:asciiTheme="minorHAnsi" w:hAnsiTheme="minorHAnsi" w:cstheme="minorHAnsi"/>
          <w:lang w:val="fr-FR"/>
        </w:rPr>
        <w:t xml:space="preserve"> aux partenaires de mise en </w:t>
      </w:r>
      <w:proofErr w:type="spellStart"/>
      <w:r w:rsidR="00CF518B" w:rsidRPr="00286DE3">
        <w:rPr>
          <w:rFonts w:asciiTheme="minorHAnsi" w:hAnsiTheme="minorHAnsi" w:cstheme="minorHAnsi"/>
          <w:lang w:val="fr-FR"/>
        </w:rPr>
        <w:t>oeuvre</w:t>
      </w:r>
      <w:proofErr w:type="spellEnd"/>
      <w:r w:rsidRPr="00286DE3">
        <w:rPr>
          <w:rFonts w:asciiTheme="minorHAnsi" w:hAnsiTheme="minorHAnsi" w:cstheme="minorHAnsi"/>
          <w:lang w:val="fr-FR"/>
        </w:rPr>
        <w:t>. Une requête au titre d’un rapport Atlas</w:t>
      </w:r>
      <w:r w:rsidR="003425B9">
        <w:rPr>
          <w:rFonts w:asciiTheme="minorHAnsi" w:hAnsiTheme="minorHAnsi" w:cstheme="minorHAnsi"/>
          <w:lang w:val="fr-FR"/>
        </w:rPr>
        <w:t xml:space="preserve"> </w:t>
      </w:r>
      <w:r w:rsidR="00FE1733" w:rsidRPr="00286DE3">
        <w:rPr>
          <w:rFonts w:asciiTheme="minorHAnsi" w:hAnsiTheme="minorHAnsi" w:cstheme="minorHAnsi"/>
          <w:lang w:val="fr-FR"/>
        </w:rPr>
        <w:t>(</w:t>
      </w:r>
      <w:hyperlink r:id="rId19" w:history="1">
        <w:r w:rsidR="00FE1733" w:rsidRPr="003425B9">
          <w:rPr>
            <w:rStyle w:val="Hyperlink"/>
            <w:rFonts w:asciiTheme="minorHAnsi" w:hAnsiTheme="minorHAnsi" w:cstheme="minorHAnsi"/>
            <w:lang w:val="fr-FR"/>
          </w:rPr>
          <w:t xml:space="preserve">Atlas: </w:t>
        </w:r>
        <w:proofErr w:type="spellStart"/>
        <w:r w:rsidR="00FE1733" w:rsidRPr="003425B9">
          <w:rPr>
            <w:rStyle w:val="Hyperlink"/>
            <w:rFonts w:asciiTheme="minorHAnsi" w:hAnsiTheme="minorHAnsi" w:cstheme="minorHAnsi"/>
            <w:lang w:val="fr-FR"/>
          </w:rPr>
          <w:t>reporting</w:t>
        </w:r>
        <w:proofErr w:type="spellEnd"/>
        <w:r w:rsidR="00FE1733" w:rsidRPr="003425B9">
          <w:rPr>
            <w:rStyle w:val="Hyperlink"/>
            <w:rFonts w:asciiTheme="minorHAnsi" w:hAnsiTheme="minorHAnsi" w:cstheme="minorHAnsi"/>
            <w:lang w:val="fr-FR"/>
          </w:rPr>
          <w:t xml:space="preserve"> Tools&gt;</w:t>
        </w:r>
        <w:proofErr w:type="spellStart"/>
        <w:r w:rsidR="00FE1733" w:rsidRPr="003425B9">
          <w:rPr>
            <w:rStyle w:val="Hyperlink"/>
            <w:rFonts w:asciiTheme="minorHAnsi" w:hAnsiTheme="minorHAnsi" w:cstheme="minorHAnsi"/>
            <w:lang w:val="fr-FR"/>
          </w:rPr>
          <w:t>Query</w:t>
        </w:r>
        <w:proofErr w:type="spellEnd"/>
        <w:r w:rsidR="00FE1733" w:rsidRPr="003425B9">
          <w:rPr>
            <w:rStyle w:val="Hyperlink"/>
            <w:rFonts w:asciiTheme="minorHAnsi" w:hAnsiTheme="minorHAnsi" w:cstheme="minorHAnsi"/>
            <w:lang w:val="fr-FR"/>
          </w:rPr>
          <w:t xml:space="preserve"> Viewer&gt; UN CDR IPSAS</w:t>
        </w:r>
      </w:hyperlink>
      <w:r w:rsidR="00FE1733" w:rsidRPr="00286DE3">
        <w:rPr>
          <w:rFonts w:asciiTheme="minorHAnsi" w:hAnsiTheme="minorHAnsi" w:cstheme="minorHAnsi"/>
          <w:lang w:val="fr-FR"/>
        </w:rPr>
        <w:t>)</w:t>
      </w:r>
      <w:r w:rsidRPr="00286DE3">
        <w:rPr>
          <w:rFonts w:asciiTheme="minorHAnsi" w:hAnsiTheme="minorHAnsi" w:cstheme="minorHAnsi"/>
          <w:lang w:val="fr-FR"/>
        </w:rPr>
        <w:t xml:space="preserve"> </w:t>
      </w:r>
      <w:r w:rsidR="00626F6C" w:rsidRPr="00286DE3">
        <w:rPr>
          <w:rFonts w:asciiTheme="minorHAnsi" w:hAnsiTheme="minorHAnsi" w:cstheme="minorHAnsi"/>
          <w:lang w:val="fr-FR"/>
        </w:rPr>
        <w:t>f</w:t>
      </w:r>
      <w:r w:rsidR="00FE1733" w:rsidRPr="00286DE3">
        <w:rPr>
          <w:rFonts w:asciiTheme="minorHAnsi" w:hAnsiTheme="minorHAnsi" w:cstheme="minorHAnsi"/>
          <w:lang w:val="fr-FR"/>
        </w:rPr>
        <w:t>ournit</w:t>
      </w:r>
      <w:r w:rsidRPr="00286DE3">
        <w:rPr>
          <w:rFonts w:asciiTheme="minorHAnsi" w:hAnsiTheme="minorHAnsi" w:cstheme="minorHAnsi"/>
          <w:lang w:val="fr-FR"/>
        </w:rPr>
        <w:t xml:space="preserve"> aux utilisateu</w:t>
      </w:r>
      <w:r w:rsidR="00626F6C" w:rsidRPr="00286DE3">
        <w:rPr>
          <w:rFonts w:asciiTheme="minorHAnsi" w:hAnsiTheme="minorHAnsi" w:cstheme="minorHAnsi"/>
          <w:lang w:val="fr-FR"/>
        </w:rPr>
        <w:t>rs une version Excel du rapport</w:t>
      </w:r>
      <w:r w:rsidRPr="00286DE3">
        <w:rPr>
          <w:rFonts w:asciiTheme="minorHAnsi" w:hAnsiTheme="minorHAnsi" w:cstheme="minorHAnsi"/>
          <w:lang w:val="fr-FR"/>
        </w:rPr>
        <w:t xml:space="preserve">, qui offre la possibilité de catégoriser les dépenses par donateur pour un projet donné. </w:t>
      </w:r>
    </w:p>
    <w:p w14:paraId="19880F1E" w14:textId="77777777" w:rsidR="00F164EB" w:rsidRPr="00286DE3" w:rsidRDefault="00F164EB" w:rsidP="00F164EB">
      <w:pPr>
        <w:rPr>
          <w:rFonts w:asciiTheme="minorHAnsi" w:hAnsiTheme="minorHAnsi" w:cstheme="minorHAnsi"/>
          <w:lang w:val="fr-FR"/>
        </w:rPr>
      </w:pPr>
    </w:p>
    <w:p w14:paraId="31707790" w14:textId="228B1173" w:rsidR="2FEB7B0A" w:rsidRPr="00286DE3" w:rsidRDefault="009E3FFE" w:rsidP="009E3FFE">
      <w:pPr>
        <w:spacing w:after="151" w:line="250" w:lineRule="auto"/>
        <w:ind w:left="345" w:right="0" w:firstLine="0"/>
        <w:rPr>
          <w:rFonts w:asciiTheme="minorHAnsi" w:hAnsiTheme="minorHAnsi" w:cstheme="minorHAnsi"/>
          <w:lang w:val="fr-FR"/>
        </w:rPr>
      </w:pPr>
      <w:r w:rsidRPr="00286DE3">
        <w:rPr>
          <w:rFonts w:asciiTheme="minorHAnsi" w:hAnsiTheme="minorHAnsi" w:cstheme="minorHAnsi"/>
          <w:color w:val="000000" w:themeColor="text1"/>
          <w:lang w:val="fr-FR"/>
        </w:rPr>
        <w:t xml:space="preserve">22. </w:t>
      </w:r>
      <w:r w:rsidR="2FEB7B0A" w:rsidRPr="00286DE3">
        <w:rPr>
          <w:rFonts w:asciiTheme="minorHAnsi" w:hAnsiTheme="minorHAnsi" w:cstheme="minorHAnsi"/>
          <w:color w:val="000000" w:themeColor="text1"/>
          <w:lang w:val="fr-FR"/>
        </w:rPr>
        <w:t>Si des ajustements aux dépenses enregistrées déclarées dans le CDR sont nécessaires, ils doivent autant que possible être enregistrés dans la période à laquelle se rapporte le CDR. Les ajustements peuvent être enregistrés au cours de la période suivante si le grand livre est fermé, mais les bureaux doivent veiller à ce que les CDR et les formulaires FACE soient correctement publiés et examinés en temps voulu afin de minimiser l'enregistrement des ajustements au cours des périodes ultérieures.</w:t>
      </w:r>
    </w:p>
    <w:p w14:paraId="2AA390E1" w14:textId="77777777" w:rsidR="00EE2A01" w:rsidRPr="00286DE3" w:rsidRDefault="00E6302F">
      <w:pPr>
        <w:spacing w:after="139" w:line="259" w:lineRule="auto"/>
        <w:ind w:left="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5FF9CE3F" w14:textId="6D8FC36F" w:rsidR="00EE2A01" w:rsidRPr="00286DE3" w:rsidRDefault="2FEB7B0A">
      <w:pPr>
        <w:pStyle w:val="Heading1"/>
        <w:ind w:left="-5" w:right="0"/>
        <w:rPr>
          <w:rFonts w:asciiTheme="minorHAnsi" w:hAnsiTheme="minorHAnsi" w:cstheme="minorHAnsi"/>
          <w:lang w:val="fr-FR"/>
        </w:rPr>
      </w:pPr>
      <w:r w:rsidRPr="00286DE3">
        <w:rPr>
          <w:rFonts w:asciiTheme="minorHAnsi" w:hAnsiTheme="minorHAnsi" w:cstheme="minorHAnsi"/>
          <w:lang w:val="fr-FR"/>
        </w:rPr>
        <w:t>Solde du budget du projet (PBB)</w:t>
      </w:r>
    </w:p>
    <w:p w14:paraId="0D6A1DCF" w14:textId="1E7867CB" w:rsidR="00EE2A01" w:rsidRPr="00286DE3" w:rsidRDefault="001B502F">
      <w:pPr>
        <w:spacing w:after="306" w:line="250" w:lineRule="auto"/>
        <w:ind w:left="715" w:right="0"/>
        <w:rPr>
          <w:rFonts w:asciiTheme="minorHAnsi" w:hAnsiTheme="minorHAnsi" w:cstheme="minorHAnsi"/>
        </w:rPr>
      </w:pPr>
      <w:r w:rsidRPr="00286DE3">
        <w:rPr>
          <w:rFonts w:asciiTheme="minorHAnsi" w:hAnsiTheme="minorHAnsi" w:cstheme="minorHAnsi"/>
          <w:lang w:val="fr-FR"/>
        </w:rPr>
        <w:t>23</w:t>
      </w:r>
      <w:r w:rsidR="2FEB7B0A" w:rsidRPr="00286DE3">
        <w:rPr>
          <w:rFonts w:asciiTheme="minorHAnsi" w:hAnsiTheme="minorHAnsi" w:cstheme="minorHAnsi"/>
          <w:lang w:val="fr-FR"/>
        </w:rPr>
        <w:t xml:space="preserve">. </w:t>
      </w:r>
      <w:r w:rsidR="2FEB7B0A" w:rsidRPr="00286DE3">
        <w:rPr>
          <w:rFonts w:asciiTheme="minorHAnsi" w:hAnsiTheme="minorHAnsi" w:cstheme="minorHAnsi"/>
          <w:color w:val="000000" w:themeColor="text1"/>
          <w:lang w:val="fr-FR"/>
        </w:rPr>
        <w:t xml:space="preserve">Le </w:t>
      </w:r>
      <w:r w:rsidR="2FEB7B0A" w:rsidRPr="00286DE3">
        <w:rPr>
          <w:rFonts w:asciiTheme="minorHAnsi" w:hAnsiTheme="minorHAnsi" w:cstheme="minorHAnsi"/>
          <w:b/>
          <w:bCs/>
          <w:color w:val="000000" w:themeColor="text1"/>
          <w:lang w:val="fr-FR"/>
        </w:rPr>
        <w:t>solde du budget du projet</w:t>
      </w:r>
      <w:r w:rsidR="2FEB7B0A" w:rsidRPr="00286DE3">
        <w:rPr>
          <w:rFonts w:asciiTheme="minorHAnsi" w:hAnsiTheme="minorHAnsi" w:cstheme="minorHAnsi"/>
          <w:color w:val="000000" w:themeColor="text1"/>
          <w:lang w:val="fr-FR"/>
        </w:rPr>
        <w:t xml:space="preserve"> est un rapport utilisé pour contrôler et gérer la disponibilité du budget pour un projet particulier (et ses produits associés) pour une année unique. Le rapport montre les budgets, engagements et dépenses approuvés, ainsi que le coût total des Actifs pour un projet particulier. Il montre les avances non réglées de la modalité d’exécution nationale pour l’année en cours et les années précédentes. Il montre les soldes du budget et le taux d’utilisation du budget du projet. Tout utilisateur peut utiliser ce rapport lorsqu’il contrôle les mouvements financiers de tous les projets. </w:t>
      </w:r>
      <w:r w:rsidR="2FEB7B0A" w:rsidRPr="00286DE3">
        <w:rPr>
          <w:rFonts w:asciiTheme="minorHAnsi" w:hAnsiTheme="minorHAnsi" w:cstheme="minorHAnsi"/>
          <w:color w:val="000000" w:themeColor="text1"/>
        </w:rPr>
        <w:t xml:space="preserve">Il </w:t>
      </w:r>
      <w:proofErr w:type="spellStart"/>
      <w:r w:rsidR="2FEB7B0A" w:rsidRPr="00286DE3">
        <w:rPr>
          <w:rFonts w:asciiTheme="minorHAnsi" w:hAnsiTheme="minorHAnsi" w:cstheme="minorHAnsi"/>
          <w:color w:val="000000" w:themeColor="text1"/>
        </w:rPr>
        <w:t>est</w:t>
      </w:r>
      <w:proofErr w:type="spellEnd"/>
      <w:r w:rsidR="2FEB7B0A" w:rsidRPr="00286DE3">
        <w:rPr>
          <w:rFonts w:asciiTheme="minorHAnsi" w:hAnsiTheme="minorHAnsi" w:cstheme="minorHAnsi"/>
          <w:color w:val="000000" w:themeColor="text1"/>
        </w:rPr>
        <w:t xml:space="preserve"> important de noter que :</w:t>
      </w:r>
    </w:p>
    <w:p w14:paraId="3B063649" w14:textId="77777777" w:rsidR="00EE2A01" w:rsidRPr="00286DE3" w:rsidRDefault="00E6302F">
      <w:pPr>
        <w:numPr>
          <w:ilvl w:val="0"/>
          <w:numId w:val="13"/>
        </w:numPr>
        <w:spacing w:after="303" w:line="250" w:lineRule="auto"/>
        <w:ind w:right="0" w:hanging="360"/>
        <w:rPr>
          <w:rFonts w:asciiTheme="minorHAnsi" w:hAnsiTheme="minorHAnsi" w:cstheme="minorHAnsi"/>
          <w:lang w:val="fr-FR"/>
        </w:rPr>
      </w:pPr>
      <w:r w:rsidRPr="00286DE3">
        <w:rPr>
          <w:rFonts w:asciiTheme="minorHAnsi" w:hAnsiTheme="minorHAnsi" w:cstheme="minorHAnsi"/>
          <w:color w:val="000000"/>
          <w:lang w:val="fr-FR"/>
        </w:rPr>
        <w:t>Le rapport est disponible au niveau sommaire (projet, produit, activité, partie responsable) et détaillé (projet, produit, activité, partie responsable, département budgétaire, fonds, donateur, compte).</w:t>
      </w:r>
    </w:p>
    <w:p w14:paraId="785D6F2D" w14:textId="77777777" w:rsidR="00EE2A01" w:rsidRPr="00286DE3" w:rsidRDefault="00E6302F">
      <w:pPr>
        <w:numPr>
          <w:ilvl w:val="0"/>
          <w:numId w:val="13"/>
        </w:numPr>
        <w:spacing w:after="12" w:line="250" w:lineRule="auto"/>
        <w:ind w:right="0" w:hanging="360"/>
        <w:rPr>
          <w:rFonts w:asciiTheme="minorHAnsi" w:hAnsiTheme="minorHAnsi" w:cstheme="minorHAnsi"/>
          <w:lang w:val="fr-FR"/>
        </w:rPr>
      </w:pPr>
      <w:r w:rsidRPr="00286DE3">
        <w:rPr>
          <w:rFonts w:asciiTheme="minorHAnsi" w:hAnsiTheme="minorHAnsi" w:cstheme="minorHAnsi"/>
          <w:color w:val="000000"/>
          <w:lang w:val="fr-FR"/>
        </w:rPr>
        <w:lastRenderedPageBreak/>
        <w:t>Il comprend un résumé du projet sur la première page du rapport qui montre le département du projet ; le numéro et titre du projet ; la date de début et de fin du projet ; le budget total approuvé du projet, les dépenses totales du projet pour toutes les années précédentes ; le coût total des actifs reçus acquis dans l</w:t>
      </w:r>
      <w:r w:rsidR="00A0347A" w:rsidRPr="00286DE3">
        <w:rPr>
          <w:rFonts w:asciiTheme="minorHAnsi" w:hAnsiTheme="minorHAnsi" w:cstheme="minorHAnsi"/>
          <w:color w:val="000000"/>
          <w:lang w:val="fr-FR"/>
        </w:rPr>
        <w:t>’</w:t>
      </w:r>
      <w:r w:rsidRPr="00286DE3">
        <w:rPr>
          <w:rFonts w:asciiTheme="minorHAnsi" w:hAnsiTheme="minorHAnsi" w:cstheme="minorHAnsi"/>
          <w:color w:val="000000"/>
          <w:lang w:val="fr-FR"/>
        </w:rPr>
        <w:t>année sélectionnée ; et le nom du chef de projet.</w:t>
      </w:r>
    </w:p>
    <w:p w14:paraId="337EF753" w14:textId="77777777" w:rsidR="00EE2A01" w:rsidRPr="00286DE3" w:rsidRDefault="00E6302F">
      <w:pPr>
        <w:numPr>
          <w:ilvl w:val="0"/>
          <w:numId w:val="13"/>
        </w:numPr>
        <w:spacing w:after="12" w:line="250" w:lineRule="auto"/>
        <w:ind w:right="0" w:hanging="360"/>
        <w:rPr>
          <w:rFonts w:asciiTheme="minorHAnsi" w:hAnsiTheme="minorHAnsi" w:cstheme="minorHAnsi"/>
          <w:lang w:val="fr-FR"/>
        </w:rPr>
      </w:pPr>
      <w:r w:rsidRPr="00286DE3">
        <w:rPr>
          <w:rFonts w:asciiTheme="minorHAnsi" w:hAnsiTheme="minorHAnsi" w:cstheme="minorHAnsi"/>
          <w:color w:val="000000"/>
          <w:lang w:val="fr-FR"/>
        </w:rPr>
        <w:t>La source principale Atlas pour le rapport est le contrôle des engagements (KK).</w:t>
      </w:r>
    </w:p>
    <w:p w14:paraId="28E30D3C" w14:textId="77777777" w:rsidR="00EE2A01" w:rsidRPr="00286DE3" w:rsidRDefault="00EE2A01">
      <w:pPr>
        <w:spacing w:after="139" w:line="259" w:lineRule="auto"/>
        <w:ind w:left="0" w:right="0" w:firstLine="0"/>
        <w:jc w:val="left"/>
        <w:rPr>
          <w:rFonts w:asciiTheme="minorHAnsi" w:hAnsiTheme="minorHAnsi" w:cstheme="minorHAnsi"/>
          <w:lang w:val="fr-FR"/>
        </w:rPr>
      </w:pPr>
    </w:p>
    <w:p w14:paraId="297F87B9" w14:textId="77777777" w:rsidR="00EE2A01" w:rsidRPr="00286DE3" w:rsidRDefault="00E6302F">
      <w:pPr>
        <w:pStyle w:val="Heading1"/>
        <w:ind w:left="-5" w:right="0"/>
        <w:rPr>
          <w:rFonts w:asciiTheme="minorHAnsi" w:hAnsiTheme="minorHAnsi" w:cstheme="minorHAnsi"/>
          <w:color w:val="auto"/>
          <w:lang w:val="fr-FR"/>
        </w:rPr>
      </w:pPr>
      <w:r w:rsidRPr="00286DE3">
        <w:rPr>
          <w:rFonts w:asciiTheme="minorHAnsi" w:hAnsiTheme="minorHAnsi" w:cstheme="minorHAnsi"/>
          <w:color w:val="auto"/>
          <w:lang w:val="fr-FR"/>
        </w:rPr>
        <w:t>Détail de la transaction du projet</w:t>
      </w:r>
      <w:r w:rsidRPr="00286DE3">
        <w:rPr>
          <w:rFonts w:asciiTheme="minorHAnsi" w:hAnsiTheme="minorHAnsi" w:cstheme="minorHAnsi"/>
          <w:b w:val="0"/>
          <w:color w:val="auto"/>
          <w:lang w:val="fr-FR"/>
        </w:rPr>
        <w:t xml:space="preserve"> </w:t>
      </w:r>
    </w:p>
    <w:p w14:paraId="1C867E47" w14:textId="4B840BA3" w:rsidR="00EE2A01" w:rsidRPr="00286DE3" w:rsidRDefault="004F5DC6">
      <w:pPr>
        <w:spacing w:after="12" w:line="250" w:lineRule="auto"/>
        <w:ind w:left="715" w:right="0"/>
        <w:rPr>
          <w:rFonts w:asciiTheme="minorHAnsi" w:hAnsiTheme="minorHAnsi" w:cstheme="minorHAnsi"/>
          <w:color w:val="auto"/>
          <w:lang w:val="fr-FR"/>
        </w:rPr>
      </w:pPr>
      <w:r w:rsidRPr="00286DE3">
        <w:rPr>
          <w:rFonts w:asciiTheme="minorHAnsi" w:hAnsiTheme="minorHAnsi" w:cstheme="minorHAnsi"/>
          <w:color w:val="auto"/>
          <w:lang w:val="fr-FR"/>
        </w:rPr>
        <w:t>24</w:t>
      </w:r>
      <w:r w:rsidR="2FEB7B0A" w:rsidRPr="00286DE3">
        <w:rPr>
          <w:rFonts w:asciiTheme="minorHAnsi" w:hAnsiTheme="minorHAnsi" w:cstheme="minorHAnsi"/>
          <w:color w:val="auto"/>
          <w:lang w:val="fr-FR"/>
        </w:rPr>
        <w:t xml:space="preserve">. Le rapport de </w:t>
      </w:r>
      <w:r w:rsidR="2FEB7B0A" w:rsidRPr="00286DE3">
        <w:rPr>
          <w:rFonts w:asciiTheme="minorHAnsi" w:hAnsiTheme="minorHAnsi" w:cstheme="minorHAnsi"/>
          <w:b/>
          <w:bCs/>
          <w:color w:val="auto"/>
          <w:lang w:val="fr-FR"/>
        </w:rPr>
        <w:t>détail de la transaction du projet</w:t>
      </w:r>
      <w:r w:rsidR="2FEB7B0A" w:rsidRPr="00286DE3">
        <w:rPr>
          <w:rFonts w:asciiTheme="minorHAnsi" w:hAnsiTheme="minorHAnsi" w:cstheme="minorHAnsi"/>
          <w:color w:val="auto"/>
          <w:lang w:val="fr-FR"/>
        </w:rPr>
        <w:t xml:space="preserve"> est utilisé pour fournir le niveau minimum de détails de la transaction appuyant les engagements, dépenses et coût total des montants des actifs montrés dans le rapport sur le solde du budget de projet. Le rapport montre les transactions aux niveau du projet, du produit, de l’activité et du plan comptable (COA), y compris les numéros d’identification de l’avis ou du bon de commande, du fournisseur et le nom, et les descriptions des lignes. Tout utilisateur ayant besoin de plus d’informations détaillées au sujet des transactions d’un projet peut utiliser ce rapport pour contrôler les mouvements financiers de tous les projets. Il est important de noter que :</w:t>
      </w:r>
    </w:p>
    <w:p w14:paraId="51FFBE79" w14:textId="19706C44" w:rsidR="00EE2A01" w:rsidRPr="00286DE3" w:rsidRDefault="36192F75">
      <w:pPr>
        <w:spacing w:after="12" w:line="250" w:lineRule="auto"/>
        <w:ind w:left="1080" w:right="0" w:firstLine="0"/>
        <w:rPr>
          <w:rFonts w:asciiTheme="minorHAnsi" w:hAnsiTheme="minorHAnsi" w:cstheme="minorHAnsi"/>
          <w:color w:val="auto"/>
          <w:lang w:val="fr-FR"/>
        </w:rPr>
      </w:pPr>
      <w:r w:rsidRPr="00286DE3">
        <w:rPr>
          <w:rFonts w:asciiTheme="minorHAnsi" w:hAnsiTheme="minorHAnsi" w:cstheme="minorHAnsi"/>
          <w:color w:val="auto"/>
          <w:lang w:val="fr-FR"/>
        </w:rPr>
        <w:t xml:space="preserve">o Les données se trouvant dans le rapport seront téléchargeables en format Excel, ce qui permettra aux utilisateurs de faire davantage d’analyses et de formatage. </w:t>
      </w:r>
    </w:p>
    <w:p w14:paraId="6EA73ADD" w14:textId="410BD8EF" w:rsidR="00EE2A01" w:rsidRPr="00286DE3" w:rsidRDefault="36192F75">
      <w:pPr>
        <w:spacing w:after="12" w:line="250" w:lineRule="auto"/>
        <w:ind w:left="1080" w:right="0" w:firstLine="0"/>
        <w:rPr>
          <w:rFonts w:asciiTheme="minorHAnsi" w:hAnsiTheme="minorHAnsi" w:cstheme="minorHAnsi"/>
          <w:color w:val="auto"/>
          <w:lang w:val="fr-FR"/>
        </w:rPr>
      </w:pPr>
      <w:r w:rsidRPr="00286DE3">
        <w:rPr>
          <w:rFonts w:asciiTheme="minorHAnsi" w:hAnsiTheme="minorHAnsi" w:cstheme="minorHAnsi"/>
          <w:color w:val="auto"/>
          <w:lang w:val="fr-FR"/>
        </w:rPr>
        <w:t>o La source principale d’Atlas pour le rapport est le contrôle des engagements (KK).</w:t>
      </w:r>
    </w:p>
    <w:p w14:paraId="208A1EA8" w14:textId="77777777" w:rsidR="00EE2A01" w:rsidRPr="00286DE3" w:rsidRDefault="00E6302F">
      <w:pPr>
        <w:spacing w:after="139" w:line="259" w:lineRule="auto"/>
        <w:ind w:left="0" w:right="0" w:firstLine="0"/>
        <w:jc w:val="left"/>
        <w:rPr>
          <w:rFonts w:asciiTheme="minorHAnsi" w:hAnsiTheme="minorHAnsi" w:cstheme="minorHAnsi"/>
          <w:lang w:val="fr-FR"/>
        </w:rPr>
      </w:pPr>
      <w:r w:rsidRPr="00286DE3">
        <w:rPr>
          <w:rFonts w:asciiTheme="minorHAnsi" w:hAnsiTheme="minorHAnsi" w:cstheme="minorHAnsi"/>
          <w:lang w:val="fr-FR"/>
        </w:rPr>
        <w:t xml:space="preserve"> </w:t>
      </w:r>
    </w:p>
    <w:p w14:paraId="6DC6DBEF" w14:textId="77777777" w:rsidR="00EE2A01" w:rsidRPr="00286DE3" w:rsidRDefault="00DE2A99">
      <w:pPr>
        <w:pStyle w:val="Heading1"/>
        <w:ind w:left="-5" w:right="0"/>
        <w:rPr>
          <w:rFonts w:asciiTheme="minorHAnsi" w:hAnsiTheme="minorHAnsi" w:cstheme="minorHAnsi"/>
          <w:lang w:val="fr-FR"/>
        </w:rPr>
      </w:pPr>
      <w:r w:rsidRPr="00286DE3">
        <w:rPr>
          <w:rFonts w:asciiTheme="minorHAnsi" w:hAnsiTheme="minorHAnsi" w:cstheme="minorHAnsi"/>
          <w:lang w:val="fr-FR"/>
        </w:rPr>
        <w:t>GESTION DES RÉSULTATS</w:t>
      </w:r>
    </w:p>
    <w:p w14:paraId="7B7367D0" w14:textId="54A9414F" w:rsidR="004B45FC" w:rsidRPr="00286DE3" w:rsidRDefault="004B45FC" w:rsidP="004B45FC">
      <w:pPr>
        <w:ind w:left="345" w:right="0" w:firstLine="0"/>
        <w:rPr>
          <w:rFonts w:asciiTheme="minorHAnsi" w:hAnsiTheme="minorHAnsi" w:cstheme="minorHAnsi"/>
          <w:color w:val="auto"/>
          <w:lang w:val="fr-FR"/>
        </w:rPr>
      </w:pPr>
      <w:r w:rsidRPr="00286DE3">
        <w:rPr>
          <w:rFonts w:asciiTheme="minorHAnsi" w:hAnsiTheme="minorHAnsi" w:cstheme="minorHAnsi"/>
          <w:color w:val="auto"/>
          <w:lang w:val="fr-FR"/>
        </w:rPr>
        <w:t>25. Le chef de projet doit coordonner la préparation des rapports financiers avec la section financière du bureau de pays. Dans les projets DIM, le Représentant Résident, ou un fonctionnaire ayant r</w:t>
      </w:r>
      <w:r w:rsidR="00941C74" w:rsidRPr="00286DE3">
        <w:rPr>
          <w:rFonts w:asciiTheme="minorHAnsi" w:hAnsiTheme="minorHAnsi" w:cstheme="minorHAnsi"/>
          <w:color w:val="auto"/>
          <w:lang w:val="fr-FR"/>
        </w:rPr>
        <w:t xml:space="preserve">eçu la </w:t>
      </w:r>
      <w:proofErr w:type="spellStart"/>
      <w:r w:rsidR="00941C74" w:rsidRPr="00286DE3">
        <w:rPr>
          <w:rFonts w:asciiTheme="minorHAnsi" w:hAnsiTheme="minorHAnsi" w:cstheme="minorHAnsi"/>
          <w:color w:val="auto"/>
          <w:lang w:val="fr-FR"/>
        </w:rPr>
        <w:t>delegation</w:t>
      </w:r>
      <w:proofErr w:type="spellEnd"/>
      <w:r w:rsidR="00941C74" w:rsidRPr="00286DE3">
        <w:rPr>
          <w:rFonts w:asciiTheme="minorHAnsi" w:hAnsiTheme="minorHAnsi" w:cstheme="minorHAnsi"/>
          <w:color w:val="auto"/>
          <w:lang w:val="fr-FR"/>
        </w:rPr>
        <w:t xml:space="preserve"> d’</w:t>
      </w:r>
      <w:proofErr w:type="spellStart"/>
      <w:r w:rsidR="00941C74" w:rsidRPr="00286DE3">
        <w:rPr>
          <w:rFonts w:asciiTheme="minorHAnsi" w:hAnsiTheme="minorHAnsi" w:cstheme="minorHAnsi"/>
          <w:color w:val="auto"/>
          <w:lang w:val="fr-FR"/>
        </w:rPr>
        <w:t>authorité</w:t>
      </w:r>
      <w:proofErr w:type="spellEnd"/>
      <w:r w:rsidR="00941C74" w:rsidRPr="00286DE3">
        <w:rPr>
          <w:rFonts w:asciiTheme="minorHAnsi" w:hAnsiTheme="minorHAnsi" w:cstheme="minorHAnsi"/>
          <w:color w:val="auto"/>
          <w:lang w:val="fr-FR"/>
        </w:rPr>
        <w:t xml:space="preserve">, </w:t>
      </w:r>
      <w:r w:rsidRPr="00286DE3">
        <w:rPr>
          <w:rFonts w:asciiTheme="minorHAnsi" w:hAnsiTheme="minorHAnsi" w:cstheme="minorHAnsi"/>
          <w:color w:val="auto"/>
          <w:lang w:val="fr-FR"/>
        </w:rPr>
        <w:t>est responsable de la certification des CDR ou, dans le cas des projets régionaux, le chef de projet désigné en est responsable.</w:t>
      </w:r>
    </w:p>
    <w:p w14:paraId="49090E38" w14:textId="77777777" w:rsidR="004B45FC" w:rsidRPr="00286DE3" w:rsidRDefault="004B45FC" w:rsidP="004B45FC">
      <w:pPr>
        <w:ind w:left="1090"/>
        <w:rPr>
          <w:rFonts w:asciiTheme="minorHAnsi" w:hAnsiTheme="minorHAnsi" w:cstheme="minorHAnsi"/>
          <w:color w:val="auto"/>
          <w:lang w:val="fr-FR"/>
        </w:rPr>
      </w:pPr>
    </w:p>
    <w:p w14:paraId="7396707E" w14:textId="77777777" w:rsidR="004B45FC" w:rsidRPr="00286DE3" w:rsidRDefault="36192F75" w:rsidP="004B45FC">
      <w:pPr>
        <w:ind w:left="345" w:right="0" w:firstLine="0"/>
        <w:rPr>
          <w:rFonts w:asciiTheme="minorHAnsi" w:hAnsiTheme="minorHAnsi" w:cstheme="minorHAnsi"/>
          <w:color w:val="auto"/>
          <w:lang w:val="fr-FR"/>
        </w:rPr>
      </w:pPr>
      <w:r w:rsidRPr="00286DE3">
        <w:rPr>
          <w:rFonts w:asciiTheme="minorHAnsi" w:hAnsiTheme="minorHAnsi" w:cstheme="minorHAnsi"/>
          <w:color w:val="auto"/>
          <w:lang w:val="fr-FR"/>
        </w:rPr>
        <w:t xml:space="preserve">26. </w:t>
      </w:r>
      <w:r w:rsidR="004B45FC" w:rsidRPr="00286DE3">
        <w:rPr>
          <w:rFonts w:asciiTheme="minorHAnsi" w:hAnsiTheme="minorHAnsi" w:cstheme="minorHAnsi"/>
          <w:color w:val="auto"/>
          <w:lang w:val="fr-FR"/>
        </w:rPr>
        <w:t>Dès la finalisation d’un projet, le solde de fonds restant (sauf dans le cas des fonds ordinaires du PNUD) déposé dans les comptes du PNUD pour les activités de projet doit être remboursé au même donateur qui avait initialement fourni les fonds, ou peut être reprogrammé s’il en est convenu avec le donateur (se référer à l’orientation en matière de clôture d’un projet).</w:t>
      </w:r>
    </w:p>
    <w:p w14:paraId="3F77354C" w14:textId="2D9F082A" w:rsidR="00EE2A01" w:rsidRPr="00286DE3" w:rsidRDefault="00EE2A01">
      <w:pPr>
        <w:spacing w:after="139" w:line="259" w:lineRule="auto"/>
        <w:ind w:left="0" w:right="0" w:firstLine="0"/>
        <w:jc w:val="left"/>
        <w:rPr>
          <w:rFonts w:asciiTheme="minorHAnsi" w:hAnsiTheme="minorHAnsi" w:cstheme="minorHAnsi"/>
          <w:color w:val="auto"/>
          <w:lang w:val="fr-FR"/>
        </w:rPr>
      </w:pPr>
    </w:p>
    <w:p w14:paraId="700DF03C" w14:textId="77777777" w:rsidR="004B45FC" w:rsidRPr="00286DE3" w:rsidRDefault="004B45FC" w:rsidP="004B45FC">
      <w:pPr>
        <w:pStyle w:val="ListParagraph"/>
        <w:numPr>
          <w:ilvl w:val="0"/>
          <w:numId w:val="15"/>
        </w:numPr>
        <w:spacing w:after="149"/>
        <w:ind w:right="0"/>
        <w:rPr>
          <w:rFonts w:asciiTheme="minorHAnsi" w:hAnsiTheme="minorHAnsi" w:cstheme="minorHAnsi"/>
          <w:color w:val="auto"/>
          <w:lang w:val="fr-FR"/>
        </w:rPr>
      </w:pPr>
      <w:r w:rsidRPr="00286DE3">
        <w:rPr>
          <w:rFonts w:asciiTheme="minorHAnsi" w:hAnsiTheme="minorHAnsi" w:cstheme="minorHAnsi"/>
          <w:color w:val="auto"/>
          <w:lang w:val="fr-FR"/>
        </w:rPr>
        <w:t>Le chef de projet doit se coordonner avec les unités administratives et financières du bureau de pays quant au suivi des versements des obligations. Les unités administratives du bureau de pays ou les sections qui sont chargées du recrutement, des contrats et des achats pour les projets DIM peuvent suivre et mettre à jour les registres d’obligations non réglées.</w:t>
      </w:r>
    </w:p>
    <w:p w14:paraId="4A57C69E" w14:textId="77777777" w:rsidR="00796D0F" w:rsidRPr="00286DE3" w:rsidRDefault="00796D0F" w:rsidP="004B45FC">
      <w:pPr>
        <w:spacing w:after="151"/>
        <w:ind w:left="705" w:right="0" w:firstLine="0"/>
        <w:rPr>
          <w:rFonts w:asciiTheme="minorHAnsi" w:hAnsiTheme="minorHAnsi" w:cstheme="minorHAnsi"/>
          <w:lang w:val="fr-FR"/>
        </w:rPr>
      </w:pPr>
    </w:p>
    <w:p w14:paraId="10A450AA" w14:textId="246B80C7" w:rsidR="00796D0F" w:rsidRPr="00286DE3" w:rsidRDefault="00796D0F" w:rsidP="00796D0F">
      <w:pPr>
        <w:pStyle w:val="Heading1"/>
        <w:ind w:left="-5" w:right="0"/>
        <w:rPr>
          <w:rFonts w:asciiTheme="minorHAnsi" w:hAnsiTheme="minorHAnsi" w:cstheme="minorHAnsi"/>
        </w:rPr>
      </w:pPr>
      <w:r w:rsidRPr="00286DE3">
        <w:rPr>
          <w:rFonts w:asciiTheme="minorHAnsi" w:hAnsiTheme="minorHAnsi" w:cstheme="minorHAnsi"/>
        </w:rPr>
        <w:lastRenderedPageBreak/>
        <w:t>Audit</w:t>
      </w:r>
      <w:r w:rsidRPr="00286DE3">
        <w:rPr>
          <w:rFonts w:asciiTheme="minorHAnsi" w:hAnsiTheme="minorHAnsi" w:cstheme="minorHAnsi"/>
          <w:b w:val="0"/>
        </w:rPr>
        <w:t xml:space="preserve"> </w:t>
      </w:r>
    </w:p>
    <w:p w14:paraId="7AADCBEC" w14:textId="3EE72CFE" w:rsidR="003033B3" w:rsidRPr="00286DE3" w:rsidRDefault="00E6302F" w:rsidP="00796D0F">
      <w:pPr>
        <w:numPr>
          <w:ilvl w:val="0"/>
          <w:numId w:val="15"/>
        </w:numPr>
        <w:spacing w:after="151"/>
        <w:ind w:right="0" w:hanging="360"/>
        <w:rPr>
          <w:rFonts w:asciiTheme="minorHAnsi" w:hAnsiTheme="minorHAnsi" w:cstheme="minorHAnsi"/>
        </w:rPr>
      </w:pPr>
      <w:r w:rsidRPr="00286DE3">
        <w:rPr>
          <w:rFonts w:asciiTheme="minorHAnsi" w:hAnsiTheme="minorHAnsi" w:cstheme="minorHAnsi"/>
          <w:lang w:val="fr-FR"/>
        </w:rPr>
        <w:t>L</w:t>
      </w:r>
      <w:r w:rsidR="00A0347A" w:rsidRPr="00286DE3">
        <w:rPr>
          <w:rFonts w:asciiTheme="minorHAnsi" w:hAnsiTheme="minorHAnsi" w:cstheme="minorHAnsi"/>
          <w:lang w:val="fr-FR"/>
        </w:rPr>
        <w:t>’</w:t>
      </w:r>
      <w:r w:rsidRPr="00286DE3">
        <w:rPr>
          <w:rFonts w:asciiTheme="minorHAnsi" w:hAnsiTheme="minorHAnsi" w:cstheme="minorHAnsi"/>
          <w:lang w:val="fr-FR"/>
        </w:rPr>
        <w:t>audit des projets DIM est effectué par le biais du Bureau de l</w:t>
      </w:r>
      <w:r w:rsidR="00A0347A" w:rsidRPr="00286DE3">
        <w:rPr>
          <w:rFonts w:asciiTheme="minorHAnsi" w:hAnsiTheme="minorHAnsi" w:cstheme="minorHAnsi"/>
          <w:lang w:val="fr-FR"/>
        </w:rPr>
        <w:t>’</w:t>
      </w:r>
      <w:r w:rsidRPr="00286DE3">
        <w:rPr>
          <w:rFonts w:asciiTheme="minorHAnsi" w:hAnsiTheme="minorHAnsi" w:cstheme="minorHAnsi"/>
          <w:lang w:val="fr-FR"/>
        </w:rPr>
        <w:t>audit et des enquêtes (OAI) du PNUD. Les représentants résidents peuvent exceptionnellement demander à l</w:t>
      </w:r>
      <w:r w:rsidR="00A0347A" w:rsidRPr="00286DE3">
        <w:rPr>
          <w:rFonts w:asciiTheme="minorHAnsi" w:hAnsiTheme="minorHAnsi" w:cstheme="minorHAnsi"/>
          <w:lang w:val="fr-FR"/>
        </w:rPr>
        <w:t>’</w:t>
      </w:r>
      <w:r w:rsidRPr="00286DE3">
        <w:rPr>
          <w:rFonts w:asciiTheme="minorHAnsi" w:hAnsiTheme="minorHAnsi" w:cstheme="minorHAnsi"/>
          <w:lang w:val="fr-FR"/>
        </w:rPr>
        <w:t xml:space="preserve">OAI de mener des audits des projets DIM. </w:t>
      </w:r>
      <w:r w:rsidRPr="00286DE3">
        <w:rPr>
          <w:rFonts w:asciiTheme="minorHAnsi" w:hAnsiTheme="minorHAnsi" w:cstheme="minorHAnsi"/>
        </w:rPr>
        <w:t xml:space="preserve">Se </w:t>
      </w:r>
      <w:proofErr w:type="spellStart"/>
      <w:r w:rsidRPr="00286DE3">
        <w:rPr>
          <w:rFonts w:asciiTheme="minorHAnsi" w:hAnsiTheme="minorHAnsi" w:cstheme="minorHAnsi"/>
        </w:rPr>
        <w:t>référer</w:t>
      </w:r>
      <w:proofErr w:type="spellEnd"/>
      <w:r w:rsidRPr="00286DE3">
        <w:rPr>
          <w:rFonts w:asciiTheme="minorHAnsi" w:hAnsiTheme="minorHAnsi" w:cstheme="minorHAnsi"/>
        </w:rPr>
        <w:t xml:space="preserve"> au </w:t>
      </w:r>
      <w:hyperlink r:id="rId20">
        <w:r w:rsidRPr="00286DE3">
          <w:rPr>
            <w:rFonts w:asciiTheme="minorHAnsi" w:hAnsiTheme="minorHAnsi" w:cstheme="minorHAnsi"/>
            <w:color w:val="0072BC"/>
          </w:rPr>
          <w:t xml:space="preserve">site de </w:t>
        </w:r>
        <w:proofErr w:type="spellStart"/>
        <w:r w:rsidRPr="00286DE3">
          <w:rPr>
            <w:rFonts w:asciiTheme="minorHAnsi" w:hAnsiTheme="minorHAnsi" w:cstheme="minorHAnsi"/>
            <w:color w:val="0072BC"/>
          </w:rPr>
          <w:t>l</w:t>
        </w:r>
        <w:r w:rsidR="00A0347A" w:rsidRPr="00286DE3">
          <w:rPr>
            <w:rFonts w:asciiTheme="minorHAnsi" w:hAnsiTheme="minorHAnsi" w:cstheme="minorHAnsi"/>
            <w:color w:val="0072BC"/>
          </w:rPr>
          <w:t>’</w:t>
        </w:r>
        <w:r w:rsidRPr="00286DE3">
          <w:rPr>
            <w:rFonts w:asciiTheme="minorHAnsi" w:hAnsiTheme="minorHAnsi" w:cstheme="minorHAnsi"/>
            <w:color w:val="0072BC"/>
          </w:rPr>
          <w:t>OAI</w:t>
        </w:r>
        <w:proofErr w:type="spellEnd"/>
      </w:hyperlink>
      <w:hyperlink r:id="rId21">
        <w:r w:rsidRPr="00286DE3">
          <w:rPr>
            <w:rFonts w:asciiTheme="minorHAnsi" w:hAnsiTheme="minorHAnsi" w:cstheme="minorHAnsi"/>
          </w:rPr>
          <w:t xml:space="preserve"> </w:t>
        </w:r>
      </w:hyperlink>
      <w:r w:rsidR="00A0347A" w:rsidRPr="00286DE3">
        <w:rPr>
          <w:rFonts w:asciiTheme="minorHAnsi" w:hAnsiTheme="minorHAnsi" w:cstheme="minorHAnsi"/>
        </w:rPr>
        <w:t xml:space="preserve">pour plus </w:t>
      </w:r>
      <w:proofErr w:type="spellStart"/>
      <w:r w:rsidR="00A0347A" w:rsidRPr="00286DE3">
        <w:rPr>
          <w:rFonts w:asciiTheme="minorHAnsi" w:hAnsiTheme="minorHAnsi" w:cstheme="minorHAnsi"/>
        </w:rPr>
        <w:t>d’informations</w:t>
      </w:r>
      <w:proofErr w:type="spellEnd"/>
      <w:r w:rsidR="00A0347A" w:rsidRPr="00286DE3">
        <w:rPr>
          <w:rFonts w:asciiTheme="minorHAnsi" w:hAnsiTheme="minorHAnsi" w:cstheme="minorHAnsi"/>
        </w:rPr>
        <w:t>.</w:t>
      </w:r>
    </w:p>
    <w:p w14:paraId="34BEEFAE" w14:textId="736FE0A0" w:rsidR="00BC7BF8" w:rsidRPr="00286DE3" w:rsidRDefault="00BC7BF8" w:rsidP="002B03A8">
      <w:pPr>
        <w:spacing w:after="179" w:line="259" w:lineRule="auto"/>
        <w:ind w:left="345" w:right="0" w:firstLine="0"/>
        <w:jc w:val="left"/>
        <w:rPr>
          <w:rFonts w:asciiTheme="minorHAnsi" w:hAnsiTheme="minorHAnsi" w:cstheme="minorHAnsi"/>
        </w:rPr>
      </w:pPr>
      <w:proofErr w:type="spellStart"/>
      <w:r w:rsidRPr="00286DE3">
        <w:rPr>
          <w:rFonts w:asciiTheme="minorHAnsi" w:hAnsiTheme="minorHAnsi" w:cstheme="minorHAnsi"/>
          <w:b/>
          <w:bCs/>
        </w:rPr>
        <w:t>Recouvrement</w:t>
      </w:r>
      <w:proofErr w:type="spellEnd"/>
      <w:r w:rsidRPr="00286DE3">
        <w:rPr>
          <w:rFonts w:asciiTheme="minorHAnsi" w:hAnsiTheme="minorHAnsi" w:cstheme="minorHAnsi"/>
          <w:b/>
          <w:bCs/>
        </w:rPr>
        <w:t xml:space="preserve"> des </w:t>
      </w:r>
      <w:proofErr w:type="spellStart"/>
      <w:r w:rsidRPr="00286DE3">
        <w:rPr>
          <w:rFonts w:asciiTheme="minorHAnsi" w:hAnsiTheme="minorHAnsi" w:cstheme="minorHAnsi"/>
          <w:b/>
          <w:bCs/>
        </w:rPr>
        <w:t>coûts</w:t>
      </w:r>
      <w:proofErr w:type="spellEnd"/>
    </w:p>
    <w:p w14:paraId="49B03F61" w14:textId="77777777" w:rsidR="00BC7BF8" w:rsidRPr="00286DE3" w:rsidRDefault="00BC7BF8" w:rsidP="00BC7BF8">
      <w:pPr>
        <w:pStyle w:val="ListParagraph"/>
        <w:numPr>
          <w:ilvl w:val="0"/>
          <w:numId w:val="15"/>
        </w:numPr>
        <w:spacing w:after="149"/>
        <w:ind w:right="0"/>
        <w:rPr>
          <w:rFonts w:asciiTheme="minorHAnsi" w:hAnsiTheme="minorHAnsi" w:cstheme="minorHAnsi"/>
          <w:lang w:val="fr-FR"/>
        </w:rPr>
      </w:pPr>
      <w:r w:rsidRPr="00286DE3">
        <w:rPr>
          <w:rFonts w:asciiTheme="minorHAnsi" w:hAnsiTheme="minorHAnsi" w:cstheme="minorHAnsi"/>
          <w:lang w:val="fr-FR"/>
        </w:rPr>
        <w:t>Le recouvrement des coûts correspond aux frais prélevés sur les charges de programmes des autres ressources (pour les coûts différentiels estimés pour le PNUD) liés à la gestion de la mise en œuvre des programmes financés au moyen des autres ressources. Le GMS devrait être facturé si des fonds autres que les fonds de base sont budgétisés dans un projet DIM. La tarification directe par projet est suivie pour facturer tous les services directs fournis, quel que soit le mécanisme de financement (ressources de base et ressources autres que de base).</w:t>
      </w:r>
    </w:p>
    <w:p w14:paraId="4D7D04DE" w14:textId="77777777" w:rsidR="00411B1D" w:rsidRDefault="00411B1D"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7197BE4A"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7ED2D040"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34EEF229"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476B5897"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39078A13"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113BD887"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38C5C3A5"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1965346C"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33B572A6"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2E87AB2A"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0F8C41A7"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53DA9CF4"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7417A1E7"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4087B0B0"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7029022E"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398F6D19"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4E478321"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16EF4AAB"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0C3AE55C"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507FB981"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4566EC98" w14:textId="77777777" w:rsidR="00431292" w:rsidRDefault="00431292" w:rsidP="00E22BF9">
      <w:pPr>
        <w:pStyle w:val="NormalWeb"/>
        <w:shd w:val="clear" w:color="auto" w:fill="FFFFFF"/>
        <w:rPr>
          <w:rFonts w:asciiTheme="minorHAnsi" w:hAnsiTheme="minorHAnsi" w:cstheme="minorHAnsi"/>
          <w:b/>
          <w:bCs/>
          <w:color w:val="212121"/>
          <w:u w:val="single"/>
          <w:bdr w:val="none" w:sz="0" w:space="0" w:color="auto" w:frame="1"/>
          <w:lang w:val="fr-FR"/>
        </w:rPr>
      </w:pPr>
    </w:p>
    <w:p w14:paraId="097298C5" w14:textId="1E1CAF47" w:rsidR="00E22BF9" w:rsidRPr="00610B35" w:rsidRDefault="00E22BF9" w:rsidP="00E22BF9">
      <w:pPr>
        <w:pStyle w:val="NormalWeb"/>
        <w:shd w:val="clear" w:color="auto" w:fill="FFFFFF"/>
        <w:rPr>
          <w:rFonts w:asciiTheme="minorHAnsi" w:hAnsiTheme="minorHAnsi" w:cstheme="minorHAnsi"/>
          <w:color w:val="212121"/>
          <w:sz w:val="24"/>
          <w:szCs w:val="24"/>
          <w:lang w:val="fr-FR"/>
        </w:rPr>
      </w:pPr>
      <w:r w:rsidRPr="00E22BF9">
        <w:rPr>
          <w:rFonts w:asciiTheme="minorHAnsi" w:hAnsiTheme="minorHAnsi" w:cstheme="minorHAnsi"/>
          <w:b/>
          <w:bCs/>
          <w:color w:val="212121"/>
          <w:u w:val="single"/>
          <w:bdr w:val="none" w:sz="0" w:space="0" w:color="auto" w:frame="1"/>
          <w:lang w:val="fr-FR"/>
        </w:rPr>
        <w:t>Avertissement:</w:t>
      </w:r>
      <w:r w:rsidRPr="00E22BF9">
        <w:rPr>
          <w:rFonts w:asciiTheme="minorHAnsi" w:hAnsiTheme="minorHAnsi" w:cstheme="minorHAnsi"/>
          <w:color w:val="212121"/>
          <w:bdr w:val="none" w:sz="0" w:space="0" w:color="auto" w:frame="1"/>
          <w:lang w:val="fr-FR"/>
        </w:rPr>
        <w:t> Ce document a été traduit de l'anglais vers le français. En cas de divergence entre cette traduction et le document anglais original, le document anglais original prévaudra.</w:t>
      </w:r>
    </w:p>
    <w:p w14:paraId="2899E0DD" w14:textId="77777777" w:rsidR="00E22BF9" w:rsidRPr="00610B35" w:rsidRDefault="00E22BF9" w:rsidP="00E22BF9">
      <w:pPr>
        <w:pStyle w:val="NormalWeb"/>
        <w:shd w:val="clear" w:color="auto" w:fill="FFFFFF"/>
        <w:rPr>
          <w:rFonts w:asciiTheme="minorHAnsi" w:hAnsiTheme="minorHAnsi" w:cstheme="minorHAnsi"/>
          <w:color w:val="212121"/>
          <w:sz w:val="24"/>
          <w:szCs w:val="24"/>
          <w:lang w:val="fr-FR"/>
        </w:rPr>
      </w:pPr>
    </w:p>
    <w:p w14:paraId="3176DF74" w14:textId="0C5B60B6" w:rsidR="00E22BF9" w:rsidRPr="00E22BF9" w:rsidRDefault="00E22BF9" w:rsidP="00E22BF9">
      <w:pPr>
        <w:pStyle w:val="NormalWeb"/>
        <w:shd w:val="clear" w:color="auto" w:fill="FFFFFF"/>
        <w:rPr>
          <w:rFonts w:asciiTheme="minorHAnsi" w:hAnsiTheme="minorHAnsi" w:cstheme="minorHAnsi"/>
          <w:color w:val="212121"/>
          <w:sz w:val="24"/>
          <w:szCs w:val="24"/>
        </w:rPr>
      </w:pPr>
      <w:r w:rsidRPr="00E22BF9">
        <w:rPr>
          <w:rFonts w:asciiTheme="minorHAnsi" w:hAnsiTheme="minorHAnsi" w:cstheme="minorHAnsi"/>
          <w:color w:val="212121"/>
          <w:bdr w:val="none" w:sz="0" w:space="0" w:color="auto" w:frame="1"/>
          <w:lang w:val="fr-FR"/>
        </w:rPr>
        <w:t> </w:t>
      </w:r>
      <w:r w:rsidRPr="00E22BF9">
        <w:rPr>
          <w:rFonts w:asciiTheme="minorHAnsi" w:hAnsiTheme="minorHAnsi" w:cstheme="minorHAnsi"/>
          <w:b/>
          <w:bCs/>
          <w:color w:val="000000"/>
          <w:u w:val="single"/>
          <w:bdr w:val="none" w:sz="0" w:space="0" w:color="auto" w:frame="1"/>
          <w:lang w:val="en-GB"/>
        </w:rPr>
        <w:t>Disclaimer:</w:t>
      </w:r>
      <w:r w:rsidRPr="00E22BF9">
        <w:rPr>
          <w:rFonts w:asciiTheme="minorHAnsi" w:hAnsiTheme="minorHAnsi" w:cstheme="minorHAnsi"/>
          <w:color w:val="000000"/>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5CEFB4F" w14:textId="404A8D7B" w:rsidR="00EE2A01" w:rsidRPr="001A765F" w:rsidRDefault="00E22BF9">
      <w:pPr>
        <w:spacing w:after="136" w:line="259" w:lineRule="auto"/>
        <w:ind w:left="0" w:right="0" w:firstLine="0"/>
        <w:jc w:val="left"/>
        <w:rPr>
          <w:rFonts w:asciiTheme="minorHAnsi" w:hAnsiTheme="minorHAnsi" w:cstheme="minorHAnsi"/>
          <w:sz w:val="24"/>
          <w:szCs w:val="24"/>
          <w:lang w:val="en-GB"/>
        </w:rPr>
      </w:pPr>
      <w:r w:rsidRPr="00E22BF9">
        <w:rPr>
          <w:rFonts w:asciiTheme="minorHAnsi" w:eastAsia="Times New Roman" w:hAnsiTheme="minorHAnsi" w:cstheme="minorHAnsi"/>
          <w:color w:val="212121"/>
        </w:rPr>
        <w:t> </w:t>
      </w:r>
    </w:p>
    <w:sectPr w:rsidR="00EE2A01" w:rsidRPr="001A765F" w:rsidSect="00856E7A">
      <w:headerReference w:type="default" r:id="rId22"/>
      <w:footerReference w:type="even" r:id="rId23"/>
      <w:footerReference w:type="default" r:id="rId24"/>
      <w:footerReference w:type="first" r:id="rId25"/>
      <w:pgSz w:w="12240" w:h="15840"/>
      <w:pgMar w:top="1481" w:right="1435" w:bottom="149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84FA" w14:textId="77777777" w:rsidR="00856E7A" w:rsidRDefault="00856E7A">
      <w:pPr>
        <w:spacing w:after="0" w:line="240" w:lineRule="auto"/>
      </w:pPr>
      <w:r>
        <w:separator/>
      </w:r>
    </w:p>
  </w:endnote>
  <w:endnote w:type="continuationSeparator" w:id="0">
    <w:p w14:paraId="65774E33" w14:textId="77777777" w:rsidR="00856E7A" w:rsidRDefault="0085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E02B" w14:textId="77777777" w:rsidR="00F57072" w:rsidRDefault="00F57072">
    <w:pPr>
      <w:spacing w:after="0" w:line="259" w:lineRule="auto"/>
      <w:ind w:left="0" w:right="2" w:firstLine="0"/>
      <w:jc w:val="center"/>
    </w:pPr>
    <w:r>
      <w:fldChar w:fldCharType="begin"/>
    </w:r>
    <w:r w:rsidR="006A7F99">
      <w:instrText xml:space="preserve"> PAGE   \* MERGEFORMAT </w:instrText>
    </w:r>
    <w:r>
      <w:rPr>
        <w:color w:val="000000"/>
      </w:rPr>
      <w:instrText>1</w:instrText>
    </w:r>
    <w:r>
      <w:rPr>
        <w:color w:val="000000"/>
      </w:rPr>
      <w:fldChar w:fldCharType="end"/>
    </w:r>
    <w:r>
      <w:rPr>
        <w:color w:val="000000"/>
      </w:rPr>
      <w:t xml:space="preserve"> </w:t>
    </w:r>
  </w:p>
  <w:p w14:paraId="67B48312" w14:textId="77777777" w:rsidR="00F57072" w:rsidRDefault="00F57072">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5775" w14:textId="6E109AFD" w:rsidR="00F57072" w:rsidRPr="00920D78" w:rsidRDefault="00F57072">
    <w:pPr>
      <w:spacing w:after="0" w:line="259" w:lineRule="auto"/>
      <w:ind w:left="0" w:right="0" w:firstLine="0"/>
      <w:jc w:val="left"/>
      <w:rPr>
        <w:lang w:val="fr-FR"/>
      </w:rPr>
    </w:pPr>
    <w:r w:rsidRPr="00920D78">
      <w:rPr>
        <w:lang w:val="fr-FR"/>
      </w:rPr>
      <w:t>Page </w:t>
    </w:r>
    <w:r>
      <w:rPr>
        <w:b/>
      </w:rPr>
      <w:fldChar w:fldCharType="begin"/>
    </w:r>
    <w:r w:rsidRPr="00920D78">
      <w:rPr>
        <w:b/>
        <w:lang w:val="fr-FR"/>
      </w:rPr>
      <w:instrText xml:space="preserve"> PAGE  \* Arabic  \* MERGEFORMAT </w:instrText>
    </w:r>
    <w:r>
      <w:rPr>
        <w:b/>
      </w:rPr>
      <w:fldChar w:fldCharType="separate"/>
    </w:r>
    <w:r w:rsidR="006A7F99" w:rsidRPr="00920D78">
      <w:rPr>
        <w:b/>
        <w:noProof/>
        <w:lang w:val="fr-FR"/>
      </w:rPr>
      <w:t>1</w:t>
    </w:r>
    <w:r>
      <w:rPr>
        <w:b/>
      </w:rPr>
      <w:fldChar w:fldCharType="end"/>
    </w:r>
    <w:r w:rsidRPr="00920D78">
      <w:rPr>
        <w:lang w:val="fr-FR"/>
      </w:rPr>
      <w:t xml:space="preserve"> de </w:t>
    </w:r>
    <w:r w:rsidR="00E71C18">
      <w:fldChar w:fldCharType="begin"/>
    </w:r>
    <w:r w:rsidR="00E71C18" w:rsidRPr="00920D78">
      <w:rPr>
        <w:lang w:val="fr-FR"/>
      </w:rPr>
      <w:instrText xml:space="preserve"> NUMPAGES  \* Arabic  \* MERGEFORMAT </w:instrText>
    </w:r>
    <w:r w:rsidR="00E71C18">
      <w:fldChar w:fldCharType="separate"/>
    </w:r>
    <w:r w:rsidR="006A7F99" w:rsidRPr="00920D78">
      <w:rPr>
        <w:b/>
        <w:noProof/>
        <w:lang w:val="fr-FR"/>
      </w:rPr>
      <w:t>1</w:t>
    </w:r>
    <w:r w:rsidR="00E71C18">
      <w:rPr>
        <w:b/>
        <w:noProof/>
      </w:rPr>
      <w:fldChar w:fldCharType="end"/>
    </w:r>
    <w:r w:rsidRPr="00920D78">
      <w:rPr>
        <w:lang w:val="fr-FR"/>
      </w:rPr>
      <w:t xml:space="preserve"> pages                            Date </w:t>
    </w:r>
    <w:r w:rsidR="00D7200C">
      <w:rPr>
        <w:lang w:val="fr-FR"/>
      </w:rPr>
      <w:t>d’entrée en vigueur</w:t>
    </w:r>
    <w:r w:rsidRPr="00920D78">
      <w:rPr>
        <w:lang w:val="fr-FR"/>
      </w:rPr>
      <w:t xml:space="preserve"> :    </w:t>
    </w:r>
    <w:r w:rsidR="00D7200C" w:rsidRPr="00D7200C">
      <w:rPr>
        <w:lang w:val="fr-FR"/>
      </w:rPr>
      <w:t>01/01/2017</w:t>
    </w:r>
    <w:r w:rsidRPr="00920D78">
      <w:rPr>
        <w:lang w:val="fr-FR"/>
      </w:rPr>
      <w:t xml:space="preserve">                                Version # : </w:t>
    </w:r>
    <w:sdt>
      <w:sdtPr>
        <w:rPr>
          <w:lang w:val="fr-FR"/>
        </w:rPr>
        <w:alias w:val="POPPRefItemVersion"/>
        <w:tag w:val="UNDP_POPP_REFITEM_VERSION"/>
        <w:id w:val="64775653"/>
        <w:placeholder>
          <w:docPart w:val="ED7AC812C59E4BAD894408DAF2A3831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7D6C8B8-FD33-4BD9-96CD-D28C3381C3E3}"/>
        <w:text/>
      </w:sdtPr>
      <w:sdtContent>
        <w:r w:rsidR="00610B35">
          <w:rPr>
            <w:lang w:val="fr-FR"/>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1385" w14:textId="77777777" w:rsidR="00F57072" w:rsidRDefault="00F57072">
    <w:pPr>
      <w:spacing w:after="0" w:line="259" w:lineRule="auto"/>
      <w:ind w:left="0" w:right="2"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33AA9289" w14:textId="77777777" w:rsidR="00F57072" w:rsidRDefault="00F57072">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18C0" w14:textId="77777777" w:rsidR="00856E7A" w:rsidRDefault="00856E7A">
      <w:pPr>
        <w:spacing w:after="0" w:line="240" w:lineRule="auto"/>
      </w:pPr>
      <w:r>
        <w:separator/>
      </w:r>
    </w:p>
  </w:footnote>
  <w:footnote w:type="continuationSeparator" w:id="0">
    <w:p w14:paraId="15E24DAD" w14:textId="77777777" w:rsidR="00856E7A" w:rsidRDefault="0085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5B3" w14:textId="77777777" w:rsidR="00F57072" w:rsidRDefault="00F57072" w:rsidP="00760B35">
    <w:pPr>
      <w:pStyle w:val="Header"/>
      <w:jc w:val="right"/>
    </w:pPr>
    <w:r>
      <w:rPr>
        <w:noProof/>
      </w:rPr>
      <w:drawing>
        <wp:inline distT="0" distB="0" distL="0" distR="0" wp14:anchorId="037239EE" wp14:editId="02EE152D">
          <wp:extent cx="321906" cy="583163"/>
          <wp:effectExtent l="0" t="0" r="254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632" b="17040"/>
                  <a:stretch/>
                </pic:blipFill>
                <pic:spPr bwMode="auto">
                  <a:xfrm>
                    <a:off x="0" y="0"/>
                    <a:ext cx="326735" cy="591912"/>
                  </a:xfrm>
                  <a:prstGeom prst="rect">
                    <a:avLst/>
                  </a:prstGeom>
                  <a:ln>
                    <a:noFill/>
                  </a:ln>
                  <a:extLst>
                    <a:ext uri="{53640926-AAD7-44D8-BBD7-CCE9431645EC}">
                      <a14:shadowObscured xmlns:a14="http://schemas.microsoft.com/office/drawing/2010/main"/>
                    </a:ext>
                  </a:extLst>
                </pic:spPr>
              </pic:pic>
            </a:graphicData>
          </a:graphic>
        </wp:inline>
      </w:drawing>
    </w:r>
  </w:p>
  <w:p w14:paraId="34D65118" w14:textId="77777777" w:rsidR="00F57072" w:rsidRDefault="00F57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598D"/>
    <w:multiLevelType w:val="hybridMultilevel"/>
    <w:tmpl w:val="8D94036C"/>
    <w:lvl w:ilvl="0" w:tplc="A6243856">
      <w:start w:val="27"/>
      <w:numFmt w:val="decimal"/>
      <w:lvlText w:val="%1."/>
      <w:lvlJc w:val="left"/>
      <w:pPr>
        <w:ind w:left="720" w:hanging="360"/>
      </w:pPr>
    </w:lvl>
    <w:lvl w:ilvl="1" w:tplc="CA0A71B6">
      <w:start w:val="1"/>
      <w:numFmt w:val="lowerLetter"/>
      <w:lvlText w:val="%2."/>
      <w:lvlJc w:val="left"/>
      <w:pPr>
        <w:ind w:left="1440" w:hanging="360"/>
      </w:pPr>
    </w:lvl>
    <w:lvl w:ilvl="2" w:tplc="CB7E2070">
      <w:start w:val="1"/>
      <w:numFmt w:val="lowerRoman"/>
      <w:lvlText w:val="%3."/>
      <w:lvlJc w:val="right"/>
      <w:pPr>
        <w:ind w:left="2160" w:hanging="180"/>
      </w:pPr>
    </w:lvl>
    <w:lvl w:ilvl="3" w:tplc="CC06AB38">
      <w:start w:val="1"/>
      <w:numFmt w:val="decimal"/>
      <w:lvlText w:val="%4."/>
      <w:lvlJc w:val="left"/>
      <w:pPr>
        <w:ind w:left="2880" w:hanging="360"/>
      </w:pPr>
    </w:lvl>
    <w:lvl w:ilvl="4" w:tplc="2D9E7870">
      <w:start w:val="1"/>
      <w:numFmt w:val="lowerLetter"/>
      <w:lvlText w:val="%5."/>
      <w:lvlJc w:val="left"/>
      <w:pPr>
        <w:ind w:left="3600" w:hanging="360"/>
      </w:pPr>
    </w:lvl>
    <w:lvl w:ilvl="5" w:tplc="071C233A">
      <w:start w:val="1"/>
      <w:numFmt w:val="lowerRoman"/>
      <w:lvlText w:val="%6."/>
      <w:lvlJc w:val="right"/>
      <w:pPr>
        <w:ind w:left="4320" w:hanging="180"/>
      </w:pPr>
    </w:lvl>
    <w:lvl w:ilvl="6" w:tplc="BCD0F1E2">
      <w:start w:val="1"/>
      <w:numFmt w:val="decimal"/>
      <w:lvlText w:val="%7."/>
      <w:lvlJc w:val="left"/>
      <w:pPr>
        <w:ind w:left="5040" w:hanging="360"/>
      </w:pPr>
    </w:lvl>
    <w:lvl w:ilvl="7" w:tplc="EBF6DF04">
      <w:start w:val="1"/>
      <w:numFmt w:val="lowerLetter"/>
      <w:lvlText w:val="%8."/>
      <w:lvlJc w:val="left"/>
      <w:pPr>
        <w:ind w:left="5760" w:hanging="360"/>
      </w:pPr>
    </w:lvl>
    <w:lvl w:ilvl="8" w:tplc="28A460D8">
      <w:start w:val="1"/>
      <w:numFmt w:val="lowerRoman"/>
      <w:lvlText w:val="%9."/>
      <w:lvlJc w:val="right"/>
      <w:pPr>
        <w:ind w:left="6480" w:hanging="180"/>
      </w:pPr>
    </w:lvl>
  </w:abstractNum>
  <w:abstractNum w:abstractNumId="1" w15:restartNumberingAfterBreak="0">
    <w:nsid w:val="08235F31"/>
    <w:multiLevelType w:val="hybridMultilevel"/>
    <w:tmpl w:val="6EC29DDA"/>
    <w:lvl w:ilvl="0" w:tplc="FFFFFFFF">
      <w:start w:val="16"/>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057A92E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510440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68E5AF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D2667E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5CD494A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160DED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D50894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6A4770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8D87EB2"/>
    <w:multiLevelType w:val="hybridMultilevel"/>
    <w:tmpl w:val="703C3050"/>
    <w:lvl w:ilvl="0" w:tplc="D066663A">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650947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612C0A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B002F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385F7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16A7AC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4ECC2E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3F0856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B621AB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0D1764B0"/>
    <w:multiLevelType w:val="hybridMultilevel"/>
    <w:tmpl w:val="FAAAE0C2"/>
    <w:lvl w:ilvl="0" w:tplc="F6CA516A">
      <w:start w:val="16"/>
      <w:numFmt w:val="decimal"/>
      <w:lvlText w:val="%1."/>
      <w:lvlJc w:val="left"/>
      <w:pPr>
        <w:ind w:left="720" w:hanging="360"/>
      </w:pPr>
    </w:lvl>
    <w:lvl w:ilvl="1" w:tplc="AA226008">
      <w:start w:val="1"/>
      <w:numFmt w:val="lowerLetter"/>
      <w:lvlText w:val="%2."/>
      <w:lvlJc w:val="left"/>
      <w:pPr>
        <w:ind w:left="1440" w:hanging="360"/>
      </w:pPr>
    </w:lvl>
    <w:lvl w:ilvl="2" w:tplc="AC50236E">
      <w:start w:val="1"/>
      <w:numFmt w:val="lowerRoman"/>
      <w:lvlText w:val="%3."/>
      <w:lvlJc w:val="right"/>
      <w:pPr>
        <w:ind w:left="2160" w:hanging="180"/>
      </w:pPr>
    </w:lvl>
    <w:lvl w:ilvl="3" w:tplc="BF0CC884">
      <w:start w:val="1"/>
      <w:numFmt w:val="decimal"/>
      <w:lvlText w:val="%4."/>
      <w:lvlJc w:val="left"/>
      <w:pPr>
        <w:ind w:left="2880" w:hanging="360"/>
      </w:pPr>
    </w:lvl>
    <w:lvl w:ilvl="4" w:tplc="F8E883E0">
      <w:start w:val="1"/>
      <w:numFmt w:val="lowerLetter"/>
      <w:lvlText w:val="%5."/>
      <w:lvlJc w:val="left"/>
      <w:pPr>
        <w:ind w:left="3600" w:hanging="360"/>
      </w:pPr>
    </w:lvl>
    <w:lvl w:ilvl="5" w:tplc="8EC24780">
      <w:start w:val="1"/>
      <w:numFmt w:val="lowerRoman"/>
      <w:lvlText w:val="%6."/>
      <w:lvlJc w:val="right"/>
      <w:pPr>
        <w:ind w:left="4320" w:hanging="180"/>
      </w:pPr>
    </w:lvl>
    <w:lvl w:ilvl="6" w:tplc="841A46C4">
      <w:start w:val="1"/>
      <w:numFmt w:val="decimal"/>
      <w:lvlText w:val="%7."/>
      <w:lvlJc w:val="left"/>
      <w:pPr>
        <w:ind w:left="5040" w:hanging="360"/>
      </w:pPr>
    </w:lvl>
    <w:lvl w:ilvl="7" w:tplc="639A8CBC">
      <w:start w:val="1"/>
      <w:numFmt w:val="lowerLetter"/>
      <w:lvlText w:val="%8."/>
      <w:lvlJc w:val="left"/>
      <w:pPr>
        <w:ind w:left="5760" w:hanging="360"/>
      </w:pPr>
    </w:lvl>
    <w:lvl w:ilvl="8" w:tplc="A18059BA">
      <w:start w:val="1"/>
      <w:numFmt w:val="lowerRoman"/>
      <w:lvlText w:val="%9."/>
      <w:lvlJc w:val="right"/>
      <w:pPr>
        <w:ind w:left="6480" w:hanging="180"/>
      </w:pPr>
    </w:lvl>
  </w:abstractNum>
  <w:abstractNum w:abstractNumId="4" w15:restartNumberingAfterBreak="0">
    <w:nsid w:val="0FFD22AB"/>
    <w:multiLevelType w:val="hybridMultilevel"/>
    <w:tmpl w:val="56B0386C"/>
    <w:lvl w:ilvl="0" w:tplc="CEFE9B16">
      <w:start w:val="16"/>
      <w:numFmt w:val="decimal"/>
      <w:lvlText w:val="%1."/>
      <w:lvlJc w:val="left"/>
      <w:pPr>
        <w:ind w:left="720" w:hanging="360"/>
      </w:pPr>
    </w:lvl>
    <w:lvl w:ilvl="1" w:tplc="3B92C37A">
      <w:start w:val="1"/>
      <w:numFmt w:val="lowerLetter"/>
      <w:lvlText w:val="%2."/>
      <w:lvlJc w:val="left"/>
      <w:pPr>
        <w:ind w:left="1440" w:hanging="360"/>
      </w:pPr>
    </w:lvl>
    <w:lvl w:ilvl="2" w:tplc="90545608">
      <w:start w:val="1"/>
      <w:numFmt w:val="lowerRoman"/>
      <w:lvlText w:val="%3."/>
      <w:lvlJc w:val="right"/>
      <w:pPr>
        <w:ind w:left="2160" w:hanging="180"/>
      </w:pPr>
    </w:lvl>
    <w:lvl w:ilvl="3" w:tplc="026C2FF8">
      <w:start w:val="1"/>
      <w:numFmt w:val="decimal"/>
      <w:lvlText w:val="%4."/>
      <w:lvlJc w:val="left"/>
      <w:pPr>
        <w:ind w:left="2880" w:hanging="360"/>
      </w:pPr>
    </w:lvl>
    <w:lvl w:ilvl="4" w:tplc="BF547CCC">
      <w:start w:val="1"/>
      <w:numFmt w:val="lowerLetter"/>
      <w:lvlText w:val="%5."/>
      <w:lvlJc w:val="left"/>
      <w:pPr>
        <w:ind w:left="3600" w:hanging="360"/>
      </w:pPr>
    </w:lvl>
    <w:lvl w:ilvl="5" w:tplc="45263486">
      <w:start w:val="1"/>
      <w:numFmt w:val="lowerRoman"/>
      <w:lvlText w:val="%6."/>
      <w:lvlJc w:val="right"/>
      <w:pPr>
        <w:ind w:left="4320" w:hanging="180"/>
      </w:pPr>
    </w:lvl>
    <w:lvl w:ilvl="6" w:tplc="74788D4E">
      <w:start w:val="1"/>
      <w:numFmt w:val="decimal"/>
      <w:lvlText w:val="%7."/>
      <w:lvlJc w:val="left"/>
      <w:pPr>
        <w:ind w:left="5040" w:hanging="360"/>
      </w:pPr>
    </w:lvl>
    <w:lvl w:ilvl="7" w:tplc="614E6FE0">
      <w:start w:val="1"/>
      <w:numFmt w:val="lowerLetter"/>
      <w:lvlText w:val="%8."/>
      <w:lvlJc w:val="left"/>
      <w:pPr>
        <w:ind w:left="5760" w:hanging="360"/>
      </w:pPr>
    </w:lvl>
    <w:lvl w:ilvl="8" w:tplc="72D6EA60">
      <w:start w:val="1"/>
      <w:numFmt w:val="lowerRoman"/>
      <w:lvlText w:val="%9."/>
      <w:lvlJc w:val="right"/>
      <w:pPr>
        <w:ind w:left="6480" w:hanging="180"/>
      </w:pPr>
    </w:lvl>
  </w:abstractNum>
  <w:abstractNum w:abstractNumId="5" w15:restartNumberingAfterBreak="0">
    <w:nsid w:val="124346EA"/>
    <w:multiLevelType w:val="hybridMultilevel"/>
    <w:tmpl w:val="A6EA053C"/>
    <w:lvl w:ilvl="0" w:tplc="FFFFFFFF">
      <w:start w:val="27"/>
      <w:numFmt w:val="decimal"/>
      <w:lvlText w:val="%1."/>
      <w:lvlJc w:val="left"/>
      <w:pPr>
        <w:ind w:left="705"/>
      </w:pPr>
      <w:rPr>
        <w:b w:val="0"/>
        <w:i w:val="0"/>
        <w:strike w:val="0"/>
        <w:dstrike w:val="0"/>
        <w:color w:val="333333"/>
        <w:sz w:val="22"/>
        <w:szCs w:val="22"/>
        <w:u w:val="none" w:color="000000"/>
        <w:bdr w:val="none" w:sz="0" w:space="0" w:color="auto"/>
        <w:shd w:val="clear" w:color="auto" w:fill="auto"/>
        <w:vertAlign w:val="baseline"/>
      </w:rPr>
    </w:lvl>
    <w:lvl w:ilvl="1" w:tplc="E2CA247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DAEB52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3C8E2A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AE6508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F3C14F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B5844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BC021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A92051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19134BF"/>
    <w:multiLevelType w:val="hybridMultilevel"/>
    <w:tmpl w:val="92462AE0"/>
    <w:lvl w:ilvl="0" w:tplc="3D207158">
      <w:start w:val="16"/>
      <w:numFmt w:val="decimal"/>
      <w:lvlText w:val="%1."/>
      <w:lvlJc w:val="left"/>
      <w:pPr>
        <w:ind w:left="720" w:hanging="360"/>
      </w:pPr>
    </w:lvl>
    <w:lvl w:ilvl="1" w:tplc="A0A6AE86">
      <w:start w:val="1"/>
      <w:numFmt w:val="lowerLetter"/>
      <w:lvlText w:val="%2."/>
      <w:lvlJc w:val="left"/>
      <w:pPr>
        <w:ind w:left="1440" w:hanging="360"/>
      </w:pPr>
    </w:lvl>
    <w:lvl w:ilvl="2" w:tplc="E6BC47F4">
      <w:start w:val="1"/>
      <w:numFmt w:val="lowerRoman"/>
      <w:lvlText w:val="%3."/>
      <w:lvlJc w:val="right"/>
      <w:pPr>
        <w:ind w:left="2160" w:hanging="180"/>
      </w:pPr>
    </w:lvl>
    <w:lvl w:ilvl="3" w:tplc="E0B4F79C">
      <w:start w:val="1"/>
      <w:numFmt w:val="decimal"/>
      <w:lvlText w:val="%4."/>
      <w:lvlJc w:val="left"/>
      <w:pPr>
        <w:ind w:left="2880" w:hanging="360"/>
      </w:pPr>
    </w:lvl>
    <w:lvl w:ilvl="4" w:tplc="E274F6CA">
      <w:start w:val="1"/>
      <w:numFmt w:val="lowerLetter"/>
      <w:lvlText w:val="%5."/>
      <w:lvlJc w:val="left"/>
      <w:pPr>
        <w:ind w:left="3600" w:hanging="360"/>
      </w:pPr>
    </w:lvl>
    <w:lvl w:ilvl="5" w:tplc="421CA584">
      <w:start w:val="1"/>
      <w:numFmt w:val="lowerRoman"/>
      <w:lvlText w:val="%6."/>
      <w:lvlJc w:val="right"/>
      <w:pPr>
        <w:ind w:left="4320" w:hanging="180"/>
      </w:pPr>
    </w:lvl>
    <w:lvl w:ilvl="6" w:tplc="679655E0">
      <w:start w:val="1"/>
      <w:numFmt w:val="decimal"/>
      <w:lvlText w:val="%7."/>
      <w:lvlJc w:val="left"/>
      <w:pPr>
        <w:ind w:left="5040" w:hanging="360"/>
      </w:pPr>
    </w:lvl>
    <w:lvl w:ilvl="7" w:tplc="E39ED5CE">
      <w:start w:val="1"/>
      <w:numFmt w:val="lowerLetter"/>
      <w:lvlText w:val="%8."/>
      <w:lvlJc w:val="left"/>
      <w:pPr>
        <w:ind w:left="5760" w:hanging="360"/>
      </w:pPr>
    </w:lvl>
    <w:lvl w:ilvl="8" w:tplc="BD3C5992">
      <w:start w:val="1"/>
      <w:numFmt w:val="lowerRoman"/>
      <w:lvlText w:val="%9."/>
      <w:lvlJc w:val="right"/>
      <w:pPr>
        <w:ind w:left="6480" w:hanging="180"/>
      </w:pPr>
    </w:lvl>
  </w:abstractNum>
  <w:abstractNum w:abstractNumId="7" w15:restartNumberingAfterBreak="0">
    <w:nsid w:val="4E99069A"/>
    <w:multiLevelType w:val="hybridMultilevel"/>
    <w:tmpl w:val="F498FA56"/>
    <w:lvl w:ilvl="0" w:tplc="75022C28">
      <w:start w:val="27"/>
      <w:numFmt w:val="decimal"/>
      <w:lvlText w:val="%1."/>
      <w:lvlJc w:val="left"/>
      <w:pPr>
        <w:ind w:left="720" w:hanging="360"/>
      </w:pPr>
    </w:lvl>
    <w:lvl w:ilvl="1" w:tplc="529241EC">
      <w:start w:val="1"/>
      <w:numFmt w:val="lowerLetter"/>
      <w:lvlText w:val="%2."/>
      <w:lvlJc w:val="left"/>
      <w:pPr>
        <w:ind w:left="1440" w:hanging="360"/>
      </w:pPr>
    </w:lvl>
    <w:lvl w:ilvl="2" w:tplc="4AB0D05A">
      <w:start w:val="1"/>
      <w:numFmt w:val="lowerRoman"/>
      <w:lvlText w:val="%3."/>
      <w:lvlJc w:val="right"/>
      <w:pPr>
        <w:ind w:left="2160" w:hanging="180"/>
      </w:pPr>
    </w:lvl>
    <w:lvl w:ilvl="3" w:tplc="C3E01602">
      <w:start w:val="1"/>
      <w:numFmt w:val="decimal"/>
      <w:lvlText w:val="%4."/>
      <w:lvlJc w:val="left"/>
      <w:pPr>
        <w:ind w:left="2880" w:hanging="360"/>
      </w:pPr>
    </w:lvl>
    <w:lvl w:ilvl="4" w:tplc="8CAACE76">
      <w:start w:val="1"/>
      <w:numFmt w:val="lowerLetter"/>
      <w:lvlText w:val="%5."/>
      <w:lvlJc w:val="left"/>
      <w:pPr>
        <w:ind w:left="3600" w:hanging="360"/>
      </w:pPr>
    </w:lvl>
    <w:lvl w:ilvl="5" w:tplc="0FDE1B3C">
      <w:start w:val="1"/>
      <w:numFmt w:val="lowerRoman"/>
      <w:lvlText w:val="%6."/>
      <w:lvlJc w:val="right"/>
      <w:pPr>
        <w:ind w:left="4320" w:hanging="180"/>
      </w:pPr>
    </w:lvl>
    <w:lvl w:ilvl="6" w:tplc="42123E78">
      <w:start w:val="1"/>
      <w:numFmt w:val="decimal"/>
      <w:lvlText w:val="%7."/>
      <w:lvlJc w:val="left"/>
      <w:pPr>
        <w:ind w:left="5040" w:hanging="360"/>
      </w:pPr>
    </w:lvl>
    <w:lvl w:ilvl="7" w:tplc="DFE2A5E0">
      <w:start w:val="1"/>
      <w:numFmt w:val="lowerLetter"/>
      <w:lvlText w:val="%8."/>
      <w:lvlJc w:val="left"/>
      <w:pPr>
        <w:ind w:left="5760" w:hanging="360"/>
      </w:pPr>
    </w:lvl>
    <w:lvl w:ilvl="8" w:tplc="05D66548">
      <w:start w:val="1"/>
      <w:numFmt w:val="lowerRoman"/>
      <w:lvlText w:val="%9."/>
      <w:lvlJc w:val="right"/>
      <w:pPr>
        <w:ind w:left="6480" w:hanging="180"/>
      </w:pPr>
    </w:lvl>
  </w:abstractNum>
  <w:abstractNum w:abstractNumId="8" w15:restartNumberingAfterBreak="0">
    <w:nsid w:val="57A409A8"/>
    <w:multiLevelType w:val="hybridMultilevel"/>
    <w:tmpl w:val="25F0B5F8"/>
    <w:lvl w:ilvl="0" w:tplc="8B12C6B6">
      <w:start w:val="16"/>
      <w:numFmt w:val="decimal"/>
      <w:lvlText w:val="%1."/>
      <w:lvlJc w:val="left"/>
      <w:pPr>
        <w:ind w:left="720" w:hanging="360"/>
      </w:pPr>
    </w:lvl>
    <w:lvl w:ilvl="1" w:tplc="B0125790">
      <w:start w:val="1"/>
      <w:numFmt w:val="lowerLetter"/>
      <w:lvlText w:val="%2."/>
      <w:lvlJc w:val="left"/>
      <w:pPr>
        <w:ind w:left="1440" w:hanging="360"/>
      </w:pPr>
    </w:lvl>
    <w:lvl w:ilvl="2" w:tplc="8C6C9E92">
      <w:start w:val="1"/>
      <w:numFmt w:val="lowerRoman"/>
      <w:lvlText w:val="%3."/>
      <w:lvlJc w:val="right"/>
      <w:pPr>
        <w:ind w:left="2160" w:hanging="180"/>
      </w:pPr>
    </w:lvl>
    <w:lvl w:ilvl="3" w:tplc="DCB6C31C">
      <w:start w:val="1"/>
      <w:numFmt w:val="decimal"/>
      <w:lvlText w:val="%4."/>
      <w:lvlJc w:val="left"/>
      <w:pPr>
        <w:ind w:left="2880" w:hanging="360"/>
      </w:pPr>
    </w:lvl>
    <w:lvl w:ilvl="4" w:tplc="7FE63E58">
      <w:start w:val="1"/>
      <w:numFmt w:val="lowerLetter"/>
      <w:lvlText w:val="%5."/>
      <w:lvlJc w:val="left"/>
      <w:pPr>
        <w:ind w:left="3600" w:hanging="360"/>
      </w:pPr>
    </w:lvl>
    <w:lvl w:ilvl="5" w:tplc="22B28C24">
      <w:start w:val="1"/>
      <w:numFmt w:val="lowerRoman"/>
      <w:lvlText w:val="%6."/>
      <w:lvlJc w:val="right"/>
      <w:pPr>
        <w:ind w:left="4320" w:hanging="180"/>
      </w:pPr>
    </w:lvl>
    <w:lvl w:ilvl="6" w:tplc="E3F4AB52">
      <w:start w:val="1"/>
      <w:numFmt w:val="decimal"/>
      <w:lvlText w:val="%7."/>
      <w:lvlJc w:val="left"/>
      <w:pPr>
        <w:ind w:left="5040" w:hanging="360"/>
      </w:pPr>
    </w:lvl>
    <w:lvl w:ilvl="7" w:tplc="1ACAF84A">
      <w:start w:val="1"/>
      <w:numFmt w:val="lowerLetter"/>
      <w:lvlText w:val="%8."/>
      <w:lvlJc w:val="left"/>
      <w:pPr>
        <w:ind w:left="5760" w:hanging="360"/>
      </w:pPr>
    </w:lvl>
    <w:lvl w:ilvl="8" w:tplc="EFD66C5E">
      <w:start w:val="1"/>
      <w:numFmt w:val="lowerRoman"/>
      <w:lvlText w:val="%9."/>
      <w:lvlJc w:val="right"/>
      <w:pPr>
        <w:ind w:left="6480" w:hanging="180"/>
      </w:pPr>
    </w:lvl>
  </w:abstractNum>
  <w:abstractNum w:abstractNumId="9" w15:restartNumberingAfterBreak="0">
    <w:nsid w:val="6B11316B"/>
    <w:multiLevelType w:val="hybridMultilevel"/>
    <w:tmpl w:val="4710BDB0"/>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D11DC3"/>
    <w:multiLevelType w:val="hybridMultilevel"/>
    <w:tmpl w:val="FBAEDB16"/>
    <w:lvl w:ilvl="0" w:tplc="FFFFFFFF">
      <w:start w:val="1"/>
      <w:numFmt w:val="decimal"/>
      <w:lvlText w:val="%1."/>
      <w:lvlJc w:val="left"/>
      <w:pPr>
        <w:ind w:left="71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bullet"/>
      <w:lvlText w:val="•"/>
      <w:lvlJc w:val="left"/>
      <w:pPr>
        <w:ind w:left="1637"/>
      </w:pPr>
      <w:rPr>
        <w:rFonts w:ascii="Arial" w:hAnsi="Arial" w:hint="default"/>
        <w:b w:val="0"/>
        <w:i w:val="0"/>
        <w:strike w:val="0"/>
        <w:dstrike w:val="0"/>
        <w:color w:val="333333"/>
        <w:sz w:val="22"/>
        <w:szCs w:val="22"/>
        <w:u w:val="none" w:color="000000"/>
        <w:bdr w:val="none" w:sz="0" w:space="0" w:color="auto"/>
        <w:shd w:val="clear" w:color="auto" w:fill="auto"/>
        <w:vertAlign w:val="baseline"/>
      </w:rPr>
    </w:lvl>
    <w:lvl w:ilvl="2" w:tplc="061CD792">
      <w:start w:val="1"/>
      <w:numFmt w:val="bullet"/>
      <w:lvlText w:val="▪"/>
      <w:lvlJc w:val="left"/>
      <w:pPr>
        <w:ind w:left="23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A498EB04">
      <w:start w:val="1"/>
      <w:numFmt w:val="bullet"/>
      <w:lvlText w:val="•"/>
      <w:lvlJc w:val="left"/>
      <w:pPr>
        <w:ind w:left="30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000AEFA">
      <w:start w:val="1"/>
      <w:numFmt w:val="bullet"/>
      <w:lvlText w:val="o"/>
      <w:lvlJc w:val="left"/>
      <w:pPr>
        <w:ind w:left="379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776D0D4">
      <w:start w:val="1"/>
      <w:numFmt w:val="bullet"/>
      <w:lvlText w:val="▪"/>
      <w:lvlJc w:val="left"/>
      <w:pPr>
        <w:ind w:left="451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AD632FC">
      <w:start w:val="1"/>
      <w:numFmt w:val="bullet"/>
      <w:lvlText w:val="•"/>
      <w:lvlJc w:val="left"/>
      <w:pPr>
        <w:ind w:left="52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ECC3C02">
      <w:start w:val="1"/>
      <w:numFmt w:val="bullet"/>
      <w:lvlText w:val="o"/>
      <w:lvlJc w:val="left"/>
      <w:pPr>
        <w:ind w:left="59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370F21E">
      <w:start w:val="1"/>
      <w:numFmt w:val="bullet"/>
      <w:lvlText w:val="▪"/>
      <w:lvlJc w:val="left"/>
      <w:pPr>
        <w:ind w:left="667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72C24259"/>
    <w:multiLevelType w:val="hybridMultilevel"/>
    <w:tmpl w:val="041294E4"/>
    <w:lvl w:ilvl="0" w:tplc="88B4D6F0">
      <w:start w:val="1"/>
      <w:numFmt w:val="bullet"/>
      <w:lvlText w:val="•"/>
      <w:lvlJc w:val="left"/>
      <w:pPr>
        <w:ind w:left="14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1" w:tplc="520858E0">
      <w:start w:val="1"/>
      <w:numFmt w:val="bullet"/>
      <w:lvlText w:val="o"/>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2" w:tplc="FE8AB3EC">
      <w:start w:val="1"/>
      <w:numFmt w:val="bullet"/>
      <w:lvlText w:val="▪"/>
      <w:lvlJc w:val="left"/>
      <w:pPr>
        <w:ind w:left="28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06B81CE8">
      <w:start w:val="1"/>
      <w:numFmt w:val="bullet"/>
      <w:lvlText w:val="•"/>
      <w:lvlJc w:val="left"/>
      <w:pPr>
        <w:ind w:left="360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38C2EA76">
      <w:start w:val="1"/>
      <w:numFmt w:val="bullet"/>
      <w:lvlText w:val="o"/>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797AA974">
      <w:start w:val="1"/>
      <w:numFmt w:val="bullet"/>
      <w:lvlText w:val="▪"/>
      <w:lvlJc w:val="left"/>
      <w:pPr>
        <w:ind w:left="504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4E5ECCC4">
      <w:start w:val="1"/>
      <w:numFmt w:val="bullet"/>
      <w:lvlText w:val="•"/>
      <w:lvlJc w:val="left"/>
      <w:pPr>
        <w:ind w:left="576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14BAA722">
      <w:start w:val="1"/>
      <w:numFmt w:val="bullet"/>
      <w:lvlText w:val="o"/>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448C2C4E">
      <w:start w:val="1"/>
      <w:numFmt w:val="bullet"/>
      <w:lvlText w:val="▪"/>
      <w:lvlJc w:val="left"/>
      <w:pPr>
        <w:ind w:left="72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12" w15:restartNumberingAfterBreak="0">
    <w:nsid w:val="75D54EB4"/>
    <w:multiLevelType w:val="hybridMultilevel"/>
    <w:tmpl w:val="27B229C4"/>
    <w:lvl w:ilvl="0" w:tplc="9B7C8F12">
      <w:start w:val="16"/>
      <w:numFmt w:val="decimal"/>
      <w:lvlText w:val="%1."/>
      <w:lvlJc w:val="left"/>
      <w:pPr>
        <w:ind w:left="720" w:hanging="360"/>
      </w:pPr>
    </w:lvl>
    <w:lvl w:ilvl="1" w:tplc="49607FAA">
      <w:start w:val="1"/>
      <w:numFmt w:val="lowerLetter"/>
      <w:lvlText w:val="%2."/>
      <w:lvlJc w:val="left"/>
      <w:pPr>
        <w:ind w:left="1440" w:hanging="360"/>
      </w:pPr>
    </w:lvl>
    <w:lvl w:ilvl="2" w:tplc="FFBC95D6">
      <w:start w:val="1"/>
      <w:numFmt w:val="lowerRoman"/>
      <w:lvlText w:val="%3."/>
      <w:lvlJc w:val="right"/>
      <w:pPr>
        <w:ind w:left="2160" w:hanging="180"/>
      </w:pPr>
    </w:lvl>
    <w:lvl w:ilvl="3" w:tplc="DBA4DB66">
      <w:start w:val="1"/>
      <w:numFmt w:val="decimal"/>
      <w:lvlText w:val="%4."/>
      <w:lvlJc w:val="left"/>
      <w:pPr>
        <w:ind w:left="2880" w:hanging="360"/>
      </w:pPr>
    </w:lvl>
    <w:lvl w:ilvl="4" w:tplc="52FA90BE">
      <w:start w:val="1"/>
      <w:numFmt w:val="lowerLetter"/>
      <w:lvlText w:val="%5."/>
      <w:lvlJc w:val="left"/>
      <w:pPr>
        <w:ind w:left="3600" w:hanging="360"/>
      </w:pPr>
    </w:lvl>
    <w:lvl w:ilvl="5" w:tplc="5E36C4FA">
      <w:start w:val="1"/>
      <w:numFmt w:val="lowerRoman"/>
      <w:lvlText w:val="%6."/>
      <w:lvlJc w:val="right"/>
      <w:pPr>
        <w:ind w:left="4320" w:hanging="180"/>
      </w:pPr>
    </w:lvl>
    <w:lvl w:ilvl="6" w:tplc="46408888">
      <w:start w:val="1"/>
      <w:numFmt w:val="decimal"/>
      <w:lvlText w:val="%7."/>
      <w:lvlJc w:val="left"/>
      <w:pPr>
        <w:ind w:left="5040" w:hanging="360"/>
      </w:pPr>
    </w:lvl>
    <w:lvl w:ilvl="7" w:tplc="534E635C">
      <w:start w:val="1"/>
      <w:numFmt w:val="lowerLetter"/>
      <w:lvlText w:val="%8."/>
      <w:lvlJc w:val="left"/>
      <w:pPr>
        <w:ind w:left="5760" w:hanging="360"/>
      </w:pPr>
    </w:lvl>
    <w:lvl w:ilvl="8" w:tplc="324C1218">
      <w:start w:val="1"/>
      <w:numFmt w:val="lowerRoman"/>
      <w:lvlText w:val="%9."/>
      <w:lvlJc w:val="right"/>
      <w:pPr>
        <w:ind w:left="6480" w:hanging="180"/>
      </w:pPr>
    </w:lvl>
  </w:abstractNum>
  <w:abstractNum w:abstractNumId="13" w15:restartNumberingAfterBreak="0">
    <w:nsid w:val="78C27B62"/>
    <w:multiLevelType w:val="hybridMultilevel"/>
    <w:tmpl w:val="63F04D18"/>
    <w:lvl w:ilvl="0" w:tplc="294EE22A">
      <w:start w:val="16"/>
      <w:numFmt w:val="decimal"/>
      <w:lvlText w:val="%1."/>
      <w:lvlJc w:val="left"/>
      <w:pPr>
        <w:ind w:left="720" w:hanging="360"/>
      </w:pPr>
    </w:lvl>
    <w:lvl w:ilvl="1" w:tplc="0EF8A396">
      <w:start w:val="1"/>
      <w:numFmt w:val="lowerLetter"/>
      <w:lvlText w:val="%2."/>
      <w:lvlJc w:val="left"/>
      <w:pPr>
        <w:ind w:left="1440" w:hanging="360"/>
      </w:pPr>
    </w:lvl>
    <w:lvl w:ilvl="2" w:tplc="55F4FBEC">
      <w:start w:val="1"/>
      <w:numFmt w:val="lowerRoman"/>
      <w:lvlText w:val="%3."/>
      <w:lvlJc w:val="right"/>
      <w:pPr>
        <w:ind w:left="2160" w:hanging="180"/>
      </w:pPr>
    </w:lvl>
    <w:lvl w:ilvl="3" w:tplc="573AA2CA">
      <w:start w:val="1"/>
      <w:numFmt w:val="decimal"/>
      <w:lvlText w:val="%4."/>
      <w:lvlJc w:val="left"/>
      <w:pPr>
        <w:ind w:left="2880" w:hanging="360"/>
      </w:pPr>
    </w:lvl>
    <w:lvl w:ilvl="4" w:tplc="8B1C2A7A">
      <w:start w:val="1"/>
      <w:numFmt w:val="lowerLetter"/>
      <w:lvlText w:val="%5."/>
      <w:lvlJc w:val="left"/>
      <w:pPr>
        <w:ind w:left="3600" w:hanging="360"/>
      </w:pPr>
    </w:lvl>
    <w:lvl w:ilvl="5" w:tplc="0CB24926">
      <w:start w:val="1"/>
      <w:numFmt w:val="lowerRoman"/>
      <w:lvlText w:val="%6."/>
      <w:lvlJc w:val="right"/>
      <w:pPr>
        <w:ind w:left="4320" w:hanging="180"/>
      </w:pPr>
    </w:lvl>
    <w:lvl w:ilvl="6" w:tplc="88ACBC12">
      <w:start w:val="1"/>
      <w:numFmt w:val="decimal"/>
      <w:lvlText w:val="%7."/>
      <w:lvlJc w:val="left"/>
      <w:pPr>
        <w:ind w:left="5040" w:hanging="360"/>
      </w:pPr>
    </w:lvl>
    <w:lvl w:ilvl="7" w:tplc="87AE91A0">
      <w:start w:val="1"/>
      <w:numFmt w:val="lowerLetter"/>
      <w:lvlText w:val="%8."/>
      <w:lvlJc w:val="left"/>
      <w:pPr>
        <w:ind w:left="5760" w:hanging="360"/>
      </w:pPr>
    </w:lvl>
    <w:lvl w:ilvl="8" w:tplc="2A46307A">
      <w:start w:val="1"/>
      <w:numFmt w:val="lowerRoman"/>
      <w:lvlText w:val="%9."/>
      <w:lvlJc w:val="right"/>
      <w:pPr>
        <w:ind w:left="6480" w:hanging="180"/>
      </w:pPr>
    </w:lvl>
  </w:abstractNum>
  <w:abstractNum w:abstractNumId="14" w15:restartNumberingAfterBreak="0">
    <w:nsid w:val="7A600FA5"/>
    <w:multiLevelType w:val="hybridMultilevel"/>
    <w:tmpl w:val="D2F6ADAC"/>
    <w:lvl w:ilvl="0" w:tplc="3D3690B6">
      <w:start w:val="16"/>
      <w:numFmt w:val="decimal"/>
      <w:lvlText w:val="%1."/>
      <w:lvlJc w:val="left"/>
      <w:pPr>
        <w:ind w:left="720" w:hanging="360"/>
      </w:pPr>
    </w:lvl>
    <w:lvl w:ilvl="1" w:tplc="00181682">
      <w:start w:val="1"/>
      <w:numFmt w:val="lowerLetter"/>
      <w:lvlText w:val="%2."/>
      <w:lvlJc w:val="left"/>
      <w:pPr>
        <w:ind w:left="1440" w:hanging="360"/>
      </w:pPr>
    </w:lvl>
    <w:lvl w:ilvl="2" w:tplc="CD581EB6">
      <w:start w:val="1"/>
      <w:numFmt w:val="lowerRoman"/>
      <w:lvlText w:val="%3."/>
      <w:lvlJc w:val="right"/>
      <w:pPr>
        <w:ind w:left="2160" w:hanging="180"/>
      </w:pPr>
    </w:lvl>
    <w:lvl w:ilvl="3" w:tplc="98BA88EE">
      <w:start w:val="1"/>
      <w:numFmt w:val="decimal"/>
      <w:lvlText w:val="%4."/>
      <w:lvlJc w:val="left"/>
      <w:pPr>
        <w:ind w:left="2880" w:hanging="360"/>
      </w:pPr>
    </w:lvl>
    <w:lvl w:ilvl="4" w:tplc="8C7C1358">
      <w:start w:val="1"/>
      <w:numFmt w:val="lowerLetter"/>
      <w:lvlText w:val="%5."/>
      <w:lvlJc w:val="left"/>
      <w:pPr>
        <w:ind w:left="3600" w:hanging="360"/>
      </w:pPr>
    </w:lvl>
    <w:lvl w:ilvl="5" w:tplc="99D4F5E8">
      <w:start w:val="1"/>
      <w:numFmt w:val="lowerRoman"/>
      <w:lvlText w:val="%6."/>
      <w:lvlJc w:val="right"/>
      <w:pPr>
        <w:ind w:left="4320" w:hanging="180"/>
      </w:pPr>
    </w:lvl>
    <w:lvl w:ilvl="6" w:tplc="85022260">
      <w:start w:val="1"/>
      <w:numFmt w:val="decimal"/>
      <w:lvlText w:val="%7."/>
      <w:lvlJc w:val="left"/>
      <w:pPr>
        <w:ind w:left="5040" w:hanging="360"/>
      </w:pPr>
    </w:lvl>
    <w:lvl w:ilvl="7" w:tplc="3342EE8C">
      <w:start w:val="1"/>
      <w:numFmt w:val="lowerLetter"/>
      <w:lvlText w:val="%8."/>
      <w:lvlJc w:val="left"/>
      <w:pPr>
        <w:ind w:left="5760" w:hanging="360"/>
      </w:pPr>
    </w:lvl>
    <w:lvl w:ilvl="8" w:tplc="F41A3EBC">
      <w:start w:val="1"/>
      <w:numFmt w:val="lowerRoman"/>
      <w:lvlText w:val="%9."/>
      <w:lvlJc w:val="right"/>
      <w:pPr>
        <w:ind w:left="6480" w:hanging="180"/>
      </w:pPr>
    </w:lvl>
  </w:abstractNum>
  <w:abstractNum w:abstractNumId="15" w15:restartNumberingAfterBreak="0">
    <w:nsid w:val="7BDD174B"/>
    <w:multiLevelType w:val="hybridMultilevel"/>
    <w:tmpl w:val="BBB21F2C"/>
    <w:lvl w:ilvl="0" w:tplc="3F761736">
      <w:start w:val="16"/>
      <w:numFmt w:val="decimal"/>
      <w:lvlText w:val="%1."/>
      <w:lvlJc w:val="left"/>
      <w:pPr>
        <w:ind w:left="720" w:hanging="360"/>
      </w:pPr>
    </w:lvl>
    <w:lvl w:ilvl="1" w:tplc="FAF401A4">
      <w:start w:val="1"/>
      <w:numFmt w:val="lowerLetter"/>
      <w:lvlText w:val="%2."/>
      <w:lvlJc w:val="left"/>
      <w:pPr>
        <w:ind w:left="1440" w:hanging="360"/>
      </w:pPr>
    </w:lvl>
    <w:lvl w:ilvl="2" w:tplc="6DBEA43C">
      <w:start w:val="1"/>
      <w:numFmt w:val="lowerRoman"/>
      <w:lvlText w:val="%3."/>
      <w:lvlJc w:val="right"/>
      <w:pPr>
        <w:ind w:left="2160" w:hanging="180"/>
      </w:pPr>
    </w:lvl>
    <w:lvl w:ilvl="3" w:tplc="0BFAC05A">
      <w:start w:val="1"/>
      <w:numFmt w:val="decimal"/>
      <w:lvlText w:val="%4."/>
      <w:lvlJc w:val="left"/>
      <w:pPr>
        <w:ind w:left="2880" w:hanging="360"/>
      </w:pPr>
    </w:lvl>
    <w:lvl w:ilvl="4" w:tplc="E26A9C06">
      <w:start w:val="1"/>
      <w:numFmt w:val="lowerLetter"/>
      <w:lvlText w:val="%5."/>
      <w:lvlJc w:val="left"/>
      <w:pPr>
        <w:ind w:left="3600" w:hanging="360"/>
      </w:pPr>
    </w:lvl>
    <w:lvl w:ilvl="5" w:tplc="2DA6BA6E">
      <w:start w:val="1"/>
      <w:numFmt w:val="lowerRoman"/>
      <w:lvlText w:val="%6."/>
      <w:lvlJc w:val="right"/>
      <w:pPr>
        <w:ind w:left="4320" w:hanging="180"/>
      </w:pPr>
    </w:lvl>
    <w:lvl w:ilvl="6" w:tplc="9B3279C4">
      <w:start w:val="1"/>
      <w:numFmt w:val="decimal"/>
      <w:lvlText w:val="%7."/>
      <w:lvlJc w:val="left"/>
      <w:pPr>
        <w:ind w:left="5040" w:hanging="360"/>
      </w:pPr>
    </w:lvl>
    <w:lvl w:ilvl="7" w:tplc="BDCE0576">
      <w:start w:val="1"/>
      <w:numFmt w:val="lowerLetter"/>
      <w:lvlText w:val="%8."/>
      <w:lvlJc w:val="left"/>
      <w:pPr>
        <w:ind w:left="5760" w:hanging="360"/>
      </w:pPr>
    </w:lvl>
    <w:lvl w:ilvl="8" w:tplc="EEF23A5A">
      <w:start w:val="1"/>
      <w:numFmt w:val="lowerRoman"/>
      <w:lvlText w:val="%9."/>
      <w:lvlJc w:val="right"/>
      <w:pPr>
        <w:ind w:left="6480" w:hanging="180"/>
      </w:pPr>
    </w:lvl>
  </w:abstractNum>
  <w:num w:numId="1" w16cid:durableId="1215653445">
    <w:abstractNumId w:val="0"/>
  </w:num>
  <w:num w:numId="2" w16cid:durableId="385301742">
    <w:abstractNumId w:val="7"/>
  </w:num>
  <w:num w:numId="3" w16cid:durableId="1049501761">
    <w:abstractNumId w:val="13"/>
  </w:num>
  <w:num w:numId="4" w16cid:durableId="1105030147">
    <w:abstractNumId w:val="4"/>
  </w:num>
  <w:num w:numId="5" w16cid:durableId="470946657">
    <w:abstractNumId w:val="15"/>
  </w:num>
  <w:num w:numId="6" w16cid:durableId="387610969">
    <w:abstractNumId w:val="12"/>
  </w:num>
  <w:num w:numId="7" w16cid:durableId="1743288335">
    <w:abstractNumId w:val="6"/>
  </w:num>
  <w:num w:numId="8" w16cid:durableId="2063753695">
    <w:abstractNumId w:val="8"/>
  </w:num>
  <w:num w:numId="9" w16cid:durableId="1693797363">
    <w:abstractNumId w:val="14"/>
  </w:num>
  <w:num w:numId="10" w16cid:durableId="105151509">
    <w:abstractNumId w:val="3"/>
  </w:num>
  <w:num w:numId="11" w16cid:durableId="1820345068">
    <w:abstractNumId w:val="10"/>
  </w:num>
  <w:num w:numId="12" w16cid:durableId="451637509">
    <w:abstractNumId w:val="1"/>
  </w:num>
  <w:num w:numId="13" w16cid:durableId="1451245529">
    <w:abstractNumId w:val="11"/>
  </w:num>
  <w:num w:numId="14" w16cid:durableId="718284611">
    <w:abstractNumId w:val="2"/>
  </w:num>
  <w:num w:numId="15" w16cid:durableId="1763723860">
    <w:abstractNumId w:val="5"/>
  </w:num>
  <w:num w:numId="16" w16cid:durableId="10228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01"/>
    <w:rsid w:val="00053E4F"/>
    <w:rsid w:val="00057247"/>
    <w:rsid w:val="00083EAC"/>
    <w:rsid w:val="000977D3"/>
    <w:rsid w:val="000A1689"/>
    <w:rsid w:val="000A3F67"/>
    <w:rsid w:val="000B62BC"/>
    <w:rsid w:val="000C2DC5"/>
    <w:rsid w:val="000D348F"/>
    <w:rsid w:val="000D4B44"/>
    <w:rsid w:val="000E43F9"/>
    <w:rsid w:val="000E5609"/>
    <w:rsid w:val="000F4C41"/>
    <w:rsid w:val="00157534"/>
    <w:rsid w:val="00163B52"/>
    <w:rsid w:val="00186EEE"/>
    <w:rsid w:val="00197D1C"/>
    <w:rsid w:val="001A765F"/>
    <w:rsid w:val="001A7AB7"/>
    <w:rsid w:val="001B1A13"/>
    <w:rsid w:val="001B3755"/>
    <w:rsid w:val="001B4BBF"/>
    <w:rsid w:val="001B502F"/>
    <w:rsid w:val="001E56F0"/>
    <w:rsid w:val="00201123"/>
    <w:rsid w:val="00204C03"/>
    <w:rsid w:val="00235AE0"/>
    <w:rsid w:val="002559AE"/>
    <w:rsid w:val="00256833"/>
    <w:rsid w:val="00286DE3"/>
    <w:rsid w:val="002B03A8"/>
    <w:rsid w:val="002C5F61"/>
    <w:rsid w:val="003033B3"/>
    <w:rsid w:val="00306149"/>
    <w:rsid w:val="00314884"/>
    <w:rsid w:val="003425B9"/>
    <w:rsid w:val="00363014"/>
    <w:rsid w:val="003C3F36"/>
    <w:rsid w:val="003D6BC4"/>
    <w:rsid w:val="00411B1D"/>
    <w:rsid w:val="00416DED"/>
    <w:rsid w:val="00422D02"/>
    <w:rsid w:val="00431292"/>
    <w:rsid w:val="00463629"/>
    <w:rsid w:val="00465E7C"/>
    <w:rsid w:val="00485CFA"/>
    <w:rsid w:val="00487EA8"/>
    <w:rsid w:val="004904B0"/>
    <w:rsid w:val="004A5313"/>
    <w:rsid w:val="004B45FC"/>
    <w:rsid w:val="004F5DC6"/>
    <w:rsid w:val="0051529B"/>
    <w:rsid w:val="00532B26"/>
    <w:rsid w:val="00552C8A"/>
    <w:rsid w:val="005B7B34"/>
    <w:rsid w:val="005C5804"/>
    <w:rsid w:val="005D7F11"/>
    <w:rsid w:val="00610B35"/>
    <w:rsid w:val="006264C6"/>
    <w:rsid w:val="00626F6C"/>
    <w:rsid w:val="00645E16"/>
    <w:rsid w:val="00654E81"/>
    <w:rsid w:val="006A7F99"/>
    <w:rsid w:val="006C0744"/>
    <w:rsid w:val="006D0798"/>
    <w:rsid w:val="006E0597"/>
    <w:rsid w:val="00712821"/>
    <w:rsid w:val="00713AB1"/>
    <w:rsid w:val="00726A2F"/>
    <w:rsid w:val="00760B35"/>
    <w:rsid w:val="00796D0F"/>
    <w:rsid w:val="007C0920"/>
    <w:rsid w:val="007E6115"/>
    <w:rsid w:val="00821DAB"/>
    <w:rsid w:val="00841D5D"/>
    <w:rsid w:val="00854CE1"/>
    <w:rsid w:val="00856E7A"/>
    <w:rsid w:val="008D266E"/>
    <w:rsid w:val="008E0C5D"/>
    <w:rsid w:val="00913DE0"/>
    <w:rsid w:val="00920D78"/>
    <w:rsid w:val="00941C74"/>
    <w:rsid w:val="00970337"/>
    <w:rsid w:val="0098614D"/>
    <w:rsid w:val="00987F30"/>
    <w:rsid w:val="00994519"/>
    <w:rsid w:val="009D0AE0"/>
    <w:rsid w:val="009E3FFE"/>
    <w:rsid w:val="00A0347A"/>
    <w:rsid w:val="00A207DF"/>
    <w:rsid w:val="00A55068"/>
    <w:rsid w:val="00A6000A"/>
    <w:rsid w:val="00A757D1"/>
    <w:rsid w:val="00A75F04"/>
    <w:rsid w:val="00AB4912"/>
    <w:rsid w:val="00AE2316"/>
    <w:rsid w:val="00B22D61"/>
    <w:rsid w:val="00B3267A"/>
    <w:rsid w:val="00B51B7F"/>
    <w:rsid w:val="00B6724F"/>
    <w:rsid w:val="00B84C59"/>
    <w:rsid w:val="00BC3519"/>
    <w:rsid w:val="00BC6146"/>
    <w:rsid w:val="00BC7BF8"/>
    <w:rsid w:val="00BE7E74"/>
    <w:rsid w:val="00BF1D2F"/>
    <w:rsid w:val="00C34EF4"/>
    <w:rsid w:val="00C40A21"/>
    <w:rsid w:val="00C42880"/>
    <w:rsid w:val="00C85B9E"/>
    <w:rsid w:val="00C85C33"/>
    <w:rsid w:val="00CC2543"/>
    <w:rsid w:val="00CE44E6"/>
    <w:rsid w:val="00CF518B"/>
    <w:rsid w:val="00D0639A"/>
    <w:rsid w:val="00D07707"/>
    <w:rsid w:val="00D1281F"/>
    <w:rsid w:val="00D3275A"/>
    <w:rsid w:val="00D454DD"/>
    <w:rsid w:val="00D46D8B"/>
    <w:rsid w:val="00D6789F"/>
    <w:rsid w:val="00D7200C"/>
    <w:rsid w:val="00D84281"/>
    <w:rsid w:val="00D96D3D"/>
    <w:rsid w:val="00D976CB"/>
    <w:rsid w:val="00DA48AB"/>
    <w:rsid w:val="00DB3245"/>
    <w:rsid w:val="00DD603D"/>
    <w:rsid w:val="00DE2A99"/>
    <w:rsid w:val="00E203AB"/>
    <w:rsid w:val="00E22BF9"/>
    <w:rsid w:val="00E31515"/>
    <w:rsid w:val="00E33E98"/>
    <w:rsid w:val="00E36B82"/>
    <w:rsid w:val="00E54557"/>
    <w:rsid w:val="00E61D71"/>
    <w:rsid w:val="00E6302F"/>
    <w:rsid w:val="00E711BB"/>
    <w:rsid w:val="00E71C18"/>
    <w:rsid w:val="00E81BD1"/>
    <w:rsid w:val="00E92176"/>
    <w:rsid w:val="00EA0A7F"/>
    <w:rsid w:val="00EB6A3B"/>
    <w:rsid w:val="00EC1564"/>
    <w:rsid w:val="00EE2A01"/>
    <w:rsid w:val="00EF036D"/>
    <w:rsid w:val="00F044AA"/>
    <w:rsid w:val="00F164EB"/>
    <w:rsid w:val="00F203A6"/>
    <w:rsid w:val="00F3219C"/>
    <w:rsid w:val="00F45377"/>
    <w:rsid w:val="00F57072"/>
    <w:rsid w:val="00F8285A"/>
    <w:rsid w:val="00F967BA"/>
    <w:rsid w:val="00F97665"/>
    <w:rsid w:val="00FE1733"/>
    <w:rsid w:val="1935E15C"/>
    <w:rsid w:val="2FEB7B0A"/>
    <w:rsid w:val="3619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FE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right="1"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190" w:line="249" w:lineRule="auto"/>
      <w:ind w:left="10" w:right="5899"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76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35"/>
    <w:rPr>
      <w:rFonts w:ascii="Calibri" w:eastAsia="Calibri" w:hAnsi="Calibri" w:cs="Calibri"/>
      <w:color w:val="333333"/>
    </w:rPr>
  </w:style>
  <w:style w:type="character" w:styleId="PlaceholderText">
    <w:name w:val="Placeholder Text"/>
    <w:basedOn w:val="DefaultParagraphFont"/>
    <w:uiPriority w:val="99"/>
    <w:semiHidden/>
    <w:rsid w:val="00760B35"/>
    <w:rPr>
      <w:color w:val="808080"/>
    </w:rPr>
  </w:style>
  <w:style w:type="paragraph" w:styleId="BalloonText">
    <w:name w:val="Balloon Text"/>
    <w:basedOn w:val="Normal"/>
    <w:link w:val="BalloonTextChar"/>
    <w:uiPriority w:val="99"/>
    <w:semiHidden/>
    <w:unhideWhenUsed/>
    <w:rsid w:val="00BE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E74"/>
    <w:rPr>
      <w:rFonts w:ascii="Tahoma" w:eastAsia="Calibri" w:hAnsi="Tahoma" w:cs="Tahoma"/>
      <w:color w:val="333333"/>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559AE"/>
    <w:rPr>
      <w:color w:val="0000FF"/>
      <w:u w:val="single"/>
    </w:rPr>
  </w:style>
  <w:style w:type="paragraph" w:styleId="NormalWeb">
    <w:name w:val="Normal (Web)"/>
    <w:basedOn w:val="Normal"/>
    <w:uiPriority w:val="99"/>
    <w:semiHidden/>
    <w:unhideWhenUsed/>
    <w:rsid w:val="00E22BF9"/>
    <w:pPr>
      <w:spacing w:after="0" w:line="240" w:lineRule="auto"/>
      <w:ind w:left="0" w:right="0" w:firstLine="0"/>
      <w:jc w:val="left"/>
    </w:pPr>
    <w:rPr>
      <w:rFonts w:eastAsiaTheme="minorEastAsia"/>
      <w:color w:val="auto"/>
    </w:rPr>
  </w:style>
  <w:style w:type="character" w:styleId="UnresolvedMention">
    <w:name w:val="Unresolved Mention"/>
    <w:basedOn w:val="DefaultParagraphFont"/>
    <w:uiPriority w:val="99"/>
    <w:rsid w:val="0028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2988">
      <w:bodyDiv w:val="1"/>
      <w:marLeft w:val="0"/>
      <w:marRight w:val="0"/>
      <w:marTop w:val="0"/>
      <w:marBottom w:val="0"/>
      <w:divBdr>
        <w:top w:val="none" w:sz="0" w:space="0" w:color="auto"/>
        <w:left w:val="none" w:sz="0" w:space="0" w:color="auto"/>
        <w:bottom w:val="none" w:sz="0" w:space="0" w:color="auto"/>
        <w:right w:val="none" w:sz="0" w:space="0" w:color="auto"/>
      </w:divBdr>
    </w:div>
    <w:div w:id="228807347">
      <w:bodyDiv w:val="1"/>
      <w:marLeft w:val="0"/>
      <w:marRight w:val="0"/>
      <w:marTop w:val="0"/>
      <w:marBottom w:val="0"/>
      <w:divBdr>
        <w:top w:val="none" w:sz="0" w:space="0" w:color="auto"/>
        <w:left w:val="none" w:sz="0" w:space="0" w:color="auto"/>
        <w:bottom w:val="none" w:sz="0" w:space="0" w:color="auto"/>
        <w:right w:val="none" w:sz="0" w:space="0" w:color="auto"/>
      </w:divBdr>
    </w:div>
    <w:div w:id="387000910">
      <w:bodyDiv w:val="1"/>
      <w:marLeft w:val="0"/>
      <w:marRight w:val="0"/>
      <w:marTop w:val="0"/>
      <w:marBottom w:val="0"/>
      <w:divBdr>
        <w:top w:val="none" w:sz="0" w:space="0" w:color="auto"/>
        <w:left w:val="none" w:sz="0" w:space="0" w:color="auto"/>
        <w:bottom w:val="none" w:sz="0" w:space="0" w:color="auto"/>
        <w:right w:val="none" w:sz="0" w:space="0" w:color="auto"/>
      </w:divBdr>
    </w:div>
    <w:div w:id="876116046">
      <w:bodyDiv w:val="1"/>
      <w:marLeft w:val="0"/>
      <w:marRight w:val="0"/>
      <w:marTop w:val="0"/>
      <w:marBottom w:val="0"/>
      <w:divBdr>
        <w:top w:val="none" w:sz="0" w:space="0" w:color="auto"/>
        <w:left w:val="none" w:sz="0" w:space="0" w:color="auto"/>
        <w:bottom w:val="none" w:sz="0" w:space="0" w:color="auto"/>
        <w:right w:val="none" w:sz="0" w:space="0" w:color="auto"/>
      </w:divBdr>
    </w:div>
    <w:div w:id="1053888621">
      <w:bodyDiv w:val="1"/>
      <w:marLeft w:val="0"/>
      <w:marRight w:val="0"/>
      <w:marTop w:val="0"/>
      <w:marBottom w:val="0"/>
      <w:divBdr>
        <w:top w:val="none" w:sz="0" w:space="0" w:color="auto"/>
        <w:left w:val="none" w:sz="0" w:space="0" w:color="auto"/>
        <w:bottom w:val="none" w:sz="0" w:space="0" w:color="auto"/>
        <w:right w:val="none" w:sz="0" w:space="0" w:color="auto"/>
      </w:divBdr>
    </w:div>
    <w:div w:id="1245603166">
      <w:bodyDiv w:val="1"/>
      <w:marLeft w:val="0"/>
      <w:marRight w:val="0"/>
      <w:marTop w:val="0"/>
      <w:marBottom w:val="0"/>
      <w:divBdr>
        <w:top w:val="none" w:sz="0" w:space="0" w:color="auto"/>
        <w:left w:val="none" w:sz="0" w:space="0" w:color="auto"/>
        <w:bottom w:val="none" w:sz="0" w:space="0" w:color="auto"/>
        <w:right w:val="none" w:sz="0" w:space="0" w:color="auto"/>
      </w:divBdr>
    </w:div>
    <w:div w:id="1566840219">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991208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ridge.undp.org/login" TargetMode="External"/><Relationship Id="rId18" Type="http://schemas.openxmlformats.org/officeDocument/2006/relationships/hyperlink" Target="https://bridge.undp.org/log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tranet.undp.org/unit/office/oai/default.aspx" TargetMode="External"/><Relationship Id="rId7" Type="http://schemas.openxmlformats.org/officeDocument/2006/relationships/styles" Target="styles.xml"/><Relationship Id="rId12" Type="http://schemas.openxmlformats.org/officeDocument/2006/relationships/hyperlink" Target="https://bridge.undp.org/login" TargetMode="External"/><Relationship Id="rId17" Type="http://schemas.openxmlformats.org/officeDocument/2006/relationships/hyperlink" Target="https://bridge.undp.org/logi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2866" TargetMode="External"/><Relationship Id="rId20" Type="http://schemas.openxmlformats.org/officeDocument/2006/relationships/hyperlink" Target="https://intranet.undp.org/unit/office/oai/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bridge.undp.org/log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artneragencies.b2clogin.com/partneragencies.onmicrosoft.com/B2C_1A_signup_signin_saml_v2/samlp/sso/login?SAMLRequest=fVLBTuMwEL3vV0S%2BO4ndQlqrCSpUFZV2IaJhD3uJjOMUS8k4eJzu7t%2BTpCBgV3DxSJ7xe8%2FvzeriT9sER%2B3QWEgJC2MSaFC2MnBIyX2xpQtykX1boWwb3ol17x%2FhTj%2F1Gn2wGQ4D0k8vH73vUERRJ50H7eRhQDEawweuGnswECrb%2Fte00BrlLNraT%2F1LflWydYnmAH03FQPlSF0eeTTWLkK00QRIgq11Sk%2BKUlLLBjUJdpuU7Nc%2Fvpdnc37OZgmjMa8YnbOkosuKL%2Bms1gu2POdnPGHDOOYS0Rz1GwBir3eAXoJPCY95TFlMeVywpZglYr4Ik3jxiwS5s94q21waOFnVOxBWokEBstUovBKjEMHDWDychlBcF0VO89t9QYKfr5bz0fIhBEBxMvlrrO6FmGSnTMSk2L1H%2BBpg%2BLB2Y2Yk%2Byyzf2O5v9nkOdvuV9F7yux1KW4Gjt0mt41Rf4N109jfV05L%2F2bqEFQr%2FeeyWMimG1PRehoVPWCnlamNrkiUvfB%2BXL%2FsGQ%3D%3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ridge.undp.org/login"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AC812C59E4BAD894408DAF2A38313"/>
        <w:category>
          <w:name w:val="General"/>
          <w:gallery w:val="placeholder"/>
        </w:category>
        <w:types>
          <w:type w:val="bbPlcHdr"/>
        </w:types>
        <w:behaviors>
          <w:behavior w:val="content"/>
        </w:behaviors>
        <w:guid w:val="{575120C0-9FE3-4EBF-AF4C-2A0FC37C8A91}"/>
      </w:docPartPr>
      <w:docPartBody>
        <w:p w:rsidR="00A563F3" w:rsidRDefault="00D335B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7459"/>
    <w:rsid w:val="000D0929"/>
    <w:rsid w:val="000E1E7D"/>
    <w:rsid w:val="00462C4C"/>
    <w:rsid w:val="004A1A71"/>
    <w:rsid w:val="005B7459"/>
    <w:rsid w:val="00761466"/>
    <w:rsid w:val="00862310"/>
    <w:rsid w:val="0086699C"/>
    <w:rsid w:val="00876D4A"/>
    <w:rsid w:val="00904CDA"/>
    <w:rsid w:val="009F1773"/>
    <w:rsid w:val="00A563F3"/>
    <w:rsid w:val="00AD6990"/>
    <w:rsid w:val="00B337E1"/>
    <w:rsid w:val="00BF36AD"/>
    <w:rsid w:val="00CC7ADE"/>
    <w:rsid w:val="00D335BC"/>
    <w:rsid w:val="00E37A67"/>
    <w:rsid w:val="00E73BF1"/>
    <w:rsid w:val="00FB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5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01/01/2017                                                Version #: 9</DLCPolicyLabelValue>
    <UNDP_POPP_EFFECTIVEDATE xmlns="8264c5cc-ec60-4b56-8111-ce635d3d139a">2016-12-31T23:00:00+00:00</UNDP_POPP_EFFECTIVEDATE>
    <UNDP_POPP_FILEVERSION xmlns="8264c5cc-ec60-4b56-8111-ce635d3d139a">1536</UNDP_POPP_FILEVERSION>
    <UNDP_POPP_REFITEM_VERSION xmlns="8264c5cc-ec60-4b56-8111-ce635d3d139a">9</UNDP_POPP_REFITEM_VERSION>
    <UNDP_POPP_ISACTIVE xmlns="8264c5cc-ec60-4b56-8111-ce635d3d139a">true</UNDP_POPP_ISACTIVE>
    <UNDP_POPP_TITLE_EN xmlns="8264c5cc-ec60-4b56-8111-ce635d3d139a">Modalité de réalisation directe (DIM)</UNDP_POPP_TITLE_EN>
    <DLCPolicyLabelLock xmlns="e560140e-7b2f-4392-90df-e7567e3021a3" xsi:nil="true"/>
    <DLCPolicyLabelClientValue xmlns="e560140e-7b2f-4392-90df-e7567e3021a3">Effective Date: 01/01/2017                                                Version #: 9.0</DLCPolicyLabelClientValue>
    <UNDP_POPP_BUSINESSUNITID_HIDDEN xmlns="8264c5cc-ec60-4b56-8111-ce635d3d139a" xsi:nil="true"/>
    <_dlc_DocId xmlns="8264c5cc-ec60-4b56-8111-ce635d3d139a">POPP-11-3237</_dlc_DocId>
    <_dlc_DocIdUrl xmlns="8264c5cc-ec60-4b56-8111-ce635d3d139a">
      <Url>https://popp.undp.org/_layouts/15/DocIdRedir.aspx?ID=POPP-11-3237</Url>
      <Description>POPP-11-3237</Description>
    </_dlc_DocIdUrl>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6C8B8-FD33-4BD9-96CD-D28C3381C3E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DF35BE2E-64FE-4555-B58C-C0229390A164}">
  <ds:schemaRefs>
    <ds:schemaRef ds:uri="office.server.policy"/>
  </ds:schemaRefs>
</ds:datastoreItem>
</file>

<file path=customXml/itemProps3.xml><?xml version="1.0" encoding="utf-8"?>
<ds:datastoreItem xmlns:ds="http://schemas.openxmlformats.org/officeDocument/2006/customXml" ds:itemID="{6AC01416-51F0-41D2-9AD4-643C5595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114AF-166B-4F0B-89B3-D501AAD393BB}">
  <ds:schemaRefs>
    <ds:schemaRef ds:uri="http://schemas.microsoft.com/sharepoint/events"/>
  </ds:schemaRefs>
</ds:datastoreItem>
</file>

<file path=customXml/itemProps5.xml><?xml version="1.0" encoding="utf-8"?>
<ds:datastoreItem xmlns:ds="http://schemas.openxmlformats.org/officeDocument/2006/customXml" ds:itemID="{54EB4371-F6C2-4E89-B3DA-96CBB4477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11</cp:revision>
  <dcterms:created xsi:type="dcterms:W3CDTF">2020-10-20T19:40:00Z</dcterms:created>
  <dcterms:modified xsi:type="dcterms:W3CDTF">2024-01-16T15:28:00Z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b9c8d118-97cc-448b-9290-279426a090f1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TaxCatchAll">
    <vt:lpwstr>350;#Financial Resources Management|682d4c54-a288-412d-bfec-ce5587bbd25c</vt:lpwstr>
  </property>
  <property fmtid="{D5CDD505-2E9C-101B-9397-08002B2CF9AE}" pid="15" name="l0e6ef0c43e74560bd7f3acd1f5e8571">
    <vt:lpwstr>Financial Resources Management|682d4c54-a288-412d-bfec-ce5587bbd25c</vt:lpwstr>
  </property>
  <property fmtid="{D5CDD505-2E9C-101B-9397-08002B2CF9AE}" pid="16" name="DLCPolicyLabelValue">
    <vt:lpwstr>Effective Date: {Effective Date}                                                Version #: 1</vt:lpwstr>
  </property>
  <property fmtid="{D5CDD505-2E9C-101B-9397-08002B2CF9AE}" pid="17" name="UNDP_POPP_DOCUMENT_TYPE">
    <vt:lpwstr>Policy</vt:lpwstr>
  </property>
  <property fmtid="{D5CDD505-2E9C-101B-9397-08002B2CF9AE}" pid="18" name="UNDP_POPP_FILEVERSION">
    <vt:r8>1536</vt:r8>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REFITEM_VERSION">
    <vt:r8>2</vt:r8>
  </property>
</Properties>
</file>