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2B2A9" w14:textId="77777777" w:rsidR="00202898" w:rsidRPr="00202898" w:rsidRDefault="00202898" w:rsidP="00202898">
      <w:pPr>
        <w:spacing w:line="259" w:lineRule="auto"/>
        <w:rPr>
          <w:rFonts w:ascii="Calibri" w:eastAsia="Calibri" w:hAnsi="Calibri" w:cs="Calibri"/>
          <w:color w:val="000000"/>
          <w:kern w:val="0"/>
          <w:sz w:val="22"/>
          <w:szCs w:val="22"/>
          <w:lang w:val="es-ES"/>
          <w14:ligatures w14:val="none"/>
        </w:rPr>
      </w:pPr>
      <w:r w:rsidRPr="00202898">
        <w:rPr>
          <w:rFonts w:ascii="Calibri" w:eastAsia="Calibri" w:hAnsi="Calibri" w:cs="Calibri"/>
          <w:b/>
          <w:color w:val="000000"/>
          <w:kern w:val="0"/>
          <w:sz w:val="28"/>
          <w:szCs w:val="22"/>
          <w:lang w:val="es-ES"/>
          <w14:ligatures w14:val="none"/>
        </w:rPr>
        <w:t xml:space="preserve">Cuentas por cobrar  </w:t>
      </w:r>
    </w:p>
    <w:p w14:paraId="4BFCF61B"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La medición de las cuentas por cobrar es un área importante de la implementación de las Normas Internacionales de Contabilidad del Sector Público (IPSAS, </w:t>
      </w:r>
      <w:r w:rsidRPr="00202898">
        <w:rPr>
          <w:rFonts w:ascii="Calibri" w:eastAsia="Calibri" w:hAnsi="Calibri" w:cs="Calibri"/>
          <w:i/>
          <w:color w:val="000000"/>
          <w:kern w:val="0"/>
          <w:sz w:val="22"/>
          <w:szCs w:val="22"/>
          <w:lang w:val="es-ES"/>
          <w14:ligatures w14:val="none"/>
        </w:rPr>
        <w:t>International Public Sector Accounting Standards</w:t>
      </w:r>
      <w:r w:rsidRPr="00202898">
        <w:rPr>
          <w:rFonts w:ascii="Calibri" w:eastAsia="Calibri" w:hAnsi="Calibri" w:cs="Calibri"/>
          <w:color w:val="000000"/>
          <w:kern w:val="0"/>
          <w:sz w:val="22"/>
          <w:szCs w:val="22"/>
          <w:lang w:val="es-ES"/>
          <w14:ligatures w14:val="none"/>
        </w:rPr>
        <w:t xml:space="preserve">, por sus siglas en inglés) y es necesario realizar una evaluación a fin de año de las cuentas por cobrar que se consideran de dudoso cobro y de aquellas que deben cancelarse. Las cuentas por cobrar se medirán en su valor razonable menos cualquier provisión por los montos que se estiman como irrecuperables. Se establece una provisión cuando hay pruebas objetivas, con base en una revisión de los montos pendientes en la fecha de presentación, de que el PNUD (Programa de las Naciones Unidas para el Desarrollo) no podrá cobrar todos los montos adeudados de acuerdo con los términos originales de las cuentas por cobrar. </w:t>
      </w:r>
    </w:p>
    <w:p w14:paraId="427A3543"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El PNUD aplicará el método específico de provisión al identificar las contribuciones específicas que se volvieron de dudoso cobro. Esto implica la revisión de cada donante y de su capacidad para cumplir con su compromiso.  </w:t>
      </w:r>
    </w:p>
    <w:p w14:paraId="655A21CE" w14:textId="77777777" w:rsidR="00202898" w:rsidRPr="00202898" w:rsidRDefault="00202898" w:rsidP="00202898">
      <w:pPr>
        <w:keepNext/>
        <w:keepLines/>
        <w:spacing w:line="259" w:lineRule="auto"/>
        <w:ind w:hanging="10"/>
        <w:outlineLvl w:val="0"/>
        <w:rPr>
          <w:rFonts w:ascii="Calibri" w:eastAsia="Calibri" w:hAnsi="Calibri" w:cs="Calibri"/>
          <w:b/>
          <w:color w:val="000000"/>
          <w:kern w:val="0"/>
          <w:sz w:val="22"/>
          <w:szCs w:val="22"/>
          <w:lang w:val="es-ES"/>
          <w14:ligatures w14:val="none"/>
        </w:rPr>
      </w:pPr>
      <w:r w:rsidRPr="00202898">
        <w:rPr>
          <w:rFonts w:ascii="Calibri" w:eastAsia="Calibri" w:hAnsi="Calibri" w:cs="Calibri"/>
          <w:b/>
          <w:color w:val="000000"/>
          <w:kern w:val="0"/>
          <w:sz w:val="22"/>
          <w:szCs w:val="22"/>
          <w:lang w:val="es-ES"/>
          <w14:ligatures w14:val="none"/>
        </w:rPr>
        <w:t xml:space="preserve">Provisión para deudas de dudoso cobro </w:t>
      </w:r>
    </w:p>
    <w:p w14:paraId="4DCFCD34"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El primer paso para crear una provisión para deudas de dudoso cobro es identificar los donantes individuales con los que pueda haber deudas para determinar si podrá recuperarse la totalidad de los montos. Esto luego se utilizará para identificar los montos individuales que constituirán la provisión para deudas de dudoso cobro. </w:t>
      </w:r>
    </w:p>
    <w:p w14:paraId="380016E9" w14:textId="77777777" w:rsidR="00202898" w:rsidRPr="00202898" w:rsidRDefault="00202898" w:rsidP="00202898">
      <w:pPr>
        <w:keepNext/>
        <w:keepLines/>
        <w:spacing w:line="259" w:lineRule="auto"/>
        <w:ind w:hanging="10"/>
        <w:outlineLvl w:val="0"/>
        <w:rPr>
          <w:rFonts w:ascii="Calibri" w:eastAsia="Calibri" w:hAnsi="Calibri" w:cs="Calibri"/>
          <w:b/>
          <w:color w:val="000000"/>
          <w:kern w:val="0"/>
          <w:sz w:val="22"/>
          <w:szCs w:val="22"/>
          <w:lang w:val="es-ES"/>
          <w14:ligatures w14:val="none"/>
        </w:rPr>
      </w:pPr>
      <w:r w:rsidRPr="00202898">
        <w:rPr>
          <w:rFonts w:ascii="Calibri" w:eastAsia="Calibri" w:hAnsi="Calibri" w:cs="Calibri"/>
          <w:b/>
          <w:color w:val="000000"/>
          <w:kern w:val="0"/>
          <w:sz w:val="22"/>
          <w:szCs w:val="22"/>
          <w:lang w:val="es-ES"/>
          <w14:ligatures w14:val="none"/>
        </w:rPr>
        <w:t xml:space="preserve">Cancelación de cuentas por cobrar  </w:t>
      </w:r>
    </w:p>
    <w:p w14:paraId="767BCC5F"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El segundo paso es identificar si algún saldo pendiente debe cancelarse. Las cancelaciones solamente se realizan una vez que se han tomado todas las medidas razonables para recuperar los montos pendientes y se considera que no hay posibilidades de recuperación. </w:t>
      </w:r>
    </w:p>
    <w:p w14:paraId="065C4FA7" w14:textId="77777777" w:rsidR="00202898" w:rsidRPr="00202898" w:rsidRDefault="00202898" w:rsidP="00202898">
      <w:pPr>
        <w:spacing w:line="259" w:lineRule="auto"/>
        <w:jc w:val="right"/>
        <w:rPr>
          <w:rFonts w:ascii="Calibri" w:eastAsia="Calibri" w:hAnsi="Calibri" w:cs="Calibri"/>
          <w:color w:val="000000"/>
          <w:kern w:val="0"/>
          <w:sz w:val="22"/>
          <w:szCs w:val="22"/>
          <w:lang w:val="es-ES"/>
          <w14:ligatures w14:val="none"/>
        </w:rPr>
      </w:pPr>
      <w:r w:rsidRPr="00202898">
        <w:rPr>
          <w:rFonts w:ascii="Calibri" w:eastAsia="Calibri" w:hAnsi="Calibri" w:cs="Calibri"/>
          <w:noProof/>
          <w:color w:val="000000"/>
          <w:kern w:val="0"/>
          <w:sz w:val="22"/>
          <w:szCs w:val="22"/>
          <w14:ligatures w14:val="none"/>
        </w:rPr>
        <w:drawing>
          <wp:inline distT="0" distB="0" distL="0" distR="0" wp14:anchorId="123743B6" wp14:editId="6D2D5E14">
            <wp:extent cx="6037776" cy="3571240"/>
            <wp:effectExtent l="0" t="0" r="1270" b="0"/>
            <wp:docPr id="176691402" name="Picture 8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501"/>
                    <pic:cNvPicPr/>
                  </pic:nvPicPr>
                  <pic:blipFill>
                    <a:blip r:embed="rId7">
                      <a:extLst>
                        <a:ext uri="{28A0092B-C50C-407E-A947-70E740481C1C}">
                          <a14:useLocalDpi xmlns:a14="http://schemas.microsoft.com/office/drawing/2010/main" val="0"/>
                        </a:ext>
                      </a:extLst>
                    </a:blip>
                    <a:stretch>
                      <a:fillRect/>
                    </a:stretch>
                  </pic:blipFill>
                  <pic:spPr>
                    <a:xfrm>
                      <a:off x="0" y="0"/>
                      <a:ext cx="6037776" cy="3571240"/>
                    </a:xfrm>
                    <a:prstGeom prst="rect">
                      <a:avLst/>
                    </a:prstGeom>
                  </pic:spPr>
                </pic:pic>
              </a:graphicData>
            </a:graphic>
          </wp:inline>
        </w:drawing>
      </w:r>
      <w:r w:rsidRPr="00202898">
        <w:rPr>
          <w:rFonts w:ascii="Calibri" w:eastAsia="Calibri" w:hAnsi="Calibri" w:cs="Calibri"/>
          <w:color w:val="000000"/>
          <w:kern w:val="0"/>
          <w:sz w:val="22"/>
          <w:szCs w:val="22"/>
          <w:lang w:val="es-ES"/>
          <w14:ligatures w14:val="none"/>
        </w:rPr>
        <w:t xml:space="preserve"> </w:t>
      </w:r>
    </w:p>
    <w:p w14:paraId="1E6865F4"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lastRenderedPageBreak/>
        <w:t xml:space="preserve">El Centro Mundial de Servicios Compartidos -CMSC- (GSSC, por sus siglas en inglés) será responsable de registrar los ingresos para las siguientes contribuciones complementarias: </w:t>
      </w:r>
    </w:p>
    <w:p w14:paraId="261C0288" w14:textId="6C7FA78D" w:rsidR="00202898" w:rsidRPr="00202898" w:rsidRDefault="00202898" w:rsidP="00202898">
      <w:pPr>
        <w:numPr>
          <w:ilvl w:val="0"/>
          <w:numId w:val="2"/>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Contribuciones de costos compartidos Gobierno del país en que se ejecuta un programa </w:t>
      </w:r>
    </w:p>
    <w:p w14:paraId="1B99DA6C" w14:textId="77777777" w:rsidR="00202898" w:rsidRPr="00202898" w:rsidRDefault="00202898" w:rsidP="00202898">
      <w:pPr>
        <w:numPr>
          <w:ilvl w:val="0"/>
          <w:numId w:val="2"/>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Acuerdos de costos compartidos de terceros </w:t>
      </w:r>
    </w:p>
    <w:p w14:paraId="785D31DB" w14:textId="77777777" w:rsidR="00202898" w:rsidRPr="00202898" w:rsidRDefault="00202898" w:rsidP="00202898">
      <w:pPr>
        <w:numPr>
          <w:ilvl w:val="0"/>
          <w:numId w:val="2"/>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Acuerdos de la Comunidad Europea (CE) </w:t>
      </w:r>
    </w:p>
    <w:p w14:paraId="2A4E897C" w14:textId="77777777" w:rsidR="00202898" w:rsidRPr="00202898" w:rsidRDefault="00202898" w:rsidP="00202898">
      <w:pPr>
        <w:numPr>
          <w:ilvl w:val="0"/>
          <w:numId w:val="2"/>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Fondos fiduciarios  </w:t>
      </w:r>
    </w:p>
    <w:p w14:paraId="21FD1551"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El personal del CMSC seguirá la política de reconocimiento de ingresos para registrar las contribuciones en el módulo de contratos de clientes de Quantum para que los ingresos se reconozcan de manera oportuna y precisa en los estados financieros. </w:t>
      </w:r>
    </w:p>
    <w:p w14:paraId="052791E8"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Como resultado de estos procesos y de la entrada de información en el módulo de contratos, se creará la partida de cuentas por cobrar en el libro mayor. Estas cuentas representarán montos, según lo prometido por los donantes de acuerdo con el calendario de pagos en los acuerdos, pero que aún no han sido recibidos.    </w:t>
      </w:r>
    </w:p>
    <w:p w14:paraId="5A151DB6" w14:textId="77777777" w:rsidR="00202898" w:rsidRPr="00202898" w:rsidRDefault="00202898" w:rsidP="00202898">
      <w:pPr>
        <w:keepNext/>
        <w:keepLines/>
        <w:spacing w:line="259" w:lineRule="auto"/>
        <w:ind w:hanging="10"/>
        <w:outlineLvl w:val="0"/>
        <w:rPr>
          <w:rFonts w:ascii="Calibri" w:eastAsia="Calibri" w:hAnsi="Calibri" w:cs="Calibri"/>
          <w:b/>
          <w:color w:val="000000"/>
          <w:kern w:val="0"/>
          <w:sz w:val="22"/>
          <w:szCs w:val="22"/>
          <w:lang w:val="es-ES"/>
          <w14:ligatures w14:val="none"/>
        </w:rPr>
      </w:pPr>
      <w:r w:rsidRPr="00202898">
        <w:rPr>
          <w:rFonts w:ascii="Calibri" w:eastAsia="Calibri" w:hAnsi="Calibri" w:cs="Calibri"/>
          <w:b/>
          <w:color w:val="000000"/>
          <w:kern w:val="0"/>
          <w:sz w:val="22"/>
          <w:szCs w:val="22"/>
          <w:lang w:val="es-ES"/>
          <w14:ligatures w14:val="none"/>
        </w:rPr>
        <w:t xml:space="preserve">Seguimiento de cuentas por cobrar </w:t>
      </w:r>
    </w:p>
    <w:p w14:paraId="7721C44D"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La responsabilidad del seguimiento, la supervisión y la elaboración de informes de las cuentas por cobrar pertenece al personal de programas y finanzas en cada Oficina de País o unidad de negocio y no al Centro Mundial de Servicios Compartidos. La Oficina de País o la unidad de negocio debe generar un informe mensual de las cuentas por cobrar. Los informes establecerán la antigüedad de las cuentas por cobrar por donante y pueden utilizarse para realizar un seguimiento de los donantes. El informe establecerá la antigüedad del monto pendiente de la siguiente manera: </w:t>
      </w:r>
    </w:p>
    <w:p w14:paraId="6574C178"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El PRODUCTO DEL INFORME contendrá los siguientes campos y establecerá la antigüedad del monto en las siguientes columnas:  </w:t>
      </w:r>
    </w:p>
    <w:p w14:paraId="4B2F1067" w14:textId="77777777" w:rsidR="00202898" w:rsidRPr="00202898" w:rsidRDefault="00202898" w:rsidP="00202898">
      <w:pPr>
        <w:spacing w:line="239" w:lineRule="auto"/>
        <w:ind w:left="360"/>
        <w:rPr>
          <w:rFonts w:ascii="Calibri" w:eastAsia="Calibri" w:hAnsi="Calibri" w:cs="Calibri"/>
          <w:color w:val="000000"/>
          <w:kern w:val="0"/>
          <w:sz w:val="22"/>
          <w:szCs w:val="22"/>
          <w:lang w:val="es-ES"/>
          <w14:ligatures w14:val="none"/>
        </w:rPr>
      </w:pPr>
      <w:r w:rsidRPr="00202898">
        <w:rPr>
          <w:rFonts w:ascii="Calibri" w:eastAsia="Calibri" w:hAnsi="Calibri" w:cs="Calibri"/>
          <w:b/>
          <w:i/>
          <w:color w:val="000000"/>
          <w:kern w:val="0"/>
          <w:sz w:val="22"/>
          <w:szCs w:val="22"/>
          <w:lang w:val="es-ES"/>
          <w14:ligatures w14:val="none"/>
        </w:rPr>
        <w:t>Dependencia operacional    Nombre del donante            Contrato n.º              0-3 meses                    3-6 meses    6-12 meses    1-2 años    2-3 años    &gt;3 años    Total de cuentas por cobrar</w:t>
      </w:r>
      <w:r w:rsidRPr="00202898">
        <w:rPr>
          <w:rFonts w:ascii="Calibri" w:eastAsia="Calibri" w:hAnsi="Calibri" w:cs="Calibri"/>
          <w:color w:val="000000"/>
          <w:kern w:val="0"/>
          <w:sz w:val="22"/>
          <w:szCs w:val="22"/>
          <w:lang w:val="es-ES"/>
          <w14:ligatures w14:val="none"/>
        </w:rPr>
        <w:t xml:space="preserve"> </w:t>
      </w:r>
    </w:p>
    <w:p w14:paraId="67952A43"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Los gerentes de proyectos (primera autoridad) deben realizar un seguimiento de las cuentas por cobrar pendientes de los donantes. </w:t>
      </w:r>
    </w:p>
    <w:p w14:paraId="60834D4A"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El gerente aprobador (segunda autoridad) debe firmar el informe de cuentas por cobrar como prueba de la revisión mensual. </w:t>
      </w:r>
    </w:p>
    <w:p w14:paraId="283900E0" w14:textId="77777777" w:rsidR="00202898" w:rsidRPr="00202898" w:rsidRDefault="00202898" w:rsidP="00202898">
      <w:pPr>
        <w:keepNext/>
        <w:keepLines/>
        <w:spacing w:line="259" w:lineRule="auto"/>
        <w:ind w:hanging="10"/>
        <w:outlineLvl w:val="0"/>
        <w:rPr>
          <w:rFonts w:ascii="Calibri" w:eastAsia="Calibri" w:hAnsi="Calibri" w:cs="Calibri"/>
          <w:b/>
          <w:color w:val="000000"/>
          <w:kern w:val="0"/>
          <w:sz w:val="22"/>
          <w:szCs w:val="22"/>
          <w:lang w:val="es-ES"/>
          <w14:ligatures w14:val="none"/>
        </w:rPr>
      </w:pPr>
      <w:r w:rsidRPr="00202898">
        <w:rPr>
          <w:rFonts w:ascii="Calibri" w:eastAsia="Calibri" w:hAnsi="Calibri" w:cs="Calibri"/>
          <w:b/>
          <w:color w:val="000000"/>
          <w:kern w:val="0"/>
          <w:sz w:val="22"/>
          <w:szCs w:val="22"/>
          <w:lang w:val="es-ES"/>
          <w14:ligatures w14:val="none"/>
        </w:rPr>
        <w:t xml:space="preserve">Ajustes que deben realizarse en las cuentas por cobrar </w:t>
      </w:r>
    </w:p>
    <w:p w14:paraId="2DE367EB"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En ciertos casos, puede procesarse una enmienda para ajustar las cuentas por cobrar por los siguientes motivos:   </w:t>
      </w:r>
    </w:p>
    <w:p w14:paraId="08167459" w14:textId="77777777" w:rsidR="00202898" w:rsidRPr="00202898" w:rsidRDefault="00202898" w:rsidP="00202898">
      <w:pPr>
        <w:numPr>
          <w:ilvl w:val="0"/>
          <w:numId w:val="3"/>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Cambio en el alcance del proyecto </w:t>
      </w:r>
    </w:p>
    <w:p w14:paraId="607A22DE" w14:textId="77777777" w:rsidR="00202898" w:rsidRPr="00202898" w:rsidRDefault="00202898" w:rsidP="00202898">
      <w:pPr>
        <w:numPr>
          <w:ilvl w:val="0"/>
          <w:numId w:val="3"/>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Revisiones del presupuesto realizadas en conjunto con los donantes </w:t>
      </w:r>
    </w:p>
    <w:p w14:paraId="489882C1" w14:textId="77777777" w:rsidR="00202898" w:rsidRPr="00202898" w:rsidRDefault="00202898" w:rsidP="00202898">
      <w:pPr>
        <w:numPr>
          <w:ilvl w:val="0"/>
          <w:numId w:val="3"/>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Ajustes en la financiación que reflejan la incorporación de nuevos donantes </w:t>
      </w:r>
    </w:p>
    <w:p w14:paraId="1DDCF35E"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Estas son enmiendas que deben procesarse a través de una notificación del Sistema de Gestión de Documentos (DMS, </w:t>
      </w:r>
      <w:r w:rsidRPr="00202898">
        <w:rPr>
          <w:rFonts w:ascii="Calibri" w:eastAsia="Calibri" w:hAnsi="Calibri" w:cs="Calibri"/>
          <w:i/>
          <w:color w:val="000000"/>
          <w:kern w:val="0"/>
          <w:sz w:val="22"/>
          <w:szCs w:val="22"/>
          <w:lang w:val="es-ES"/>
          <w14:ligatures w14:val="none"/>
        </w:rPr>
        <w:t>Document Management System</w:t>
      </w:r>
      <w:r w:rsidRPr="00202898">
        <w:rPr>
          <w:rFonts w:ascii="Calibri" w:eastAsia="Calibri" w:hAnsi="Calibri" w:cs="Calibri"/>
          <w:color w:val="000000"/>
          <w:kern w:val="0"/>
          <w:sz w:val="22"/>
          <w:szCs w:val="22"/>
          <w:lang w:val="es-ES"/>
          <w14:ligatures w14:val="none"/>
        </w:rPr>
        <w:t xml:space="preserve">, por sus siglas en inglés) al CMSC, que luego iniciará el proceso normal de enmienda en el módulo de contratos. Véase el capítulo de las Políticas y Procedimientos de Operaciones y Programas (POPP, </w:t>
      </w:r>
      <w:r w:rsidRPr="00202898">
        <w:rPr>
          <w:rFonts w:ascii="Calibri" w:eastAsia="Calibri" w:hAnsi="Calibri" w:cs="Calibri"/>
          <w:i/>
          <w:color w:val="000000"/>
          <w:kern w:val="0"/>
          <w:sz w:val="22"/>
          <w:szCs w:val="22"/>
          <w:lang w:val="es-ES"/>
          <w14:ligatures w14:val="none"/>
        </w:rPr>
        <w:t>Programme and Operations Policies and Procedures</w:t>
      </w:r>
      <w:r w:rsidRPr="00202898">
        <w:rPr>
          <w:rFonts w:ascii="Calibri" w:eastAsia="Calibri" w:hAnsi="Calibri" w:cs="Calibri"/>
          <w:color w:val="000000"/>
          <w:kern w:val="0"/>
          <w:sz w:val="22"/>
          <w:szCs w:val="22"/>
          <w:lang w:val="es-ES"/>
          <w14:ligatures w14:val="none"/>
        </w:rPr>
        <w:t xml:space="preserve">, por sus siglas en inglés) sobre contribuciones complementarias. </w:t>
      </w:r>
    </w:p>
    <w:p w14:paraId="40711B0A" w14:textId="77777777" w:rsidR="00202898" w:rsidRPr="00202898" w:rsidRDefault="00202898" w:rsidP="00202898">
      <w:pPr>
        <w:keepNext/>
        <w:keepLines/>
        <w:spacing w:line="259" w:lineRule="auto"/>
        <w:ind w:hanging="10"/>
        <w:outlineLvl w:val="0"/>
        <w:rPr>
          <w:rFonts w:ascii="Calibri" w:eastAsia="Calibri" w:hAnsi="Calibri" w:cs="Calibri"/>
          <w:b/>
          <w:color w:val="000000"/>
          <w:kern w:val="0"/>
          <w:sz w:val="22"/>
          <w:szCs w:val="22"/>
          <w:lang w:val="es-ES"/>
          <w14:ligatures w14:val="none"/>
        </w:rPr>
      </w:pPr>
      <w:r w:rsidRPr="00202898">
        <w:rPr>
          <w:rFonts w:ascii="Calibri" w:eastAsia="Calibri" w:hAnsi="Calibri" w:cs="Calibri"/>
          <w:b/>
          <w:color w:val="000000"/>
          <w:kern w:val="0"/>
          <w:sz w:val="22"/>
          <w:szCs w:val="22"/>
          <w:lang w:val="es-ES"/>
          <w14:ligatures w14:val="none"/>
        </w:rPr>
        <w:t xml:space="preserve">Pasos que deben realizar las unidades de negocio para el seguimiento de las cuentas por cobrar: </w:t>
      </w:r>
    </w:p>
    <w:p w14:paraId="4E2729D2"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Pasos mensuales:  </w:t>
      </w:r>
    </w:p>
    <w:p w14:paraId="4F7C394D" w14:textId="77777777" w:rsidR="00202898" w:rsidRPr="00202898" w:rsidRDefault="00202898" w:rsidP="00202898">
      <w:pPr>
        <w:numPr>
          <w:ilvl w:val="0"/>
          <w:numId w:val="4"/>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Generar el informe mensual de antigüedad de las cuentas por cobrar.  </w:t>
      </w:r>
    </w:p>
    <w:p w14:paraId="6BAF1AE8" w14:textId="77777777" w:rsidR="00202898" w:rsidRPr="00202898" w:rsidRDefault="00202898" w:rsidP="00202898">
      <w:pPr>
        <w:numPr>
          <w:ilvl w:val="0"/>
          <w:numId w:val="4"/>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lastRenderedPageBreak/>
        <w:t xml:space="preserve">Identificar las cuentas por cobrar de larga data y realizar un seguimiento de los donantes.  </w:t>
      </w:r>
    </w:p>
    <w:p w14:paraId="37A8319D" w14:textId="77777777" w:rsidR="00202898" w:rsidRPr="00202898" w:rsidRDefault="00202898" w:rsidP="00202898">
      <w:pPr>
        <w:numPr>
          <w:ilvl w:val="0"/>
          <w:numId w:val="4"/>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Comunicarse con los donantes para determinar cuándo se realizarán los pagos. </w:t>
      </w:r>
    </w:p>
    <w:p w14:paraId="4A842D46" w14:textId="77777777" w:rsidR="00202898" w:rsidRPr="00202898" w:rsidRDefault="00202898" w:rsidP="00202898">
      <w:pPr>
        <w:numPr>
          <w:ilvl w:val="0"/>
          <w:numId w:val="4"/>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Mantener el registro de las pruebas de seguimiento de los donantes. </w:t>
      </w:r>
    </w:p>
    <w:p w14:paraId="4BC9BD15" w14:textId="77777777" w:rsidR="00202898" w:rsidRPr="00202898" w:rsidRDefault="00202898" w:rsidP="00202898">
      <w:pPr>
        <w:numPr>
          <w:ilvl w:val="0"/>
          <w:numId w:val="4"/>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Prestar atención en particular a los montos de larga data y tomar todas las medidas razonables para intentar recuperar estos montos. </w:t>
      </w:r>
    </w:p>
    <w:p w14:paraId="1567A2A0" w14:textId="77777777" w:rsidR="00202898" w:rsidRPr="00202898" w:rsidRDefault="00202898" w:rsidP="00202898">
      <w:pPr>
        <w:numPr>
          <w:ilvl w:val="0"/>
          <w:numId w:val="4"/>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Firmar el informe como prueba de realización del seguimiento. </w:t>
      </w:r>
    </w:p>
    <w:p w14:paraId="43D69F5A" w14:textId="77777777" w:rsidR="00202898" w:rsidRPr="00202898" w:rsidRDefault="00202898" w:rsidP="00202898">
      <w:pPr>
        <w:numPr>
          <w:ilvl w:val="0"/>
          <w:numId w:val="4"/>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Los gerentes de operaciones (gerentes con segunda autoridad) deben firmar el informe para asegurar que se tomaron medidas de seguimiento. </w:t>
      </w:r>
    </w:p>
    <w:p w14:paraId="1BAC27A0" w14:textId="77777777" w:rsidR="00202898" w:rsidRPr="00202898" w:rsidRDefault="00202898" w:rsidP="00202898">
      <w:pPr>
        <w:numPr>
          <w:ilvl w:val="0"/>
          <w:numId w:val="4"/>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Todas las pruebas de seguimiento y revisión deben mantenerse en un expediente como documentación de respaldo para la gestión de las cuentas por cobrar. </w:t>
      </w:r>
    </w:p>
    <w:p w14:paraId="3678D621" w14:textId="77777777" w:rsidR="00202898" w:rsidRPr="00202898" w:rsidRDefault="00202898" w:rsidP="00202898">
      <w:pPr>
        <w:numPr>
          <w:ilvl w:val="0"/>
          <w:numId w:val="1"/>
        </w:numPr>
        <w:spacing w:after="33" w:line="249" w:lineRule="auto"/>
        <w:ind w:left="360" w:right="212" w:hanging="360"/>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Medidas de fin de año</w:t>
      </w:r>
    </w:p>
    <w:p w14:paraId="54BB81E2" w14:textId="77777777" w:rsidR="00202898" w:rsidRPr="00202898" w:rsidRDefault="00202898" w:rsidP="00202898">
      <w:pPr>
        <w:numPr>
          <w:ilvl w:val="0"/>
          <w:numId w:val="5"/>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Debe generarse un informe al final de cada período sobre el que se informa. </w:t>
      </w:r>
    </w:p>
    <w:p w14:paraId="3872A966" w14:textId="77777777" w:rsidR="00202898" w:rsidRPr="00202898" w:rsidRDefault="00202898" w:rsidP="00202898">
      <w:pPr>
        <w:numPr>
          <w:ilvl w:val="0"/>
          <w:numId w:val="5"/>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Debe realizarse un seguimiento estricto con los donantes. </w:t>
      </w:r>
    </w:p>
    <w:p w14:paraId="21D96FEB" w14:textId="77777777" w:rsidR="00202898" w:rsidRPr="00202898" w:rsidRDefault="00202898" w:rsidP="00202898">
      <w:pPr>
        <w:numPr>
          <w:ilvl w:val="0"/>
          <w:numId w:val="5"/>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Deben mantenerse pruebas documentadas cuando haya inquietudes de que los donantes no podrán realizar los pagos.  </w:t>
      </w:r>
    </w:p>
    <w:p w14:paraId="2DA75740" w14:textId="77777777" w:rsidR="00202898" w:rsidRPr="00202898" w:rsidRDefault="00202898" w:rsidP="00202898">
      <w:pPr>
        <w:numPr>
          <w:ilvl w:val="0"/>
          <w:numId w:val="5"/>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Deberá proporcionarse información a la sede con pruebas documentadas para cada donante individual cuando haya dudas acerca de la recuperación y cuando los montos deban incluirse en la provisión para deudas de dudoso cobro. </w:t>
      </w:r>
    </w:p>
    <w:p w14:paraId="07CAF3AB" w14:textId="77777777" w:rsidR="00202898" w:rsidRPr="00202898" w:rsidRDefault="00202898" w:rsidP="00202898">
      <w:pPr>
        <w:numPr>
          <w:ilvl w:val="0"/>
          <w:numId w:val="5"/>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Deberá proporcionarse información a la sede con pruebas documentadas para cada donante individual cuando los montos se consideren irrecuperables después de que se hayan tomado todas las medidas razonables para la recuperación y cuando los montos deban cancelarse. </w:t>
      </w:r>
    </w:p>
    <w:p w14:paraId="0FF28A31" w14:textId="77777777" w:rsidR="00202898" w:rsidRPr="00202898" w:rsidRDefault="00202898" w:rsidP="00202898">
      <w:pPr>
        <w:numPr>
          <w:ilvl w:val="0"/>
          <w:numId w:val="5"/>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Deberá presentarse información sobre la provisión para deudas de dudoso cobro y sobre las cancelaciones como parte de las instrucciones de cierre de fin de año. </w:t>
      </w:r>
    </w:p>
    <w:p w14:paraId="66AC2D93" w14:textId="77777777" w:rsidR="00202898" w:rsidRPr="00202898" w:rsidRDefault="00202898" w:rsidP="00202898">
      <w:pPr>
        <w:numPr>
          <w:ilvl w:val="0"/>
          <w:numId w:val="5"/>
        </w:numPr>
        <w:spacing w:after="33" w:line="249" w:lineRule="auto"/>
        <w:ind w:right="212"/>
        <w:contextualSpacing/>
        <w:jc w:val="both"/>
        <w:rPr>
          <w:rFonts w:ascii="Calibri" w:eastAsia="Calibri" w:hAnsi="Calibri" w:cs="Calibri"/>
          <w:color w:val="000000"/>
          <w:kern w:val="0"/>
          <w:sz w:val="22"/>
          <w:szCs w:val="22"/>
          <w:lang w:val="es-ES"/>
          <w14:ligatures w14:val="none"/>
        </w:rPr>
      </w:pPr>
      <w:r w:rsidRPr="00202898">
        <w:rPr>
          <w:rFonts w:ascii="Calibri" w:eastAsia="Calibri" w:hAnsi="Calibri" w:cs="Calibri"/>
          <w:color w:val="000000"/>
          <w:kern w:val="0"/>
          <w:sz w:val="22"/>
          <w:szCs w:val="22"/>
          <w:lang w:val="es-ES"/>
          <w14:ligatures w14:val="none"/>
        </w:rPr>
        <w:t xml:space="preserve">La Oficina de Gestión de Recursos Financieros (OFM, </w:t>
      </w:r>
      <w:r w:rsidRPr="00202898">
        <w:rPr>
          <w:rFonts w:ascii="Calibri" w:eastAsia="Calibri" w:hAnsi="Calibri" w:cs="Calibri"/>
          <w:i/>
          <w:color w:val="000000"/>
          <w:kern w:val="0"/>
          <w:sz w:val="22"/>
          <w:szCs w:val="22"/>
          <w:lang w:val="es-ES"/>
          <w14:ligatures w14:val="none"/>
        </w:rPr>
        <w:t>Office of Financial Management</w:t>
      </w:r>
      <w:r w:rsidRPr="00202898">
        <w:rPr>
          <w:rFonts w:ascii="Calibri" w:eastAsia="Calibri" w:hAnsi="Calibri" w:cs="Calibri"/>
          <w:color w:val="000000"/>
          <w:kern w:val="0"/>
          <w:sz w:val="22"/>
          <w:szCs w:val="22"/>
          <w:lang w:val="es-ES"/>
          <w14:ligatures w14:val="none"/>
        </w:rPr>
        <w:t xml:space="preserve">, por sus siglas en inglés) revisará la información y procesará los asientos necesarios en el libro mayor para la provisión para deudas de dudoso cobro y la cancelación de cuentas por cobrar. </w:t>
      </w:r>
    </w:p>
    <w:p w14:paraId="765D4DF2" w14:textId="77777777" w:rsidR="00202898" w:rsidRPr="00202898" w:rsidRDefault="00202898" w:rsidP="00202898">
      <w:pPr>
        <w:spacing w:line="259" w:lineRule="auto"/>
        <w:rPr>
          <w:rFonts w:ascii="Calibri" w:eastAsia="Calibri" w:hAnsi="Calibri" w:cs="Calibri"/>
          <w:color w:val="000000"/>
          <w:kern w:val="0"/>
          <w:sz w:val="22"/>
          <w:szCs w:val="22"/>
          <w:lang w:val="es-ES"/>
          <w14:ligatures w14:val="none"/>
        </w:rPr>
      </w:pPr>
      <w:r w:rsidRPr="00202898">
        <w:rPr>
          <w:rFonts w:ascii="Arial" w:eastAsia="Calibri" w:hAnsi="Arial" w:cs="Calibri"/>
          <w:b/>
          <w:color w:val="333333"/>
          <w:kern w:val="0"/>
          <w:sz w:val="22"/>
          <w:szCs w:val="22"/>
          <w:lang w:val="es-ES"/>
          <w14:ligatures w14:val="none"/>
        </w:rPr>
        <w:t xml:space="preserve">Funciones y responsabilidades </w:t>
      </w:r>
      <w:r w:rsidRPr="00202898">
        <w:rPr>
          <w:rFonts w:ascii="Arial" w:eastAsia="Calibri" w:hAnsi="Arial" w:cs="Calibri"/>
          <w:color w:val="333333"/>
          <w:kern w:val="0"/>
          <w:sz w:val="20"/>
          <w:szCs w:val="22"/>
          <w:lang w:val="es-ES"/>
          <w14:ligatures w14:val="none"/>
        </w:rPr>
        <w:t xml:space="preserve">  </w:t>
      </w:r>
    </w:p>
    <w:tbl>
      <w:tblPr>
        <w:tblStyle w:val="TableGrid"/>
        <w:tblW w:w="10837" w:type="dxa"/>
        <w:tblInd w:w="-995" w:type="dxa"/>
        <w:tblLook w:val="04A0" w:firstRow="1" w:lastRow="0" w:firstColumn="1" w:lastColumn="0" w:noHBand="0" w:noVBand="1"/>
      </w:tblPr>
      <w:tblGrid>
        <w:gridCol w:w="2305"/>
        <w:gridCol w:w="1144"/>
        <w:gridCol w:w="1154"/>
        <w:gridCol w:w="858"/>
        <w:gridCol w:w="972"/>
        <w:gridCol w:w="972"/>
        <w:gridCol w:w="1282"/>
        <w:gridCol w:w="1156"/>
        <w:gridCol w:w="994"/>
      </w:tblGrid>
      <w:tr w:rsidR="00202898" w:rsidRPr="00202898" w14:paraId="77260B99" w14:textId="77777777" w:rsidTr="00085094">
        <w:trPr>
          <w:trHeight w:val="665"/>
        </w:trPr>
        <w:tc>
          <w:tcPr>
            <w:tcW w:w="2406" w:type="dxa"/>
            <w:vAlign w:val="center"/>
          </w:tcPr>
          <w:p w14:paraId="74842C2E"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Proceso de gestión de ingresos</w:t>
            </w:r>
          </w:p>
        </w:tc>
        <w:tc>
          <w:tcPr>
            <w:tcW w:w="1181" w:type="dxa"/>
            <w:vAlign w:val="center"/>
          </w:tcPr>
          <w:p w14:paraId="0D9FD6E0" w14:textId="77777777" w:rsidR="00202898" w:rsidRPr="00202898" w:rsidRDefault="00202898" w:rsidP="00202898">
            <w:pPr>
              <w:spacing w:line="239" w:lineRule="auto"/>
              <w:jc w:val="center"/>
              <w:rPr>
                <w:rFonts w:ascii="Calibri" w:eastAsia="Calibri" w:hAnsi="Calibri" w:cs="Calibri"/>
                <w:color w:val="000000"/>
              </w:rPr>
            </w:pPr>
            <w:r w:rsidRPr="00202898">
              <w:rPr>
                <w:rFonts w:ascii="Calibri" w:eastAsia="Calibri" w:hAnsi="Calibri" w:cs="Calibri"/>
                <w:color w:val="333333"/>
                <w:sz w:val="20"/>
              </w:rPr>
              <w:t xml:space="preserve">Programa de CO/BU </w:t>
            </w:r>
          </w:p>
        </w:tc>
        <w:tc>
          <w:tcPr>
            <w:tcW w:w="953" w:type="dxa"/>
            <w:vAlign w:val="center"/>
          </w:tcPr>
          <w:p w14:paraId="48031416" w14:textId="77777777" w:rsidR="00202898" w:rsidRPr="00202898" w:rsidRDefault="00202898" w:rsidP="00202898">
            <w:pPr>
              <w:spacing w:line="239" w:lineRule="auto"/>
              <w:jc w:val="center"/>
              <w:rPr>
                <w:rFonts w:ascii="Calibri" w:eastAsia="Calibri" w:hAnsi="Calibri" w:cs="Calibri"/>
                <w:color w:val="000000"/>
              </w:rPr>
            </w:pPr>
            <w:r w:rsidRPr="00202898">
              <w:rPr>
                <w:rFonts w:ascii="Calibri" w:eastAsia="Calibri" w:hAnsi="Calibri" w:cs="Calibri"/>
                <w:color w:val="333333"/>
                <w:sz w:val="20"/>
              </w:rPr>
              <w:t>Aprobación de RR/BU</w:t>
            </w:r>
          </w:p>
        </w:tc>
        <w:tc>
          <w:tcPr>
            <w:tcW w:w="924" w:type="dxa"/>
            <w:vAlign w:val="center"/>
          </w:tcPr>
          <w:p w14:paraId="3926591F"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 xml:space="preserve">DRM </w:t>
            </w:r>
          </w:p>
        </w:tc>
        <w:tc>
          <w:tcPr>
            <w:tcW w:w="988" w:type="dxa"/>
            <w:vAlign w:val="center"/>
          </w:tcPr>
          <w:p w14:paraId="0F35DEE5"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 xml:space="preserve">Finanzas de BU </w:t>
            </w:r>
          </w:p>
        </w:tc>
        <w:tc>
          <w:tcPr>
            <w:tcW w:w="988" w:type="dxa"/>
            <w:vAlign w:val="center"/>
          </w:tcPr>
          <w:p w14:paraId="20B4A87F"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 xml:space="preserve">Finanzas de CO </w:t>
            </w:r>
          </w:p>
        </w:tc>
        <w:tc>
          <w:tcPr>
            <w:tcW w:w="1340" w:type="dxa"/>
            <w:vAlign w:val="center"/>
          </w:tcPr>
          <w:p w14:paraId="4DB0D78B" w14:textId="77777777" w:rsidR="00202898" w:rsidRPr="00202898" w:rsidRDefault="00202898" w:rsidP="00202898">
            <w:pPr>
              <w:spacing w:line="259" w:lineRule="auto"/>
              <w:jc w:val="center"/>
              <w:rPr>
                <w:rFonts w:ascii="Calibri" w:eastAsia="Calibri" w:hAnsi="Calibri" w:cs="Calibri"/>
                <w:color w:val="333333"/>
                <w:sz w:val="20"/>
                <w:szCs w:val="20"/>
              </w:rPr>
            </w:pPr>
            <w:r w:rsidRPr="00202898">
              <w:rPr>
                <w:rFonts w:ascii="Calibri" w:eastAsia="Calibri" w:hAnsi="Calibri" w:cs="Calibri"/>
                <w:color w:val="333333"/>
                <w:sz w:val="20"/>
                <w:szCs w:val="20"/>
              </w:rPr>
              <w:t xml:space="preserve">Tesorería de la sede/OFM </w:t>
            </w:r>
          </w:p>
        </w:tc>
        <w:tc>
          <w:tcPr>
            <w:tcW w:w="1032" w:type="dxa"/>
            <w:vAlign w:val="center"/>
          </w:tcPr>
          <w:p w14:paraId="1449CD4F" w14:textId="77777777" w:rsidR="00202898" w:rsidRPr="00202898" w:rsidRDefault="00202898" w:rsidP="00202898">
            <w:pPr>
              <w:spacing w:line="239" w:lineRule="auto"/>
              <w:jc w:val="center"/>
              <w:rPr>
                <w:rFonts w:ascii="Calibri" w:eastAsia="Calibri" w:hAnsi="Calibri" w:cs="Calibri"/>
                <w:color w:val="000000"/>
              </w:rPr>
            </w:pPr>
            <w:r w:rsidRPr="00202898">
              <w:rPr>
                <w:rFonts w:ascii="Calibri" w:eastAsia="Calibri" w:hAnsi="Calibri" w:cs="Calibri"/>
                <w:color w:val="333333"/>
                <w:sz w:val="20"/>
                <w:szCs w:val="20"/>
              </w:rPr>
              <w:t xml:space="preserve">Especialista en Ingresos del CMSC </w:t>
            </w:r>
          </w:p>
        </w:tc>
        <w:tc>
          <w:tcPr>
            <w:tcW w:w="1025" w:type="dxa"/>
            <w:vAlign w:val="center"/>
          </w:tcPr>
          <w:p w14:paraId="6E56130F"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 xml:space="preserve">Gerente del CMSC </w:t>
            </w:r>
          </w:p>
        </w:tc>
      </w:tr>
      <w:tr w:rsidR="00202898" w:rsidRPr="00202898" w14:paraId="3B5A79CC" w14:textId="77777777" w:rsidTr="00085094">
        <w:trPr>
          <w:trHeight w:val="144"/>
        </w:trPr>
        <w:tc>
          <w:tcPr>
            <w:tcW w:w="2406" w:type="dxa"/>
            <w:vAlign w:val="center"/>
          </w:tcPr>
          <w:p w14:paraId="0997F52E"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Negociar acuerdos/enmiendas</w:t>
            </w:r>
          </w:p>
        </w:tc>
        <w:tc>
          <w:tcPr>
            <w:tcW w:w="1181" w:type="dxa"/>
            <w:vAlign w:val="center"/>
          </w:tcPr>
          <w:p w14:paraId="25A59E49"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53" w:type="dxa"/>
            <w:vAlign w:val="center"/>
          </w:tcPr>
          <w:p w14:paraId="5DB60F50"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24" w:type="dxa"/>
            <w:vAlign w:val="center"/>
          </w:tcPr>
          <w:p w14:paraId="2C766421"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54EC0753"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7DE1E3F9" w14:textId="77777777" w:rsidR="00202898" w:rsidRPr="00202898" w:rsidRDefault="00202898" w:rsidP="00202898">
            <w:pPr>
              <w:spacing w:line="259" w:lineRule="auto"/>
              <w:jc w:val="center"/>
              <w:rPr>
                <w:rFonts w:ascii="Calibri" w:eastAsia="Calibri" w:hAnsi="Calibri" w:cs="Calibri"/>
                <w:color w:val="000000"/>
                <w:lang w:val="en-GB"/>
              </w:rPr>
            </w:pPr>
          </w:p>
        </w:tc>
        <w:tc>
          <w:tcPr>
            <w:tcW w:w="1340" w:type="dxa"/>
            <w:vAlign w:val="center"/>
          </w:tcPr>
          <w:p w14:paraId="5DF3CC14" w14:textId="77777777" w:rsidR="00202898" w:rsidRPr="00202898" w:rsidRDefault="00202898" w:rsidP="00202898">
            <w:pPr>
              <w:spacing w:line="259" w:lineRule="auto"/>
              <w:jc w:val="center"/>
              <w:rPr>
                <w:rFonts w:ascii="Calibri" w:eastAsia="Calibri" w:hAnsi="Calibri" w:cs="Calibri"/>
                <w:color w:val="000000"/>
                <w:lang w:val="en-GB"/>
              </w:rPr>
            </w:pPr>
          </w:p>
        </w:tc>
        <w:tc>
          <w:tcPr>
            <w:tcW w:w="1032" w:type="dxa"/>
            <w:vAlign w:val="center"/>
          </w:tcPr>
          <w:p w14:paraId="6CE90895"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42FB3CDB"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5650E49B" w14:textId="77777777" w:rsidTr="00085094">
        <w:trPr>
          <w:trHeight w:val="144"/>
        </w:trPr>
        <w:tc>
          <w:tcPr>
            <w:tcW w:w="2406" w:type="dxa"/>
            <w:vAlign w:val="center"/>
          </w:tcPr>
          <w:p w14:paraId="18FF5197"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Aprobar acuerdos/enmiendas no estándares</w:t>
            </w:r>
          </w:p>
        </w:tc>
        <w:tc>
          <w:tcPr>
            <w:tcW w:w="1181" w:type="dxa"/>
            <w:vAlign w:val="center"/>
          </w:tcPr>
          <w:p w14:paraId="15E9D677"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46D54715"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7F14BEC7"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88" w:type="dxa"/>
            <w:vAlign w:val="center"/>
          </w:tcPr>
          <w:p w14:paraId="59E7C370"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2B41964D" w14:textId="77777777" w:rsidR="00202898" w:rsidRPr="00202898" w:rsidRDefault="00202898" w:rsidP="00202898">
            <w:pPr>
              <w:spacing w:line="259" w:lineRule="auto"/>
              <w:jc w:val="center"/>
              <w:rPr>
                <w:rFonts w:ascii="Calibri" w:eastAsia="Calibri" w:hAnsi="Calibri" w:cs="Calibri"/>
                <w:color w:val="000000"/>
                <w:lang w:val="en-GB"/>
              </w:rPr>
            </w:pPr>
          </w:p>
        </w:tc>
        <w:tc>
          <w:tcPr>
            <w:tcW w:w="1340" w:type="dxa"/>
            <w:vAlign w:val="center"/>
          </w:tcPr>
          <w:p w14:paraId="0E2FD00F" w14:textId="77777777" w:rsidR="00202898" w:rsidRPr="00202898" w:rsidRDefault="00202898" w:rsidP="00202898">
            <w:pPr>
              <w:spacing w:line="259" w:lineRule="auto"/>
              <w:jc w:val="center"/>
              <w:rPr>
                <w:rFonts w:ascii="Calibri" w:eastAsia="Calibri" w:hAnsi="Calibri" w:cs="Calibri"/>
                <w:color w:val="000000"/>
                <w:lang w:val="en-GB"/>
              </w:rPr>
            </w:pPr>
          </w:p>
        </w:tc>
        <w:tc>
          <w:tcPr>
            <w:tcW w:w="1032" w:type="dxa"/>
            <w:vAlign w:val="center"/>
          </w:tcPr>
          <w:p w14:paraId="5B4D78E2"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46236119"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006E9EEB" w14:textId="77777777" w:rsidTr="00085094">
        <w:trPr>
          <w:trHeight w:val="144"/>
        </w:trPr>
        <w:tc>
          <w:tcPr>
            <w:tcW w:w="2406" w:type="dxa"/>
            <w:vAlign w:val="center"/>
          </w:tcPr>
          <w:p w14:paraId="785EF70E"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Firmar todos los acuerdos/enmiendas</w:t>
            </w:r>
          </w:p>
        </w:tc>
        <w:tc>
          <w:tcPr>
            <w:tcW w:w="1181" w:type="dxa"/>
            <w:vAlign w:val="center"/>
          </w:tcPr>
          <w:p w14:paraId="6E38D1BD"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14D33108"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24" w:type="dxa"/>
            <w:vAlign w:val="center"/>
          </w:tcPr>
          <w:p w14:paraId="050CACA4"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5247D3E9"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289984A9" w14:textId="77777777" w:rsidR="00202898" w:rsidRPr="00202898" w:rsidRDefault="00202898" w:rsidP="00202898">
            <w:pPr>
              <w:spacing w:line="259" w:lineRule="auto"/>
              <w:jc w:val="center"/>
              <w:rPr>
                <w:rFonts w:ascii="Calibri" w:eastAsia="Calibri" w:hAnsi="Calibri" w:cs="Calibri"/>
                <w:color w:val="000000"/>
                <w:lang w:val="en-GB"/>
              </w:rPr>
            </w:pPr>
          </w:p>
        </w:tc>
        <w:tc>
          <w:tcPr>
            <w:tcW w:w="1340" w:type="dxa"/>
            <w:vAlign w:val="center"/>
          </w:tcPr>
          <w:p w14:paraId="24831A44" w14:textId="77777777" w:rsidR="00202898" w:rsidRPr="00202898" w:rsidRDefault="00202898" w:rsidP="00202898">
            <w:pPr>
              <w:spacing w:line="259" w:lineRule="auto"/>
              <w:jc w:val="center"/>
              <w:rPr>
                <w:rFonts w:ascii="Calibri" w:eastAsia="Calibri" w:hAnsi="Calibri" w:cs="Calibri"/>
                <w:color w:val="000000"/>
                <w:lang w:val="en-GB"/>
              </w:rPr>
            </w:pPr>
          </w:p>
        </w:tc>
        <w:tc>
          <w:tcPr>
            <w:tcW w:w="1032" w:type="dxa"/>
            <w:vAlign w:val="center"/>
          </w:tcPr>
          <w:p w14:paraId="5493787F"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38827927"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1F8693A4" w14:textId="77777777" w:rsidTr="00085094">
        <w:trPr>
          <w:trHeight w:val="144"/>
        </w:trPr>
        <w:tc>
          <w:tcPr>
            <w:tcW w:w="2406" w:type="dxa"/>
            <w:vAlign w:val="center"/>
          </w:tcPr>
          <w:p w14:paraId="2ED3575E"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Crear y finalizar el presupuesto del proyecto</w:t>
            </w:r>
          </w:p>
        </w:tc>
        <w:tc>
          <w:tcPr>
            <w:tcW w:w="1181" w:type="dxa"/>
            <w:vAlign w:val="center"/>
          </w:tcPr>
          <w:p w14:paraId="7CCB7B40"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53" w:type="dxa"/>
            <w:vAlign w:val="center"/>
          </w:tcPr>
          <w:p w14:paraId="2544443E" w14:textId="77777777" w:rsidR="00202898" w:rsidRPr="00202898" w:rsidRDefault="00202898" w:rsidP="00202898">
            <w:pPr>
              <w:spacing w:line="259" w:lineRule="auto"/>
              <w:jc w:val="center"/>
              <w:rPr>
                <w:rFonts w:ascii="Calibri" w:eastAsia="Calibri" w:hAnsi="Calibri" w:cs="Calibri"/>
                <w:color w:val="000000"/>
                <w:lang w:val="en-GB"/>
              </w:rPr>
            </w:pPr>
          </w:p>
        </w:tc>
        <w:tc>
          <w:tcPr>
            <w:tcW w:w="924" w:type="dxa"/>
            <w:vAlign w:val="center"/>
          </w:tcPr>
          <w:p w14:paraId="46FAD5AA"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1FE3BE1D"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88" w:type="dxa"/>
            <w:vAlign w:val="center"/>
          </w:tcPr>
          <w:p w14:paraId="7F0132D3" w14:textId="77777777" w:rsidR="00202898" w:rsidRPr="00202898" w:rsidRDefault="00202898" w:rsidP="00202898">
            <w:pPr>
              <w:spacing w:line="259" w:lineRule="auto"/>
              <w:jc w:val="center"/>
              <w:rPr>
                <w:rFonts w:ascii="Calibri" w:eastAsia="Calibri" w:hAnsi="Calibri" w:cs="Calibri"/>
                <w:color w:val="000000"/>
                <w:lang w:val="en-GB"/>
              </w:rPr>
            </w:pPr>
          </w:p>
        </w:tc>
        <w:tc>
          <w:tcPr>
            <w:tcW w:w="1340" w:type="dxa"/>
            <w:vAlign w:val="center"/>
          </w:tcPr>
          <w:p w14:paraId="6C07D61D" w14:textId="77777777" w:rsidR="00202898" w:rsidRPr="00202898" w:rsidRDefault="00202898" w:rsidP="00202898">
            <w:pPr>
              <w:spacing w:line="259" w:lineRule="auto"/>
              <w:jc w:val="center"/>
              <w:rPr>
                <w:rFonts w:ascii="Calibri" w:eastAsia="Calibri" w:hAnsi="Calibri" w:cs="Calibri"/>
                <w:color w:val="000000"/>
                <w:lang w:val="en-GB"/>
              </w:rPr>
            </w:pPr>
          </w:p>
        </w:tc>
        <w:tc>
          <w:tcPr>
            <w:tcW w:w="1032" w:type="dxa"/>
            <w:vAlign w:val="center"/>
          </w:tcPr>
          <w:p w14:paraId="03AE1458"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484F268C"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5F430D18" w14:textId="77777777" w:rsidTr="00085094">
        <w:trPr>
          <w:trHeight w:val="144"/>
        </w:trPr>
        <w:tc>
          <w:tcPr>
            <w:tcW w:w="2406" w:type="dxa"/>
            <w:vAlign w:val="center"/>
          </w:tcPr>
          <w:p w14:paraId="08DAB8B3"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Cargar las enmiendas y los acuerdos firmados en el CMSC</w:t>
            </w:r>
          </w:p>
        </w:tc>
        <w:tc>
          <w:tcPr>
            <w:tcW w:w="1181" w:type="dxa"/>
            <w:vAlign w:val="center"/>
          </w:tcPr>
          <w:p w14:paraId="49EC4E65"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09884858"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4C4C0EAA"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1CDB8087"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88" w:type="dxa"/>
            <w:vAlign w:val="center"/>
          </w:tcPr>
          <w:p w14:paraId="2BDE7CAF" w14:textId="77777777" w:rsidR="00202898" w:rsidRPr="00202898" w:rsidRDefault="00202898" w:rsidP="00202898">
            <w:pPr>
              <w:spacing w:line="259" w:lineRule="auto"/>
              <w:jc w:val="center"/>
              <w:rPr>
                <w:rFonts w:ascii="Calibri" w:eastAsia="Calibri" w:hAnsi="Calibri" w:cs="Calibri"/>
                <w:color w:val="000000"/>
                <w:lang w:val="en-GB"/>
              </w:rPr>
            </w:pPr>
          </w:p>
        </w:tc>
        <w:tc>
          <w:tcPr>
            <w:tcW w:w="1340" w:type="dxa"/>
            <w:vAlign w:val="center"/>
          </w:tcPr>
          <w:p w14:paraId="1161FD8C" w14:textId="77777777" w:rsidR="00202898" w:rsidRPr="00202898" w:rsidRDefault="00202898" w:rsidP="00202898">
            <w:pPr>
              <w:spacing w:line="259" w:lineRule="auto"/>
              <w:jc w:val="center"/>
              <w:rPr>
                <w:rFonts w:ascii="Calibri" w:eastAsia="Calibri" w:hAnsi="Calibri" w:cs="Calibri"/>
                <w:color w:val="000000"/>
                <w:lang w:val="en-GB"/>
              </w:rPr>
            </w:pPr>
          </w:p>
        </w:tc>
        <w:tc>
          <w:tcPr>
            <w:tcW w:w="1032" w:type="dxa"/>
            <w:vAlign w:val="center"/>
          </w:tcPr>
          <w:p w14:paraId="7748B1A2"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3AD38285"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735D7B73" w14:textId="77777777" w:rsidTr="00085094">
        <w:trPr>
          <w:trHeight w:val="144"/>
        </w:trPr>
        <w:tc>
          <w:tcPr>
            <w:tcW w:w="2406" w:type="dxa"/>
            <w:vAlign w:val="center"/>
          </w:tcPr>
          <w:p w14:paraId="2A5A3753" w14:textId="77777777" w:rsidR="00202898" w:rsidRPr="00202898" w:rsidRDefault="00202898" w:rsidP="00202898">
            <w:pPr>
              <w:spacing w:line="242" w:lineRule="auto"/>
              <w:rPr>
                <w:rFonts w:ascii="Calibri" w:eastAsia="Calibri" w:hAnsi="Calibri" w:cs="Calibri"/>
                <w:color w:val="000000"/>
              </w:rPr>
            </w:pPr>
            <w:r w:rsidRPr="00202898">
              <w:rPr>
                <w:rFonts w:ascii="Calibri" w:eastAsia="Calibri" w:hAnsi="Calibri" w:cs="Calibri"/>
                <w:color w:val="333333"/>
                <w:sz w:val="20"/>
              </w:rPr>
              <w:t xml:space="preserve">Ingresar el acuerdo en el módulo de </w:t>
            </w:r>
            <w:r w:rsidRPr="00202898">
              <w:rPr>
                <w:rFonts w:ascii="Calibri" w:eastAsia="Calibri" w:hAnsi="Calibri" w:cs="Calibri"/>
                <w:color w:val="333333"/>
                <w:sz w:val="20"/>
              </w:rPr>
              <w:lastRenderedPageBreak/>
              <w:t>contratos/procesar las enmiendas y configurar</w:t>
            </w:r>
          </w:p>
          <w:p w14:paraId="62092A51"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 xml:space="preserve">el acuerdo como listo </w:t>
            </w:r>
          </w:p>
        </w:tc>
        <w:tc>
          <w:tcPr>
            <w:tcW w:w="1181" w:type="dxa"/>
            <w:vAlign w:val="center"/>
          </w:tcPr>
          <w:p w14:paraId="14A943FD" w14:textId="77777777" w:rsidR="00202898" w:rsidRPr="00202898" w:rsidRDefault="00202898" w:rsidP="00202898">
            <w:pPr>
              <w:spacing w:line="259" w:lineRule="auto"/>
              <w:jc w:val="center"/>
              <w:rPr>
                <w:rFonts w:ascii="Calibri" w:eastAsia="Calibri" w:hAnsi="Calibri" w:cs="Calibri"/>
                <w:color w:val="000000"/>
                <w:lang w:val="en-GB"/>
              </w:rPr>
            </w:pPr>
          </w:p>
        </w:tc>
        <w:tc>
          <w:tcPr>
            <w:tcW w:w="953" w:type="dxa"/>
            <w:vAlign w:val="center"/>
          </w:tcPr>
          <w:p w14:paraId="3CA1FD3A" w14:textId="77777777" w:rsidR="00202898" w:rsidRPr="00202898" w:rsidRDefault="00202898" w:rsidP="00202898">
            <w:pPr>
              <w:spacing w:line="259" w:lineRule="auto"/>
              <w:jc w:val="center"/>
              <w:rPr>
                <w:rFonts w:ascii="Calibri" w:eastAsia="Calibri" w:hAnsi="Calibri" w:cs="Calibri"/>
                <w:color w:val="000000"/>
                <w:lang w:val="en-GB"/>
              </w:rPr>
            </w:pPr>
          </w:p>
        </w:tc>
        <w:tc>
          <w:tcPr>
            <w:tcW w:w="924" w:type="dxa"/>
            <w:vAlign w:val="center"/>
          </w:tcPr>
          <w:p w14:paraId="2D7C7C61"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1BBC54B5"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230A5176" w14:textId="77777777" w:rsidR="00202898" w:rsidRPr="00202898" w:rsidRDefault="00202898" w:rsidP="00202898">
            <w:pPr>
              <w:spacing w:line="259" w:lineRule="auto"/>
              <w:jc w:val="center"/>
              <w:rPr>
                <w:rFonts w:ascii="Calibri" w:eastAsia="Calibri" w:hAnsi="Calibri" w:cs="Calibri"/>
                <w:color w:val="000000"/>
                <w:lang w:val="en-GB"/>
              </w:rPr>
            </w:pPr>
          </w:p>
        </w:tc>
        <w:tc>
          <w:tcPr>
            <w:tcW w:w="1340" w:type="dxa"/>
            <w:vAlign w:val="center"/>
          </w:tcPr>
          <w:p w14:paraId="5DE3EE10" w14:textId="77777777" w:rsidR="00202898" w:rsidRPr="00202898" w:rsidRDefault="00202898" w:rsidP="00202898">
            <w:pPr>
              <w:spacing w:line="259" w:lineRule="auto"/>
              <w:jc w:val="center"/>
              <w:rPr>
                <w:rFonts w:ascii="Calibri" w:eastAsia="Calibri" w:hAnsi="Calibri" w:cs="Calibri"/>
                <w:color w:val="000000"/>
                <w:lang w:val="en-GB"/>
              </w:rPr>
            </w:pPr>
          </w:p>
        </w:tc>
        <w:tc>
          <w:tcPr>
            <w:tcW w:w="1032" w:type="dxa"/>
            <w:vAlign w:val="center"/>
          </w:tcPr>
          <w:p w14:paraId="0C30BF9F"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25" w:type="dxa"/>
            <w:vAlign w:val="center"/>
          </w:tcPr>
          <w:p w14:paraId="4533E824"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3B91B649" w14:textId="77777777" w:rsidTr="00085094">
        <w:trPr>
          <w:trHeight w:val="144"/>
        </w:trPr>
        <w:tc>
          <w:tcPr>
            <w:tcW w:w="2406" w:type="dxa"/>
            <w:vAlign w:val="center"/>
          </w:tcPr>
          <w:p w14:paraId="6455EAD4"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Configurar el contrato como activo (aprobación del contrato)</w:t>
            </w:r>
          </w:p>
        </w:tc>
        <w:tc>
          <w:tcPr>
            <w:tcW w:w="1181" w:type="dxa"/>
            <w:vAlign w:val="center"/>
          </w:tcPr>
          <w:p w14:paraId="4F1EB130"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67806709"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43FDB3FD"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76EEC414"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40E524EF" w14:textId="77777777" w:rsidR="00202898" w:rsidRPr="00202898" w:rsidRDefault="00202898" w:rsidP="00202898">
            <w:pPr>
              <w:spacing w:line="259" w:lineRule="auto"/>
              <w:jc w:val="center"/>
              <w:rPr>
                <w:rFonts w:ascii="Calibri" w:eastAsia="Calibri" w:hAnsi="Calibri" w:cs="Calibri"/>
                <w:color w:val="000000"/>
                <w:lang w:val="es-AR"/>
              </w:rPr>
            </w:pPr>
          </w:p>
        </w:tc>
        <w:tc>
          <w:tcPr>
            <w:tcW w:w="1340" w:type="dxa"/>
            <w:vAlign w:val="center"/>
          </w:tcPr>
          <w:p w14:paraId="31C6AD6E" w14:textId="77777777" w:rsidR="00202898" w:rsidRPr="00202898" w:rsidRDefault="00202898" w:rsidP="00202898">
            <w:pPr>
              <w:spacing w:line="259" w:lineRule="auto"/>
              <w:jc w:val="center"/>
              <w:rPr>
                <w:rFonts w:ascii="Calibri" w:eastAsia="Calibri" w:hAnsi="Calibri" w:cs="Calibri"/>
                <w:color w:val="000000"/>
                <w:lang w:val="es-AR"/>
              </w:rPr>
            </w:pPr>
          </w:p>
        </w:tc>
        <w:tc>
          <w:tcPr>
            <w:tcW w:w="1032" w:type="dxa"/>
            <w:vAlign w:val="center"/>
          </w:tcPr>
          <w:p w14:paraId="2DF82F2D" w14:textId="77777777" w:rsidR="00202898" w:rsidRPr="00202898" w:rsidRDefault="00202898" w:rsidP="00202898">
            <w:pPr>
              <w:spacing w:line="259" w:lineRule="auto"/>
              <w:jc w:val="center"/>
              <w:rPr>
                <w:rFonts w:ascii="Calibri" w:eastAsia="Calibri" w:hAnsi="Calibri" w:cs="Calibri"/>
                <w:color w:val="000000"/>
                <w:lang w:val="es-AR"/>
              </w:rPr>
            </w:pPr>
          </w:p>
        </w:tc>
        <w:tc>
          <w:tcPr>
            <w:tcW w:w="1025" w:type="dxa"/>
            <w:vAlign w:val="center"/>
          </w:tcPr>
          <w:p w14:paraId="25369F80"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r>
      <w:tr w:rsidR="00202898" w:rsidRPr="00202898" w14:paraId="258B19AF" w14:textId="77777777" w:rsidTr="00085094">
        <w:trPr>
          <w:trHeight w:val="144"/>
        </w:trPr>
        <w:tc>
          <w:tcPr>
            <w:tcW w:w="2406" w:type="dxa"/>
            <w:vAlign w:val="center"/>
          </w:tcPr>
          <w:p w14:paraId="600ADE9E"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Notificar a las unidades de negocio sobre la activación del contrato</w:t>
            </w:r>
          </w:p>
        </w:tc>
        <w:tc>
          <w:tcPr>
            <w:tcW w:w="1181" w:type="dxa"/>
            <w:vAlign w:val="center"/>
          </w:tcPr>
          <w:p w14:paraId="1C0B33E9"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74D32352"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62FEEB09"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688BA7FC"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50B86814" w14:textId="77777777" w:rsidR="00202898" w:rsidRPr="00202898" w:rsidRDefault="00202898" w:rsidP="00202898">
            <w:pPr>
              <w:spacing w:line="259" w:lineRule="auto"/>
              <w:jc w:val="center"/>
              <w:rPr>
                <w:rFonts w:ascii="Calibri" w:eastAsia="Calibri" w:hAnsi="Calibri" w:cs="Calibri"/>
                <w:color w:val="000000"/>
                <w:lang w:val="es-AR"/>
              </w:rPr>
            </w:pPr>
          </w:p>
        </w:tc>
        <w:tc>
          <w:tcPr>
            <w:tcW w:w="1340" w:type="dxa"/>
            <w:vAlign w:val="center"/>
          </w:tcPr>
          <w:p w14:paraId="4D7DB8EE" w14:textId="77777777" w:rsidR="00202898" w:rsidRPr="00202898" w:rsidRDefault="00202898" w:rsidP="00202898">
            <w:pPr>
              <w:spacing w:line="259" w:lineRule="auto"/>
              <w:jc w:val="center"/>
              <w:rPr>
                <w:rFonts w:ascii="Calibri" w:eastAsia="Calibri" w:hAnsi="Calibri" w:cs="Calibri"/>
                <w:color w:val="000000"/>
                <w:lang w:val="es-AR"/>
              </w:rPr>
            </w:pPr>
          </w:p>
        </w:tc>
        <w:tc>
          <w:tcPr>
            <w:tcW w:w="1032" w:type="dxa"/>
            <w:vAlign w:val="center"/>
          </w:tcPr>
          <w:p w14:paraId="6B2C715A"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25" w:type="dxa"/>
            <w:vAlign w:val="center"/>
          </w:tcPr>
          <w:p w14:paraId="2305834E"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2FD9BBFE" w14:textId="77777777" w:rsidTr="00085094">
        <w:trPr>
          <w:trHeight w:val="144"/>
        </w:trPr>
        <w:tc>
          <w:tcPr>
            <w:tcW w:w="2406" w:type="dxa"/>
            <w:vAlign w:val="center"/>
          </w:tcPr>
          <w:p w14:paraId="646519F3"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Registrar las contribuciones recibidas en la cuenta bancaria</w:t>
            </w:r>
          </w:p>
        </w:tc>
        <w:tc>
          <w:tcPr>
            <w:tcW w:w="1181" w:type="dxa"/>
            <w:vAlign w:val="center"/>
          </w:tcPr>
          <w:p w14:paraId="15A17524"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6E17B533"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1E8F5E8A"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7D2A9518"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65A6A610"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340" w:type="dxa"/>
            <w:vAlign w:val="center"/>
          </w:tcPr>
          <w:p w14:paraId="453DA6D4"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32" w:type="dxa"/>
            <w:vAlign w:val="center"/>
          </w:tcPr>
          <w:p w14:paraId="6935E5E2"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25" w:type="dxa"/>
            <w:vAlign w:val="center"/>
          </w:tcPr>
          <w:p w14:paraId="53C10B42"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7F0F4C7D" w14:textId="77777777" w:rsidTr="00085094">
        <w:trPr>
          <w:trHeight w:val="144"/>
        </w:trPr>
        <w:tc>
          <w:tcPr>
            <w:tcW w:w="2406" w:type="dxa"/>
            <w:vAlign w:val="center"/>
          </w:tcPr>
          <w:p w14:paraId="4F0DD105"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Marcar la etapa como completa (generar asientos del libro mayor)</w:t>
            </w:r>
          </w:p>
        </w:tc>
        <w:tc>
          <w:tcPr>
            <w:tcW w:w="1181" w:type="dxa"/>
            <w:vAlign w:val="center"/>
          </w:tcPr>
          <w:p w14:paraId="60188D2C"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28ECC174"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1DC64B45"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5B425E85"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1C3106F6" w14:textId="77777777" w:rsidR="00202898" w:rsidRPr="00202898" w:rsidRDefault="00202898" w:rsidP="00202898">
            <w:pPr>
              <w:spacing w:line="259" w:lineRule="auto"/>
              <w:jc w:val="center"/>
              <w:rPr>
                <w:rFonts w:ascii="Calibri" w:eastAsia="Calibri" w:hAnsi="Calibri" w:cs="Calibri"/>
                <w:color w:val="000000"/>
                <w:lang w:val="es-AR"/>
              </w:rPr>
            </w:pPr>
          </w:p>
        </w:tc>
        <w:tc>
          <w:tcPr>
            <w:tcW w:w="1340" w:type="dxa"/>
            <w:vAlign w:val="center"/>
          </w:tcPr>
          <w:p w14:paraId="1FE4BB66"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32" w:type="dxa"/>
            <w:vAlign w:val="center"/>
          </w:tcPr>
          <w:p w14:paraId="24F5FC17"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0BD4D580"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r>
      <w:tr w:rsidR="00202898" w:rsidRPr="00202898" w14:paraId="7BBF1EF3" w14:textId="77777777" w:rsidTr="00085094">
        <w:trPr>
          <w:trHeight w:val="144"/>
        </w:trPr>
        <w:tc>
          <w:tcPr>
            <w:tcW w:w="2406" w:type="dxa"/>
            <w:vAlign w:val="center"/>
          </w:tcPr>
          <w:p w14:paraId="08F65212"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Aplicar efectivo utilizando el informe de cuentas por cobrar para obtener la identidad de la partida de cuentas por cobrar</w:t>
            </w:r>
          </w:p>
        </w:tc>
        <w:tc>
          <w:tcPr>
            <w:tcW w:w="1181" w:type="dxa"/>
            <w:vAlign w:val="center"/>
          </w:tcPr>
          <w:p w14:paraId="6CB73D5A"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4CB9841B"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040DD48E"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21A00FC6"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1489DDA6"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340" w:type="dxa"/>
            <w:vAlign w:val="center"/>
          </w:tcPr>
          <w:p w14:paraId="0808DE0F"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32" w:type="dxa"/>
            <w:vAlign w:val="center"/>
          </w:tcPr>
          <w:p w14:paraId="573B9421"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23AE960C"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1213F3AF" w14:textId="77777777" w:rsidTr="00085094">
        <w:trPr>
          <w:trHeight w:val="144"/>
        </w:trPr>
        <w:tc>
          <w:tcPr>
            <w:tcW w:w="2406" w:type="dxa"/>
            <w:vAlign w:val="center"/>
          </w:tcPr>
          <w:p w14:paraId="6E135340"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Revisar el informe sobre cuentas por cobrar pendientes</w:t>
            </w:r>
          </w:p>
        </w:tc>
        <w:tc>
          <w:tcPr>
            <w:tcW w:w="1181" w:type="dxa"/>
            <w:vAlign w:val="center"/>
          </w:tcPr>
          <w:p w14:paraId="766DAB91"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53" w:type="dxa"/>
            <w:vAlign w:val="center"/>
          </w:tcPr>
          <w:p w14:paraId="685BDA7A" w14:textId="77777777" w:rsidR="00202898" w:rsidRPr="00202898" w:rsidRDefault="00202898" w:rsidP="00202898">
            <w:pPr>
              <w:spacing w:line="259" w:lineRule="auto"/>
              <w:jc w:val="center"/>
              <w:rPr>
                <w:rFonts w:ascii="Calibri" w:eastAsia="Calibri" w:hAnsi="Calibri" w:cs="Calibri"/>
                <w:color w:val="000000"/>
                <w:lang w:val="en-GB"/>
              </w:rPr>
            </w:pPr>
          </w:p>
        </w:tc>
        <w:tc>
          <w:tcPr>
            <w:tcW w:w="924" w:type="dxa"/>
            <w:vAlign w:val="center"/>
          </w:tcPr>
          <w:p w14:paraId="26D95D74"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7BE2EA87"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88" w:type="dxa"/>
            <w:vAlign w:val="center"/>
          </w:tcPr>
          <w:p w14:paraId="4B4C3082" w14:textId="77777777" w:rsidR="00202898" w:rsidRPr="00202898" w:rsidRDefault="00202898" w:rsidP="00202898">
            <w:pPr>
              <w:spacing w:line="259" w:lineRule="auto"/>
              <w:jc w:val="center"/>
              <w:rPr>
                <w:rFonts w:ascii="Calibri" w:eastAsia="Calibri" w:hAnsi="Calibri" w:cs="Calibri"/>
                <w:color w:val="000000"/>
                <w:lang w:val="en-GB"/>
              </w:rPr>
            </w:pPr>
          </w:p>
        </w:tc>
        <w:tc>
          <w:tcPr>
            <w:tcW w:w="1340" w:type="dxa"/>
            <w:vAlign w:val="center"/>
          </w:tcPr>
          <w:p w14:paraId="44EDC19E" w14:textId="77777777" w:rsidR="00202898" w:rsidRPr="00202898" w:rsidRDefault="00202898" w:rsidP="00202898">
            <w:pPr>
              <w:spacing w:line="259" w:lineRule="auto"/>
              <w:jc w:val="center"/>
              <w:rPr>
                <w:rFonts w:ascii="Calibri" w:eastAsia="Calibri" w:hAnsi="Calibri" w:cs="Calibri"/>
                <w:color w:val="000000"/>
                <w:lang w:val="en-GB"/>
              </w:rPr>
            </w:pPr>
          </w:p>
        </w:tc>
        <w:tc>
          <w:tcPr>
            <w:tcW w:w="1032" w:type="dxa"/>
            <w:vAlign w:val="center"/>
          </w:tcPr>
          <w:p w14:paraId="7029B4CB"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25" w:type="dxa"/>
            <w:vAlign w:val="center"/>
          </w:tcPr>
          <w:p w14:paraId="0B09CD41"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3656A435" w14:textId="77777777" w:rsidTr="00085094">
        <w:trPr>
          <w:trHeight w:val="144"/>
        </w:trPr>
        <w:tc>
          <w:tcPr>
            <w:tcW w:w="2406" w:type="dxa"/>
            <w:vAlign w:val="center"/>
          </w:tcPr>
          <w:p w14:paraId="2278357A"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Revisar el informe sobre etapas pendientes/en mora</w:t>
            </w:r>
          </w:p>
        </w:tc>
        <w:tc>
          <w:tcPr>
            <w:tcW w:w="1181" w:type="dxa"/>
            <w:vAlign w:val="center"/>
          </w:tcPr>
          <w:p w14:paraId="78A845EF"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53" w:type="dxa"/>
            <w:vAlign w:val="center"/>
          </w:tcPr>
          <w:p w14:paraId="6A8FE000" w14:textId="77777777" w:rsidR="00202898" w:rsidRPr="00202898" w:rsidRDefault="00202898" w:rsidP="00202898">
            <w:pPr>
              <w:spacing w:line="259" w:lineRule="auto"/>
              <w:jc w:val="center"/>
              <w:rPr>
                <w:rFonts w:ascii="Calibri" w:eastAsia="Calibri" w:hAnsi="Calibri" w:cs="Calibri"/>
                <w:color w:val="000000"/>
                <w:lang w:val="en-GB"/>
              </w:rPr>
            </w:pPr>
          </w:p>
        </w:tc>
        <w:tc>
          <w:tcPr>
            <w:tcW w:w="924" w:type="dxa"/>
            <w:vAlign w:val="center"/>
          </w:tcPr>
          <w:p w14:paraId="2C915BB5"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5F780452"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88" w:type="dxa"/>
            <w:vAlign w:val="center"/>
          </w:tcPr>
          <w:p w14:paraId="1A4AA844" w14:textId="77777777" w:rsidR="00202898" w:rsidRPr="00202898" w:rsidRDefault="00202898" w:rsidP="00202898">
            <w:pPr>
              <w:spacing w:line="259" w:lineRule="auto"/>
              <w:jc w:val="center"/>
              <w:rPr>
                <w:rFonts w:ascii="Calibri" w:eastAsia="Calibri" w:hAnsi="Calibri" w:cs="Calibri"/>
                <w:color w:val="000000"/>
                <w:lang w:val="en-GB"/>
              </w:rPr>
            </w:pPr>
          </w:p>
        </w:tc>
        <w:tc>
          <w:tcPr>
            <w:tcW w:w="1340" w:type="dxa"/>
            <w:vAlign w:val="center"/>
          </w:tcPr>
          <w:p w14:paraId="3D25F073" w14:textId="77777777" w:rsidR="00202898" w:rsidRPr="00202898" w:rsidRDefault="00202898" w:rsidP="00202898">
            <w:pPr>
              <w:spacing w:line="259" w:lineRule="auto"/>
              <w:jc w:val="center"/>
              <w:rPr>
                <w:rFonts w:ascii="Calibri" w:eastAsia="Calibri" w:hAnsi="Calibri" w:cs="Calibri"/>
                <w:color w:val="000000"/>
                <w:lang w:val="en-GB"/>
              </w:rPr>
            </w:pPr>
          </w:p>
        </w:tc>
        <w:tc>
          <w:tcPr>
            <w:tcW w:w="1032" w:type="dxa"/>
            <w:vAlign w:val="center"/>
          </w:tcPr>
          <w:p w14:paraId="73864B02"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25" w:type="dxa"/>
            <w:vAlign w:val="center"/>
          </w:tcPr>
          <w:p w14:paraId="01F886C3"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0E0DEE3E" w14:textId="77777777" w:rsidTr="00085094">
        <w:trPr>
          <w:trHeight w:val="144"/>
        </w:trPr>
        <w:tc>
          <w:tcPr>
            <w:tcW w:w="2406" w:type="dxa"/>
            <w:vAlign w:val="center"/>
          </w:tcPr>
          <w:p w14:paraId="34E65608"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Realizar un seguimiento de los pagos pendientes de donantes</w:t>
            </w:r>
          </w:p>
        </w:tc>
        <w:tc>
          <w:tcPr>
            <w:tcW w:w="1181" w:type="dxa"/>
            <w:vAlign w:val="center"/>
          </w:tcPr>
          <w:p w14:paraId="037F340C"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53" w:type="dxa"/>
            <w:vAlign w:val="center"/>
          </w:tcPr>
          <w:p w14:paraId="41FC5A3F" w14:textId="77777777" w:rsidR="00202898" w:rsidRPr="00202898" w:rsidRDefault="00202898" w:rsidP="00202898">
            <w:pPr>
              <w:spacing w:line="259" w:lineRule="auto"/>
              <w:jc w:val="center"/>
              <w:rPr>
                <w:rFonts w:ascii="Calibri" w:eastAsia="Calibri" w:hAnsi="Calibri" w:cs="Calibri"/>
                <w:color w:val="000000"/>
                <w:lang w:val="en-GB"/>
              </w:rPr>
            </w:pPr>
          </w:p>
        </w:tc>
        <w:tc>
          <w:tcPr>
            <w:tcW w:w="924" w:type="dxa"/>
            <w:vAlign w:val="center"/>
          </w:tcPr>
          <w:p w14:paraId="091EEAF9"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0228FBE5"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795444D3" w14:textId="77777777" w:rsidR="00202898" w:rsidRPr="00202898" w:rsidRDefault="00202898" w:rsidP="00202898">
            <w:pPr>
              <w:spacing w:line="259" w:lineRule="auto"/>
              <w:jc w:val="center"/>
              <w:rPr>
                <w:rFonts w:ascii="Calibri" w:eastAsia="Calibri" w:hAnsi="Calibri" w:cs="Calibri"/>
                <w:color w:val="000000"/>
                <w:lang w:val="en-GB"/>
              </w:rPr>
            </w:pPr>
          </w:p>
        </w:tc>
        <w:tc>
          <w:tcPr>
            <w:tcW w:w="1340" w:type="dxa"/>
            <w:vAlign w:val="center"/>
          </w:tcPr>
          <w:p w14:paraId="30E13B2E" w14:textId="77777777" w:rsidR="00202898" w:rsidRPr="00202898" w:rsidRDefault="00202898" w:rsidP="00202898">
            <w:pPr>
              <w:spacing w:line="259" w:lineRule="auto"/>
              <w:jc w:val="center"/>
              <w:rPr>
                <w:rFonts w:ascii="Calibri" w:eastAsia="Calibri" w:hAnsi="Calibri" w:cs="Calibri"/>
                <w:color w:val="000000"/>
                <w:lang w:val="en-GB"/>
              </w:rPr>
            </w:pPr>
          </w:p>
        </w:tc>
        <w:tc>
          <w:tcPr>
            <w:tcW w:w="1032" w:type="dxa"/>
            <w:vAlign w:val="center"/>
          </w:tcPr>
          <w:p w14:paraId="4BA82D1A"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0DD70CAD"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0BDB77B6" w14:textId="77777777" w:rsidTr="00085094">
        <w:trPr>
          <w:trHeight w:val="144"/>
        </w:trPr>
        <w:tc>
          <w:tcPr>
            <w:tcW w:w="2406" w:type="dxa"/>
            <w:vAlign w:val="center"/>
          </w:tcPr>
          <w:p w14:paraId="47796623"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Realizar un seguimiento de las etapas pendientes/en mora de los donantes, p. ej., la aprobación del informe de la CE de los pagos en mora</w:t>
            </w:r>
          </w:p>
        </w:tc>
        <w:tc>
          <w:tcPr>
            <w:tcW w:w="1181" w:type="dxa"/>
            <w:vAlign w:val="center"/>
          </w:tcPr>
          <w:p w14:paraId="17502D9A"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53" w:type="dxa"/>
            <w:vAlign w:val="center"/>
          </w:tcPr>
          <w:p w14:paraId="79F21B19" w14:textId="77777777" w:rsidR="00202898" w:rsidRPr="00202898" w:rsidRDefault="00202898" w:rsidP="00202898">
            <w:pPr>
              <w:spacing w:line="259" w:lineRule="auto"/>
              <w:jc w:val="center"/>
              <w:rPr>
                <w:rFonts w:ascii="Calibri" w:eastAsia="Calibri" w:hAnsi="Calibri" w:cs="Calibri"/>
                <w:color w:val="000000"/>
                <w:lang w:val="en-GB"/>
              </w:rPr>
            </w:pPr>
          </w:p>
        </w:tc>
        <w:tc>
          <w:tcPr>
            <w:tcW w:w="924" w:type="dxa"/>
            <w:vAlign w:val="center"/>
          </w:tcPr>
          <w:p w14:paraId="58068A16"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0DEC5F83"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4018DF2F" w14:textId="77777777" w:rsidR="00202898" w:rsidRPr="00202898" w:rsidRDefault="00202898" w:rsidP="00202898">
            <w:pPr>
              <w:spacing w:line="259" w:lineRule="auto"/>
              <w:jc w:val="center"/>
              <w:rPr>
                <w:rFonts w:ascii="Calibri" w:eastAsia="Calibri" w:hAnsi="Calibri" w:cs="Calibri"/>
                <w:color w:val="000000"/>
                <w:lang w:val="en-GB"/>
              </w:rPr>
            </w:pPr>
          </w:p>
        </w:tc>
        <w:tc>
          <w:tcPr>
            <w:tcW w:w="1340" w:type="dxa"/>
            <w:vAlign w:val="center"/>
          </w:tcPr>
          <w:p w14:paraId="1536E991" w14:textId="77777777" w:rsidR="00202898" w:rsidRPr="00202898" w:rsidRDefault="00202898" w:rsidP="00202898">
            <w:pPr>
              <w:spacing w:line="259" w:lineRule="auto"/>
              <w:jc w:val="center"/>
              <w:rPr>
                <w:rFonts w:ascii="Calibri" w:eastAsia="Calibri" w:hAnsi="Calibri" w:cs="Calibri"/>
                <w:color w:val="000000"/>
                <w:lang w:val="en-GB"/>
              </w:rPr>
            </w:pPr>
          </w:p>
        </w:tc>
        <w:tc>
          <w:tcPr>
            <w:tcW w:w="1032" w:type="dxa"/>
            <w:vAlign w:val="center"/>
          </w:tcPr>
          <w:p w14:paraId="76AB0AD5"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1ACB7F33"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63DFE944" w14:textId="77777777" w:rsidTr="00085094">
        <w:trPr>
          <w:trHeight w:val="144"/>
        </w:trPr>
        <w:tc>
          <w:tcPr>
            <w:tcW w:w="2406" w:type="dxa"/>
            <w:vAlign w:val="center"/>
          </w:tcPr>
          <w:p w14:paraId="7D8C2CB9"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Acceder a los informes sobre los proyectos cerrados financieramente</w:t>
            </w:r>
          </w:p>
        </w:tc>
        <w:tc>
          <w:tcPr>
            <w:tcW w:w="1181" w:type="dxa"/>
            <w:vAlign w:val="center"/>
          </w:tcPr>
          <w:p w14:paraId="059CAA79"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6644A1C5"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71FEFD25"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5E427AF0"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377324D3" w14:textId="77777777" w:rsidR="00202898" w:rsidRPr="00202898" w:rsidRDefault="00202898" w:rsidP="00202898">
            <w:pPr>
              <w:spacing w:line="259" w:lineRule="auto"/>
              <w:jc w:val="center"/>
              <w:rPr>
                <w:rFonts w:ascii="Calibri" w:eastAsia="Calibri" w:hAnsi="Calibri" w:cs="Calibri"/>
                <w:color w:val="000000"/>
                <w:lang w:val="es-AR"/>
              </w:rPr>
            </w:pPr>
          </w:p>
        </w:tc>
        <w:tc>
          <w:tcPr>
            <w:tcW w:w="1340" w:type="dxa"/>
            <w:vAlign w:val="center"/>
          </w:tcPr>
          <w:p w14:paraId="5758921C" w14:textId="77777777" w:rsidR="00202898" w:rsidRPr="00202898" w:rsidRDefault="00202898" w:rsidP="00202898">
            <w:pPr>
              <w:spacing w:line="259" w:lineRule="auto"/>
              <w:jc w:val="center"/>
              <w:rPr>
                <w:rFonts w:ascii="Calibri" w:eastAsia="Calibri" w:hAnsi="Calibri" w:cs="Calibri"/>
                <w:color w:val="000000"/>
                <w:lang w:val="es-AR"/>
              </w:rPr>
            </w:pPr>
          </w:p>
        </w:tc>
        <w:tc>
          <w:tcPr>
            <w:tcW w:w="1032" w:type="dxa"/>
            <w:vAlign w:val="center"/>
          </w:tcPr>
          <w:p w14:paraId="7BEA25BE"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25" w:type="dxa"/>
            <w:vAlign w:val="center"/>
          </w:tcPr>
          <w:p w14:paraId="60B6E79A"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64B27DA1" w14:textId="77777777" w:rsidTr="00085094">
        <w:trPr>
          <w:trHeight w:val="144"/>
        </w:trPr>
        <w:tc>
          <w:tcPr>
            <w:tcW w:w="2406" w:type="dxa"/>
            <w:vAlign w:val="center"/>
          </w:tcPr>
          <w:p w14:paraId="2004CC3E"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Cerrar los acuerdos en el módulo de contratos</w:t>
            </w:r>
          </w:p>
        </w:tc>
        <w:tc>
          <w:tcPr>
            <w:tcW w:w="1181" w:type="dxa"/>
            <w:vAlign w:val="center"/>
          </w:tcPr>
          <w:p w14:paraId="731C27A2"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1A296C23"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42263EFA"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504AC281"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5F14A5DA" w14:textId="77777777" w:rsidR="00202898" w:rsidRPr="00202898" w:rsidRDefault="00202898" w:rsidP="00202898">
            <w:pPr>
              <w:spacing w:line="259" w:lineRule="auto"/>
              <w:jc w:val="center"/>
              <w:rPr>
                <w:rFonts w:ascii="Calibri" w:eastAsia="Calibri" w:hAnsi="Calibri" w:cs="Calibri"/>
                <w:color w:val="000000"/>
                <w:lang w:val="es-AR"/>
              </w:rPr>
            </w:pPr>
          </w:p>
        </w:tc>
        <w:tc>
          <w:tcPr>
            <w:tcW w:w="1340" w:type="dxa"/>
            <w:vAlign w:val="center"/>
          </w:tcPr>
          <w:p w14:paraId="362B97FA" w14:textId="77777777" w:rsidR="00202898" w:rsidRPr="00202898" w:rsidRDefault="00202898" w:rsidP="00202898">
            <w:pPr>
              <w:spacing w:line="259" w:lineRule="auto"/>
              <w:jc w:val="center"/>
              <w:rPr>
                <w:rFonts w:ascii="Calibri" w:eastAsia="Calibri" w:hAnsi="Calibri" w:cs="Calibri"/>
                <w:color w:val="000000"/>
                <w:lang w:val="es-AR"/>
              </w:rPr>
            </w:pPr>
          </w:p>
        </w:tc>
        <w:tc>
          <w:tcPr>
            <w:tcW w:w="1032" w:type="dxa"/>
            <w:vAlign w:val="center"/>
          </w:tcPr>
          <w:p w14:paraId="41722E5B" w14:textId="77777777" w:rsidR="00202898" w:rsidRPr="00202898" w:rsidRDefault="00202898" w:rsidP="00202898">
            <w:pPr>
              <w:spacing w:line="259" w:lineRule="auto"/>
              <w:jc w:val="center"/>
              <w:rPr>
                <w:rFonts w:ascii="Calibri" w:eastAsia="Calibri" w:hAnsi="Calibri" w:cs="Calibri"/>
                <w:color w:val="000000"/>
                <w:lang w:val="es-AR"/>
              </w:rPr>
            </w:pPr>
          </w:p>
        </w:tc>
        <w:tc>
          <w:tcPr>
            <w:tcW w:w="1025" w:type="dxa"/>
            <w:vAlign w:val="center"/>
          </w:tcPr>
          <w:p w14:paraId="54693F69"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r>
      <w:tr w:rsidR="00202898" w:rsidRPr="00202898" w14:paraId="674A805B" w14:textId="77777777" w:rsidTr="00085094">
        <w:trPr>
          <w:trHeight w:val="144"/>
        </w:trPr>
        <w:tc>
          <w:tcPr>
            <w:tcW w:w="2406" w:type="dxa"/>
            <w:vAlign w:val="center"/>
          </w:tcPr>
          <w:p w14:paraId="2E8A6534"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Revisar la antigüedad de las cuentas por cobrar</w:t>
            </w:r>
          </w:p>
        </w:tc>
        <w:tc>
          <w:tcPr>
            <w:tcW w:w="1181" w:type="dxa"/>
            <w:vAlign w:val="center"/>
          </w:tcPr>
          <w:p w14:paraId="0E593BF5"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105DE519"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7D2AA14E"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677B3A80"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88" w:type="dxa"/>
            <w:vAlign w:val="center"/>
          </w:tcPr>
          <w:p w14:paraId="7D80226E"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340" w:type="dxa"/>
            <w:vAlign w:val="center"/>
          </w:tcPr>
          <w:p w14:paraId="37B5BF50"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32" w:type="dxa"/>
            <w:vAlign w:val="center"/>
          </w:tcPr>
          <w:p w14:paraId="52792286"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0C2E4CF1"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18052BCE" w14:textId="77777777" w:rsidTr="00085094">
        <w:trPr>
          <w:trHeight w:val="144"/>
        </w:trPr>
        <w:tc>
          <w:tcPr>
            <w:tcW w:w="2406" w:type="dxa"/>
            <w:vAlign w:val="center"/>
          </w:tcPr>
          <w:p w14:paraId="302B15DA"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szCs w:val="20"/>
              </w:rPr>
              <w:t xml:space="preserve">Comunicarse con la OFM  sobre las cuentas por cobrar pendientes para la provisión para deudas de </w:t>
            </w:r>
            <w:r w:rsidRPr="00202898">
              <w:rPr>
                <w:rFonts w:ascii="Calibri" w:eastAsia="Calibri" w:hAnsi="Calibri" w:cs="Calibri"/>
                <w:color w:val="333333"/>
                <w:sz w:val="20"/>
                <w:szCs w:val="20"/>
              </w:rPr>
              <w:lastRenderedPageBreak/>
              <w:t>dudoso cobro y las cancelaciones</w:t>
            </w:r>
          </w:p>
        </w:tc>
        <w:tc>
          <w:tcPr>
            <w:tcW w:w="1181" w:type="dxa"/>
            <w:vAlign w:val="center"/>
          </w:tcPr>
          <w:p w14:paraId="7FF20A28"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lastRenderedPageBreak/>
              <w:t>√</w:t>
            </w:r>
          </w:p>
        </w:tc>
        <w:tc>
          <w:tcPr>
            <w:tcW w:w="953" w:type="dxa"/>
            <w:vAlign w:val="center"/>
          </w:tcPr>
          <w:p w14:paraId="037CA90E"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24" w:type="dxa"/>
            <w:vAlign w:val="center"/>
          </w:tcPr>
          <w:p w14:paraId="606E2FC3" w14:textId="77777777" w:rsidR="00202898" w:rsidRPr="00202898" w:rsidRDefault="00202898" w:rsidP="00202898">
            <w:pPr>
              <w:spacing w:line="259" w:lineRule="auto"/>
              <w:jc w:val="center"/>
              <w:rPr>
                <w:rFonts w:ascii="Calibri" w:eastAsia="Calibri" w:hAnsi="Calibri" w:cs="Calibri"/>
                <w:color w:val="000000"/>
                <w:lang w:val="en-GB"/>
              </w:rPr>
            </w:pPr>
          </w:p>
        </w:tc>
        <w:tc>
          <w:tcPr>
            <w:tcW w:w="988" w:type="dxa"/>
            <w:vAlign w:val="center"/>
          </w:tcPr>
          <w:p w14:paraId="7E2B3616"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988" w:type="dxa"/>
            <w:vAlign w:val="center"/>
          </w:tcPr>
          <w:p w14:paraId="5AC6D98F"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340" w:type="dxa"/>
            <w:vAlign w:val="center"/>
          </w:tcPr>
          <w:p w14:paraId="19952EA0" w14:textId="77777777" w:rsidR="00202898" w:rsidRPr="00202898" w:rsidRDefault="00202898" w:rsidP="00202898">
            <w:pPr>
              <w:spacing w:line="259" w:lineRule="auto"/>
              <w:jc w:val="center"/>
              <w:rPr>
                <w:rFonts w:ascii="Calibri" w:eastAsia="Calibri" w:hAnsi="Calibri" w:cs="Calibri"/>
                <w:color w:val="000000"/>
                <w:lang w:val="en-GB"/>
              </w:rPr>
            </w:pPr>
          </w:p>
        </w:tc>
        <w:tc>
          <w:tcPr>
            <w:tcW w:w="1032" w:type="dxa"/>
            <w:vAlign w:val="center"/>
          </w:tcPr>
          <w:p w14:paraId="0B2A6447"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25" w:type="dxa"/>
            <w:vAlign w:val="center"/>
          </w:tcPr>
          <w:p w14:paraId="7455BB73"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6F97E213" w14:textId="77777777" w:rsidTr="00085094">
        <w:trPr>
          <w:trHeight w:val="144"/>
        </w:trPr>
        <w:tc>
          <w:tcPr>
            <w:tcW w:w="2406" w:type="dxa"/>
            <w:vAlign w:val="center"/>
          </w:tcPr>
          <w:p w14:paraId="196E4F96"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Revisar y aprobar las presentaciones de provisiones y cancelaciones</w:t>
            </w:r>
          </w:p>
        </w:tc>
        <w:tc>
          <w:tcPr>
            <w:tcW w:w="1181" w:type="dxa"/>
            <w:vAlign w:val="center"/>
          </w:tcPr>
          <w:p w14:paraId="37EFE77D"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09907085"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05394416"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00F5A217"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6A57F244" w14:textId="77777777" w:rsidR="00202898" w:rsidRPr="00202898" w:rsidRDefault="00202898" w:rsidP="00202898">
            <w:pPr>
              <w:spacing w:line="259" w:lineRule="auto"/>
              <w:jc w:val="center"/>
              <w:rPr>
                <w:rFonts w:ascii="Calibri" w:eastAsia="Calibri" w:hAnsi="Calibri" w:cs="Calibri"/>
                <w:color w:val="000000"/>
                <w:lang w:val="es-AR"/>
              </w:rPr>
            </w:pPr>
          </w:p>
        </w:tc>
        <w:tc>
          <w:tcPr>
            <w:tcW w:w="1340" w:type="dxa"/>
            <w:vAlign w:val="center"/>
          </w:tcPr>
          <w:p w14:paraId="4AF61776"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32" w:type="dxa"/>
            <w:vAlign w:val="center"/>
          </w:tcPr>
          <w:p w14:paraId="5DEED95D"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2F15BA46" w14:textId="77777777" w:rsidR="00202898" w:rsidRPr="00202898" w:rsidRDefault="00202898" w:rsidP="00202898">
            <w:pPr>
              <w:spacing w:line="259" w:lineRule="auto"/>
              <w:jc w:val="center"/>
              <w:rPr>
                <w:rFonts w:ascii="Calibri" w:eastAsia="Calibri" w:hAnsi="Calibri" w:cs="Calibri"/>
                <w:color w:val="000000"/>
                <w:lang w:val="en-GB"/>
              </w:rPr>
            </w:pPr>
          </w:p>
        </w:tc>
      </w:tr>
      <w:tr w:rsidR="00202898" w:rsidRPr="00202898" w14:paraId="74D8DC4A" w14:textId="77777777" w:rsidTr="00085094">
        <w:trPr>
          <w:trHeight w:val="144"/>
        </w:trPr>
        <w:tc>
          <w:tcPr>
            <w:tcW w:w="2406" w:type="dxa"/>
            <w:vAlign w:val="center"/>
          </w:tcPr>
          <w:p w14:paraId="30C8DA28" w14:textId="77777777" w:rsidR="00202898" w:rsidRPr="00202898" w:rsidRDefault="00202898" w:rsidP="00202898">
            <w:pPr>
              <w:spacing w:line="259" w:lineRule="auto"/>
              <w:rPr>
                <w:rFonts w:ascii="Calibri" w:eastAsia="Calibri" w:hAnsi="Calibri" w:cs="Calibri"/>
                <w:color w:val="000000"/>
              </w:rPr>
            </w:pPr>
            <w:r w:rsidRPr="00202898">
              <w:rPr>
                <w:rFonts w:ascii="Calibri" w:eastAsia="Calibri" w:hAnsi="Calibri" w:cs="Calibri"/>
                <w:color w:val="333333"/>
                <w:sz w:val="20"/>
              </w:rPr>
              <w:t>Conciliar el libro mayor con las cuentas por cobrar y las cuentas de balance</w:t>
            </w:r>
          </w:p>
        </w:tc>
        <w:tc>
          <w:tcPr>
            <w:tcW w:w="1181" w:type="dxa"/>
            <w:vAlign w:val="center"/>
          </w:tcPr>
          <w:p w14:paraId="2465EFB3" w14:textId="77777777" w:rsidR="00202898" w:rsidRPr="00202898" w:rsidRDefault="00202898" w:rsidP="00202898">
            <w:pPr>
              <w:spacing w:line="259" w:lineRule="auto"/>
              <w:jc w:val="center"/>
              <w:rPr>
                <w:rFonts w:ascii="Calibri" w:eastAsia="Calibri" w:hAnsi="Calibri" w:cs="Calibri"/>
                <w:color w:val="000000"/>
                <w:lang w:val="es-AR"/>
              </w:rPr>
            </w:pPr>
          </w:p>
        </w:tc>
        <w:tc>
          <w:tcPr>
            <w:tcW w:w="953" w:type="dxa"/>
            <w:vAlign w:val="center"/>
          </w:tcPr>
          <w:p w14:paraId="75A95E38" w14:textId="77777777" w:rsidR="00202898" w:rsidRPr="00202898" w:rsidRDefault="00202898" w:rsidP="00202898">
            <w:pPr>
              <w:spacing w:line="259" w:lineRule="auto"/>
              <w:jc w:val="center"/>
              <w:rPr>
                <w:rFonts w:ascii="Calibri" w:eastAsia="Calibri" w:hAnsi="Calibri" w:cs="Calibri"/>
                <w:color w:val="000000"/>
                <w:lang w:val="es-AR"/>
              </w:rPr>
            </w:pPr>
          </w:p>
        </w:tc>
        <w:tc>
          <w:tcPr>
            <w:tcW w:w="924" w:type="dxa"/>
            <w:vAlign w:val="center"/>
          </w:tcPr>
          <w:p w14:paraId="7D909362"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2E731F59" w14:textId="77777777" w:rsidR="00202898" w:rsidRPr="00202898" w:rsidRDefault="00202898" w:rsidP="00202898">
            <w:pPr>
              <w:spacing w:line="259" w:lineRule="auto"/>
              <w:jc w:val="center"/>
              <w:rPr>
                <w:rFonts w:ascii="Calibri" w:eastAsia="Calibri" w:hAnsi="Calibri" w:cs="Calibri"/>
                <w:color w:val="000000"/>
                <w:lang w:val="es-AR"/>
              </w:rPr>
            </w:pPr>
          </w:p>
        </w:tc>
        <w:tc>
          <w:tcPr>
            <w:tcW w:w="988" w:type="dxa"/>
            <w:vAlign w:val="center"/>
          </w:tcPr>
          <w:p w14:paraId="11865FD8" w14:textId="77777777" w:rsidR="00202898" w:rsidRPr="00202898" w:rsidRDefault="00202898" w:rsidP="00202898">
            <w:pPr>
              <w:spacing w:line="259" w:lineRule="auto"/>
              <w:jc w:val="center"/>
              <w:rPr>
                <w:rFonts w:ascii="Calibri" w:eastAsia="Calibri" w:hAnsi="Calibri" w:cs="Calibri"/>
                <w:color w:val="000000"/>
                <w:lang w:val="es-AR"/>
              </w:rPr>
            </w:pPr>
          </w:p>
        </w:tc>
        <w:tc>
          <w:tcPr>
            <w:tcW w:w="1340" w:type="dxa"/>
            <w:vAlign w:val="center"/>
          </w:tcPr>
          <w:p w14:paraId="6B179205" w14:textId="77777777" w:rsidR="00202898" w:rsidRPr="00202898" w:rsidRDefault="00202898" w:rsidP="00202898">
            <w:pPr>
              <w:spacing w:line="259" w:lineRule="auto"/>
              <w:jc w:val="center"/>
              <w:rPr>
                <w:rFonts w:ascii="Calibri" w:eastAsia="Calibri" w:hAnsi="Calibri" w:cs="Calibri"/>
                <w:color w:val="000000"/>
              </w:rPr>
            </w:pPr>
            <w:r w:rsidRPr="00202898">
              <w:rPr>
                <w:rFonts w:ascii="Calibri" w:eastAsia="Calibri" w:hAnsi="Calibri" w:cs="Calibri"/>
                <w:color w:val="333333"/>
                <w:sz w:val="20"/>
              </w:rPr>
              <w:t>√</w:t>
            </w:r>
          </w:p>
        </w:tc>
        <w:tc>
          <w:tcPr>
            <w:tcW w:w="1032" w:type="dxa"/>
            <w:vAlign w:val="center"/>
          </w:tcPr>
          <w:p w14:paraId="0249BEA2" w14:textId="77777777" w:rsidR="00202898" w:rsidRPr="00202898" w:rsidRDefault="00202898" w:rsidP="00202898">
            <w:pPr>
              <w:spacing w:line="259" w:lineRule="auto"/>
              <w:jc w:val="center"/>
              <w:rPr>
                <w:rFonts w:ascii="Calibri" w:eastAsia="Calibri" w:hAnsi="Calibri" w:cs="Calibri"/>
                <w:color w:val="000000"/>
                <w:lang w:val="en-GB"/>
              </w:rPr>
            </w:pPr>
          </w:p>
        </w:tc>
        <w:tc>
          <w:tcPr>
            <w:tcW w:w="1025" w:type="dxa"/>
            <w:vAlign w:val="center"/>
          </w:tcPr>
          <w:p w14:paraId="62230738" w14:textId="77777777" w:rsidR="00202898" w:rsidRPr="00202898" w:rsidRDefault="00202898" w:rsidP="00202898">
            <w:pPr>
              <w:spacing w:line="259" w:lineRule="auto"/>
              <w:jc w:val="center"/>
              <w:rPr>
                <w:rFonts w:ascii="Calibri" w:eastAsia="Calibri" w:hAnsi="Calibri" w:cs="Calibri"/>
                <w:color w:val="000000"/>
                <w:lang w:val="en-GB"/>
              </w:rPr>
            </w:pPr>
          </w:p>
        </w:tc>
      </w:tr>
    </w:tbl>
    <w:p w14:paraId="7B7DB070" w14:textId="77777777" w:rsidR="00202898" w:rsidRPr="00202898" w:rsidRDefault="00202898" w:rsidP="00202898">
      <w:pPr>
        <w:spacing w:line="259" w:lineRule="auto"/>
        <w:jc w:val="both"/>
        <w:rPr>
          <w:rFonts w:ascii="Calibri" w:eastAsia="Calibri" w:hAnsi="Calibri" w:cs="Calibri"/>
          <w:color w:val="000000"/>
          <w:kern w:val="0"/>
          <w:sz w:val="22"/>
          <w:szCs w:val="22"/>
          <w:lang w:val="en-GB"/>
          <w14:ligatures w14:val="none"/>
        </w:rPr>
      </w:pPr>
    </w:p>
    <w:p w14:paraId="1FE6BDB0" w14:textId="77777777" w:rsidR="00202898" w:rsidRPr="00202898" w:rsidRDefault="00202898" w:rsidP="00202898">
      <w:pPr>
        <w:spacing w:line="259" w:lineRule="auto"/>
        <w:jc w:val="both"/>
        <w:rPr>
          <w:rFonts w:ascii="Calibri" w:eastAsia="Calibri" w:hAnsi="Calibri" w:cs="Calibri"/>
          <w:color w:val="000000"/>
          <w:kern w:val="0"/>
          <w:sz w:val="22"/>
          <w:szCs w:val="22"/>
          <w:lang w:val="en-GB"/>
          <w14:ligatures w14:val="none"/>
        </w:rPr>
      </w:pPr>
    </w:p>
    <w:p w14:paraId="7207CC4C" w14:textId="77777777" w:rsidR="00202898" w:rsidRPr="00202898" w:rsidRDefault="00202898" w:rsidP="00202898">
      <w:pPr>
        <w:spacing w:line="259" w:lineRule="auto"/>
        <w:jc w:val="both"/>
        <w:rPr>
          <w:rFonts w:ascii="Calibri" w:eastAsia="Calibri" w:hAnsi="Calibri" w:cs="Calibri"/>
          <w:color w:val="000000"/>
          <w:kern w:val="0"/>
          <w:sz w:val="22"/>
          <w:szCs w:val="22"/>
          <w:lang w:val="en-GB"/>
          <w14:ligatures w14:val="none"/>
        </w:rPr>
      </w:pPr>
    </w:p>
    <w:p w14:paraId="303564C4" w14:textId="77777777" w:rsidR="00202898" w:rsidRPr="007873E1" w:rsidRDefault="00202898" w:rsidP="007873E1">
      <w:pPr>
        <w:shd w:val="clear" w:color="auto" w:fill="FFFFFF"/>
        <w:spacing w:after="0" w:line="240" w:lineRule="auto"/>
        <w:rPr>
          <w:rFonts w:ascii="Calibri" w:eastAsia="Times New Roman" w:hAnsi="Calibri" w:cs="Times New Roman"/>
          <w:color w:val="201F1E"/>
          <w:kern w:val="0"/>
          <w:sz w:val="22"/>
          <w:szCs w:val="22"/>
          <w14:ligatures w14:val="none"/>
        </w:rPr>
      </w:pPr>
      <w:r w:rsidRPr="007873E1">
        <w:rPr>
          <w:rFonts w:ascii="Calibri" w:eastAsia="Times New Roman" w:hAnsi="Calibri" w:cs="Times New Roman"/>
          <w:b/>
          <w:bCs/>
          <w:i/>
          <w:iCs/>
          <w:color w:val="000000"/>
          <w:kern w:val="0"/>
          <w:sz w:val="22"/>
          <w:szCs w:val="22"/>
          <w:bdr w:val="none" w:sz="0" w:space="0" w:color="auto" w:frame="1"/>
          <w14:ligatures w14:val="none"/>
        </w:rPr>
        <w:t>Disclaimer:</w:t>
      </w:r>
      <w:r w:rsidRPr="007873E1">
        <w:rPr>
          <w:rFonts w:ascii="Calibri" w:eastAsia="Times New Roman" w:hAnsi="Calibri" w:cs="Times New Roman"/>
          <w:i/>
          <w:iCs/>
          <w:color w:val="000000"/>
          <w:kern w:val="0"/>
          <w:sz w:val="22"/>
          <w:szCs w:val="22"/>
          <w:bdr w:val="none" w:sz="0" w:space="0" w:color="auto" w:frame="1"/>
          <w14:ligatures w14:val="none"/>
        </w:rPr>
        <w:t xml:space="preserve"> This document was translated from English into Spanish. In the event of any discrepancy between this translation and the original English document, the original English document shall prevail.</w:t>
      </w:r>
    </w:p>
    <w:p w14:paraId="0B676F13" w14:textId="77777777" w:rsidR="00202898" w:rsidRPr="007873E1" w:rsidRDefault="00202898" w:rsidP="007873E1">
      <w:pPr>
        <w:shd w:val="clear" w:color="auto" w:fill="FFFFFF"/>
        <w:spacing w:after="0" w:line="240" w:lineRule="auto"/>
        <w:rPr>
          <w:rFonts w:ascii="Calibri" w:eastAsia="Times New Roman" w:hAnsi="Calibri" w:cs="Times New Roman"/>
          <w:color w:val="201F1E"/>
          <w:kern w:val="0"/>
          <w:sz w:val="22"/>
          <w:szCs w:val="22"/>
          <w14:ligatures w14:val="none"/>
        </w:rPr>
      </w:pPr>
      <w:r w:rsidRPr="007873E1">
        <w:rPr>
          <w:rFonts w:ascii="Calibri" w:eastAsia="Times New Roman" w:hAnsi="Calibri" w:cs="Times New Roman"/>
          <w:i/>
          <w:iCs/>
          <w:color w:val="000000"/>
          <w:kern w:val="0"/>
          <w:sz w:val="22"/>
          <w:szCs w:val="22"/>
          <w:bdr w:val="none" w:sz="0" w:space="0" w:color="auto" w:frame="1"/>
          <w14:ligatures w14:val="none"/>
        </w:rPr>
        <w:t> </w:t>
      </w:r>
    </w:p>
    <w:p w14:paraId="1A1CE467" w14:textId="77777777" w:rsidR="00202898" w:rsidRPr="007873E1" w:rsidRDefault="00202898" w:rsidP="007873E1">
      <w:pPr>
        <w:shd w:val="clear" w:color="auto" w:fill="FFFFFF"/>
        <w:spacing w:after="0" w:line="240" w:lineRule="auto"/>
        <w:rPr>
          <w:rFonts w:ascii="Calibri" w:eastAsia="Times New Roman" w:hAnsi="Calibri" w:cs="Times New Roman"/>
          <w:color w:val="201F1E"/>
          <w:kern w:val="0"/>
          <w:sz w:val="22"/>
          <w:szCs w:val="22"/>
          <w:lang w:val="es-ES_tradnl"/>
          <w14:ligatures w14:val="none"/>
        </w:rPr>
      </w:pPr>
      <w:r w:rsidRPr="007873E1">
        <w:rPr>
          <w:rFonts w:ascii="Calibri" w:eastAsia="Times New Roman" w:hAnsi="Calibri" w:cs="Times New Roman"/>
          <w:b/>
          <w:bCs/>
          <w:i/>
          <w:iCs/>
          <w:color w:val="000000"/>
          <w:kern w:val="0"/>
          <w:sz w:val="22"/>
          <w:szCs w:val="22"/>
          <w:bdr w:val="none" w:sz="0" w:space="0" w:color="auto" w:frame="1"/>
          <w:shd w:val="clear" w:color="auto" w:fill="FFFFFF"/>
          <w:lang w:val="es-ES_tradnl"/>
          <w14:ligatures w14:val="none"/>
        </w:rPr>
        <w:t>Descargo de responsabilidad:</w:t>
      </w:r>
      <w:r w:rsidRPr="007873E1">
        <w:rPr>
          <w:rFonts w:ascii="Calibri" w:eastAsia="Times New Roman" w:hAnsi="Calibri" w:cs="Times New Roman"/>
          <w:i/>
          <w:iCs/>
          <w:color w:val="000000"/>
          <w:kern w:val="0"/>
          <w:sz w:val="22"/>
          <w:szCs w:val="22"/>
          <w:bdr w:val="none" w:sz="0" w:space="0" w:color="auto" w:frame="1"/>
          <w:shd w:val="clear" w:color="auto" w:fill="FFFFFF"/>
          <w:lang w:val="es-ES_tradnl"/>
          <w14:ligatures w14:val="none"/>
        </w:rPr>
        <w:t xml:space="preserve"> esta es una traducción de un documento original en inglés. </w:t>
      </w:r>
      <w:r w:rsidRPr="007873E1">
        <w:rPr>
          <w:rFonts w:ascii="Calibri" w:eastAsia="Times New Roman" w:hAnsi="Calibri" w:cs="Times New Roman"/>
          <w:i/>
          <w:iCs/>
          <w:color w:val="000000"/>
          <w:kern w:val="0"/>
          <w:sz w:val="22"/>
          <w:szCs w:val="22"/>
          <w:bdr w:val="none" w:sz="0" w:space="0" w:color="auto" w:frame="1"/>
          <w:shd w:val="clear" w:color="auto" w:fill="FFFFFF"/>
          <w:lang w:val="es-UY"/>
          <w14:ligatures w14:val="none"/>
        </w:rPr>
        <w:t>En caso de discrepancias entre esta traducción y el documento original en inglés, prevalecerá el documento original en inglés.</w:t>
      </w:r>
    </w:p>
    <w:p w14:paraId="6172F53E" w14:textId="77777777" w:rsidR="00202898" w:rsidRPr="00202898" w:rsidRDefault="00202898" w:rsidP="00202898">
      <w:pPr>
        <w:spacing w:line="259" w:lineRule="auto"/>
        <w:jc w:val="both"/>
        <w:rPr>
          <w:rFonts w:ascii="Calibri" w:eastAsia="Calibri" w:hAnsi="Calibri" w:cs="Calibri"/>
          <w:color w:val="000000"/>
          <w:kern w:val="0"/>
          <w:sz w:val="22"/>
          <w:szCs w:val="22"/>
          <w:lang w:val="es-ES_tradnl"/>
          <w14:ligatures w14:val="none"/>
        </w:rPr>
      </w:pPr>
    </w:p>
    <w:p w14:paraId="7CC6E6E5" w14:textId="77777777" w:rsidR="00DA504D" w:rsidRDefault="00DA504D"/>
    <w:sectPr w:rsidR="00DA504D" w:rsidSect="007873E1">
      <w:headerReference w:type="default" r:id="rId8"/>
      <w:footerReference w:type="even" r:id="rId9"/>
      <w:footerReference w:type="default" r:id="rId10"/>
      <w:footerReference w:type="first" r:id="rId11"/>
      <w:pgSz w:w="11906" w:h="16838"/>
      <w:pgMar w:top="1980" w:right="1440" w:bottom="1440" w:left="1440" w:header="720"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16484" w14:textId="77777777" w:rsidR="002D0018" w:rsidRDefault="002D0018" w:rsidP="00202898">
      <w:pPr>
        <w:spacing w:after="0" w:line="240" w:lineRule="auto"/>
      </w:pPr>
      <w:r>
        <w:separator/>
      </w:r>
    </w:p>
  </w:endnote>
  <w:endnote w:type="continuationSeparator" w:id="0">
    <w:p w14:paraId="0DB13D87" w14:textId="77777777" w:rsidR="002D0018" w:rsidRDefault="002D0018" w:rsidP="00202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E19EB" w14:textId="77777777" w:rsidR="00202898" w:rsidRDefault="00202898">
    <w:pPr>
      <w:spacing w:after="0" w:line="259" w:lineRule="auto"/>
      <w:ind w:right="209"/>
      <w:jc w:val="center"/>
    </w:pPr>
    <w:r>
      <w:fldChar w:fldCharType="begin"/>
    </w:r>
    <w:r>
      <w:instrText xml:space="preserve"> PAGE   \* MERGEFORMAT </w:instrText>
    </w:r>
    <w:r>
      <w:fldChar w:fldCharType="separate"/>
    </w:r>
    <w:r>
      <w:rPr>
        <w:noProof/>
      </w:rPr>
      <w:t>1</w:t>
    </w:r>
    <w:r>
      <w:fldChar w:fldCharType="end"/>
    </w:r>
    <w:r>
      <w:t xml:space="preserve"> </w:t>
    </w:r>
  </w:p>
  <w:p w14:paraId="12F5132E" w14:textId="77777777" w:rsidR="00202898" w:rsidRDefault="00202898">
    <w:pPr>
      <w:spacing w:after="0" w:line="259" w:lineRule="auto"/>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5B0B" w14:textId="616E95D0" w:rsidR="00202898" w:rsidRPr="007873E1" w:rsidRDefault="00202898">
    <w:pPr>
      <w:spacing w:after="0" w:line="259" w:lineRule="auto"/>
      <w:rPr>
        <w:rFonts w:ascii="Calibri" w:hAnsi="Calibri" w:cs="Calibri"/>
        <w:sz w:val="22"/>
        <w:szCs w:val="22"/>
      </w:rPr>
    </w:pPr>
    <w:r w:rsidRPr="007873E1">
      <w:rPr>
        <w:rFonts w:ascii="Calibri" w:hAnsi="Calibri" w:cs="Calibri"/>
        <w:sz w:val="22"/>
        <w:szCs w:val="22"/>
      </w:rPr>
      <w:t xml:space="preserve">Página </w:t>
    </w:r>
    <w:r w:rsidRPr="007873E1">
      <w:rPr>
        <w:rFonts w:ascii="Calibri" w:hAnsi="Calibri" w:cs="Calibri"/>
        <w:b/>
        <w:sz w:val="22"/>
        <w:szCs w:val="22"/>
      </w:rPr>
      <w:fldChar w:fldCharType="begin"/>
    </w:r>
    <w:r w:rsidRPr="007873E1">
      <w:rPr>
        <w:rFonts w:ascii="Calibri" w:hAnsi="Calibri" w:cs="Calibri"/>
        <w:b/>
        <w:sz w:val="22"/>
        <w:szCs w:val="22"/>
      </w:rPr>
      <w:instrText xml:space="preserve"> PAGE  \* Arabic  \* MERGEFORMAT </w:instrText>
    </w:r>
    <w:r w:rsidRPr="007873E1">
      <w:rPr>
        <w:rFonts w:ascii="Calibri" w:hAnsi="Calibri" w:cs="Calibri"/>
        <w:b/>
        <w:sz w:val="22"/>
        <w:szCs w:val="22"/>
      </w:rPr>
      <w:fldChar w:fldCharType="separate"/>
    </w:r>
    <w:r w:rsidRPr="007873E1">
      <w:rPr>
        <w:rFonts w:ascii="Calibri" w:hAnsi="Calibri" w:cs="Calibri"/>
        <w:b/>
        <w:noProof/>
        <w:sz w:val="22"/>
        <w:szCs w:val="22"/>
      </w:rPr>
      <w:t>5</w:t>
    </w:r>
    <w:r w:rsidRPr="007873E1">
      <w:rPr>
        <w:rFonts w:ascii="Calibri" w:hAnsi="Calibri" w:cs="Calibri"/>
        <w:b/>
        <w:sz w:val="22"/>
        <w:szCs w:val="22"/>
      </w:rPr>
      <w:fldChar w:fldCharType="end"/>
    </w:r>
    <w:r w:rsidRPr="007873E1">
      <w:rPr>
        <w:rFonts w:ascii="Calibri" w:hAnsi="Calibri" w:cs="Calibri"/>
        <w:sz w:val="22"/>
        <w:szCs w:val="22"/>
      </w:rPr>
      <w:t xml:space="preserve"> de </w:t>
    </w:r>
    <w:r w:rsidRPr="007873E1">
      <w:rPr>
        <w:rFonts w:ascii="Calibri" w:hAnsi="Calibri" w:cs="Calibri"/>
        <w:b/>
        <w:sz w:val="22"/>
        <w:szCs w:val="22"/>
      </w:rPr>
      <w:fldChar w:fldCharType="begin"/>
    </w:r>
    <w:r w:rsidRPr="007873E1">
      <w:rPr>
        <w:rFonts w:ascii="Calibri" w:hAnsi="Calibri" w:cs="Calibri"/>
        <w:b/>
        <w:sz w:val="22"/>
        <w:szCs w:val="22"/>
      </w:rPr>
      <w:instrText xml:space="preserve"> NUMPAGES  \* Arabic  \* MERGEFORMAT </w:instrText>
    </w:r>
    <w:r w:rsidRPr="007873E1">
      <w:rPr>
        <w:rFonts w:ascii="Calibri" w:hAnsi="Calibri" w:cs="Calibri"/>
        <w:b/>
        <w:sz w:val="22"/>
        <w:szCs w:val="22"/>
      </w:rPr>
      <w:fldChar w:fldCharType="separate"/>
    </w:r>
    <w:r w:rsidRPr="007873E1">
      <w:rPr>
        <w:rFonts w:ascii="Calibri" w:hAnsi="Calibri" w:cs="Calibri"/>
        <w:b/>
        <w:noProof/>
        <w:sz w:val="22"/>
        <w:szCs w:val="22"/>
      </w:rPr>
      <w:t>5</w:t>
    </w:r>
    <w:r w:rsidRPr="007873E1">
      <w:rPr>
        <w:rFonts w:ascii="Calibri" w:hAnsi="Calibri" w:cs="Calibri"/>
        <w:b/>
        <w:sz w:val="22"/>
        <w:szCs w:val="22"/>
      </w:rPr>
      <w:fldChar w:fldCharType="end"/>
    </w:r>
    <w:r w:rsidRPr="007873E1">
      <w:rPr>
        <w:rFonts w:ascii="Calibri" w:hAnsi="Calibri" w:cs="Calibri"/>
        <w:sz w:val="22"/>
        <w:szCs w:val="22"/>
      </w:rPr>
      <w:ptab w:relativeTo="margin" w:alignment="center" w:leader="none"/>
    </w:r>
    <w:r w:rsidRPr="007873E1">
      <w:rPr>
        <w:rFonts w:ascii="Calibri" w:hAnsi="Calibri" w:cs="Calibri"/>
        <w:sz w:val="22"/>
        <w:szCs w:val="22"/>
      </w:rPr>
      <w:t xml:space="preserve">Fecha de entrada en vigor: 01/01/2012 </w:t>
    </w:r>
    <w:r w:rsidRPr="007873E1">
      <w:rPr>
        <w:rFonts w:ascii="Calibri" w:hAnsi="Calibri" w:cs="Calibri"/>
        <w:sz w:val="22"/>
        <w:szCs w:val="22"/>
      </w:rPr>
      <w:ptab w:relativeTo="margin" w:alignment="right" w:leader="none"/>
    </w:r>
    <w:r w:rsidRPr="007873E1">
      <w:rPr>
        <w:rFonts w:ascii="Calibri" w:hAnsi="Calibri" w:cs="Calibri"/>
        <w:sz w:val="22"/>
        <w:szCs w:val="22"/>
      </w:rPr>
      <w:t xml:space="preserve">Versión </w:t>
    </w:r>
    <w:r>
      <w:rPr>
        <w:rFonts w:ascii="Calibri" w:hAnsi="Calibri" w:cs="Calibri"/>
        <w:sz w:val="22"/>
        <w:szCs w:val="22"/>
      </w:rPr>
      <w:t>#</w:t>
    </w:r>
    <w:r w:rsidRPr="007873E1">
      <w:rPr>
        <w:rFonts w:ascii="Calibri" w:hAnsi="Calibri" w:cs="Calibri"/>
        <w:sz w:val="22"/>
        <w:szCs w:val="22"/>
      </w:rPr>
      <w:t xml:space="preserve">: </w:t>
    </w:r>
    <w:sdt>
      <w:sdtPr>
        <w:rPr>
          <w:rFonts w:ascii="Calibri" w:hAnsi="Calibri" w:cs="Calibri"/>
          <w:sz w:val="22"/>
          <w:szCs w:val="22"/>
        </w:rPr>
        <w:alias w:val="POPPRefItemVersion"/>
        <w:tag w:val="UNDP_POPP_REFITEM_VERSION"/>
        <w:id w:val="-1429033275"/>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5CAB57A7-5CEB-4570-B928-51CB4745AF30}"/>
        <w:text/>
      </w:sdtPr>
      <w:sdtContent>
        <w:r>
          <w:rPr>
            <w:rFonts w:ascii="Calibri" w:hAnsi="Calibri" w:cs="Calibri"/>
            <w:sz w:val="22"/>
            <w:szCs w:val="22"/>
          </w:rPr>
          <w:t>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9DC28" w14:textId="77777777" w:rsidR="00202898" w:rsidRDefault="00202898">
    <w:pPr>
      <w:spacing w:after="0" w:line="259" w:lineRule="auto"/>
      <w:ind w:right="209"/>
      <w:jc w:val="center"/>
    </w:pPr>
    <w:r>
      <w:fldChar w:fldCharType="begin"/>
    </w:r>
    <w:r>
      <w:instrText xml:space="preserve"> PAGE   \* MERGEFORMAT </w:instrText>
    </w:r>
    <w:r>
      <w:fldChar w:fldCharType="separate"/>
    </w:r>
    <w:r>
      <w:rPr>
        <w:noProof/>
      </w:rPr>
      <w:t>1</w:t>
    </w:r>
    <w:r>
      <w:fldChar w:fldCharType="end"/>
    </w:r>
    <w:r>
      <w:t xml:space="preserve"> </w:t>
    </w:r>
  </w:p>
  <w:p w14:paraId="448FD142" w14:textId="77777777" w:rsidR="00202898" w:rsidRDefault="00202898">
    <w:pPr>
      <w:spacing w:after="0" w:line="259"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56FD5" w14:textId="77777777" w:rsidR="002D0018" w:rsidRDefault="002D0018" w:rsidP="00202898">
      <w:pPr>
        <w:spacing w:after="0" w:line="240" w:lineRule="auto"/>
      </w:pPr>
      <w:r>
        <w:separator/>
      </w:r>
    </w:p>
  </w:footnote>
  <w:footnote w:type="continuationSeparator" w:id="0">
    <w:p w14:paraId="324E4C86" w14:textId="77777777" w:rsidR="002D0018" w:rsidRDefault="002D0018" w:rsidP="002028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B2CF" w14:textId="76BFEF38" w:rsidR="00202898" w:rsidRDefault="00202898" w:rsidP="00830DA9">
    <w:pPr>
      <w:pStyle w:val="Header"/>
      <w:jc w:val="right"/>
    </w:pPr>
    <w:r>
      <w:rPr>
        <w:noProof/>
      </w:rPr>
      <w:drawing>
        <wp:anchor distT="0" distB="0" distL="114300" distR="114300" simplePos="0" relativeHeight="251659264" behindDoc="0" locked="0" layoutInCell="1" allowOverlap="1" wp14:anchorId="7638A24E" wp14:editId="305441B8">
          <wp:simplePos x="0" y="0"/>
          <wp:positionH relativeFrom="margin">
            <wp:align>right</wp:align>
          </wp:positionH>
          <wp:positionV relativeFrom="paragraph">
            <wp:posOffset>-22860</wp:posOffset>
          </wp:positionV>
          <wp:extent cx="283210" cy="553085"/>
          <wp:effectExtent l="0" t="0" r="2540" b="0"/>
          <wp:wrapNone/>
          <wp:docPr id="1624398927" name="Picture 1624398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B49D0"/>
    <w:multiLevelType w:val="hybridMultilevel"/>
    <w:tmpl w:val="FA16E6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9E250E"/>
    <w:multiLevelType w:val="hybridMultilevel"/>
    <w:tmpl w:val="FA16E6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FD50B3"/>
    <w:multiLevelType w:val="hybridMultilevel"/>
    <w:tmpl w:val="4E2EB344"/>
    <w:lvl w:ilvl="0" w:tplc="D8ACC2A6">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C0743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D6E4EA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6EEDCD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E8AA47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F24B5B0">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B68E4E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F644DB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A9E3162">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07240BB"/>
    <w:multiLevelType w:val="hybridMultilevel"/>
    <w:tmpl w:val="FA16E6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D757875"/>
    <w:multiLevelType w:val="hybridMultilevel"/>
    <w:tmpl w:val="FA16E6D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303431">
    <w:abstractNumId w:val="2"/>
  </w:num>
  <w:num w:numId="2" w16cid:durableId="268900686">
    <w:abstractNumId w:val="0"/>
  </w:num>
  <w:num w:numId="3" w16cid:durableId="1381323641">
    <w:abstractNumId w:val="1"/>
  </w:num>
  <w:num w:numId="4" w16cid:durableId="184681350">
    <w:abstractNumId w:val="4"/>
  </w:num>
  <w:num w:numId="5" w16cid:durableId="1135218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898"/>
    <w:rsid w:val="000E04D2"/>
    <w:rsid w:val="00202898"/>
    <w:rsid w:val="002D0018"/>
    <w:rsid w:val="00657CE6"/>
    <w:rsid w:val="00676348"/>
    <w:rsid w:val="007873E1"/>
    <w:rsid w:val="00910348"/>
    <w:rsid w:val="00983F6D"/>
    <w:rsid w:val="00B02284"/>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ADA7C"/>
  <w15:chartTrackingRefBased/>
  <w15:docId w15:val="{6BF28AC5-75CF-4432-A6DF-7F4734E25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8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28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28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28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28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28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8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8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8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8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28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28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28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28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28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8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8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898"/>
    <w:rPr>
      <w:rFonts w:eastAsiaTheme="majorEastAsia" w:cstheme="majorBidi"/>
      <w:color w:val="272727" w:themeColor="text1" w:themeTint="D8"/>
    </w:rPr>
  </w:style>
  <w:style w:type="paragraph" w:styleId="Title">
    <w:name w:val="Title"/>
    <w:basedOn w:val="Normal"/>
    <w:next w:val="Normal"/>
    <w:link w:val="TitleChar"/>
    <w:uiPriority w:val="10"/>
    <w:qFormat/>
    <w:rsid w:val="002028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8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8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8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898"/>
    <w:pPr>
      <w:spacing w:before="160"/>
      <w:jc w:val="center"/>
    </w:pPr>
    <w:rPr>
      <w:i/>
      <w:iCs/>
      <w:color w:val="404040" w:themeColor="text1" w:themeTint="BF"/>
    </w:rPr>
  </w:style>
  <w:style w:type="character" w:customStyle="1" w:styleId="QuoteChar">
    <w:name w:val="Quote Char"/>
    <w:basedOn w:val="DefaultParagraphFont"/>
    <w:link w:val="Quote"/>
    <w:uiPriority w:val="29"/>
    <w:rsid w:val="00202898"/>
    <w:rPr>
      <w:i/>
      <w:iCs/>
      <w:color w:val="404040" w:themeColor="text1" w:themeTint="BF"/>
    </w:rPr>
  </w:style>
  <w:style w:type="paragraph" w:styleId="ListParagraph">
    <w:name w:val="List Paragraph"/>
    <w:basedOn w:val="Normal"/>
    <w:uiPriority w:val="34"/>
    <w:qFormat/>
    <w:rsid w:val="00202898"/>
    <w:pPr>
      <w:ind w:left="720"/>
      <w:contextualSpacing/>
    </w:pPr>
  </w:style>
  <w:style w:type="character" w:styleId="IntenseEmphasis">
    <w:name w:val="Intense Emphasis"/>
    <w:basedOn w:val="DefaultParagraphFont"/>
    <w:uiPriority w:val="21"/>
    <w:qFormat/>
    <w:rsid w:val="00202898"/>
    <w:rPr>
      <w:i/>
      <w:iCs/>
      <w:color w:val="0F4761" w:themeColor="accent1" w:themeShade="BF"/>
    </w:rPr>
  </w:style>
  <w:style w:type="paragraph" w:styleId="IntenseQuote">
    <w:name w:val="Intense Quote"/>
    <w:basedOn w:val="Normal"/>
    <w:next w:val="Normal"/>
    <w:link w:val="IntenseQuoteChar"/>
    <w:uiPriority w:val="30"/>
    <w:qFormat/>
    <w:rsid w:val="002028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2898"/>
    <w:rPr>
      <w:i/>
      <w:iCs/>
      <w:color w:val="0F4761" w:themeColor="accent1" w:themeShade="BF"/>
    </w:rPr>
  </w:style>
  <w:style w:type="character" w:styleId="IntenseReference">
    <w:name w:val="Intense Reference"/>
    <w:basedOn w:val="DefaultParagraphFont"/>
    <w:uiPriority w:val="32"/>
    <w:qFormat/>
    <w:rsid w:val="00202898"/>
    <w:rPr>
      <w:b/>
      <w:bCs/>
      <w:smallCaps/>
      <w:color w:val="0F4761" w:themeColor="accent1" w:themeShade="BF"/>
      <w:spacing w:val="5"/>
    </w:rPr>
  </w:style>
  <w:style w:type="paragraph" w:styleId="Header">
    <w:name w:val="header"/>
    <w:basedOn w:val="Normal"/>
    <w:link w:val="HeaderChar"/>
    <w:uiPriority w:val="99"/>
    <w:unhideWhenUsed/>
    <w:rsid w:val="00202898"/>
    <w:pPr>
      <w:tabs>
        <w:tab w:val="center" w:pos="4680"/>
        <w:tab w:val="right" w:pos="9360"/>
      </w:tabs>
      <w:spacing w:after="0" w:line="240" w:lineRule="auto"/>
      <w:ind w:left="730" w:right="212" w:hanging="370"/>
      <w:jc w:val="both"/>
    </w:pPr>
    <w:rPr>
      <w:rFonts w:ascii="Calibri" w:eastAsia="Calibri" w:hAnsi="Calibri" w:cs="Calibri"/>
      <w:color w:val="000000"/>
      <w:kern w:val="0"/>
      <w:sz w:val="22"/>
      <w:szCs w:val="22"/>
      <w:lang w:val="es-ES"/>
      <w14:ligatures w14:val="none"/>
    </w:rPr>
  </w:style>
  <w:style w:type="character" w:customStyle="1" w:styleId="HeaderChar">
    <w:name w:val="Header Char"/>
    <w:basedOn w:val="DefaultParagraphFont"/>
    <w:link w:val="Header"/>
    <w:uiPriority w:val="99"/>
    <w:rsid w:val="00202898"/>
    <w:rPr>
      <w:rFonts w:ascii="Calibri" w:eastAsia="Calibri" w:hAnsi="Calibri" w:cs="Calibri"/>
      <w:color w:val="000000"/>
      <w:kern w:val="0"/>
      <w:sz w:val="22"/>
      <w:szCs w:val="22"/>
      <w:lang w:val="es-ES"/>
      <w14:ligatures w14:val="none"/>
    </w:rPr>
  </w:style>
  <w:style w:type="table" w:styleId="TableGrid">
    <w:name w:val="Table Grid"/>
    <w:basedOn w:val="TableNormal"/>
    <w:uiPriority w:val="39"/>
    <w:rsid w:val="00202898"/>
    <w:pPr>
      <w:spacing w:after="0" w:line="240" w:lineRule="auto"/>
    </w:pPr>
    <w:rPr>
      <w:rFonts w:eastAsia="Times New Roman"/>
      <w:kern w:val="0"/>
      <w:sz w:val="22"/>
      <w:szCs w:val="22"/>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028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1356</Words>
  <Characters>7733</Characters>
  <Application>Microsoft Office Word</Application>
  <DocSecurity>0</DocSecurity>
  <Lines>64</Lines>
  <Paragraphs>18</Paragraphs>
  <ScaleCrop>false</ScaleCrop>
  <Company/>
  <LinksUpToDate>false</LinksUpToDate>
  <CharactersWithSpaces>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2026-05-04T14:36:00Z</dcterms:created>
  <dcterms:modified xsi:type="dcterms:W3CDTF">2026-06-17T02:41:00Z</dcterms:modified>
</cp:coreProperties>
</file>