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5AE55" w14:textId="77777777" w:rsidR="001C7B5F" w:rsidRPr="0038481C" w:rsidRDefault="00574249" w:rsidP="00830DA9">
      <w:pPr>
        <w:spacing w:after="160" w:line="259" w:lineRule="auto"/>
        <w:ind w:left="0" w:right="0" w:firstLine="0"/>
        <w:jc w:val="left"/>
      </w:pPr>
      <w:r>
        <w:rPr>
          <w:b/>
          <w:sz w:val="28"/>
        </w:rPr>
        <w:t xml:space="preserve">Cuentas por cobrar  </w:t>
      </w:r>
    </w:p>
    <w:p w14:paraId="5D05AE56" w14:textId="77777777" w:rsidR="001C7B5F" w:rsidRPr="0038481C" w:rsidRDefault="00574249" w:rsidP="00830DA9">
      <w:pPr>
        <w:numPr>
          <w:ilvl w:val="0"/>
          <w:numId w:val="1"/>
        </w:numPr>
        <w:spacing w:after="160"/>
        <w:ind w:left="360" w:right="0" w:hanging="360"/>
      </w:pPr>
      <w:r>
        <w:t xml:space="preserve">La medición de las cuentas por cobrar es un área importante de la implementación de las Normas Internacionales de Contabilidad del Sector Público (IPSAS, </w:t>
      </w:r>
      <w:r>
        <w:rPr>
          <w:i/>
        </w:rPr>
        <w:t>International Public Sector Accounting Standards</w:t>
      </w:r>
      <w:r>
        <w:t xml:space="preserve">, por sus siglas en inglés) y es necesario realizar una evaluación a fin de año de las cuentas por cobrar que se consideran de dudoso cobro y de aquellas que deben cancelarse. Las cuentas por cobrar se medirán en su valor razonable menos cualquier provisión por los montos que se estiman como irrecuperables. Se establece una provisión cuando hay pruebas objetivas, con base en una revisión de los montos pendientes en la fecha de presentación, de que el PNUD (Programa de las Naciones Unidas para el Desarrollo) no podrá cobrar todos los montos adeudados de acuerdo con los términos originales de las cuentas por cobrar. </w:t>
      </w:r>
    </w:p>
    <w:p w14:paraId="5D05AE58" w14:textId="77777777" w:rsidR="001C7B5F" w:rsidRPr="0038481C" w:rsidRDefault="00574249" w:rsidP="00830DA9">
      <w:pPr>
        <w:numPr>
          <w:ilvl w:val="0"/>
          <w:numId w:val="1"/>
        </w:numPr>
        <w:spacing w:after="160"/>
        <w:ind w:left="360" w:right="0" w:hanging="360"/>
      </w:pPr>
      <w:r>
        <w:t xml:space="preserve">El PNUD aplicará el método específico de provisión al identificar las contribuciones específicas que se volvieron de dudoso cobro. Esto implica la revisión de cada donante y de su capacidad para cumplir con su compromiso.  </w:t>
      </w:r>
    </w:p>
    <w:p w14:paraId="5D05AE5A" w14:textId="77777777" w:rsidR="001C7B5F" w:rsidRPr="0038481C" w:rsidRDefault="00574249" w:rsidP="00830DA9">
      <w:pPr>
        <w:pStyle w:val="Heading1"/>
        <w:spacing w:after="160"/>
        <w:ind w:left="0"/>
      </w:pPr>
      <w:r>
        <w:t xml:space="preserve">Provisión para deudas de dudoso cobro </w:t>
      </w:r>
    </w:p>
    <w:p w14:paraId="5D05AE5C" w14:textId="2E45D3F6" w:rsidR="001C7B5F" w:rsidRPr="0038481C" w:rsidRDefault="00574249" w:rsidP="00830DA9">
      <w:pPr>
        <w:numPr>
          <w:ilvl w:val="0"/>
          <w:numId w:val="1"/>
        </w:numPr>
        <w:spacing w:after="160"/>
        <w:ind w:left="360" w:right="0" w:hanging="360"/>
      </w:pPr>
      <w:r>
        <w:t xml:space="preserve">El primer paso para crear una provisión para deudas de dudoso cobro es identificar los donantes individuales con los que pueda haber deudas para determinar si podrá recuperarse la totalidad de los montos. Esto luego se utilizará para identificar los montos individuales que constituirán la provisión para deudas de dudoso cobro. </w:t>
      </w:r>
    </w:p>
    <w:p w14:paraId="5D05AE5E" w14:textId="77777777" w:rsidR="001C7B5F" w:rsidRPr="0038481C" w:rsidRDefault="00574249" w:rsidP="00830DA9">
      <w:pPr>
        <w:pStyle w:val="Heading1"/>
        <w:spacing w:after="160"/>
        <w:ind w:left="0"/>
      </w:pPr>
      <w:r>
        <w:t xml:space="preserve">Cancelación de cuentas por cobrar  </w:t>
      </w:r>
    </w:p>
    <w:p w14:paraId="5D05AE60" w14:textId="77777777" w:rsidR="001C7B5F" w:rsidRPr="0038481C" w:rsidRDefault="00574249" w:rsidP="00830DA9">
      <w:pPr>
        <w:numPr>
          <w:ilvl w:val="0"/>
          <w:numId w:val="1"/>
        </w:numPr>
        <w:spacing w:after="160"/>
        <w:ind w:left="360" w:right="0" w:hanging="360"/>
      </w:pPr>
      <w:r>
        <w:t xml:space="preserve">El segundo paso es identificar si algún saldo pendiente debe cancelarse. Las cancelaciones solamente se realizan una vez que se han tomado todas las medidas razonables para recuperar los montos pendientes y se considera que no hay posibilidades de recuperación. </w:t>
      </w:r>
    </w:p>
    <w:p w14:paraId="5D05AE62" w14:textId="77777777" w:rsidR="001C7B5F" w:rsidRPr="0038481C" w:rsidRDefault="00574249" w:rsidP="00830DA9">
      <w:pPr>
        <w:spacing w:after="160" w:line="259" w:lineRule="auto"/>
        <w:ind w:left="0" w:right="0" w:firstLine="0"/>
        <w:jc w:val="right"/>
      </w:pPr>
      <w:r>
        <w:rPr>
          <w:noProof/>
          <w:lang w:val="en-US"/>
        </w:rPr>
        <w:drawing>
          <wp:inline distT="0" distB="0" distL="0" distR="0" wp14:anchorId="5D05AFBB" wp14:editId="22BE6E37">
            <wp:extent cx="6037776" cy="3571240"/>
            <wp:effectExtent l="0" t="0" r="1270" b="0"/>
            <wp:docPr id="176691402" name="Picture 85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01"/>
                    <pic:cNvPicPr/>
                  </pic:nvPicPr>
                  <pic:blipFill>
                    <a:blip r:embed="rId12">
                      <a:extLst>
                        <a:ext uri="{28A0092B-C50C-407E-A947-70E740481C1C}">
                          <a14:useLocalDpi xmlns:a14="http://schemas.microsoft.com/office/drawing/2010/main" val="0"/>
                        </a:ext>
                      </a:extLst>
                    </a:blip>
                    <a:stretch>
                      <a:fillRect/>
                    </a:stretch>
                  </pic:blipFill>
                  <pic:spPr>
                    <a:xfrm>
                      <a:off x="0" y="0"/>
                      <a:ext cx="6037776" cy="3571240"/>
                    </a:xfrm>
                    <a:prstGeom prst="rect">
                      <a:avLst/>
                    </a:prstGeom>
                  </pic:spPr>
                </pic:pic>
              </a:graphicData>
            </a:graphic>
          </wp:inline>
        </w:drawing>
      </w:r>
      <w:r>
        <w:t xml:space="preserve"> </w:t>
      </w:r>
    </w:p>
    <w:p w14:paraId="5D05AE63" w14:textId="35F8D3E2" w:rsidR="001C7B5F" w:rsidRPr="0038481C" w:rsidRDefault="00574249" w:rsidP="00830DA9">
      <w:pPr>
        <w:numPr>
          <w:ilvl w:val="0"/>
          <w:numId w:val="1"/>
        </w:numPr>
        <w:spacing w:after="160"/>
        <w:ind w:left="360" w:right="0" w:hanging="360"/>
      </w:pPr>
      <w:r>
        <w:t xml:space="preserve">El Centro Mundial de Servicios Compartidos </w:t>
      </w:r>
      <w:r w:rsidR="35898133">
        <w:t>-</w:t>
      </w:r>
      <w:r>
        <w:t>CMSC</w:t>
      </w:r>
      <w:r w:rsidR="2108D7C5">
        <w:t>- (GSS</w:t>
      </w:r>
      <w:r w:rsidR="00100166">
        <w:t>C</w:t>
      </w:r>
      <w:r w:rsidR="2108D7C5">
        <w:t>, por sus siglas en inglés)</w:t>
      </w:r>
      <w:r>
        <w:t xml:space="preserve"> será responsable de registrar los ingresos para las siguientes contribuciones complementarias: </w:t>
      </w:r>
    </w:p>
    <w:p w14:paraId="5D05AE64" w14:textId="48B913E2" w:rsidR="001C7B5F" w:rsidRPr="0038481C" w:rsidRDefault="20947E12" w:rsidP="00830DA9">
      <w:pPr>
        <w:pStyle w:val="ListParagraph"/>
        <w:numPr>
          <w:ilvl w:val="0"/>
          <w:numId w:val="4"/>
        </w:numPr>
        <w:spacing w:after="160"/>
        <w:ind w:right="0"/>
      </w:pPr>
      <w:r>
        <w:lastRenderedPageBreak/>
        <w:t xml:space="preserve">Contribuciones de costos compartidos </w:t>
      </w:r>
      <w:r w:rsidR="00574249">
        <w:t xml:space="preserve"> Gobierno del país en que se ejecuta un programa </w:t>
      </w:r>
    </w:p>
    <w:p w14:paraId="5D05AE65" w14:textId="5134D18B" w:rsidR="001C7B5F" w:rsidRPr="0038481C" w:rsidRDefault="00574249" w:rsidP="00830DA9">
      <w:pPr>
        <w:pStyle w:val="ListParagraph"/>
        <w:numPr>
          <w:ilvl w:val="0"/>
          <w:numId w:val="4"/>
        </w:numPr>
        <w:spacing w:after="160"/>
        <w:ind w:right="0"/>
      </w:pPr>
      <w:r>
        <w:t xml:space="preserve">Acuerdos de </w:t>
      </w:r>
      <w:r w:rsidR="481C57A1">
        <w:t>costos compartidos</w:t>
      </w:r>
      <w:r>
        <w:t xml:space="preserve"> de terceros </w:t>
      </w:r>
    </w:p>
    <w:p w14:paraId="5D05AE66" w14:textId="77777777" w:rsidR="001C7B5F" w:rsidRPr="0038481C" w:rsidRDefault="00574249" w:rsidP="00830DA9">
      <w:pPr>
        <w:pStyle w:val="ListParagraph"/>
        <w:numPr>
          <w:ilvl w:val="0"/>
          <w:numId w:val="4"/>
        </w:numPr>
        <w:spacing w:after="160"/>
        <w:ind w:right="0"/>
      </w:pPr>
      <w:r>
        <w:t xml:space="preserve">Acuerdos de la Comunidad Europea (CE) </w:t>
      </w:r>
    </w:p>
    <w:p w14:paraId="5D05AE67" w14:textId="77777777" w:rsidR="001C7B5F" w:rsidRPr="0038481C" w:rsidRDefault="00574249" w:rsidP="00830DA9">
      <w:pPr>
        <w:pStyle w:val="ListParagraph"/>
        <w:numPr>
          <w:ilvl w:val="0"/>
          <w:numId w:val="4"/>
        </w:numPr>
        <w:spacing w:after="160"/>
        <w:ind w:right="0"/>
      </w:pPr>
      <w:r>
        <w:t xml:space="preserve">Fondos fiduciarios  </w:t>
      </w:r>
    </w:p>
    <w:p w14:paraId="5D05AE69" w14:textId="5C344099" w:rsidR="001C7B5F" w:rsidRPr="0038481C" w:rsidRDefault="00574249" w:rsidP="00830DA9">
      <w:pPr>
        <w:numPr>
          <w:ilvl w:val="0"/>
          <w:numId w:val="1"/>
        </w:numPr>
        <w:spacing w:after="160"/>
        <w:ind w:left="360" w:right="0" w:hanging="360"/>
      </w:pPr>
      <w:r>
        <w:t xml:space="preserve">El personal del CMSC seguirá la política de reconocimiento de ingresos para registrar las contribuciones en el módulo de contratos de clientes de </w:t>
      </w:r>
      <w:r w:rsidR="006061F2">
        <w:t>Quantum</w:t>
      </w:r>
      <w:r>
        <w:t xml:space="preserve"> para que los ingresos se reconozcan de manera oportuna y precisa en los estados financieros. </w:t>
      </w:r>
    </w:p>
    <w:p w14:paraId="5D05AE6B" w14:textId="77777777" w:rsidR="001C7B5F" w:rsidRPr="0038481C" w:rsidRDefault="00574249" w:rsidP="00830DA9">
      <w:pPr>
        <w:numPr>
          <w:ilvl w:val="0"/>
          <w:numId w:val="1"/>
        </w:numPr>
        <w:spacing w:after="160"/>
        <w:ind w:left="360" w:right="0" w:hanging="360"/>
      </w:pPr>
      <w:r>
        <w:t xml:space="preserve">Como resultado de estos procesos y de la entrada de información en el módulo de contratos, se creará la partida de cuentas por cobrar en el libro mayor. Estas cuentas representarán montos, según lo prometido por los donantes de acuerdo con el calendario de pagos en los acuerdos, pero que aún no han sido recibidos.    </w:t>
      </w:r>
    </w:p>
    <w:p w14:paraId="5D05AE6D" w14:textId="77777777" w:rsidR="001C7B5F" w:rsidRPr="0038481C" w:rsidRDefault="00574249" w:rsidP="00830DA9">
      <w:pPr>
        <w:pStyle w:val="Heading1"/>
        <w:spacing w:after="160"/>
        <w:ind w:left="0"/>
      </w:pPr>
      <w:r>
        <w:t xml:space="preserve">Seguimiento de cuentas por cobrar </w:t>
      </w:r>
    </w:p>
    <w:p w14:paraId="5D05AE6F" w14:textId="77777777" w:rsidR="001C7B5F" w:rsidRPr="0038481C" w:rsidRDefault="00574249" w:rsidP="00830DA9">
      <w:pPr>
        <w:numPr>
          <w:ilvl w:val="0"/>
          <w:numId w:val="1"/>
        </w:numPr>
        <w:spacing w:after="160"/>
        <w:ind w:left="360" w:right="0" w:hanging="360"/>
      </w:pPr>
      <w:r>
        <w:t xml:space="preserve">La responsabilidad del seguimiento, la supervisión y la elaboración de informes de las cuentas por cobrar pertenece al personal de programas y finanzas en cada Oficina de País o unidad de negocio y no al Centro Mundial de Servicios Compartidos. La Oficina de País o la unidad de negocio debe generar un informe mensual de las cuentas por cobrar. Los informes establecerán la antigüedad de las cuentas por cobrar por donante y pueden utilizarse para realizar un seguimiento de los donantes. El informe establecerá la antigüedad del monto pendiente de la siguiente manera: </w:t>
      </w:r>
    </w:p>
    <w:p w14:paraId="5D05AE71" w14:textId="77777777" w:rsidR="001C7B5F" w:rsidRPr="0038481C" w:rsidRDefault="00574249" w:rsidP="00830DA9">
      <w:pPr>
        <w:numPr>
          <w:ilvl w:val="0"/>
          <w:numId w:val="1"/>
        </w:numPr>
        <w:spacing w:after="160"/>
        <w:ind w:left="360" w:right="0" w:hanging="360"/>
      </w:pPr>
      <w:r>
        <w:t xml:space="preserve">El PRODUCTO DEL INFORME contendrá los siguientes campos y establecerá la antigüedad del monto en las siguientes columnas:  </w:t>
      </w:r>
    </w:p>
    <w:p w14:paraId="5D05AE72" w14:textId="3A666675" w:rsidR="001C7B5F" w:rsidRPr="0038481C" w:rsidRDefault="00574249" w:rsidP="00830DA9">
      <w:pPr>
        <w:spacing w:after="160" w:line="239" w:lineRule="auto"/>
        <w:ind w:left="360" w:right="0" w:firstLine="0"/>
        <w:jc w:val="left"/>
      </w:pPr>
      <w:r>
        <w:rPr>
          <w:b/>
          <w:i/>
        </w:rPr>
        <w:t>Dependencia operacional    Nombre del donante            Contrato n.º              0-3 meses                    3-6 meses    6-12 meses    1-2 años    2-3 años    &gt;3 años    Total de cuentas por cobrar</w:t>
      </w:r>
      <w:r>
        <w:t xml:space="preserve"> </w:t>
      </w:r>
    </w:p>
    <w:p w14:paraId="5D05AE74" w14:textId="77777777" w:rsidR="001C7B5F" w:rsidRPr="0038481C" w:rsidRDefault="00574249" w:rsidP="00830DA9">
      <w:pPr>
        <w:numPr>
          <w:ilvl w:val="0"/>
          <w:numId w:val="1"/>
        </w:numPr>
        <w:spacing w:after="160"/>
        <w:ind w:left="360" w:right="0" w:hanging="360"/>
      </w:pPr>
      <w:r>
        <w:t xml:space="preserve">Los gerentes de proyectos (primera autoridad) deben realizar un seguimiento de las cuentas por cobrar pendientes de los donantes. </w:t>
      </w:r>
    </w:p>
    <w:p w14:paraId="5D05AE76" w14:textId="77777777" w:rsidR="001C7B5F" w:rsidRPr="0038481C" w:rsidRDefault="00574249" w:rsidP="00830DA9">
      <w:pPr>
        <w:numPr>
          <w:ilvl w:val="0"/>
          <w:numId w:val="1"/>
        </w:numPr>
        <w:spacing w:after="160"/>
        <w:ind w:left="360" w:right="0" w:hanging="360"/>
      </w:pPr>
      <w:r>
        <w:t xml:space="preserve">El gerente aprobador (segunda autoridad) debe firmar el informe de cuentas por cobrar como prueba de la revisión mensual. </w:t>
      </w:r>
    </w:p>
    <w:p w14:paraId="5D05AE78" w14:textId="77777777" w:rsidR="001C7B5F" w:rsidRPr="0038481C" w:rsidRDefault="00574249" w:rsidP="00830DA9">
      <w:pPr>
        <w:pStyle w:val="Heading1"/>
        <w:spacing w:after="160"/>
        <w:ind w:left="0"/>
      </w:pPr>
      <w:r>
        <w:t xml:space="preserve">Ajustes que deben realizarse en las cuentas por cobrar </w:t>
      </w:r>
    </w:p>
    <w:p w14:paraId="5D05AE7A" w14:textId="77777777" w:rsidR="001C7B5F" w:rsidRPr="0038481C" w:rsidRDefault="00574249" w:rsidP="00830DA9">
      <w:pPr>
        <w:numPr>
          <w:ilvl w:val="0"/>
          <w:numId w:val="1"/>
        </w:numPr>
        <w:spacing w:after="160"/>
        <w:ind w:left="360" w:right="0" w:hanging="360"/>
      </w:pPr>
      <w:r>
        <w:t xml:space="preserve">En ciertos casos, puede procesarse una enmienda para ajustar las cuentas por cobrar por los siguientes motivos:   </w:t>
      </w:r>
    </w:p>
    <w:p w14:paraId="5D05AE7B" w14:textId="77777777" w:rsidR="001C7B5F" w:rsidRPr="0038481C" w:rsidRDefault="00574249" w:rsidP="00830DA9">
      <w:pPr>
        <w:pStyle w:val="ListParagraph"/>
        <w:numPr>
          <w:ilvl w:val="0"/>
          <w:numId w:val="5"/>
        </w:numPr>
        <w:spacing w:after="160"/>
        <w:ind w:right="0"/>
      </w:pPr>
      <w:r>
        <w:t xml:space="preserve">Cambio en el alcance del proyecto </w:t>
      </w:r>
    </w:p>
    <w:p w14:paraId="5D05AE7C" w14:textId="77777777" w:rsidR="001C7B5F" w:rsidRPr="0038481C" w:rsidRDefault="00574249" w:rsidP="00830DA9">
      <w:pPr>
        <w:pStyle w:val="ListParagraph"/>
        <w:numPr>
          <w:ilvl w:val="0"/>
          <w:numId w:val="5"/>
        </w:numPr>
        <w:spacing w:after="160"/>
        <w:ind w:right="0"/>
      </w:pPr>
      <w:r>
        <w:t xml:space="preserve">Revisiones del presupuesto realizadas en conjunto con los donantes </w:t>
      </w:r>
    </w:p>
    <w:p w14:paraId="5D05AE7D" w14:textId="77777777" w:rsidR="001C7B5F" w:rsidRPr="0038481C" w:rsidRDefault="00574249" w:rsidP="00830DA9">
      <w:pPr>
        <w:pStyle w:val="ListParagraph"/>
        <w:numPr>
          <w:ilvl w:val="0"/>
          <w:numId w:val="5"/>
        </w:numPr>
        <w:spacing w:after="160"/>
        <w:ind w:right="0"/>
      </w:pPr>
      <w:r>
        <w:t xml:space="preserve">Ajustes en la financiación que reflejan la incorporación de nuevos donantes </w:t>
      </w:r>
    </w:p>
    <w:p w14:paraId="5D05AE7F" w14:textId="77777777" w:rsidR="001C7B5F" w:rsidRPr="0038481C" w:rsidRDefault="00574249" w:rsidP="00830DA9">
      <w:pPr>
        <w:numPr>
          <w:ilvl w:val="0"/>
          <w:numId w:val="1"/>
        </w:numPr>
        <w:spacing w:after="160"/>
        <w:ind w:left="360" w:right="0" w:hanging="360"/>
      </w:pPr>
      <w:r>
        <w:t xml:space="preserve">Estas son enmiendas que deben procesarse a través de una notificación del Sistema de Gestión de Documentos (DMS, </w:t>
      </w:r>
      <w:r>
        <w:rPr>
          <w:i/>
        </w:rPr>
        <w:t>Document Management System</w:t>
      </w:r>
      <w:r>
        <w:t xml:space="preserve">, por sus siglas en inglés) al CMSC, que luego iniciará el proceso normal de enmienda en el módulo de contratos. Véase el capítulo de las Políticas y Procedimientos de Operaciones y Programas (POPP, </w:t>
      </w:r>
      <w:r>
        <w:rPr>
          <w:i/>
        </w:rPr>
        <w:t>Programme and Operations Policies and Procedures</w:t>
      </w:r>
      <w:r>
        <w:t xml:space="preserve">, por sus siglas en inglés) sobre contribuciones complementarias. </w:t>
      </w:r>
    </w:p>
    <w:p w14:paraId="5D05AE81" w14:textId="77777777" w:rsidR="001C7B5F" w:rsidRPr="0038481C" w:rsidRDefault="00574249" w:rsidP="00830DA9">
      <w:pPr>
        <w:pStyle w:val="Heading1"/>
        <w:spacing w:after="160"/>
        <w:ind w:left="0"/>
      </w:pPr>
      <w:r>
        <w:t xml:space="preserve">Pasos que deben realizar las unidades de negocio para el seguimiento de las cuentas por cobrar: </w:t>
      </w:r>
    </w:p>
    <w:p w14:paraId="5D05AE83" w14:textId="77777777" w:rsidR="001C7B5F" w:rsidRPr="0038481C" w:rsidRDefault="00574249" w:rsidP="00830DA9">
      <w:pPr>
        <w:numPr>
          <w:ilvl w:val="0"/>
          <w:numId w:val="1"/>
        </w:numPr>
        <w:spacing w:after="160"/>
        <w:ind w:left="360" w:right="0" w:hanging="360"/>
      </w:pPr>
      <w:r>
        <w:t xml:space="preserve">Pasos mensuales:  </w:t>
      </w:r>
    </w:p>
    <w:p w14:paraId="5D05AE84" w14:textId="77777777" w:rsidR="001C7B5F" w:rsidRPr="0038481C" w:rsidRDefault="00574249" w:rsidP="00830DA9">
      <w:pPr>
        <w:pStyle w:val="ListParagraph"/>
        <w:numPr>
          <w:ilvl w:val="0"/>
          <w:numId w:val="6"/>
        </w:numPr>
        <w:spacing w:after="160"/>
        <w:ind w:right="0"/>
      </w:pPr>
      <w:r>
        <w:t xml:space="preserve">Generar el informe mensual de antigüedad de las cuentas por cobrar.  </w:t>
      </w:r>
    </w:p>
    <w:p w14:paraId="5D05AE85" w14:textId="77777777" w:rsidR="001C7B5F" w:rsidRPr="0038481C" w:rsidRDefault="00574249" w:rsidP="00830DA9">
      <w:pPr>
        <w:pStyle w:val="ListParagraph"/>
        <w:numPr>
          <w:ilvl w:val="0"/>
          <w:numId w:val="6"/>
        </w:numPr>
        <w:spacing w:after="160"/>
        <w:ind w:right="0"/>
      </w:pPr>
      <w:r>
        <w:lastRenderedPageBreak/>
        <w:t xml:space="preserve">Identificar las cuentas por cobrar de larga data y realizar un seguimiento de los donantes.  </w:t>
      </w:r>
    </w:p>
    <w:p w14:paraId="5D05AE86" w14:textId="77777777" w:rsidR="001C7B5F" w:rsidRPr="0038481C" w:rsidRDefault="00574249" w:rsidP="00830DA9">
      <w:pPr>
        <w:pStyle w:val="ListParagraph"/>
        <w:numPr>
          <w:ilvl w:val="0"/>
          <w:numId w:val="6"/>
        </w:numPr>
        <w:spacing w:after="160"/>
        <w:ind w:right="0"/>
      </w:pPr>
      <w:r>
        <w:t xml:space="preserve">Comunicarse con los donantes para determinar cuándo se realizarán los pagos. </w:t>
      </w:r>
    </w:p>
    <w:p w14:paraId="5D05AE87" w14:textId="77777777" w:rsidR="001C7B5F" w:rsidRPr="0038481C" w:rsidRDefault="00574249" w:rsidP="00830DA9">
      <w:pPr>
        <w:pStyle w:val="ListParagraph"/>
        <w:numPr>
          <w:ilvl w:val="0"/>
          <w:numId w:val="6"/>
        </w:numPr>
        <w:spacing w:after="160"/>
        <w:ind w:right="0"/>
      </w:pPr>
      <w:r>
        <w:t xml:space="preserve">Mantener el registro de las pruebas de seguimiento de los donantes. </w:t>
      </w:r>
    </w:p>
    <w:p w14:paraId="5D05AE88" w14:textId="77777777" w:rsidR="001C7B5F" w:rsidRPr="0038481C" w:rsidRDefault="00574249" w:rsidP="00830DA9">
      <w:pPr>
        <w:pStyle w:val="ListParagraph"/>
        <w:numPr>
          <w:ilvl w:val="0"/>
          <w:numId w:val="6"/>
        </w:numPr>
        <w:spacing w:after="160"/>
        <w:ind w:right="0"/>
      </w:pPr>
      <w:r>
        <w:t xml:space="preserve">Prestar atención en particular a los montos de larga data y tomar todas las medidas razonables para intentar recuperar estos montos. </w:t>
      </w:r>
    </w:p>
    <w:p w14:paraId="5D05AE89" w14:textId="77777777" w:rsidR="001C7B5F" w:rsidRPr="0038481C" w:rsidRDefault="00574249" w:rsidP="00830DA9">
      <w:pPr>
        <w:pStyle w:val="ListParagraph"/>
        <w:numPr>
          <w:ilvl w:val="0"/>
          <w:numId w:val="6"/>
        </w:numPr>
        <w:spacing w:after="160"/>
        <w:ind w:right="0"/>
      </w:pPr>
      <w:r>
        <w:t xml:space="preserve">Firmar el informe como prueba de realización del seguimiento. </w:t>
      </w:r>
    </w:p>
    <w:p w14:paraId="5D05AE8A" w14:textId="77777777" w:rsidR="001C7B5F" w:rsidRPr="0038481C" w:rsidRDefault="00574249" w:rsidP="00830DA9">
      <w:pPr>
        <w:pStyle w:val="ListParagraph"/>
        <w:numPr>
          <w:ilvl w:val="0"/>
          <w:numId w:val="6"/>
        </w:numPr>
        <w:spacing w:after="160"/>
        <w:ind w:right="0"/>
      </w:pPr>
      <w:r>
        <w:t xml:space="preserve">Los gerentes de operaciones (gerentes con segunda autoridad) deben firmar el informe para asegurar que se tomaron medidas de seguimiento. </w:t>
      </w:r>
    </w:p>
    <w:p w14:paraId="5D05AE8B" w14:textId="77777777" w:rsidR="001C7B5F" w:rsidRPr="0038481C" w:rsidRDefault="00574249" w:rsidP="00830DA9">
      <w:pPr>
        <w:pStyle w:val="ListParagraph"/>
        <w:numPr>
          <w:ilvl w:val="0"/>
          <w:numId w:val="6"/>
        </w:numPr>
        <w:spacing w:after="160"/>
        <w:ind w:right="0"/>
      </w:pPr>
      <w:r>
        <w:t xml:space="preserve">Todas las pruebas de seguimiento y revisión deben mantenerse en un expediente como documentación de respaldo para la gestión de las cuentas por cobrar. </w:t>
      </w:r>
    </w:p>
    <w:p w14:paraId="5D05AE8C" w14:textId="5DB9A2E6" w:rsidR="001C7B5F" w:rsidRPr="0038481C" w:rsidRDefault="00574249" w:rsidP="00830DA9">
      <w:pPr>
        <w:numPr>
          <w:ilvl w:val="0"/>
          <w:numId w:val="1"/>
        </w:numPr>
        <w:spacing w:after="160"/>
        <w:ind w:left="360" w:right="0" w:hanging="360"/>
      </w:pPr>
      <w:r>
        <w:t>Medidas de fin de año</w:t>
      </w:r>
    </w:p>
    <w:p w14:paraId="5D05AE8D" w14:textId="77777777" w:rsidR="001C7B5F" w:rsidRPr="0038481C" w:rsidRDefault="00574249" w:rsidP="00830DA9">
      <w:pPr>
        <w:pStyle w:val="ListParagraph"/>
        <w:numPr>
          <w:ilvl w:val="0"/>
          <w:numId w:val="7"/>
        </w:numPr>
        <w:spacing w:after="160"/>
        <w:ind w:right="0"/>
      </w:pPr>
      <w:r>
        <w:t xml:space="preserve">Debe generarse un informe al final de cada período sobre el que se informa. </w:t>
      </w:r>
    </w:p>
    <w:p w14:paraId="5D05AE8E" w14:textId="77777777" w:rsidR="001C7B5F" w:rsidRPr="0038481C" w:rsidRDefault="00574249" w:rsidP="00830DA9">
      <w:pPr>
        <w:pStyle w:val="ListParagraph"/>
        <w:numPr>
          <w:ilvl w:val="0"/>
          <w:numId w:val="7"/>
        </w:numPr>
        <w:spacing w:after="160"/>
        <w:ind w:right="0"/>
      </w:pPr>
      <w:r>
        <w:t xml:space="preserve">Debe realizarse un seguimiento estricto con los donantes. </w:t>
      </w:r>
    </w:p>
    <w:p w14:paraId="5D05AE8F" w14:textId="77777777" w:rsidR="001C7B5F" w:rsidRPr="0038481C" w:rsidRDefault="00574249" w:rsidP="00830DA9">
      <w:pPr>
        <w:pStyle w:val="ListParagraph"/>
        <w:numPr>
          <w:ilvl w:val="0"/>
          <w:numId w:val="7"/>
        </w:numPr>
        <w:spacing w:after="160"/>
        <w:ind w:right="0"/>
      </w:pPr>
      <w:r>
        <w:t xml:space="preserve">Deben mantenerse pruebas documentadas cuando haya inquietudes de que los donantes no podrán realizar los pagos.  </w:t>
      </w:r>
    </w:p>
    <w:p w14:paraId="5D05AE90" w14:textId="77777777" w:rsidR="001C7B5F" w:rsidRPr="0038481C" w:rsidRDefault="00574249" w:rsidP="00830DA9">
      <w:pPr>
        <w:pStyle w:val="ListParagraph"/>
        <w:numPr>
          <w:ilvl w:val="0"/>
          <w:numId w:val="7"/>
        </w:numPr>
        <w:spacing w:after="160"/>
        <w:ind w:right="0"/>
      </w:pPr>
      <w:r>
        <w:t xml:space="preserve">Deberá proporcionarse información a la sede con pruebas documentadas para cada donante individual cuando haya dudas acerca de la recuperación y cuando los montos deban incluirse en la provisión para deudas de dudoso cobro. </w:t>
      </w:r>
    </w:p>
    <w:p w14:paraId="5D05AE91" w14:textId="77777777" w:rsidR="001C7B5F" w:rsidRPr="0038481C" w:rsidRDefault="00574249" w:rsidP="00830DA9">
      <w:pPr>
        <w:pStyle w:val="ListParagraph"/>
        <w:numPr>
          <w:ilvl w:val="0"/>
          <w:numId w:val="7"/>
        </w:numPr>
        <w:spacing w:after="160"/>
        <w:ind w:right="0"/>
      </w:pPr>
      <w:r>
        <w:t xml:space="preserve">Deberá proporcionarse información a la sede con pruebas documentadas para cada donante individual cuando los montos se consideren irrecuperables después de que se hayan tomado todas las medidas razonables para la recuperación y cuando los montos deban cancelarse. </w:t>
      </w:r>
    </w:p>
    <w:p w14:paraId="5D05AE92" w14:textId="77777777" w:rsidR="001C7B5F" w:rsidRPr="0038481C" w:rsidRDefault="00574249" w:rsidP="00830DA9">
      <w:pPr>
        <w:pStyle w:val="ListParagraph"/>
        <w:numPr>
          <w:ilvl w:val="0"/>
          <w:numId w:val="7"/>
        </w:numPr>
        <w:spacing w:after="160"/>
        <w:ind w:right="0"/>
      </w:pPr>
      <w:r>
        <w:t xml:space="preserve">Deberá presentarse información sobre la provisión para deudas de dudoso cobro y sobre las cancelaciones como parte de las instrucciones de cierre de fin de año. </w:t>
      </w:r>
    </w:p>
    <w:p w14:paraId="5D05AE93" w14:textId="292ABEF9" w:rsidR="001C7B5F" w:rsidRPr="0038481C" w:rsidRDefault="00830DA9" w:rsidP="00830DA9">
      <w:pPr>
        <w:pStyle w:val="ListParagraph"/>
        <w:numPr>
          <w:ilvl w:val="0"/>
          <w:numId w:val="7"/>
        </w:numPr>
        <w:spacing w:after="160"/>
        <w:ind w:right="0"/>
      </w:pPr>
      <w:r>
        <w:t xml:space="preserve">La Oficina de Gestión de Recursos Financieros (OFM, </w:t>
      </w:r>
      <w:r>
        <w:rPr>
          <w:i/>
        </w:rPr>
        <w:t>Office of Financial Management</w:t>
      </w:r>
      <w:r>
        <w:t xml:space="preserve">, por sus siglas en inglés) revisará la información y procesará los asientos necesarios en el libro mayor para la provisión para deudas de dudoso cobro y la cancelación de cuentas por cobrar. </w:t>
      </w:r>
    </w:p>
    <w:p w14:paraId="5D05AE95" w14:textId="77777777" w:rsidR="001C7B5F" w:rsidRPr="0038481C" w:rsidRDefault="00574249" w:rsidP="00830DA9">
      <w:pPr>
        <w:spacing w:after="160" w:line="259" w:lineRule="auto"/>
        <w:ind w:left="0" w:right="0" w:firstLine="0"/>
        <w:jc w:val="left"/>
      </w:pPr>
      <w:r>
        <w:rPr>
          <w:rFonts w:ascii="Arial" w:hAnsi="Arial"/>
          <w:b/>
          <w:color w:val="333333"/>
        </w:rPr>
        <w:t xml:space="preserve">Funciones y responsabilidades </w:t>
      </w:r>
      <w:r>
        <w:rPr>
          <w:rFonts w:ascii="Arial" w:hAnsi="Arial"/>
          <w:color w:val="333333"/>
          <w:sz w:val="20"/>
        </w:rPr>
        <w:t xml:space="preserve">  </w:t>
      </w:r>
    </w:p>
    <w:tbl>
      <w:tblPr>
        <w:tblStyle w:val="TableGrid0"/>
        <w:tblW w:w="10837" w:type="dxa"/>
        <w:tblInd w:w="-995" w:type="dxa"/>
        <w:tblLook w:val="04A0" w:firstRow="1" w:lastRow="0" w:firstColumn="1" w:lastColumn="0" w:noHBand="0" w:noVBand="1"/>
      </w:tblPr>
      <w:tblGrid>
        <w:gridCol w:w="2305"/>
        <w:gridCol w:w="1144"/>
        <w:gridCol w:w="1154"/>
        <w:gridCol w:w="858"/>
        <w:gridCol w:w="972"/>
        <w:gridCol w:w="972"/>
        <w:gridCol w:w="1282"/>
        <w:gridCol w:w="1156"/>
        <w:gridCol w:w="994"/>
      </w:tblGrid>
      <w:tr w:rsidR="00830DA9" w:rsidRPr="0038481C" w14:paraId="5D05AEA3" w14:textId="77777777" w:rsidTr="2633BD0C">
        <w:trPr>
          <w:trHeight w:val="665"/>
        </w:trPr>
        <w:tc>
          <w:tcPr>
            <w:tcW w:w="2406" w:type="dxa"/>
            <w:vAlign w:val="center"/>
          </w:tcPr>
          <w:p w14:paraId="5D05AE96" w14:textId="7B92286A" w:rsidR="00830DA9" w:rsidRPr="0038481C" w:rsidRDefault="00830DA9" w:rsidP="00830DA9">
            <w:pPr>
              <w:spacing w:after="160" w:line="259" w:lineRule="auto"/>
              <w:ind w:left="0" w:right="0" w:firstLine="0"/>
              <w:jc w:val="center"/>
            </w:pPr>
            <w:r>
              <w:rPr>
                <w:color w:val="333333"/>
                <w:sz w:val="20"/>
              </w:rPr>
              <w:t>Proceso de gestión de ingresos</w:t>
            </w:r>
          </w:p>
        </w:tc>
        <w:tc>
          <w:tcPr>
            <w:tcW w:w="1181" w:type="dxa"/>
            <w:vAlign w:val="center"/>
          </w:tcPr>
          <w:p w14:paraId="5D05AE98" w14:textId="50C21A84" w:rsidR="00830DA9" w:rsidRPr="0038481C" w:rsidRDefault="00830DA9" w:rsidP="00830DA9">
            <w:pPr>
              <w:spacing w:after="160" w:line="239" w:lineRule="auto"/>
              <w:ind w:left="0" w:right="0" w:firstLine="0"/>
              <w:jc w:val="center"/>
            </w:pPr>
            <w:r>
              <w:rPr>
                <w:color w:val="333333"/>
                <w:sz w:val="20"/>
              </w:rPr>
              <w:t xml:space="preserve">Programa de CO/BU </w:t>
            </w:r>
          </w:p>
        </w:tc>
        <w:tc>
          <w:tcPr>
            <w:tcW w:w="953" w:type="dxa"/>
            <w:vAlign w:val="center"/>
          </w:tcPr>
          <w:p w14:paraId="5D05AE9A" w14:textId="00F16DE5" w:rsidR="00830DA9" w:rsidRPr="0038481C" w:rsidRDefault="00830DA9" w:rsidP="00830DA9">
            <w:pPr>
              <w:spacing w:after="160" w:line="239" w:lineRule="auto"/>
              <w:ind w:left="0" w:right="0" w:firstLine="0"/>
              <w:jc w:val="center"/>
            </w:pPr>
            <w:r>
              <w:rPr>
                <w:color w:val="333333"/>
                <w:sz w:val="20"/>
              </w:rPr>
              <w:t>Aprobación de RR/BU</w:t>
            </w:r>
          </w:p>
        </w:tc>
        <w:tc>
          <w:tcPr>
            <w:tcW w:w="924" w:type="dxa"/>
            <w:vAlign w:val="center"/>
          </w:tcPr>
          <w:p w14:paraId="5D05AE9B" w14:textId="7251DA9C" w:rsidR="00830DA9" w:rsidRPr="0038481C" w:rsidRDefault="00830DA9" w:rsidP="00830DA9">
            <w:pPr>
              <w:spacing w:after="160" w:line="259" w:lineRule="auto"/>
              <w:ind w:left="0" w:right="0" w:firstLine="0"/>
              <w:jc w:val="center"/>
            </w:pPr>
            <w:r>
              <w:rPr>
                <w:color w:val="333333"/>
                <w:sz w:val="20"/>
              </w:rPr>
              <w:t xml:space="preserve">DRM </w:t>
            </w:r>
          </w:p>
        </w:tc>
        <w:tc>
          <w:tcPr>
            <w:tcW w:w="988" w:type="dxa"/>
            <w:vAlign w:val="center"/>
          </w:tcPr>
          <w:p w14:paraId="5D05AE9C" w14:textId="6055F60B" w:rsidR="00830DA9" w:rsidRPr="0038481C" w:rsidRDefault="00830DA9" w:rsidP="00830DA9">
            <w:pPr>
              <w:spacing w:after="160" w:line="259" w:lineRule="auto"/>
              <w:ind w:left="0" w:right="0" w:firstLine="0"/>
              <w:jc w:val="center"/>
            </w:pPr>
            <w:r>
              <w:rPr>
                <w:color w:val="333333"/>
                <w:sz w:val="20"/>
              </w:rPr>
              <w:t xml:space="preserve">Finanzas de BU </w:t>
            </w:r>
          </w:p>
        </w:tc>
        <w:tc>
          <w:tcPr>
            <w:tcW w:w="988" w:type="dxa"/>
            <w:vAlign w:val="center"/>
          </w:tcPr>
          <w:p w14:paraId="5D05AE9D" w14:textId="23A5F616" w:rsidR="00830DA9" w:rsidRPr="0038481C" w:rsidRDefault="00830DA9" w:rsidP="00830DA9">
            <w:pPr>
              <w:spacing w:after="160" w:line="259" w:lineRule="auto"/>
              <w:ind w:left="0" w:right="0" w:firstLine="0"/>
              <w:jc w:val="center"/>
            </w:pPr>
            <w:r>
              <w:rPr>
                <w:color w:val="333333"/>
                <w:sz w:val="20"/>
              </w:rPr>
              <w:t xml:space="preserve">Finanzas de CO </w:t>
            </w:r>
          </w:p>
        </w:tc>
        <w:tc>
          <w:tcPr>
            <w:tcW w:w="1340" w:type="dxa"/>
            <w:vAlign w:val="center"/>
          </w:tcPr>
          <w:p w14:paraId="5D05AE9F" w14:textId="67ED24AE" w:rsidR="00830DA9" w:rsidRPr="0038481C" w:rsidRDefault="00830DA9" w:rsidP="2633BD0C">
            <w:pPr>
              <w:spacing w:after="160" w:line="259" w:lineRule="auto"/>
              <w:ind w:left="0" w:right="0" w:firstLine="0"/>
              <w:jc w:val="center"/>
              <w:rPr>
                <w:color w:val="333333"/>
                <w:sz w:val="20"/>
                <w:szCs w:val="20"/>
              </w:rPr>
            </w:pPr>
            <w:r w:rsidRPr="2633BD0C">
              <w:rPr>
                <w:color w:val="333333"/>
                <w:sz w:val="20"/>
                <w:szCs w:val="20"/>
              </w:rPr>
              <w:t>Tesorería de la sede/OF</w:t>
            </w:r>
            <w:r w:rsidR="3F92B782" w:rsidRPr="2633BD0C">
              <w:rPr>
                <w:color w:val="333333"/>
                <w:sz w:val="20"/>
                <w:szCs w:val="20"/>
              </w:rPr>
              <w:t>M</w:t>
            </w:r>
            <w:r w:rsidRPr="2633BD0C">
              <w:rPr>
                <w:color w:val="333333"/>
                <w:sz w:val="20"/>
                <w:szCs w:val="20"/>
              </w:rPr>
              <w:t xml:space="preserve"> </w:t>
            </w:r>
          </w:p>
        </w:tc>
        <w:tc>
          <w:tcPr>
            <w:tcW w:w="1032" w:type="dxa"/>
            <w:vAlign w:val="center"/>
          </w:tcPr>
          <w:p w14:paraId="5D05AEA1" w14:textId="28E5E1C6" w:rsidR="00830DA9" w:rsidRPr="0038481C" w:rsidRDefault="00830DA9" w:rsidP="00830DA9">
            <w:pPr>
              <w:spacing w:after="160" w:line="239" w:lineRule="auto"/>
              <w:ind w:left="0" w:right="0" w:firstLine="0"/>
              <w:jc w:val="center"/>
            </w:pPr>
            <w:r w:rsidRPr="2633BD0C">
              <w:rPr>
                <w:color w:val="333333"/>
                <w:sz w:val="20"/>
                <w:szCs w:val="20"/>
              </w:rPr>
              <w:t xml:space="preserve">Especialista en </w:t>
            </w:r>
            <w:r w:rsidR="06A071ED" w:rsidRPr="2633BD0C">
              <w:rPr>
                <w:color w:val="333333"/>
                <w:sz w:val="20"/>
                <w:szCs w:val="20"/>
              </w:rPr>
              <w:t>Ingresos</w:t>
            </w:r>
            <w:r w:rsidRPr="2633BD0C">
              <w:rPr>
                <w:color w:val="333333"/>
                <w:sz w:val="20"/>
                <w:szCs w:val="20"/>
              </w:rPr>
              <w:t xml:space="preserve"> del CMSC </w:t>
            </w:r>
          </w:p>
        </w:tc>
        <w:tc>
          <w:tcPr>
            <w:tcW w:w="1025" w:type="dxa"/>
            <w:vAlign w:val="center"/>
          </w:tcPr>
          <w:p w14:paraId="5D05AEA2" w14:textId="1A3E2967" w:rsidR="00830DA9" w:rsidRPr="0038481C" w:rsidRDefault="00830DA9" w:rsidP="00830DA9">
            <w:pPr>
              <w:spacing w:after="160" w:line="259" w:lineRule="auto"/>
              <w:ind w:left="0" w:right="0" w:firstLine="0"/>
              <w:jc w:val="center"/>
            </w:pPr>
            <w:r>
              <w:rPr>
                <w:color w:val="333333"/>
                <w:sz w:val="20"/>
              </w:rPr>
              <w:t xml:space="preserve">Gerente del CMSC </w:t>
            </w:r>
          </w:p>
        </w:tc>
      </w:tr>
      <w:tr w:rsidR="00830DA9" w:rsidRPr="0038481C" w14:paraId="5D05AEC2" w14:textId="77777777" w:rsidTr="2633BD0C">
        <w:trPr>
          <w:trHeight w:val="144"/>
        </w:trPr>
        <w:tc>
          <w:tcPr>
            <w:tcW w:w="2406" w:type="dxa"/>
            <w:vAlign w:val="center"/>
          </w:tcPr>
          <w:p w14:paraId="5D05AEB9" w14:textId="3222D309" w:rsidR="001C7B5F" w:rsidRPr="0038481C" w:rsidRDefault="00574249" w:rsidP="00830DA9">
            <w:pPr>
              <w:spacing w:after="160" w:line="259" w:lineRule="auto"/>
              <w:ind w:left="0" w:right="0" w:firstLine="0"/>
              <w:jc w:val="left"/>
            </w:pPr>
            <w:r>
              <w:rPr>
                <w:color w:val="333333"/>
                <w:sz w:val="20"/>
              </w:rPr>
              <w:t>Negociar acuerdos/enmiendas</w:t>
            </w:r>
          </w:p>
        </w:tc>
        <w:tc>
          <w:tcPr>
            <w:tcW w:w="1181" w:type="dxa"/>
            <w:vAlign w:val="center"/>
          </w:tcPr>
          <w:p w14:paraId="5D05AEBA" w14:textId="7D06D1A3" w:rsidR="001C7B5F" w:rsidRPr="0038481C" w:rsidRDefault="00574249" w:rsidP="00830DA9">
            <w:pPr>
              <w:spacing w:after="160" w:line="259" w:lineRule="auto"/>
              <w:ind w:left="0" w:right="0" w:firstLine="0"/>
              <w:jc w:val="center"/>
            </w:pPr>
            <w:r>
              <w:rPr>
                <w:color w:val="333333"/>
                <w:sz w:val="20"/>
              </w:rPr>
              <w:t>√</w:t>
            </w:r>
          </w:p>
        </w:tc>
        <w:tc>
          <w:tcPr>
            <w:tcW w:w="953" w:type="dxa"/>
            <w:vAlign w:val="center"/>
          </w:tcPr>
          <w:p w14:paraId="5D05AEBB" w14:textId="09A56476" w:rsidR="001C7B5F" w:rsidRPr="0038481C" w:rsidRDefault="00574249" w:rsidP="00830DA9">
            <w:pPr>
              <w:spacing w:after="160" w:line="259" w:lineRule="auto"/>
              <w:ind w:left="0" w:right="0" w:firstLine="0"/>
              <w:jc w:val="center"/>
            </w:pPr>
            <w:r>
              <w:rPr>
                <w:color w:val="333333"/>
                <w:sz w:val="20"/>
              </w:rPr>
              <w:t>√</w:t>
            </w:r>
          </w:p>
        </w:tc>
        <w:tc>
          <w:tcPr>
            <w:tcW w:w="924" w:type="dxa"/>
            <w:vAlign w:val="center"/>
          </w:tcPr>
          <w:p w14:paraId="5D05AEBC" w14:textId="290BBB4A" w:rsidR="001C7B5F" w:rsidRPr="0038481C" w:rsidRDefault="001C7B5F" w:rsidP="00830DA9">
            <w:pPr>
              <w:spacing w:after="160" w:line="259" w:lineRule="auto"/>
              <w:ind w:left="0" w:right="0" w:firstLine="0"/>
              <w:jc w:val="center"/>
              <w:rPr>
                <w:lang w:val="en-GB"/>
              </w:rPr>
            </w:pPr>
          </w:p>
        </w:tc>
        <w:tc>
          <w:tcPr>
            <w:tcW w:w="988" w:type="dxa"/>
            <w:vAlign w:val="center"/>
          </w:tcPr>
          <w:p w14:paraId="5D05AEBD" w14:textId="421CD71B" w:rsidR="001C7B5F" w:rsidRPr="0038481C" w:rsidRDefault="001C7B5F" w:rsidP="00830DA9">
            <w:pPr>
              <w:spacing w:after="160" w:line="259" w:lineRule="auto"/>
              <w:ind w:left="0" w:right="0" w:firstLine="0"/>
              <w:jc w:val="center"/>
              <w:rPr>
                <w:lang w:val="en-GB"/>
              </w:rPr>
            </w:pPr>
          </w:p>
        </w:tc>
        <w:tc>
          <w:tcPr>
            <w:tcW w:w="988" w:type="dxa"/>
            <w:vAlign w:val="center"/>
          </w:tcPr>
          <w:p w14:paraId="5D05AEBE" w14:textId="6774FCC0" w:rsidR="001C7B5F" w:rsidRPr="0038481C" w:rsidRDefault="001C7B5F" w:rsidP="00830DA9">
            <w:pPr>
              <w:spacing w:after="160" w:line="259" w:lineRule="auto"/>
              <w:ind w:left="0" w:right="0" w:firstLine="0"/>
              <w:jc w:val="center"/>
              <w:rPr>
                <w:lang w:val="en-GB"/>
              </w:rPr>
            </w:pPr>
          </w:p>
        </w:tc>
        <w:tc>
          <w:tcPr>
            <w:tcW w:w="1340" w:type="dxa"/>
            <w:vAlign w:val="center"/>
          </w:tcPr>
          <w:p w14:paraId="5D05AEBF" w14:textId="0E1138B4" w:rsidR="001C7B5F" w:rsidRPr="0038481C" w:rsidRDefault="001C7B5F" w:rsidP="00830DA9">
            <w:pPr>
              <w:spacing w:after="160" w:line="259" w:lineRule="auto"/>
              <w:ind w:left="0" w:right="0" w:firstLine="0"/>
              <w:jc w:val="center"/>
              <w:rPr>
                <w:lang w:val="en-GB"/>
              </w:rPr>
            </w:pPr>
          </w:p>
        </w:tc>
        <w:tc>
          <w:tcPr>
            <w:tcW w:w="1032" w:type="dxa"/>
            <w:vAlign w:val="center"/>
          </w:tcPr>
          <w:p w14:paraId="5D05AEC0" w14:textId="45B91AE5" w:rsidR="001C7B5F" w:rsidRPr="0038481C" w:rsidRDefault="001C7B5F" w:rsidP="00830DA9">
            <w:pPr>
              <w:spacing w:after="160" w:line="259" w:lineRule="auto"/>
              <w:ind w:left="0" w:right="0" w:firstLine="0"/>
              <w:jc w:val="center"/>
              <w:rPr>
                <w:lang w:val="en-GB"/>
              </w:rPr>
            </w:pPr>
          </w:p>
        </w:tc>
        <w:tc>
          <w:tcPr>
            <w:tcW w:w="1025" w:type="dxa"/>
            <w:vAlign w:val="center"/>
          </w:tcPr>
          <w:p w14:paraId="5D05AEC1" w14:textId="6949A44C" w:rsidR="001C7B5F" w:rsidRPr="0038481C" w:rsidRDefault="001C7B5F" w:rsidP="00830DA9">
            <w:pPr>
              <w:spacing w:after="160" w:line="259" w:lineRule="auto"/>
              <w:ind w:left="0" w:right="0" w:firstLine="0"/>
              <w:jc w:val="center"/>
              <w:rPr>
                <w:lang w:val="en-GB"/>
              </w:rPr>
            </w:pPr>
          </w:p>
        </w:tc>
      </w:tr>
      <w:tr w:rsidR="00830DA9" w:rsidRPr="0038481C" w14:paraId="5D05AECC" w14:textId="77777777" w:rsidTr="2633BD0C">
        <w:trPr>
          <w:trHeight w:val="144"/>
        </w:trPr>
        <w:tc>
          <w:tcPr>
            <w:tcW w:w="2406" w:type="dxa"/>
            <w:vAlign w:val="center"/>
          </w:tcPr>
          <w:p w14:paraId="5D05AEC3" w14:textId="4930E109" w:rsidR="001C7B5F" w:rsidRPr="0038481C" w:rsidRDefault="00574249" w:rsidP="00830DA9">
            <w:pPr>
              <w:spacing w:after="160" w:line="259" w:lineRule="auto"/>
              <w:ind w:left="0" w:right="0" w:firstLine="0"/>
              <w:jc w:val="left"/>
            </w:pPr>
            <w:r>
              <w:rPr>
                <w:color w:val="333333"/>
                <w:sz w:val="20"/>
              </w:rPr>
              <w:t>Aprobar acuerdos/enmiendas no estándares</w:t>
            </w:r>
          </w:p>
        </w:tc>
        <w:tc>
          <w:tcPr>
            <w:tcW w:w="1181" w:type="dxa"/>
            <w:vAlign w:val="center"/>
          </w:tcPr>
          <w:p w14:paraId="5D05AEC4" w14:textId="77777777" w:rsidR="001C7B5F" w:rsidRPr="005D0C34" w:rsidRDefault="001C7B5F" w:rsidP="00830DA9">
            <w:pPr>
              <w:spacing w:after="160" w:line="259" w:lineRule="auto"/>
              <w:ind w:left="0" w:right="0" w:firstLine="0"/>
              <w:jc w:val="center"/>
              <w:rPr>
                <w:lang w:val="es-AR"/>
              </w:rPr>
            </w:pPr>
          </w:p>
        </w:tc>
        <w:tc>
          <w:tcPr>
            <w:tcW w:w="953" w:type="dxa"/>
            <w:vAlign w:val="center"/>
          </w:tcPr>
          <w:p w14:paraId="5D05AEC5" w14:textId="77777777" w:rsidR="001C7B5F" w:rsidRPr="005D0C34" w:rsidRDefault="001C7B5F" w:rsidP="00830DA9">
            <w:pPr>
              <w:spacing w:after="160" w:line="259" w:lineRule="auto"/>
              <w:ind w:left="0" w:right="0" w:firstLine="0"/>
              <w:jc w:val="center"/>
              <w:rPr>
                <w:lang w:val="es-AR"/>
              </w:rPr>
            </w:pPr>
          </w:p>
        </w:tc>
        <w:tc>
          <w:tcPr>
            <w:tcW w:w="924" w:type="dxa"/>
            <w:vAlign w:val="center"/>
          </w:tcPr>
          <w:p w14:paraId="5D05AEC6" w14:textId="7335DF8C" w:rsidR="001C7B5F" w:rsidRPr="0038481C" w:rsidRDefault="00574249" w:rsidP="00830DA9">
            <w:pPr>
              <w:spacing w:after="160" w:line="259" w:lineRule="auto"/>
              <w:ind w:left="0" w:right="0" w:firstLine="0"/>
              <w:jc w:val="center"/>
            </w:pPr>
            <w:r>
              <w:rPr>
                <w:color w:val="333333"/>
                <w:sz w:val="20"/>
              </w:rPr>
              <w:t>√</w:t>
            </w:r>
          </w:p>
        </w:tc>
        <w:tc>
          <w:tcPr>
            <w:tcW w:w="988" w:type="dxa"/>
            <w:vAlign w:val="center"/>
          </w:tcPr>
          <w:p w14:paraId="5D05AEC7"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C8"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EC9"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ECA"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ECB" w14:textId="77777777" w:rsidR="001C7B5F" w:rsidRPr="0038481C" w:rsidRDefault="001C7B5F" w:rsidP="00830DA9">
            <w:pPr>
              <w:spacing w:after="160" w:line="259" w:lineRule="auto"/>
              <w:ind w:left="0" w:right="0" w:firstLine="0"/>
              <w:jc w:val="center"/>
              <w:rPr>
                <w:lang w:val="en-GB"/>
              </w:rPr>
            </w:pPr>
          </w:p>
        </w:tc>
      </w:tr>
      <w:tr w:rsidR="00830DA9" w:rsidRPr="0038481C" w14:paraId="5D05AED6" w14:textId="77777777" w:rsidTr="2633BD0C">
        <w:trPr>
          <w:trHeight w:val="144"/>
        </w:trPr>
        <w:tc>
          <w:tcPr>
            <w:tcW w:w="2406" w:type="dxa"/>
            <w:vAlign w:val="center"/>
          </w:tcPr>
          <w:p w14:paraId="5D05AECD" w14:textId="74CDF06C" w:rsidR="001C7B5F" w:rsidRPr="0038481C" w:rsidRDefault="00574249" w:rsidP="00830DA9">
            <w:pPr>
              <w:spacing w:after="160" w:line="259" w:lineRule="auto"/>
              <w:ind w:left="0" w:right="0" w:firstLine="0"/>
              <w:jc w:val="left"/>
            </w:pPr>
            <w:r>
              <w:rPr>
                <w:color w:val="333333"/>
                <w:sz w:val="20"/>
              </w:rPr>
              <w:t>Firmar todos los acuerdos/enmiendas</w:t>
            </w:r>
          </w:p>
        </w:tc>
        <w:tc>
          <w:tcPr>
            <w:tcW w:w="1181" w:type="dxa"/>
            <w:vAlign w:val="center"/>
          </w:tcPr>
          <w:p w14:paraId="5D05AECE" w14:textId="77777777" w:rsidR="001C7B5F" w:rsidRPr="005D0C34" w:rsidRDefault="001C7B5F" w:rsidP="00830DA9">
            <w:pPr>
              <w:spacing w:after="160" w:line="259" w:lineRule="auto"/>
              <w:ind w:left="0" w:right="0" w:firstLine="0"/>
              <w:jc w:val="center"/>
              <w:rPr>
                <w:lang w:val="es-AR"/>
              </w:rPr>
            </w:pPr>
          </w:p>
        </w:tc>
        <w:tc>
          <w:tcPr>
            <w:tcW w:w="953" w:type="dxa"/>
            <w:vAlign w:val="center"/>
          </w:tcPr>
          <w:p w14:paraId="5D05AECF" w14:textId="1B8D5519" w:rsidR="001C7B5F" w:rsidRPr="0038481C" w:rsidRDefault="00574249" w:rsidP="00830DA9">
            <w:pPr>
              <w:spacing w:after="160" w:line="259" w:lineRule="auto"/>
              <w:ind w:left="0" w:right="0" w:firstLine="0"/>
              <w:jc w:val="center"/>
            </w:pPr>
            <w:r>
              <w:rPr>
                <w:color w:val="333333"/>
                <w:sz w:val="20"/>
              </w:rPr>
              <w:t>√</w:t>
            </w:r>
          </w:p>
        </w:tc>
        <w:tc>
          <w:tcPr>
            <w:tcW w:w="924" w:type="dxa"/>
            <w:vAlign w:val="center"/>
          </w:tcPr>
          <w:p w14:paraId="5D05AED0"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D1"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D2"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ED3"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ED4"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ED5" w14:textId="77777777" w:rsidR="001C7B5F" w:rsidRPr="0038481C" w:rsidRDefault="001C7B5F" w:rsidP="00830DA9">
            <w:pPr>
              <w:spacing w:after="160" w:line="259" w:lineRule="auto"/>
              <w:ind w:left="0" w:right="0" w:firstLine="0"/>
              <w:jc w:val="center"/>
              <w:rPr>
                <w:lang w:val="en-GB"/>
              </w:rPr>
            </w:pPr>
          </w:p>
        </w:tc>
      </w:tr>
      <w:tr w:rsidR="00830DA9" w:rsidRPr="0038481C" w14:paraId="5D05AEE0" w14:textId="77777777" w:rsidTr="2633BD0C">
        <w:trPr>
          <w:trHeight w:val="144"/>
        </w:trPr>
        <w:tc>
          <w:tcPr>
            <w:tcW w:w="2406" w:type="dxa"/>
            <w:vAlign w:val="center"/>
          </w:tcPr>
          <w:p w14:paraId="5D05AED7" w14:textId="18066F49" w:rsidR="001C7B5F" w:rsidRPr="0038481C" w:rsidRDefault="00574249" w:rsidP="00830DA9">
            <w:pPr>
              <w:spacing w:after="160" w:line="259" w:lineRule="auto"/>
              <w:ind w:left="0" w:right="0" w:firstLine="0"/>
              <w:jc w:val="left"/>
            </w:pPr>
            <w:r>
              <w:rPr>
                <w:color w:val="333333"/>
                <w:sz w:val="20"/>
              </w:rPr>
              <w:t>Crear y finalizar el presupuesto del proyecto</w:t>
            </w:r>
          </w:p>
        </w:tc>
        <w:tc>
          <w:tcPr>
            <w:tcW w:w="1181" w:type="dxa"/>
            <w:vAlign w:val="center"/>
          </w:tcPr>
          <w:p w14:paraId="5D05AED8" w14:textId="49E7F6C5" w:rsidR="001C7B5F" w:rsidRPr="0038481C" w:rsidRDefault="00574249" w:rsidP="00830DA9">
            <w:pPr>
              <w:spacing w:after="160" w:line="259" w:lineRule="auto"/>
              <w:ind w:left="0" w:right="0" w:firstLine="0"/>
              <w:jc w:val="center"/>
            </w:pPr>
            <w:r>
              <w:rPr>
                <w:color w:val="333333"/>
                <w:sz w:val="20"/>
              </w:rPr>
              <w:t>√</w:t>
            </w:r>
          </w:p>
        </w:tc>
        <w:tc>
          <w:tcPr>
            <w:tcW w:w="953" w:type="dxa"/>
            <w:vAlign w:val="center"/>
          </w:tcPr>
          <w:p w14:paraId="5D05AED9"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EDA"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DB" w14:textId="62F2C6B2" w:rsidR="001C7B5F" w:rsidRPr="0038481C" w:rsidRDefault="00574249" w:rsidP="00830DA9">
            <w:pPr>
              <w:spacing w:after="160" w:line="259" w:lineRule="auto"/>
              <w:ind w:left="0" w:right="0" w:firstLine="0"/>
              <w:jc w:val="center"/>
            </w:pPr>
            <w:r>
              <w:rPr>
                <w:color w:val="333333"/>
                <w:sz w:val="20"/>
              </w:rPr>
              <w:t>√</w:t>
            </w:r>
          </w:p>
        </w:tc>
        <w:tc>
          <w:tcPr>
            <w:tcW w:w="988" w:type="dxa"/>
            <w:vAlign w:val="center"/>
          </w:tcPr>
          <w:p w14:paraId="5D05AEDC"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EDD"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EDE"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EDF" w14:textId="77777777" w:rsidR="001C7B5F" w:rsidRPr="0038481C" w:rsidRDefault="001C7B5F" w:rsidP="00830DA9">
            <w:pPr>
              <w:spacing w:after="160" w:line="259" w:lineRule="auto"/>
              <w:ind w:left="0" w:right="0" w:firstLine="0"/>
              <w:jc w:val="center"/>
              <w:rPr>
                <w:lang w:val="en-GB"/>
              </w:rPr>
            </w:pPr>
          </w:p>
        </w:tc>
      </w:tr>
      <w:tr w:rsidR="00830DA9" w:rsidRPr="0038481C" w14:paraId="5D05AEEB" w14:textId="77777777" w:rsidTr="2633BD0C">
        <w:trPr>
          <w:trHeight w:val="144"/>
        </w:trPr>
        <w:tc>
          <w:tcPr>
            <w:tcW w:w="2406" w:type="dxa"/>
            <w:vAlign w:val="center"/>
          </w:tcPr>
          <w:p w14:paraId="5D05AEE2" w14:textId="7A3C2F2A" w:rsidR="001C7B5F" w:rsidRPr="0038481C" w:rsidRDefault="00830DA9" w:rsidP="00830DA9">
            <w:pPr>
              <w:spacing w:after="160" w:line="259" w:lineRule="auto"/>
              <w:ind w:left="0" w:right="0" w:firstLine="0"/>
              <w:jc w:val="left"/>
            </w:pPr>
            <w:r>
              <w:rPr>
                <w:color w:val="333333"/>
                <w:sz w:val="20"/>
              </w:rPr>
              <w:t>Cargar las enmiendas y los acuerdos firmados en el CMSC</w:t>
            </w:r>
          </w:p>
        </w:tc>
        <w:tc>
          <w:tcPr>
            <w:tcW w:w="1181" w:type="dxa"/>
            <w:vAlign w:val="center"/>
          </w:tcPr>
          <w:p w14:paraId="5D05AEE3" w14:textId="77777777" w:rsidR="001C7B5F" w:rsidRPr="005D0C34" w:rsidRDefault="001C7B5F" w:rsidP="00830DA9">
            <w:pPr>
              <w:spacing w:after="160" w:line="259" w:lineRule="auto"/>
              <w:ind w:left="0" w:right="0" w:firstLine="0"/>
              <w:jc w:val="center"/>
              <w:rPr>
                <w:lang w:val="es-AR"/>
              </w:rPr>
            </w:pPr>
          </w:p>
        </w:tc>
        <w:tc>
          <w:tcPr>
            <w:tcW w:w="953" w:type="dxa"/>
            <w:vAlign w:val="center"/>
          </w:tcPr>
          <w:p w14:paraId="5D05AEE4" w14:textId="77777777" w:rsidR="001C7B5F" w:rsidRPr="005D0C34" w:rsidRDefault="001C7B5F" w:rsidP="00830DA9">
            <w:pPr>
              <w:spacing w:after="160" w:line="259" w:lineRule="auto"/>
              <w:ind w:left="0" w:right="0" w:firstLine="0"/>
              <w:jc w:val="center"/>
              <w:rPr>
                <w:lang w:val="es-AR"/>
              </w:rPr>
            </w:pPr>
          </w:p>
        </w:tc>
        <w:tc>
          <w:tcPr>
            <w:tcW w:w="924" w:type="dxa"/>
            <w:vAlign w:val="center"/>
          </w:tcPr>
          <w:p w14:paraId="5D05AEE5"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EE6" w14:textId="7E9307C5" w:rsidR="001C7B5F" w:rsidRPr="0038481C" w:rsidRDefault="00574249" w:rsidP="00830DA9">
            <w:pPr>
              <w:spacing w:after="160" w:line="259" w:lineRule="auto"/>
              <w:ind w:left="0" w:right="0" w:firstLine="0"/>
              <w:jc w:val="center"/>
            </w:pPr>
            <w:r>
              <w:rPr>
                <w:color w:val="333333"/>
                <w:sz w:val="20"/>
              </w:rPr>
              <w:t>√</w:t>
            </w:r>
          </w:p>
        </w:tc>
        <w:tc>
          <w:tcPr>
            <w:tcW w:w="988" w:type="dxa"/>
            <w:vAlign w:val="center"/>
          </w:tcPr>
          <w:p w14:paraId="5D05AEE7"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EE8"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EE9"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EEA" w14:textId="77777777" w:rsidR="001C7B5F" w:rsidRPr="0038481C" w:rsidRDefault="001C7B5F" w:rsidP="00830DA9">
            <w:pPr>
              <w:spacing w:after="160" w:line="259" w:lineRule="auto"/>
              <w:ind w:left="0" w:right="0" w:firstLine="0"/>
              <w:jc w:val="center"/>
              <w:rPr>
                <w:lang w:val="en-GB"/>
              </w:rPr>
            </w:pPr>
          </w:p>
        </w:tc>
      </w:tr>
      <w:tr w:rsidR="00830DA9" w:rsidRPr="0038481C" w14:paraId="5D05AEF6" w14:textId="77777777" w:rsidTr="2633BD0C">
        <w:trPr>
          <w:trHeight w:val="144"/>
        </w:trPr>
        <w:tc>
          <w:tcPr>
            <w:tcW w:w="2406" w:type="dxa"/>
            <w:vAlign w:val="center"/>
          </w:tcPr>
          <w:p w14:paraId="5D05AEEC" w14:textId="699E1A5B" w:rsidR="001C7B5F" w:rsidRPr="0038481C" w:rsidRDefault="00574249" w:rsidP="00830DA9">
            <w:pPr>
              <w:spacing w:after="160" w:line="242" w:lineRule="auto"/>
              <w:ind w:left="0" w:right="0" w:firstLine="0"/>
              <w:jc w:val="left"/>
            </w:pPr>
            <w:r>
              <w:rPr>
                <w:color w:val="333333"/>
                <w:sz w:val="20"/>
              </w:rPr>
              <w:t xml:space="preserve">Ingresar el acuerdo en el módulo de </w:t>
            </w:r>
            <w:r>
              <w:rPr>
                <w:color w:val="333333"/>
                <w:sz w:val="20"/>
              </w:rPr>
              <w:lastRenderedPageBreak/>
              <w:t>contratos/procesar las enmiendas y configurar</w:t>
            </w:r>
          </w:p>
          <w:p w14:paraId="5D05AEED" w14:textId="716616C2" w:rsidR="001C7B5F" w:rsidRPr="0038481C" w:rsidRDefault="00574249" w:rsidP="00830DA9">
            <w:pPr>
              <w:spacing w:after="160" w:line="259" w:lineRule="auto"/>
              <w:ind w:left="0" w:right="0" w:firstLine="0"/>
              <w:jc w:val="left"/>
            </w:pPr>
            <w:r>
              <w:rPr>
                <w:color w:val="333333"/>
                <w:sz w:val="20"/>
              </w:rPr>
              <w:t xml:space="preserve">el acuerdo como listo </w:t>
            </w:r>
          </w:p>
        </w:tc>
        <w:tc>
          <w:tcPr>
            <w:tcW w:w="1181" w:type="dxa"/>
            <w:vAlign w:val="center"/>
          </w:tcPr>
          <w:p w14:paraId="5D05AEEE" w14:textId="77777777" w:rsidR="001C7B5F" w:rsidRPr="0038481C" w:rsidRDefault="001C7B5F" w:rsidP="00830DA9">
            <w:pPr>
              <w:spacing w:after="160" w:line="259" w:lineRule="auto"/>
              <w:ind w:left="0" w:right="0" w:firstLine="0"/>
              <w:jc w:val="center"/>
              <w:rPr>
                <w:lang w:val="en-GB"/>
              </w:rPr>
            </w:pPr>
          </w:p>
        </w:tc>
        <w:tc>
          <w:tcPr>
            <w:tcW w:w="953" w:type="dxa"/>
            <w:vAlign w:val="center"/>
          </w:tcPr>
          <w:p w14:paraId="5D05AEEF"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EF0"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F1"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EF2"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EF3"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EF4" w14:textId="7483FA6C" w:rsidR="001C7B5F" w:rsidRPr="0038481C" w:rsidRDefault="00574249" w:rsidP="00830DA9">
            <w:pPr>
              <w:spacing w:after="160" w:line="259" w:lineRule="auto"/>
              <w:ind w:left="0" w:right="0" w:firstLine="0"/>
              <w:jc w:val="center"/>
            </w:pPr>
            <w:r>
              <w:rPr>
                <w:color w:val="333333"/>
                <w:sz w:val="20"/>
              </w:rPr>
              <w:t>√</w:t>
            </w:r>
          </w:p>
        </w:tc>
        <w:tc>
          <w:tcPr>
            <w:tcW w:w="1025" w:type="dxa"/>
            <w:vAlign w:val="center"/>
          </w:tcPr>
          <w:p w14:paraId="5D05AEF5" w14:textId="77777777" w:rsidR="001C7B5F" w:rsidRPr="0038481C" w:rsidRDefault="001C7B5F" w:rsidP="00830DA9">
            <w:pPr>
              <w:spacing w:after="160" w:line="259" w:lineRule="auto"/>
              <w:ind w:left="0" w:right="0" w:firstLine="0"/>
              <w:jc w:val="center"/>
              <w:rPr>
                <w:lang w:val="en-GB"/>
              </w:rPr>
            </w:pPr>
          </w:p>
        </w:tc>
      </w:tr>
      <w:tr w:rsidR="00830DA9" w:rsidRPr="0038481C" w14:paraId="5D05AF00" w14:textId="77777777" w:rsidTr="2633BD0C">
        <w:trPr>
          <w:trHeight w:val="144"/>
        </w:trPr>
        <w:tc>
          <w:tcPr>
            <w:tcW w:w="2406" w:type="dxa"/>
            <w:vAlign w:val="center"/>
          </w:tcPr>
          <w:p w14:paraId="5D05AEF7" w14:textId="062AFB72" w:rsidR="001C7B5F" w:rsidRPr="0038481C" w:rsidRDefault="00574249" w:rsidP="00830DA9">
            <w:pPr>
              <w:spacing w:after="160" w:line="259" w:lineRule="auto"/>
              <w:ind w:left="0" w:right="0" w:firstLine="0"/>
              <w:jc w:val="left"/>
            </w:pPr>
            <w:r>
              <w:rPr>
                <w:color w:val="333333"/>
                <w:sz w:val="20"/>
              </w:rPr>
              <w:t>Configurar el contrato como activo (aprobación del contrato)</w:t>
            </w:r>
          </w:p>
        </w:tc>
        <w:tc>
          <w:tcPr>
            <w:tcW w:w="1181" w:type="dxa"/>
            <w:vAlign w:val="center"/>
          </w:tcPr>
          <w:p w14:paraId="5D05AEF8" w14:textId="77777777" w:rsidR="001C7B5F" w:rsidRPr="005D0C34" w:rsidRDefault="001C7B5F" w:rsidP="00830DA9">
            <w:pPr>
              <w:spacing w:after="160" w:line="259" w:lineRule="auto"/>
              <w:ind w:left="0" w:right="0" w:firstLine="0"/>
              <w:jc w:val="center"/>
              <w:rPr>
                <w:lang w:val="es-AR"/>
              </w:rPr>
            </w:pPr>
          </w:p>
        </w:tc>
        <w:tc>
          <w:tcPr>
            <w:tcW w:w="953" w:type="dxa"/>
            <w:vAlign w:val="center"/>
          </w:tcPr>
          <w:p w14:paraId="5D05AEF9" w14:textId="77777777" w:rsidR="001C7B5F" w:rsidRPr="005D0C34" w:rsidRDefault="001C7B5F" w:rsidP="00830DA9">
            <w:pPr>
              <w:spacing w:after="160" w:line="259" w:lineRule="auto"/>
              <w:ind w:left="0" w:right="0" w:firstLine="0"/>
              <w:jc w:val="center"/>
              <w:rPr>
                <w:lang w:val="es-AR"/>
              </w:rPr>
            </w:pPr>
          </w:p>
        </w:tc>
        <w:tc>
          <w:tcPr>
            <w:tcW w:w="924" w:type="dxa"/>
            <w:vAlign w:val="center"/>
          </w:tcPr>
          <w:p w14:paraId="5D05AEFA"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EFB"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EFC" w14:textId="77777777" w:rsidR="001C7B5F" w:rsidRPr="005D0C34" w:rsidRDefault="001C7B5F" w:rsidP="00830DA9">
            <w:pPr>
              <w:spacing w:after="160" w:line="259" w:lineRule="auto"/>
              <w:ind w:left="0" w:right="0" w:firstLine="0"/>
              <w:jc w:val="center"/>
              <w:rPr>
                <w:lang w:val="es-AR"/>
              </w:rPr>
            </w:pPr>
          </w:p>
        </w:tc>
        <w:tc>
          <w:tcPr>
            <w:tcW w:w="1340" w:type="dxa"/>
            <w:vAlign w:val="center"/>
          </w:tcPr>
          <w:p w14:paraId="5D05AEFD" w14:textId="77777777" w:rsidR="001C7B5F" w:rsidRPr="005D0C34" w:rsidRDefault="001C7B5F" w:rsidP="00830DA9">
            <w:pPr>
              <w:spacing w:after="160" w:line="259" w:lineRule="auto"/>
              <w:ind w:left="0" w:right="0" w:firstLine="0"/>
              <w:jc w:val="center"/>
              <w:rPr>
                <w:lang w:val="es-AR"/>
              </w:rPr>
            </w:pPr>
          </w:p>
        </w:tc>
        <w:tc>
          <w:tcPr>
            <w:tcW w:w="1032" w:type="dxa"/>
            <w:vAlign w:val="center"/>
          </w:tcPr>
          <w:p w14:paraId="5D05AEFE" w14:textId="77777777" w:rsidR="001C7B5F" w:rsidRPr="005D0C34" w:rsidRDefault="001C7B5F" w:rsidP="00830DA9">
            <w:pPr>
              <w:spacing w:after="160" w:line="259" w:lineRule="auto"/>
              <w:ind w:left="0" w:right="0" w:firstLine="0"/>
              <w:jc w:val="center"/>
              <w:rPr>
                <w:lang w:val="es-AR"/>
              </w:rPr>
            </w:pPr>
          </w:p>
        </w:tc>
        <w:tc>
          <w:tcPr>
            <w:tcW w:w="1025" w:type="dxa"/>
            <w:vAlign w:val="center"/>
          </w:tcPr>
          <w:p w14:paraId="5D05AEFF" w14:textId="39FD01C8" w:rsidR="001C7B5F" w:rsidRPr="0038481C" w:rsidRDefault="00574249" w:rsidP="00830DA9">
            <w:pPr>
              <w:spacing w:after="160" w:line="259" w:lineRule="auto"/>
              <w:ind w:left="0" w:right="0" w:firstLine="0"/>
              <w:jc w:val="center"/>
            </w:pPr>
            <w:r>
              <w:rPr>
                <w:color w:val="333333"/>
                <w:sz w:val="20"/>
              </w:rPr>
              <w:t>√</w:t>
            </w:r>
          </w:p>
        </w:tc>
      </w:tr>
      <w:tr w:rsidR="00830DA9" w:rsidRPr="0038481C" w14:paraId="5D05AF0A" w14:textId="77777777" w:rsidTr="2633BD0C">
        <w:trPr>
          <w:trHeight w:val="144"/>
        </w:trPr>
        <w:tc>
          <w:tcPr>
            <w:tcW w:w="2406" w:type="dxa"/>
            <w:vAlign w:val="center"/>
          </w:tcPr>
          <w:p w14:paraId="5D05AF01" w14:textId="3A3A266E" w:rsidR="001C7B5F" w:rsidRPr="0038481C" w:rsidRDefault="00574249" w:rsidP="00830DA9">
            <w:pPr>
              <w:spacing w:after="160" w:line="259" w:lineRule="auto"/>
              <w:ind w:left="0" w:right="0" w:firstLine="0"/>
              <w:jc w:val="left"/>
            </w:pPr>
            <w:r>
              <w:rPr>
                <w:color w:val="333333"/>
                <w:sz w:val="20"/>
              </w:rPr>
              <w:t>Notificar a las unidades de negocio sobre la activación del contrato</w:t>
            </w:r>
          </w:p>
        </w:tc>
        <w:tc>
          <w:tcPr>
            <w:tcW w:w="1181" w:type="dxa"/>
            <w:vAlign w:val="center"/>
          </w:tcPr>
          <w:p w14:paraId="5D05AF02" w14:textId="77777777" w:rsidR="001C7B5F" w:rsidRPr="005D0C34" w:rsidRDefault="001C7B5F" w:rsidP="00830DA9">
            <w:pPr>
              <w:spacing w:after="160" w:line="259" w:lineRule="auto"/>
              <w:ind w:left="0" w:right="0" w:firstLine="0"/>
              <w:jc w:val="center"/>
              <w:rPr>
                <w:lang w:val="es-AR"/>
              </w:rPr>
            </w:pPr>
          </w:p>
        </w:tc>
        <w:tc>
          <w:tcPr>
            <w:tcW w:w="953" w:type="dxa"/>
            <w:vAlign w:val="center"/>
          </w:tcPr>
          <w:p w14:paraId="5D05AF03" w14:textId="77777777" w:rsidR="001C7B5F" w:rsidRPr="005D0C34" w:rsidRDefault="001C7B5F" w:rsidP="00830DA9">
            <w:pPr>
              <w:spacing w:after="160" w:line="259" w:lineRule="auto"/>
              <w:ind w:left="0" w:right="0" w:firstLine="0"/>
              <w:jc w:val="center"/>
              <w:rPr>
                <w:lang w:val="es-AR"/>
              </w:rPr>
            </w:pPr>
          </w:p>
        </w:tc>
        <w:tc>
          <w:tcPr>
            <w:tcW w:w="924" w:type="dxa"/>
            <w:vAlign w:val="center"/>
          </w:tcPr>
          <w:p w14:paraId="5D05AF04"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05"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06" w14:textId="77777777" w:rsidR="001C7B5F" w:rsidRPr="005D0C34" w:rsidRDefault="001C7B5F" w:rsidP="00830DA9">
            <w:pPr>
              <w:spacing w:after="160" w:line="259" w:lineRule="auto"/>
              <w:ind w:left="0" w:right="0" w:firstLine="0"/>
              <w:jc w:val="center"/>
              <w:rPr>
                <w:lang w:val="es-AR"/>
              </w:rPr>
            </w:pPr>
          </w:p>
        </w:tc>
        <w:tc>
          <w:tcPr>
            <w:tcW w:w="1340" w:type="dxa"/>
            <w:vAlign w:val="center"/>
          </w:tcPr>
          <w:p w14:paraId="5D05AF07" w14:textId="77777777" w:rsidR="001C7B5F" w:rsidRPr="005D0C34" w:rsidRDefault="001C7B5F" w:rsidP="00830DA9">
            <w:pPr>
              <w:spacing w:after="160" w:line="259" w:lineRule="auto"/>
              <w:ind w:left="0" w:right="0" w:firstLine="0"/>
              <w:jc w:val="center"/>
              <w:rPr>
                <w:lang w:val="es-AR"/>
              </w:rPr>
            </w:pPr>
          </w:p>
        </w:tc>
        <w:tc>
          <w:tcPr>
            <w:tcW w:w="1032" w:type="dxa"/>
            <w:vAlign w:val="center"/>
          </w:tcPr>
          <w:p w14:paraId="5D05AF08" w14:textId="63E11C75" w:rsidR="001C7B5F" w:rsidRPr="0038481C" w:rsidRDefault="00574249" w:rsidP="00830DA9">
            <w:pPr>
              <w:spacing w:after="160" w:line="259" w:lineRule="auto"/>
              <w:ind w:left="0" w:right="0" w:firstLine="0"/>
              <w:jc w:val="center"/>
            </w:pPr>
            <w:r>
              <w:rPr>
                <w:color w:val="333333"/>
                <w:sz w:val="20"/>
              </w:rPr>
              <w:t>√</w:t>
            </w:r>
          </w:p>
        </w:tc>
        <w:tc>
          <w:tcPr>
            <w:tcW w:w="1025" w:type="dxa"/>
            <w:vAlign w:val="center"/>
          </w:tcPr>
          <w:p w14:paraId="5D05AF09" w14:textId="77777777" w:rsidR="001C7B5F" w:rsidRPr="0038481C" w:rsidRDefault="001C7B5F" w:rsidP="00830DA9">
            <w:pPr>
              <w:spacing w:after="160" w:line="259" w:lineRule="auto"/>
              <w:ind w:left="0" w:right="0" w:firstLine="0"/>
              <w:jc w:val="center"/>
              <w:rPr>
                <w:lang w:val="en-GB"/>
              </w:rPr>
            </w:pPr>
          </w:p>
        </w:tc>
      </w:tr>
      <w:tr w:rsidR="00830DA9" w:rsidRPr="0038481C" w14:paraId="5D05AF14" w14:textId="77777777" w:rsidTr="2633BD0C">
        <w:trPr>
          <w:trHeight w:val="144"/>
        </w:trPr>
        <w:tc>
          <w:tcPr>
            <w:tcW w:w="2406" w:type="dxa"/>
            <w:vAlign w:val="center"/>
          </w:tcPr>
          <w:p w14:paraId="5D05AF0B" w14:textId="4E0D8DD1" w:rsidR="001C7B5F" w:rsidRPr="0038481C" w:rsidRDefault="00574249" w:rsidP="00830DA9">
            <w:pPr>
              <w:spacing w:after="160" w:line="259" w:lineRule="auto"/>
              <w:ind w:left="0" w:right="0" w:firstLine="0"/>
              <w:jc w:val="left"/>
            </w:pPr>
            <w:r>
              <w:rPr>
                <w:color w:val="333333"/>
                <w:sz w:val="20"/>
              </w:rPr>
              <w:t>Registrar las contribuciones recibidas en la cuenta bancaria</w:t>
            </w:r>
          </w:p>
        </w:tc>
        <w:tc>
          <w:tcPr>
            <w:tcW w:w="1181" w:type="dxa"/>
            <w:vAlign w:val="center"/>
          </w:tcPr>
          <w:p w14:paraId="5D05AF0C" w14:textId="77777777" w:rsidR="001C7B5F" w:rsidRPr="005D0C34" w:rsidRDefault="001C7B5F" w:rsidP="00830DA9">
            <w:pPr>
              <w:spacing w:after="160" w:line="259" w:lineRule="auto"/>
              <w:ind w:left="0" w:right="0" w:firstLine="0"/>
              <w:jc w:val="center"/>
              <w:rPr>
                <w:lang w:val="es-AR"/>
              </w:rPr>
            </w:pPr>
          </w:p>
        </w:tc>
        <w:tc>
          <w:tcPr>
            <w:tcW w:w="953" w:type="dxa"/>
            <w:vAlign w:val="center"/>
          </w:tcPr>
          <w:p w14:paraId="5D05AF0D" w14:textId="77777777" w:rsidR="001C7B5F" w:rsidRPr="005D0C34" w:rsidRDefault="001C7B5F" w:rsidP="00830DA9">
            <w:pPr>
              <w:spacing w:after="160" w:line="259" w:lineRule="auto"/>
              <w:ind w:left="0" w:right="0" w:firstLine="0"/>
              <w:jc w:val="center"/>
              <w:rPr>
                <w:lang w:val="es-AR"/>
              </w:rPr>
            </w:pPr>
          </w:p>
        </w:tc>
        <w:tc>
          <w:tcPr>
            <w:tcW w:w="924" w:type="dxa"/>
            <w:vAlign w:val="center"/>
          </w:tcPr>
          <w:p w14:paraId="5D05AF0E"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0F"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10" w14:textId="7906788B" w:rsidR="001C7B5F" w:rsidRPr="0038481C" w:rsidRDefault="00574249" w:rsidP="00830DA9">
            <w:pPr>
              <w:spacing w:after="160" w:line="259" w:lineRule="auto"/>
              <w:ind w:left="0" w:right="0" w:firstLine="0"/>
              <w:jc w:val="center"/>
            </w:pPr>
            <w:r>
              <w:rPr>
                <w:color w:val="333333"/>
                <w:sz w:val="20"/>
              </w:rPr>
              <w:t>√</w:t>
            </w:r>
          </w:p>
        </w:tc>
        <w:tc>
          <w:tcPr>
            <w:tcW w:w="1340" w:type="dxa"/>
            <w:vAlign w:val="center"/>
          </w:tcPr>
          <w:p w14:paraId="5D05AF11" w14:textId="084B62BD" w:rsidR="001C7B5F" w:rsidRPr="0038481C" w:rsidRDefault="00574249" w:rsidP="00830DA9">
            <w:pPr>
              <w:spacing w:after="160" w:line="259" w:lineRule="auto"/>
              <w:ind w:left="0" w:right="0" w:firstLine="0"/>
              <w:jc w:val="center"/>
            </w:pPr>
            <w:r>
              <w:rPr>
                <w:color w:val="333333"/>
                <w:sz w:val="20"/>
              </w:rPr>
              <w:t>√</w:t>
            </w:r>
          </w:p>
        </w:tc>
        <w:tc>
          <w:tcPr>
            <w:tcW w:w="1032" w:type="dxa"/>
            <w:vAlign w:val="center"/>
          </w:tcPr>
          <w:p w14:paraId="5D05AF12" w14:textId="4F17920C" w:rsidR="001C7B5F" w:rsidRPr="0038481C" w:rsidRDefault="00574249" w:rsidP="00830DA9">
            <w:pPr>
              <w:spacing w:after="160" w:line="259" w:lineRule="auto"/>
              <w:ind w:left="0" w:right="0" w:firstLine="0"/>
              <w:jc w:val="center"/>
            </w:pPr>
            <w:r>
              <w:rPr>
                <w:color w:val="333333"/>
                <w:sz w:val="20"/>
              </w:rPr>
              <w:t>√</w:t>
            </w:r>
          </w:p>
        </w:tc>
        <w:tc>
          <w:tcPr>
            <w:tcW w:w="1025" w:type="dxa"/>
            <w:vAlign w:val="center"/>
          </w:tcPr>
          <w:p w14:paraId="5D05AF13" w14:textId="77777777" w:rsidR="001C7B5F" w:rsidRPr="0038481C" w:rsidRDefault="001C7B5F" w:rsidP="00830DA9">
            <w:pPr>
              <w:spacing w:after="160" w:line="259" w:lineRule="auto"/>
              <w:ind w:left="0" w:right="0" w:firstLine="0"/>
              <w:jc w:val="center"/>
              <w:rPr>
                <w:lang w:val="en-GB"/>
              </w:rPr>
            </w:pPr>
          </w:p>
        </w:tc>
      </w:tr>
      <w:tr w:rsidR="00830DA9" w:rsidRPr="0038481C" w14:paraId="5D05AF1E" w14:textId="77777777" w:rsidTr="2633BD0C">
        <w:trPr>
          <w:trHeight w:val="144"/>
        </w:trPr>
        <w:tc>
          <w:tcPr>
            <w:tcW w:w="2406" w:type="dxa"/>
            <w:vAlign w:val="center"/>
          </w:tcPr>
          <w:p w14:paraId="5D05AF15" w14:textId="564AC8B3" w:rsidR="001C7B5F" w:rsidRPr="0038481C" w:rsidRDefault="00574249" w:rsidP="00830DA9">
            <w:pPr>
              <w:spacing w:after="160" w:line="259" w:lineRule="auto"/>
              <w:ind w:left="0" w:right="0" w:firstLine="0"/>
              <w:jc w:val="left"/>
            </w:pPr>
            <w:r>
              <w:rPr>
                <w:color w:val="333333"/>
                <w:sz w:val="20"/>
              </w:rPr>
              <w:t>Marcar la etapa como completa (generar asientos del libro mayor)</w:t>
            </w:r>
          </w:p>
        </w:tc>
        <w:tc>
          <w:tcPr>
            <w:tcW w:w="1181" w:type="dxa"/>
            <w:vAlign w:val="center"/>
          </w:tcPr>
          <w:p w14:paraId="5D05AF16" w14:textId="77777777" w:rsidR="001C7B5F" w:rsidRPr="005D0C34" w:rsidRDefault="001C7B5F" w:rsidP="00830DA9">
            <w:pPr>
              <w:spacing w:after="160" w:line="259" w:lineRule="auto"/>
              <w:ind w:left="0" w:right="0" w:firstLine="0"/>
              <w:jc w:val="center"/>
              <w:rPr>
                <w:lang w:val="es-AR"/>
              </w:rPr>
            </w:pPr>
          </w:p>
        </w:tc>
        <w:tc>
          <w:tcPr>
            <w:tcW w:w="953" w:type="dxa"/>
            <w:vAlign w:val="center"/>
          </w:tcPr>
          <w:p w14:paraId="5D05AF17" w14:textId="77777777" w:rsidR="001C7B5F" w:rsidRPr="005D0C34" w:rsidRDefault="001C7B5F" w:rsidP="00830DA9">
            <w:pPr>
              <w:spacing w:after="160" w:line="259" w:lineRule="auto"/>
              <w:ind w:left="0" w:right="0" w:firstLine="0"/>
              <w:jc w:val="center"/>
              <w:rPr>
                <w:lang w:val="es-AR"/>
              </w:rPr>
            </w:pPr>
          </w:p>
        </w:tc>
        <w:tc>
          <w:tcPr>
            <w:tcW w:w="924" w:type="dxa"/>
            <w:vAlign w:val="center"/>
          </w:tcPr>
          <w:p w14:paraId="5D05AF18"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19"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1A" w14:textId="77777777" w:rsidR="001C7B5F" w:rsidRPr="005D0C34" w:rsidRDefault="001C7B5F" w:rsidP="00830DA9">
            <w:pPr>
              <w:spacing w:after="160" w:line="259" w:lineRule="auto"/>
              <w:ind w:left="0" w:right="0" w:firstLine="0"/>
              <w:jc w:val="center"/>
              <w:rPr>
                <w:lang w:val="es-AR"/>
              </w:rPr>
            </w:pPr>
          </w:p>
        </w:tc>
        <w:tc>
          <w:tcPr>
            <w:tcW w:w="1340" w:type="dxa"/>
            <w:vAlign w:val="center"/>
          </w:tcPr>
          <w:p w14:paraId="5D05AF1B" w14:textId="0E025BEA" w:rsidR="001C7B5F" w:rsidRPr="0038481C" w:rsidRDefault="00574249" w:rsidP="00830DA9">
            <w:pPr>
              <w:spacing w:after="160" w:line="259" w:lineRule="auto"/>
              <w:ind w:left="0" w:right="0" w:firstLine="0"/>
              <w:jc w:val="center"/>
            </w:pPr>
            <w:r>
              <w:rPr>
                <w:color w:val="333333"/>
                <w:sz w:val="20"/>
              </w:rPr>
              <w:t>√</w:t>
            </w:r>
          </w:p>
        </w:tc>
        <w:tc>
          <w:tcPr>
            <w:tcW w:w="1032" w:type="dxa"/>
            <w:vAlign w:val="center"/>
          </w:tcPr>
          <w:p w14:paraId="5D05AF1C"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1D" w14:textId="0B8CCE2B" w:rsidR="001C7B5F" w:rsidRPr="0038481C" w:rsidRDefault="00574249" w:rsidP="00830DA9">
            <w:pPr>
              <w:spacing w:after="160" w:line="259" w:lineRule="auto"/>
              <w:ind w:left="0" w:right="0" w:firstLine="0"/>
              <w:jc w:val="center"/>
            </w:pPr>
            <w:r>
              <w:rPr>
                <w:color w:val="333333"/>
                <w:sz w:val="20"/>
              </w:rPr>
              <w:t>√</w:t>
            </w:r>
          </w:p>
        </w:tc>
      </w:tr>
      <w:tr w:rsidR="00830DA9" w:rsidRPr="0038481C" w14:paraId="5D05AF28" w14:textId="77777777" w:rsidTr="2633BD0C">
        <w:trPr>
          <w:trHeight w:val="144"/>
        </w:trPr>
        <w:tc>
          <w:tcPr>
            <w:tcW w:w="2406" w:type="dxa"/>
            <w:vAlign w:val="center"/>
          </w:tcPr>
          <w:p w14:paraId="5D05AF1F" w14:textId="33CDF6E7" w:rsidR="001C7B5F" w:rsidRPr="0038481C" w:rsidRDefault="00574249" w:rsidP="00830DA9">
            <w:pPr>
              <w:spacing w:after="160" w:line="259" w:lineRule="auto"/>
              <w:ind w:left="0" w:right="0" w:firstLine="0"/>
              <w:jc w:val="left"/>
            </w:pPr>
            <w:r>
              <w:rPr>
                <w:color w:val="333333"/>
                <w:sz w:val="20"/>
              </w:rPr>
              <w:t>Aplicar efectivo utilizando el informe de cuentas por cobrar para obtener la identidad de la partida de cuentas por cobrar</w:t>
            </w:r>
          </w:p>
        </w:tc>
        <w:tc>
          <w:tcPr>
            <w:tcW w:w="1181" w:type="dxa"/>
            <w:vAlign w:val="center"/>
          </w:tcPr>
          <w:p w14:paraId="5D05AF20" w14:textId="77777777" w:rsidR="001C7B5F" w:rsidRPr="005D0C34" w:rsidRDefault="001C7B5F" w:rsidP="00830DA9">
            <w:pPr>
              <w:spacing w:after="160" w:line="259" w:lineRule="auto"/>
              <w:ind w:left="0" w:right="0" w:firstLine="0"/>
              <w:jc w:val="center"/>
              <w:rPr>
                <w:lang w:val="es-AR"/>
              </w:rPr>
            </w:pPr>
          </w:p>
        </w:tc>
        <w:tc>
          <w:tcPr>
            <w:tcW w:w="953" w:type="dxa"/>
            <w:vAlign w:val="center"/>
          </w:tcPr>
          <w:p w14:paraId="5D05AF21" w14:textId="77777777" w:rsidR="001C7B5F" w:rsidRPr="005D0C34" w:rsidRDefault="001C7B5F" w:rsidP="00830DA9">
            <w:pPr>
              <w:spacing w:after="160" w:line="259" w:lineRule="auto"/>
              <w:ind w:left="0" w:right="0" w:firstLine="0"/>
              <w:jc w:val="center"/>
              <w:rPr>
                <w:lang w:val="es-AR"/>
              </w:rPr>
            </w:pPr>
          </w:p>
        </w:tc>
        <w:tc>
          <w:tcPr>
            <w:tcW w:w="924" w:type="dxa"/>
            <w:vAlign w:val="center"/>
          </w:tcPr>
          <w:p w14:paraId="5D05AF22"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23"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24" w14:textId="7F85C6FE" w:rsidR="001C7B5F" w:rsidRPr="0038481C" w:rsidRDefault="00574249" w:rsidP="00830DA9">
            <w:pPr>
              <w:spacing w:after="160" w:line="259" w:lineRule="auto"/>
              <w:ind w:left="0" w:right="0" w:firstLine="0"/>
              <w:jc w:val="center"/>
            </w:pPr>
            <w:r>
              <w:rPr>
                <w:color w:val="333333"/>
                <w:sz w:val="20"/>
              </w:rPr>
              <w:t>√</w:t>
            </w:r>
          </w:p>
        </w:tc>
        <w:tc>
          <w:tcPr>
            <w:tcW w:w="1340" w:type="dxa"/>
            <w:vAlign w:val="center"/>
          </w:tcPr>
          <w:p w14:paraId="5D05AF25" w14:textId="4A2FFEA0" w:rsidR="001C7B5F" w:rsidRPr="0038481C" w:rsidRDefault="00574249" w:rsidP="00830DA9">
            <w:pPr>
              <w:spacing w:after="160" w:line="259" w:lineRule="auto"/>
              <w:ind w:left="0" w:right="0" w:firstLine="0"/>
              <w:jc w:val="center"/>
            </w:pPr>
            <w:r>
              <w:rPr>
                <w:color w:val="333333"/>
                <w:sz w:val="20"/>
              </w:rPr>
              <w:t>√</w:t>
            </w:r>
          </w:p>
        </w:tc>
        <w:tc>
          <w:tcPr>
            <w:tcW w:w="1032" w:type="dxa"/>
            <w:vAlign w:val="center"/>
          </w:tcPr>
          <w:p w14:paraId="5D05AF26"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27" w14:textId="77777777" w:rsidR="001C7B5F" w:rsidRPr="0038481C" w:rsidRDefault="001C7B5F" w:rsidP="00830DA9">
            <w:pPr>
              <w:spacing w:after="160" w:line="259" w:lineRule="auto"/>
              <w:ind w:left="0" w:right="0" w:firstLine="0"/>
              <w:jc w:val="center"/>
              <w:rPr>
                <w:lang w:val="en-GB"/>
              </w:rPr>
            </w:pPr>
          </w:p>
        </w:tc>
      </w:tr>
      <w:tr w:rsidR="00830DA9" w:rsidRPr="0038481C" w14:paraId="5D05AF3C" w14:textId="77777777" w:rsidTr="2633BD0C">
        <w:trPr>
          <w:trHeight w:val="144"/>
        </w:trPr>
        <w:tc>
          <w:tcPr>
            <w:tcW w:w="2406" w:type="dxa"/>
            <w:vAlign w:val="center"/>
          </w:tcPr>
          <w:p w14:paraId="5D05AF33" w14:textId="1FF92051" w:rsidR="001C7B5F" w:rsidRPr="0038481C" w:rsidRDefault="00574249" w:rsidP="00830DA9">
            <w:pPr>
              <w:spacing w:after="160" w:line="259" w:lineRule="auto"/>
              <w:ind w:left="0" w:right="0" w:firstLine="0"/>
              <w:jc w:val="left"/>
            </w:pPr>
            <w:r>
              <w:rPr>
                <w:color w:val="333333"/>
                <w:sz w:val="20"/>
              </w:rPr>
              <w:t>Revisar el informe sobre cuentas por cobrar pendientes</w:t>
            </w:r>
          </w:p>
        </w:tc>
        <w:tc>
          <w:tcPr>
            <w:tcW w:w="1181" w:type="dxa"/>
            <w:vAlign w:val="center"/>
          </w:tcPr>
          <w:p w14:paraId="5D05AF34" w14:textId="33598E48" w:rsidR="001C7B5F" w:rsidRPr="0038481C" w:rsidRDefault="00574249" w:rsidP="00830DA9">
            <w:pPr>
              <w:spacing w:after="160" w:line="259" w:lineRule="auto"/>
              <w:ind w:left="0" w:right="0" w:firstLine="0"/>
              <w:jc w:val="center"/>
            </w:pPr>
            <w:r>
              <w:rPr>
                <w:color w:val="333333"/>
                <w:sz w:val="20"/>
              </w:rPr>
              <w:t>√</w:t>
            </w:r>
          </w:p>
        </w:tc>
        <w:tc>
          <w:tcPr>
            <w:tcW w:w="953" w:type="dxa"/>
            <w:vAlign w:val="center"/>
          </w:tcPr>
          <w:p w14:paraId="5D05AF35"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36"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37" w14:textId="0DB4253E" w:rsidR="001C7B5F" w:rsidRPr="0038481C" w:rsidRDefault="00574249" w:rsidP="00830DA9">
            <w:pPr>
              <w:spacing w:after="160" w:line="259" w:lineRule="auto"/>
              <w:ind w:left="0" w:right="0" w:firstLine="0"/>
              <w:jc w:val="center"/>
            </w:pPr>
            <w:r>
              <w:rPr>
                <w:color w:val="333333"/>
                <w:sz w:val="20"/>
              </w:rPr>
              <w:t>√</w:t>
            </w:r>
          </w:p>
        </w:tc>
        <w:tc>
          <w:tcPr>
            <w:tcW w:w="988" w:type="dxa"/>
            <w:vAlign w:val="center"/>
          </w:tcPr>
          <w:p w14:paraId="5D05AF38"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39"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3A" w14:textId="53058122" w:rsidR="001C7B5F" w:rsidRPr="0038481C" w:rsidRDefault="00574249" w:rsidP="00830DA9">
            <w:pPr>
              <w:spacing w:after="160" w:line="259" w:lineRule="auto"/>
              <w:ind w:left="0" w:right="0" w:firstLine="0"/>
              <w:jc w:val="center"/>
            </w:pPr>
            <w:r>
              <w:rPr>
                <w:color w:val="333333"/>
                <w:sz w:val="20"/>
              </w:rPr>
              <w:t>√</w:t>
            </w:r>
          </w:p>
        </w:tc>
        <w:tc>
          <w:tcPr>
            <w:tcW w:w="1025" w:type="dxa"/>
            <w:vAlign w:val="center"/>
          </w:tcPr>
          <w:p w14:paraId="5D05AF3B" w14:textId="77777777" w:rsidR="001C7B5F" w:rsidRPr="0038481C" w:rsidRDefault="001C7B5F" w:rsidP="00830DA9">
            <w:pPr>
              <w:spacing w:after="160" w:line="259" w:lineRule="auto"/>
              <w:ind w:left="0" w:right="0" w:firstLine="0"/>
              <w:jc w:val="center"/>
              <w:rPr>
                <w:lang w:val="en-GB"/>
              </w:rPr>
            </w:pPr>
          </w:p>
        </w:tc>
      </w:tr>
      <w:tr w:rsidR="00830DA9" w:rsidRPr="0038481C" w14:paraId="5D05AF46" w14:textId="77777777" w:rsidTr="2633BD0C">
        <w:trPr>
          <w:trHeight w:val="144"/>
        </w:trPr>
        <w:tc>
          <w:tcPr>
            <w:tcW w:w="2406" w:type="dxa"/>
            <w:vAlign w:val="center"/>
          </w:tcPr>
          <w:p w14:paraId="5D05AF3D" w14:textId="1537C561" w:rsidR="001C7B5F" w:rsidRPr="0038481C" w:rsidRDefault="00574249" w:rsidP="00830DA9">
            <w:pPr>
              <w:spacing w:after="160" w:line="259" w:lineRule="auto"/>
              <w:ind w:left="0" w:right="0" w:firstLine="0"/>
              <w:jc w:val="left"/>
            </w:pPr>
            <w:r>
              <w:rPr>
                <w:color w:val="333333"/>
                <w:sz w:val="20"/>
              </w:rPr>
              <w:t>Revisar el informe sobre etapas pendientes/en mora</w:t>
            </w:r>
          </w:p>
        </w:tc>
        <w:tc>
          <w:tcPr>
            <w:tcW w:w="1181" w:type="dxa"/>
            <w:vAlign w:val="center"/>
          </w:tcPr>
          <w:p w14:paraId="5D05AF3E" w14:textId="179BCD6B" w:rsidR="001C7B5F" w:rsidRPr="0038481C" w:rsidRDefault="00574249" w:rsidP="00830DA9">
            <w:pPr>
              <w:spacing w:after="160" w:line="259" w:lineRule="auto"/>
              <w:ind w:left="0" w:right="0" w:firstLine="0"/>
              <w:jc w:val="center"/>
            </w:pPr>
            <w:r>
              <w:rPr>
                <w:color w:val="333333"/>
                <w:sz w:val="20"/>
              </w:rPr>
              <w:t>√</w:t>
            </w:r>
          </w:p>
        </w:tc>
        <w:tc>
          <w:tcPr>
            <w:tcW w:w="953" w:type="dxa"/>
            <w:vAlign w:val="center"/>
          </w:tcPr>
          <w:p w14:paraId="5D05AF3F"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40"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41" w14:textId="4F2437AB" w:rsidR="001C7B5F" w:rsidRPr="0038481C" w:rsidRDefault="00574249" w:rsidP="00830DA9">
            <w:pPr>
              <w:spacing w:after="160" w:line="259" w:lineRule="auto"/>
              <w:ind w:left="0" w:right="0" w:firstLine="0"/>
              <w:jc w:val="center"/>
            </w:pPr>
            <w:r>
              <w:rPr>
                <w:color w:val="333333"/>
                <w:sz w:val="20"/>
              </w:rPr>
              <w:t>√</w:t>
            </w:r>
          </w:p>
        </w:tc>
        <w:tc>
          <w:tcPr>
            <w:tcW w:w="988" w:type="dxa"/>
            <w:vAlign w:val="center"/>
          </w:tcPr>
          <w:p w14:paraId="5D05AF42"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43"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44" w14:textId="3B7884FF" w:rsidR="001C7B5F" w:rsidRPr="0038481C" w:rsidRDefault="00574249" w:rsidP="00830DA9">
            <w:pPr>
              <w:spacing w:after="160" w:line="259" w:lineRule="auto"/>
              <w:ind w:left="0" w:right="0" w:firstLine="0"/>
              <w:jc w:val="center"/>
            </w:pPr>
            <w:r>
              <w:rPr>
                <w:color w:val="333333"/>
                <w:sz w:val="20"/>
              </w:rPr>
              <w:t>√</w:t>
            </w:r>
          </w:p>
        </w:tc>
        <w:tc>
          <w:tcPr>
            <w:tcW w:w="1025" w:type="dxa"/>
            <w:vAlign w:val="center"/>
          </w:tcPr>
          <w:p w14:paraId="5D05AF45" w14:textId="77777777" w:rsidR="001C7B5F" w:rsidRPr="0038481C" w:rsidRDefault="001C7B5F" w:rsidP="00830DA9">
            <w:pPr>
              <w:spacing w:after="160" w:line="259" w:lineRule="auto"/>
              <w:ind w:left="0" w:right="0" w:firstLine="0"/>
              <w:jc w:val="center"/>
              <w:rPr>
                <w:lang w:val="en-GB"/>
              </w:rPr>
            </w:pPr>
          </w:p>
        </w:tc>
      </w:tr>
      <w:tr w:rsidR="00830DA9" w:rsidRPr="0038481C" w14:paraId="5D05AF50" w14:textId="77777777" w:rsidTr="2633BD0C">
        <w:trPr>
          <w:trHeight w:val="144"/>
        </w:trPr>
        <w:tc>
          <w:tcPr>
            <w:tcW w:w="2406" w:type="dxa"/>
            <w:vAlign w:val="center"/>
          </w:tcPr>
          <w:p w14:paraId="5D05AF47" w14:textId="1992F75E" w:rsidR="001C7B5F" w:rsidRPr="0038481C" w:rsidRDefault="00574249" w:rsidP="00830DA9">
            <w:pPr>
              <w:spacing w:after="160" w:line="259" w:lineRule="auto"/>
              <w:ind w:left="0" w:right="0" w:firstLine="0"/>
              <w:jc w:val="left"/>
            </w:pPr>
            <w:r>
              <w:rPr>
                <w:color w:val="333333"/>
                <w:sz w:val="20"/>
              </w:rPr>
              <w:t>Realizar un seguimiento de los pagos pendientes de donantes</w:t>
            </w:r>
          </w:p>
        </w:tc>
        <w:tc>
          <w:tcPr>
            <w:tcW w:w="1181" w:type="dxa"/>
            <w:vAlign w:val="center"/>
          </w:tcPr>
          <w:p w14:paraId="5D05AF48" w14:textId="362884A0" w:rsidR="001C7B5F" w:rsidRPr="0038481C" w:rsidRDefault="00574249" w:rsidP="00830DA9">
            <w:pPr>
              <w:spacing w:after="160" w:line="259" w:lineRule="auto"/>
              <w:ind w:left="0" w:right="0" w:firstLine="0"/>
              <w:jc w:val="center"/>
            </w:pPr>
            <w:r>
              <w:rPr>
                <w:color w:val="333333"/>
                <w:sz w:val="20"/>
              </w:rPr>
              <w:t>√</w:t>
            </w:r>
          </w:p>
        </w:tc>
        <w:tc>
          <w:tcPr>
            <w:tcW w:w="953" w:type="dxa"/>
            <w:vAlign w:val="center"/>
          </w:tcPr>
          <w:p w14:paraId="5D05AF49"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4A"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4B"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4C"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4D"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4E"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4F" w14:textId="77777777" w:rsidR="001C7B5F" w:rsidRPr="0038481C" w:rsidRDefault="001C7B5F" w:rsidP="00830DA9">
            <w:pPr>
              <w:spacing w:after="160" w:line="259" w:lineRule="auto"/>
              <w:ind w:left="0" w:right="0" w:firstLine="0"/>
              <w:jc w:val="center"/>
              <w:rPr>
                <w:lang w:val="en-GB"/>
              </w:rPr>
            </w:pPr>
          </w:p>
        </w:tc>
      </w:tr>
      <w:tr w:rsidR="00830DA9" w:rsidRPr="0038481C" w14:paraId="5D05AF7D" w14:textId="77777777" w:rsidTr="2633BD0C">
        <w:trPr>
          <w:trHeight w:val="144"/>
        </w:trPr>
        <w:tc>
          <w:tcPr>
            <w:tcW w:w="2406" w:type="dxa"/>
            <w:vAlign w:val="center"/>
          </w:tcPr>
          <w:p w14:paraId="5D05AF74" w14:textId="1E769776" w:rsidR="001C7B5F" w:rsidRPr="0038481C" w:rsidRDefault="00574249" w:rsidP="00830DA9">
            <w:pPr>
              <w:spacing w:after="160" w:line="259" w:lineRule="auto"/>
              <w:ind w:left="0" w:right="0" w:firstLine="0"/>
              <w:jc w:val="left"/>
            </w:pPr>
            <w:r>
              <w:rPr>
                <w:color w:val="333333"/>
                <w:sz w:val="20"/>
              </w:rPr>
              <w:t>Realizar un seguimiento de las etapas pendientes/en mora de los donantes, p. ej., la aprobación del informe de la CE de los pagos en mora</w:t>
            </w:r>
          </w:p>
        </w:tc>
        <w:tc>
          <w:tcPr>
            <w:tcW w:w="1181" w:type="dxa"/>
            <w:vAlign w:val="center"/>
          </w:tcPr>
          <w:p w14:paraId="5D05AF75" w14:textId="469D4EF3" w:rsidR="001C7B5F" w:rsidRPr="0038481C" w:rsidRDefault="00574249" w:rsidP="00830DA9">
            <w:pPr>
              <w:spacing w:after="160" w:line="259" w:lineRule="auto"/>
              <w:ind w:left="0" w:right="0" w:firstLine="0"/>
              <w:jc w:val="center"/>
            </w:pPr>
            <w:r>
              <w:rPr>
                <w:color w:val="333333"/>
                <w:sz w:val="20"/>
              </w:rPr>
              <w:t>√</w:t>
            </w:r>
          </w:p>
        </w:tc>
        <w:tc>
          <w:tcPr>
            <w:tcW w:w="953" w:type="dxa"/>
            <w:vAlign w:val="center"/>
          </w:tcPr>
          <w:p w14:paraId="5D05AF76" w14:textId="77777777" w:rsidR="001C7B5F" w:rsidRPr="0038481C" w:rsidRDefault="001C7B5F" w:rsidP="00830DA9">
            <w:pPr>
              <w:spacing w:after="160" w:line="259" w:lineRule="auto"/>
              <w:ind w:left="0" w:right="0" w:firstLine="0"/>
              <w:jc w:val="center"/>
              <w:rPr>
                <w:lang w:val="en-GB"/>
              </w:rPr>
            </w:pPr>
          </w:p>
        </w:tc>
        <w:tc>
          <w:tcPr>
            <w:tcW w:w="924" w:type="dxa"/>
            <w:vAlign w:val="center"/>
          </w:tcPr>
          <w:p w14:paraId="5D05AF77"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78"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79" w14:textId="77777777" w:rsidR="001C7B5F" w:rsidRPr="0038481C" w:rsidRDefault="001C7B5F" w:rsidP="00830DA9">
            <w:pPr>
              <w:spacing w:after="160" w:line="259" w:lineRule="auto"/>
              <w:ind w:left="0" w:right="0" w:firstLine="0"/>
              <w:jc w:val="center"/>
              <w:rPr>
                <w:lang w:val="en-GB"/>
              </w:rPr>
            </w:pPr>
          </w:p>
        </w:tc>
        <w:tc>
          <w:tcPr>
            <w:tcW w:w="1340" w:type="dxa"/>
            <w:vAlign w:val="center"/>
          </w:tcPr>
          <w:p w14:paraId="5D05AF7A"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7B"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7C" w14:textId="77777777" w:rsidR="001C7B5F" w:rsidRPr="0038481C" w:rsidRDefault="001C7B5F" w:rsidP="00830DA9">
            <w:pPr>
              <w:spacing w:after="160" w:line="259" w:lineRule="auto"/>
              <w:ind w:left="0" w:right="0" w:firstLine="0"/>
              <w:jc w:val="center"/>
              <w:rPr>
                <w:lang w:val="en-GB"/>
              </w:rPr>
            </w:pPr>
          </w:p>
        </w:tc>
      </w:tr>
      <w:tr w:rsidR="00830DA9" w:rsidRPr="0038481C" w14:paraId="5D05AF87" w14:textId="77777777" w:rsidTr="2633BD0C">
        <w:trPr>
          <w:trHeight w:val="144"/>
        </w:trPr>
        <w:tc>
          <w:tcPr>
            <w:tcW w:w="2406" w:type="dxa"/>
            <w:vAlign w:val="center"/>
          </w:tcPr>
          <w:p w14:paraId="5D05AF7E" w14:textId="1BEAAC40" w:rsidR="001C7B5F" w:rsidRPr="0038481C" w:rsidRDefault="00574249" w:rsidP="00830DA9">
            <w:pPr>
              <w:spacing w:after="160" w:line="259" w:lineRule="auto"/>
              <w:ind w:left="0" w:right="0" w:firstLine="0"/>
              <w:jc w:val="left"/>
            </w:pPr>
            <w:r>
              <w:rPr>
                <w:color w:val="333333"/>
                <w:sz w:val="20"/>
              </w:rPr>
              <w:t>Acceder a los informes sobre los proyectos cerrados financieramente</w:t>
            </w:r>
          </w:p>
        </w:tc>
        <w:tc>
          <w:tcPr>
            <w:tcW w:w="1181" w:type="dxa"/>
            <w:vAlign w:val="center"/>
          </w:tcPr>
          <w:p w14:paraId="5D05AF7F" w14:textId="77777777" w:rsidR="001C7B5F" w:rsidRPr="005D0C34" w:rsidRDefault="001C7B5F" w:rsidP="00830DA9">
            <w:pPr>
              <w:spacing w:after="160" w:line="259" w:lineRule="auto"/>
              <w:ind w:left="0" w:right="0" w:firstLine="0"/>
              <w:jc w:val="center"/>
              <w:rPr>
                <w:lang w:val="es-AR"/>
              </w:rPr>
            </w:pPr>
          </w:p>
        </w:tc>
        <w:tc>
          <w:tcPr>
            <w:tcW w:w="953" w:type="dxa"/>
            <w:vAlign w:val="center"/>
          </w:tcPr>
          <w:p w14:paraId="5D05AF80" w14:textId="77777777" w:rsidR="001C7B5F" w:rsidRPr="005D0C34" w:rsidRDefault="001C7B5F" w:rsidP="00830DA9">
            <w:pPr>
              <w:spacing w:after="160" w:line="259" w:lineRule="auto"/>
              <w:ind w:left="0" w:right="0" w:firstLine="0"/>
              <w:jc w:val="center"/>
              <w:rPr>
                <w:lang w:val="es-AR"/>
              </w:rPr>
            </w:pPr>
          </w:p>
        </w:tc>
        <w:tc>
          <w:tcPr>
            <w:tcW w:w="924" w:type="dxa"/>
            <w:vAlign w:val="center"/>
          </w:tcPr>
          <w:p w14:paraId="5D05AF81"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82"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83" w14:textId="77777777" w:rsidR="001C7B5F" w:rsidRPr="005D0C34" w:rsidRDefault="001C7B5F" w:rsidP="00830DA9">
            <w:pPr>
              <w:spacing w:after="160" w:line="259" w:lineRule="auto"/>
              <w:ind w:left="0" w:right="0" w:firstLine="0"/>
              <w:jc w:val="center"/>
              <w:rPr>
                <w:lang w:val="es-AR"/>
              </w:rPr>
            </w:pPr>
          </w:p>
        </w:tc>
        <w:tc>
          <w:tcPr>
            <w:tcW w:w="1340" w:type="dxa"/>
            <w:vAlign w:val="center"/>
          </w:tcPr>
          <w:p w14:paraId="5D05AF84" w14:textId="77777777" w:rsidR="001C7B5F" w:rsidRPr="005D0C34" w:rsidRDefault="001C7B5F" w:rsidP="00830DA9">
            <w:pPr>
              <w:spacing w:after="160" w:line="259" w:lineRule="auto"/>
              <w:ind w:left="0" w:right="0" w:firstLine="0"/>
              <w:jc w:val="center"/>
              <w:rPr>
                <w:lang w:val="es-AR"/>
              </w:rPr>
            </w:pPr>
          </w:p>
        </w:tc>
        <w:tc>
          <w:tcPr>
            <w:tcW w:w="1032" w:type="dxa"/>
            <w:vAlign w:val="center"/>
          </w:tcPr>
          <w:p w14:paraId="5D05AF85" w14:textId="14DEE347" w:rsidR="001C7B5F" w:rsidRPr="0038481C" w:rsidRDefault="00574249" w:rsidP="00830DA9">
            <w:pPr>
              <w:spacing w:after="160" w:line="259" w:lineRule="auto"/>
              <w:ind w:left="0" w:right="0" w:firstLine="0"/>
              <w:jc w:val="center"/>
            </w:pPr>
            <w:r>
              <w:rPr>
                <w:color w:val="333333"/>
                <w:sz w:val="20"/>
              </w:rPr>
              <w:t>√</w:t>
            </w:r>
          </w:p>
        </w:tc>
        <w:tc>
          <w:tcPr>
            <w:tcW w:w="1025" w:type="dxa"/>
            <w:vAlign w:val="center"/>
          </w:tcPr>
          <w:p w14:paraId="5D05AF86" w14:textId="77777777" w:rsidR="001C7B5F" w:rsidRPr="0038481C" w:rsidRDefault="001C7B5F" w:rsidP="00830DA9">
            <w:pPr>
              <w:spacing w:after="160" w:line="259" w:lineRule="auto"/>
              <w:ind w:left="0" w:right="0" w:firstLine="0"/>
              <w:jc w:val="center"/>
              <w:rPr>
                <w:lang w:val="en-GB"/>
              </w:rPr>
            </w:pPr>
          </w:p>
        </w:tc>
      </w:tr>
      <w:tr w:rsidR="00830DA9" w:rsidRPr="0038481C" w14:paraId="5D05AF91" w14:textId="77777777" w:rsidTr="2633BD0C">
        <w:trPr>
          <w:trHeight w:val="144"/>
        </w:trPr>
        <w:tc>
          <w:tcPr>
            <w:tcW w:w="2406" w:type="dxa"/>
            <w:vAlign w:val="center"/>
          </w:tcPr>
          <w:p w14:paraId="5D05AF88" w14:textId="45C1CDF8" w:rsidR="001C7B5F" w:rsidRPr="0038481C" w:rsidRDefault="00574249" w:rsidP="00830DA9">
            <w:pPr>
              <w:spacing w:after="160" w:line="259" w:lineRule="auto"/>
              <w:ind w:left="0" w:right="0" w:firstLine="0"/>
              <w:jc w:val="left"/>
            </w:pPr>
            <w:r>
              <w:rPr>
                <w:color w:val="333333"/>
                <w:sz w:val="20"/>
              </w:rPr>
              <w:t>Cerrar los acuerdos en el módulo de contratos</w:t>
            </w:r>
          </w:p>
        </w:tc>
        <w:tc>
          <w:tcPr>
            <w:tcW w:w="1181" w:type="dxa"/>
            <w:vAlign w:val="center"/>
          </w:tcPr>
          <w:p w14:paraId="5D05AF89" w14:textId="77777777" w:rsidR="001C7B5F" w:rsidRPr="005D0C34" w:rsidRDefault="001C7B5F" w:rsidP="00830DA9">
            <w:pPr>
              <w:spacing w:after="160" w:line="259" w:lineRule="auto"/>
              <w:ind w:left="0" w:right="0" w:firstLine="0"/>
              <w:jc w:val="center"/>
              <w:rPr>
                <w:lang w:val="es-AR"/>
              </w:rPr>
            </w:pPr>
          </w:p>
        </w:tc>
        <w:tc>
          <w:tcPr>
            <w:tcW w:w="953" w:type="dxa"/>
            <w:vAlign w:val="center"/>
          </w:tcPr>
          <w:p w14:paraId="5D05AF8A" w14:textId="77777777" w:rsidR="001C7B5F" w:rsidRPr="005D0C34" w:rsidRDefault="001C7B5F" w:rsidP="00830DA9">
            <w:pPr>
              <w:spacing w:after="160" w:line="259" w:lineRule="auto"/>
              <w:ind w:left="0" w:right="0" w:firstLine="0"/>
              <w:jc w:val="center"/>
              <w:rPr>
                <w:lang w:val="es-AR"/>
              </w:rPr>
            </w:pPr>
          </w:p>
        </w:tc>
        <w:tc>
          <w:tcPr>
            <w:tcW w:w="924" w:type="dxa"/>
            <w:vAlign w:val="center"/>
          </w:tcPr>
          <w:p w14:paraId="5D05AF8B"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8C"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8D" w14:textId="77777777" w:rsidR="001C7B5F" w:rsidRPr="005D0C34" w:rsidRDefault="001C7B5F" w:rsidP="00830DA9">
            <w:pPr>
              <w:spacing w:after="160" w:line="259" w:lineRule="auto"/>
              <w:ind w:left="0" w:right="0" w:firstLine="0"/>
              <w:jc w:val="center"/>
              <w:rPr>
                <w:lang w:val="es-AR"/>
              </w:rPr>
            </w:pPr>
          </w:p>
        </w:tc>
        <w:tc>
          <w:tcPr>
            <w:tcW w:w="1340" w:type="dxa"/>
            <w:vAlign w:val="center"/>
          </w:tcPr>
          <w:p w14:paraId="5D05AF8E" w14:textId="77777777" w:rsidR="001C7B5F" w:rsidRPr="005D0C34" w:rsidRDefault="001C7B5F" w:rsidP="00830DA9">
            <w:pPr>
              <w:spacing w:after="160" w:line="259" w:lineRule="auto"/>
              <w:ind w:left="0" w:right="0" w:firstLine="0"/>
              <w:jc w:val="center"/>
              <w:rPr>
                <w:lang w:val="es-AR"/>
              </w:rPr>
            </w:pPr>
          </w:p>
        </w:tc>
        <w:tc>
          <w:tcPr>
            <w:tcW w:w="1032" w:type="dxa"/>
            <w:vAlign w:val="center"/>
          </w:tcPr>
          <w:p w14:paraId="5D05AF8F" w14:textId="77777777" w:rsidR="001C7B5F" w:rsidRPr="005D0C34" w:rsidRDefault="001C7B5F" w:rsidP="00830DA9">
            <w:pPr>
              <w:spacing w:after="160" w:line="259" w:lineRule="auto"/>
              <w:ind w:left="0" w:right="0" w:firstLine="0"/>
              <w:jc w:val="center"/>
              <w:rPr>
                <w:lang w:val="es-AR"/>
              </w:rPr>
            </w:pPr>
          </w:p>
        </w:tc>
        <w:tc>
          <w:tcPr>
            <w:tcW w:w="1025" w:type="dxa"/>
            <w:vAlign w:val="center"/>
          </w:tcPr>
          <w:p w14:paraId="5D05AF90" w14:textId="37077F42" w:rsidR="001C7B5F" w:rsidRPr="0038481C" w:rsidRDefault="00574249" w:rsidP="00830DA9">
            <w:pPr>
              <w:spacing w:after="160" w:line="259" w:lineRule="auto"/>
              <w:ind w:left="0" w:right="0" w:firstLine="0"/>
              <w:jc w:val="center"/>
            </w:pPr>
            <w:r>
              <w:rPr>
                <w:color w:val="333333"/>
                <w:sz w:val="20"/>
              </w:rPr>
              <w:t>√</w:t>
            </w:r>
          </w:p>
        </w:tc>
      </w:tr>
      <w:tr w:rsidR="00830DA9" w:rsidRPr="0038481C" w14:paraId="5D05AF9B" w14:textId="77777777" w:rsidTr="2633BD0C">
        <w:trPr>
          <w:trHeight w:val="144"/>
        </w:trPr>
        <w:tc>
          <w:tcPr>
            <w:tcW w:w="2406" w:type="dxa"/>
            <w:vAlign w:val="center"/>
          </w:tcPr>
          <w:p w14:paraId="5D05AF92" w14:textId="35A9CA7D" w:rsidR="001C7B5F" w:rsidRPr="0038481C" w:rsidRDefault="00574249" w:rsidP="00830DA9">
            <w:pPr>
              <w:spacing w:after="160" w:line="259" w:lineRule="auto"/>
              <w:ind w:left="0" w:right="0" w:firstLine="0"/>
              <w:jc w:val="left"/>
            </w:pPr>
            <w:r>
              <w:rPr>
                <w:color w:val="333333"/>
                <w:sz w:val="20"/>
              </w:rPr>
              <w:lastRenderedPageBreak/>
              <w:t>Revisar la antigüedad de las cuentas por cobrar</w:t>
            </w:r>
          </w:p>
        </w:tc>
        <w:tc>
          <w:tcPr>
            <w:tcW w:w="1181" w:type="dxa"/>
            <w:vAlign w:val="center"/>
          </w:tcPr>
          <w:p w14:paraId="5D05AF93" w14:textId="77777777" w:rsidR="001C7B5F" w:rsidRPr="005D0C34" w:rsidRDefault="001C7B5F" w:rsidP="00830DA9">
            <w:pPr>
              <w:spacing w:after="160" w:line="259" w:lineRule="auto"/>
              <w:ind w:left="0" w:right="0" w:firstLine="0"/>
              <w:jc w:val="center"/>
              <w:rPr>
                <w:lang w:val="es-AR"/>
              </w:rPr>
            </w:pPr>
          </w:p>
        </w:tc>
        <w:tc>
          <w:tcPr>
            <w:tcW w:w="953" w:type="dxa"/>
            <w:vAlign w:val="center"/>
          </w:tcPr>
          <w:p w14:paraId="5D05AF94" w14:textId="77777777" w:rsidR="001C7B5F" w:rsidRPr="005D0C34" w:rsidRDefault="001C7B5F" w:rsidP="00830DA9">
            <w:pPr>
              <w:spacing w:after="160" w:line="259" w:lineRule="auto"/>
              <w:ind w:left="0" w:right="0" w:firstLine="0"/>
              <w:jc w:val="center"/>
              <w:rPr>
                <w:lang w:val="es-AR"/>
              </w:rPr>
            </w:pPr>
          </w:p>
        </w:tc>
        <w:tc>
          <w:tcPr>
            <w:tcW w:w="924" w:type="dxa"/>
            <w:vAlign w:val="center"/>
          </w:tcPr>
          <w:p w14:paraId="5D05AF95"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96" w14:textId="4DC9EA23" w:rsidR="001C7B5F" w:rsidRPr="0038481C" w:rsidRDefault="00574249" w:rsidP="00830DA9">
            <w:pPr>
              <w:spacing w:after="160" w:line="259" w:lineRule="auto"/>
              <w:ind w:left="0" w:right="0" w:firstLine="0"/>
              <w:jc w:val="center"/>
            </w:pPr>
            <w:r>
              <w:rPr>
                <w:color w:val="333333"/>
                <w:sz w:val="20"/>
              </w:rPr>
              <w:t>√</w:t>
            </w:r>
          </w:p>
        </w:tc>
        <w:tc>
          <w:tcPr>
            <w:tcW w:w="988" w:type="dxa"/>
            <w:vAlign w:val="center"/>
          </w:tcPr>
          <w:p w14:paraId="5D05AF97" w14:textId="56281A8E" w:rsidR="001C7B5F" w:rsidRPr="0038481C" w:rsidRDefault="00574249" w:rsidP="00830DA9">
            <w:pPr>
              <w:spacing w:after="160" w:line="259" w:lineRule="auto"/>
              <w:ind w:left="0" w:right="0" w:firstLine="0"/>
              <w:jc w:val="center"/>
            </w:pPr>
            <w:r>
              <w:rPr>
                <w:color w:val="333333"/>
                <w:sz w:val="20"/>
              </w:rPr>
              <w:t>√</w:t>
            </w:r>
          </w:p>
        </w:tc>
        <w:tc>
          <w:tcPr>
            <w:tcW w:w="1340" w:type="dxa"/>
            <w:vAlign w:val="center"/>
          </w:tcPr>
          <w:p w14:paraId="5D05AF98" w14:textId="5B8F8B42" w:rsidR="001C7B5F" w:rsidRPr="0038481C" w:rsidRDefault="00574249" w:rsidP="00830DA9">
            <w:pPr>
              <w:spacing w:after="160" w:line="259" w:lineRule="auto"/>
              <w:ind w:left="0" w:right="0" w:firstLine="0"/>
              <w:jc w:val="center"/>
            </w:pPr>
            <w:r>
              <w:rPr>
                <w:color w:val="333333"/>
                <w:sz w:val="20"/>
              </w:rPr>
              <w:t>√</w:t>
            </w:r>
          </w:p>
        </w:tc>
        <w:tc>
          <w:tcPr>
            <w:tcW w:w="1032" w:type="dxa"/>
            <w:vAlign w:val="center"/>
          </w:tcPr>
          <w:p w14:paraId="5D05AF99"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9A" w14:textId="77777777" w:rsidR="001C7B5F" w:rsidRPr="0038481C" w:rsidRDefault="001C7B5F" w:rsidP="00830DA9">
            <w:pPr>
              <w:spacing w:after="160" w:line="259" w:lineRule="auto"/>
              <w:ind w:left="0" w:right="0" w:firstLine="0"/>
              <w:jc w:val="center"/>
              <w:rPr>
                <w:lang w:val="en-GB"/>
              </w:rPr>
            </w:pPr>
          </w:p>
        </w:tc>
      </w:tr>
      <w:tr w:rsidR="00830DA9" w:rsidRPr="0038481C" w14:paraId="5D05AFA5" w14:textId="77777777" w:rsidTr="2633BD0C">
        <w:trPr>
          <w:trHeight w:val="144"/>
        </w:trPr>
        <w:tc>
          <w:tcPr>
            <w:tcW w:w="2406" w:type="dxa"/>
            <w:vAlign w:val="center"/>
          </w:tcPr>
          <w:p w14:paraId="5D05AF9C" w14:textId="0FA51954" w:rsidR="001C7B5F" w:rsidRPr="0038481C" w:rsidRDefault="00574249" w:rsidP="00830DA9">
            <w:pPr>
              <w:spacing w:after="160" w:line="259" w:lineRule="auto"/>
              <w:ind w:left="0" w:right="0" w:firstLine="0"/>
              <w:jc w:val="left"/>
            </w:pPr>
            <w:r w:rsidRPr="2633BD0C">
              <w:rPr>
                <w:color w:val="333333"/>
                <w:sz w:val="20"/>
                <w:szCs w:val="20"/>
              </w:rPr>
              <w:t>Comunicarse con la OF</w:t>
            </w:r>
            <w:r w:rsidR="319C3C95" w:rsidRPr="2633BD0C">
              <w:rPr>
                <w:color w:val="333333"/>
                <w:sz w:val="20"/>
                <w:szCs w:val="20"/>
              </w:rPr>
              <w:t>M</w:t>
            </w:r>
            <w:r w:rsidRPr="2633BD0C">
              <w:rPr>
                <w:color w:val="333333"/>
                <w:sz w:val="20"/>
                <w:szCs w:val="20"/>
              </w:rPr>
              <w:t xml:space="preserve">  sobre las cuentas por cobrar pendientes para la provisión para deudas de dudoso cobro y las cancelaciones</w:t>
            </w:r>
          </w:p>
        </w:tc>
        <w:tc>
          <w:tcPr>
            <w:tcW w:w="1181" w:type="dxa"/>
            <w:vAlign w:val="center"/>
          </w:tcPr>
          <w:p w14:paraId="5D05AF9D" w14:textId="64BEB05F" w:rsidR="001C7B5F" w:rsidRPr="0038481C" w:rsidRDefault="00574249" w:rsidP="00830DA9">
            <w:pPr>
              <w:spacing w:after="160" w:line="259" w:lineRule="auto"/>
              <w:ind w:left="0" w:right="0" w:firstLine="0"/>
              <w:jc w:val="center"/>
            </w:pPr>
            <w:r>
              <w:rPr>
                <w:color w:val="333333"/>
                <w:sz w:val="20"/>
              </w:rPr>
              <w:t>√</w:t>
            </w:r>
          </w:p>
        </w:tc>
        <w:tc>
          <w:tcPr>
            <w:tcW w:w="953" w:type="dxa"/>
            <w:vAlign w:val="center"/>
          </w:tcPr>
          <w:p w14:paraId="5D05AF9E" w14:textId="02811EA2" w:rsidR="001C7B5F" w:rsidRPr="0038481C" w:rsidRDefault="00574249" w:rsidP="00830DA9">
            <w:pPr>
              <w:spacing w:after="160" w:line="259" w:lineRule="auto"/>
              <w:ind w:left="0" w:right="0" w:firstLine="0"/>
              <w:jc w:val="center"/>
            </w:pPr>
            <w:r>
              <w:rPr>
                <w:color w:val="333333"/>
                <w:sz w:val="20"/>
              </w:rPr>
              <w:t>√</w:t>
            </w:r>
          </w:p>
        </w:tc>
        <w:tc>
          <w:tcPr>
            <w:tcW w:w="924" w:type="dxa"/>
            <w:vAlign w:val="center"/>
          </w:tcPr>
          <w:p w14:paraId="5D05AF9F" w14:textId="77777777" w:rsidR="001C7B5F" w:rsidRPr="0038481C" w:rsidRDefault="001C7B5F" w:rsidP="00830DA9">
            <w:pPr>
              <w:spacing w:after="160" w:line="259" w:lineRule="auto"/>
              <w:ind w:left="0" w:right="0" w:firstLine="0"/>
              <w:jc w:val="center"/>
              <w:rPr>
                <w:lang w:val="en-GB"/>
              </w:rPr>
            </w:pPr>
          </w:p>
        </w:tc>
        <w:tc>
          <w:tcPr>
            <w:tcW w:w="988" w:type="dxa"/>
            <w:vAlign w:val="center"/>
          </w:tcPr>
          <w:p w14:paraId="5D05AFA0" w14:textId="2E80D278" w:rsidR="001C7B5F" w:rsidRPr="0038481C" w:rsidRDefault="00574249" w:rsidP="00830DA9">
            <w:pPr>
              <w:spacing w:after="160" w:line="259" w:lineRule="auto"/>
              <w:ind w:left="0" w:right="0" w:firstLine="0"/>
              <w:jc w:val="center"/>
            </w:pPr>
            <w:r>
              <w:rPr>
                <w:color w:val="333333"/>
                <w:sz w:val="20"/>
              </w:rPr>
              <w:t>√</w:t>
            </w:r>
          </w:p>
        </w:tc>
        <w:tc>
          <w:tcPr>
            <w:tcW w:w="988" w:type="dxa"/>
            <w:vAlign w:val="center"/>
          </w:tcPr>
          <w:p w14:paraId="5D05AFA1" w14:textId="1F17001E" w:rsidR="001C7B5F" w:rsidRPr="0038481C" w:rsidRDefault="00574249" w:rsidP="00830DA9">
            <w:pPr>
              <w:spacing w:after="160" w:line="259" w:lineRule="auto"/>
              <w:ind w:left="0" w:right="0" w:firstLine="0"/>
              <w:jc w:val="center"/>
            </w:pPr>
            <w:r>
              <w:rPr>
                <w:color w:val="333333"/>
                <w:sz w:val="20"/>
              </w:rPr>
              <w:t>√</w:t>
            </w:r>
          </w:p>
        </w:tc>
        <w:tc>
          <w:tcPr>
            <w:tcW w:w="1340" w:type="dxa"/>
            <w:vAlign w:val="center"/>
          </w:tcPr>
          <w:p w14:paraId="5D05AFA2" w14:textId="77777777" w:rsidR="001C7B5F" w:rsidRPr="0038481C" w:rsidRDefault="001C7B5F" w:rsidP="00830DA9">
            <w:pPr>
              <w:spacing w:after="160" w:line="259" w:lineRule="auto"/>
              <w:ind w:left="0" w:right="0" w:firstLine="0"/>
              <w:jc w:val="center"/>
              <w:rPr>
                <w:lang w:val="en-GB"/>
              </w:rPr>
            </w:pPr>
          </w:p>
        </w:tc>
        <w:tc>
          <w:tcPr>
            <w:tcW w:w="1032" w:type="dxa"/>
            <w:vAlign w:val="center"/>
          </w:tcPr>
          <w:p w14:paraId="5D05AFA3" w14:textId="506C440E" w:rsidR="001C7B5F" w:rsidRPr="0038481C" w:rsidRDefault="00574249" w:rsidP="00830DA9">
            <w:pPr>
              <w:spacing w:after="160" w:line="259" w:lineRule="auto"/>
              <w:ind w:left="0" w:right="0" w:firstLine="0"/>
              <w:jc w:val="center"/>
            </w:pPr>
            <w:r>
              <w:rPr>
                <w:color w:val="333333"/>
                <w:sz w:val="20"/>
              </w:rPr>
              <w:t>√</w:t>
            </w:r>
          </w:p>
        </w:tc>
        <w:tc>
          <w:tcPr>
            <w:tcW w:w="1025" w:type="dxa"/>
            <w:vAlign w:val="center"/>
          </w:tcPr>
          <w:p w14:paraId="5D05AFA4" w14:textId="77777777" w:rsidR="001C7B5F" w:rsidRPr="0038481C" w:rsidRDefault="001C7B5F" w:rsidP="00830DA9">
            <w:pPr>
              <w:spacing w:after="160" w:line="259" w:lineRule="auto"/>
              <w:ind w:left="0" w:right="0" w:firstLine="0"/>
              <w:jc w:val="center"/>
              <w:rPr>
                <w:lang w:val="en-GB"/>
              </w:rPr>
            </w:pPr>
          </w:p>
        </w:tc>
      </w:tr>
      <w:tr w:rsidR="00830DA9" w:rsidRPr="0038481C" w14:paraId="5D05AFAF" w14:textId="77777777" w:rsidTr="2633BD0C">
        <w:trPr>
          <w:trHeight w:val="144"/>
        </w:trPr>
        <w:tc>
          <w:tcPr>
            <w:tcW w:w="2406" w:type="dxa"/>
            <w:vAlign w:val="center"/>
          </w:tcPr>
          <w:p w14:paraId="5D05AFA6" w14:textId="647BC006" w:rsidR="001C7B5F" w:rsidRPr="0038481C" w:rsidRDefault="00574249" w:rsidP="00830DA9">
            <w:pPr>
              <w:spacing w:after="160" w:line="259" w:lineRule="auto"/>
              <w:ind w:left="0" w:right="0" w:firstLine="0"/>
              <w:jc w:val="left"/>
            </w:pPr>
            <w:r>
              <w:rPr>
                <w:color w:val="333333"/>
                <w:sz w:val="20"/>
              </w:rPr>
              <w:t>Revisar y aprobar las presentaciones de provisiones y cancelaciones</w:t>
            </w:r>
          </w:p>
        </w:tc>
        <w:tc>
          <w:tcPr>
            <w:tcW w:w="1181" w:type="dxa"/>
            <w:vAlign w:val="center"/>
          </w:tcPr>
          <w:p w14:paraId="5D05AFA7" w14:textId="7A829871" w:rsidR="001C7B5F" w:rsidRPr="005D0C34" w:rsidRDefault="001C7B5F" w:rsidP="00830DA9">
            <w:pPr>
              <w:spacing w:after="160" w:line="259" w:lineRule="auto"/>
              <w:ind w:left="0" w:right="0" w:firstLine="0"/>
              <w:jc w:val="center"/>
              <w:rPr>
                <w:lang w:val="es-AR"/>
              </w:rPr>
            </w:pPr>
          </w:p>
        </w:tc>
        <w:tc>
          <w:tcPr>
            <w:tcW w:w="953" w:type="dxa"/>
            <w:vAlign w:val="center"/>
          </w:tcPr>
          <w:p w14:paraId="5D05AFA8" w14:textId="77777777" w:rsidR="001C7B5F" w:rsidRPr="005D0C34" w:rsidRDefault="001C7B5F" w:rsidP="00830DA9">
            <w:pPr>
              <w:spacing w:after="160" w:line="259" w:lineRule="auto"/>
              <w:ind w:left="0" w:right="0" w:firstLine="0"/>
              <w:jc w:val="center"/>
              <w:rPr>
                <w:lang w:val="es-AR"/>
              </w:rPr>
            </w:pPr>
          </w:p>
        </w:tc>
        <w:tc>
          <w:tcPr>
            <w:tcW w:w="924" w:type="dxa"/>
            <w:vAlign w:val="center"/>
          </w:tcPr>
          <w:p w14:paraId="5D05AFA9"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AA"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AB" w14:textId="77777777" w:rsidR="001C7B5F" w:rsidRPr="005D0C34" w:rsidRDefault="001C7B5F" w:rsidP="00830DA9">
            <w:pPr>
              <w:spacing w:after="160" w:line="259" w:lineRule="auto"/>
              <w:ind w:left="0" w:right="0" w:firstLine="0"/>
              <w:jc w:val="center"/>
              <w:rPr>
                <w:lang w:val="es-AR"/>
              </w:rPr>
            </w:pPr>
          </w:p>
        </w:tc>
        <w:tc>
          <w:tcPr>
            <w:tcW w:w="1340" w:type="dxa"/>
            <w:vAlign w:val="center"/>
          </w:tcPr>
          <w:p w14:paraId="5D05AFAC" w14:textId="7F1F2753" w:rsidR="001C7B5F" w:rsidRPr="0038481C" w:rsidRDefault="00574249" w:rsidP="00830DA9">
            <w:pPr>
              <w:spacing w:after="160" w:line="259" w:lineRule="auto"/>
              <w:ind w:left="0" w:right="0" w:firstLine="0"/>
              <w:jc w:val="center"/>
            </w:pPr>
            <w:r>
              <w:rPr>
                <w:color w:val="333333"/>
                <w:sz w:val="20"/>
              </w:rPr>
              <w:t>√</w:t>
            </w:r>
          </w:p>
        </w:tc>
        <w:tc>
          <w:tcPr>
            <w:tcW w:w="1032" w:type="dxa"/>
            <w:vAlign w:val="center"/>
          </w:tcPr>
          <w:p w14:paraId="5D05AFAD"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AE" w14:textId="77777777" w:rsidR="001C7B5F" w:rsidRPr="0038481C" w:rsidRDefault="001C7B5F" w:rsidP="00830DA9">
            <w:pPr>
              <w:spacing w:after="160" w:line="259" w:lineRule="auto"/>
              <w:ind w:left="0" w:right="0" w:firstLine="0"/>
              <w:jc w:val="center"/>
              <w:rPr>
                <w:lang w:val="en-GB"/>
              </w:rPr>
            </w:pPr>
          </w:p>
        </w:tc>
      </w:tr>
      <w:tr w:rsidR="00830DA9" w:rsidRPr="0038481C" w14:paraId="5D05AFB9" w14:textId="77777777" w:rsidTr="2633BD0C">
        <w:trPr>
          <w:trHeight w:val="144"/>
        </w:trPr>
        <w:tc>
          <w:tcPr>
            <w:tcW w:w="2406" w:type="dxa"/>
            <w:vAlign w:val="center"/>
          </w:tcPr>
          <w:p w14:paraId="5D05AFB0" w14:textId="69349A27" w:rsidR="001C7B5F" w:rsidRPr="0038481C" w:rsidRDefault="00574249" w:rsidP="00830DA9">
            <w:pPr>
              <w:spacing w:after="160" w:line="259" w:lineRule="auto"/>
              <w:ind w:left="0" w:right="0" w:firstLine="0"/>
              <w:jc w:val="left"/>
            </w:pPr>
            <w:r>
              <w:rPr>
                <w:color w:val="333333"/>
                <w:sz w:val="20"/>
              </w:rPr>
              <w:t>Conciliar el libro mayor con las cuentas por cobrar y las cuentas de balance</w:t>
            </w:r>
          </w:p>
        </w:tc>
        <w:tc>
          <w:tcPr>
            <w:tcW w:w="1181" w:type="dxa"/>
            <w:vAlign w:val="center"/>
          </w:tcPr>
          <w:p w14:paraId="5D05AFB1" w14:textId="77777777" w:rsidR="001C7B5F" w:rsidRPr="005D0C34" w:rsidRDefault="001C7B5F" w:rsidP="00830DA9">
            <w:pPr>
              <w:spacing w:after="160" w:line="259" w:lineRule="auto"/>
              <w:ind w:left="0" w:right="0" w:firstLine="0"/>
              <w:jc w:val="center"/>
              <w:rPr>
                <w:lang w:val="es-AR"/>
              </w:rPr>
            </w:pPr>
          </w:p>
        </w:tc>
        <w:tc>
          <w:tcPr>
            <w:tcW w:w="953" w:type="dxa"/>
            <w:vAlign w:val="center"/>
          </w:tcPr>
          <w:p w14:paraId="5D05AFB2" w14:textId="77777777" w:rsidR="001C7B5F" w:rsidRPr="005D0C34" w:rsidRDefault="001C7B5F" w:rsidP="00830DA9">
            <w:pPr>
              <w:spacing w:after="160" w:line="259" w:lineRule="auto"/>
              <w:ind w:left="0" w:right="0" w:firstLine="0"/>
              <w:jc w:val="center"/>
              <w:rPr>
                <w:lang w:val="es-AR"/>
              </w:rPr>
            </w:pPr>
          </w:p>
        </w:tc>
        <w:tc>
          <w:tcPr>
            <w:tcW w:w="924" w:type="dxa"/>
            <w:vAlign w:val="center"/>
          </w:tcPr>
          <w:p w14:paraId="5D05AFB3"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B4" w14:textId="77777777" w:rsidR="001C7B5F" w:rsidRPr="005D0C34" w:rsidRDefault="001C7B5F" w:rsidP="00830DA9">
            <w:pPr>
              <w:spacing w:after="160" w:line="259" w:lineRule="auto"/>
              <w:ind w:left="0" w:right="0" w:firstLine="0"/>
              <w:jc w:val="center"/>
              <w:rPr>
                <w:lang w:val="es-AR"/>
              </w:rPr>
            </w:pPr>
          </w:p>
        </w:tc>
        <w:tc>
          <w:tcPr>
            <w:tcW w:w="988" w:type="dxa"/>
            <w:vAlign w:val="center"/>
          </w:tcPr>
          <w:p w14:paraId="5D05AFB5" w14:textId="77777777" w:rsidR="001C7B5F" w:rsidRPr="005D0C34" w:rsidRDefault="001C7B5F" w:rsidP="00830DA9">
            <w:pPr>
              <w:spacing w:after="160" w:line="259" w:lineRule="auto"/>
              <w:ind w:left="0" w:right="0" w:firstLine="0"/>
              <w:jc w:val="center"/>
              <w:rPr>
                <w:lang w:val="es-AR"/>
              </w:rPr>
            </w:pPr>
          </w:p>
        </w:tc>
        <w:tc>
          <w:tcPr>
            <w:tcW w:w="1340" w:type="dxa"/>
            <w:vAlign w:val="center"/>
          </w:tcPr>
          <w:p w14:paraId="5D05AFB6" w14:textId="220AC5E0" w:rsidR="001C7B5F" w:rsidRPr="0038481C" w:rsidRDefault="00574249" w:rsidP="00830DA9">
            <w:pPr>
              <w:spacing w:after="160" w:line="259" w:lineRule="auto"/>
              <w:ind w:left="0" w:right="0" w:firstLine="0"/>
              <w:jc w:val="center"/>
            </w:pPr>
            <w:r>
              <w:rPr>
                <w:color w:val="333333"/>
                <w:sz w:val="20"/>
              </w:rPr>
              <w:t>√</w:t>
            </w:r>
          </w:p>
        </w:tc>
        <w:tc>
          <w:tcPr>
            <w:tcW w:w="1032" w:type="dxa"/>
            <w:vAlign w:val="center"/>
          </w:tcPr>
          <w:p w14:paraId="5D05AFB7" w14:textId="77777777" w:rsidR="001C7B5F" w:rsidRPr="0038481C" w:rsidRDefault="001C7B5F" w:rsidP="00830DA9">
            <w:pPr>
              <w:spacing w:after="160" w:line="259" w:lineRule="auto"/>
              <w:ind w:left="0" w:right="0" w:firstLine="0"/>
              <w:jc w:val="center"/>
              <w:rPr>
                <w:lang w:val="en-GB"/>
              </w:rPr>
            </w:pPr>
          </w:p>
        </w:tc>
        <w:tc>
          <w:tcPr>
            <w:tcW w:w="1025" w:type="dxa"/>
            <w:vAlign w:val="center"/>
          </w:tcPr>
          <w:p w14:paraId="5D05AFB8" w14:textId="77777777" w:rsidR="001C7B5F" w:rsidRPr="0038481C" w:rsidRDefault="001C7B5F" w:rsidP="00830DA9">
            <w:pPr>
              <w:spacing w:after="160" w:line="259" w:lineRule="auto"/>
              <w:ind w:left="0" w:right="0" w:firstLine="0"/>
              <w:jc w:val="center"/>
              <w:rPr>
                <w:lang w:val="en-GB"/>
              </w:rPr>
            </w:pPr>
          </w:p>
        </w:tc>
      </w:tr>
    </w:tbl>
    <w:p w14:paraId="5D05AFBA" w14:textId="7F4C377E" w:rsidR="001C7B5F" w:rsidRDefault="001C7B5F" w:rsidP="00830DA9">
      <w:pPr>
        <w:spacing w:after="160" w:line="259" w:lineRule="auto"/>
        <w:ind w:left="0" w:right="0" w:firstLine="0"/>
        <w:rPr>
          <w:lang w:val="en-GB"/>
        </w:rPr>
      </w:pPr>
    </w:p>
    <w:p w14:paraId="061102B1" w14:textId="77777777" w:rsidR="003C7F30" w:rsidRDefault="003C7F30" w:rsidP="00830DA9">
      <w:pPr>
        <w:spacing w:after="160" w:line="259" w:lineRule="auto"/>
        <w:ind w:left="0" w:right="0" w:firstLine="0"/>
        <w:rPr>
          <w:lang w:val="en-GB"/>
        </w:rPr>
      </w:pPr>
    </w:p>
    <w:p w14:paraId="55A0F832" w14:textId="77777777" w:rsidR="003C7F30" w:rsidRDefault="003C7F30" w:rsidP="00830DA9">
      <w:pPr>
        <w:spacing w:after="160" w:line="259" w:lineRule="auto"/>
        <w:ind w:left="0" w:right="0" w:firstLine="0"/>
        <w:rPr>
          <w:lang w:val="en-GB"/>
        </w:rPr>
      </w:pPr>
    </w:p>
    <w:p w14:paraId="1B5E8356" w14:textId="77777777" w:rsidR="003C7F30" w:rsidRDefault="003C7F30" w:rsidP="00830DA9">
      <w:pPr>
        <w:spacing w:after="160" w:line="259" w:lineRule="auto"/>
        <w:ind w:left="0" w:right="0" w:firstLine="0"/>
        <w:rPr>
          <w:lang w:val="en-GB"/>
        </w:rPr>
      </w:pPr>
    </w:p>
    <w:p w14:paraId="13E146AC" w14:textId="77777777" w:rsidR="003C7F30" w:rsidRDefault="003C7F30" w:rsidP="00830DA9">
      <w:pPr>
        <w:spacing w:after="160" w:line="259" w:lineRule="auto"/>
        <w:ind w:left="0" w:right="0" w:firstLine="0"/>
        <w:rPr>
          <w:lang w:val="en-GB"/>
        </w:rPr>
      </w:pPr>
    </w:p>
    <w:p w14:paraId="4460F273" w14:textId="77777777" w:rsidR="003C7F30" w:rsidRDefault="003C7F30" w:rsidP="00830DA9">
      <w:pPr>
        <w:spacing w:after="160" w:line="259" w:lineRule="auto"/>
        <w:ind w:left="0" w:right="0" w:firstLine="0"/>
        <w:rPr>
          <w:lang w:val="en-GB"/>
        </w:rPr>
      </w:pPr>
    </w:p>
    <w:p w14:paraId="564207EF" w14:textId="77777777" w:rsidR="003C7F30" w:rsidRDefault="003C7F30" w:rsidP="00830DA9">
      <w:pPr>
        <w:spacing w:after="160" w:line="259" w:lineRule="auto"/>
        <w:ind w:left="0" w:right="0" w:firstLine="0"/>
        <w:rPr>
          <w:lang w:val="en-GB"/>
        </w:rPr>
      </w:pPr>
    </w:p>
    <w:p w14:paraId="779D80A9" w14:textId="77777777" w:rsidR="003C7F30" w:rsidRDefault="003C7F30" w:rsidP="003C7F30">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705DBF37" w14:textId="77777777" w:rsidR="003C7F30" w:rsidRDefault="003C7F30" w:rsidP="003C7F30">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bdr w:val="none" w:sz="0" w:space="0" w:color="auto" w:frame="1"/>
        </w:rPr>
        <w:t> </w:t>
      </w:r>
    </w:p>
    <w:p w14:paraId="577D8981" w14:textId="77777777" w:rsidR="003C7F30" w:rsidRPr="003C7F30" w:rsidRDefault="003C7F30" w:rsidP="003C7F30">
      <w:pPr>
        <w:pStyle w:val="NormalWeb"/>
        <w:shd w:val="clear" w:color="auto" w:fill="FFFFFF"/>
        <w:spacing w:before="0" w:beforeAutospacing="0" w:after="0" w:afterAutospacing="0"/>
        <w:jc w:val="center"/>
        <w:rPr>
          <w:rFonts w:ascii="Calibri" w:hAnsi="Calibri"/>
          <w:color w:val="201F1E"/>
          <w:sz w:val="23"/>
          <w:szCs w:val="23"/>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5E813F72" w14:textId="77777777" w:rsidR="003C7F30" w:rsidRPr="003C7F30" w:rsidRDefault="003C7F30" w:rsidP="00830DA9">
      <w:pPr>
        <w:spacing w:after="160" w:line="259" w:lineRule="auto"/>
        <w:ind w:left="0" w:right="0" w:firstLine="0"/>
        <w:rPr>
          <w:lang w:val="es-ES_tradnl"/>
        </w:rPr>
      </w:pPr>
    </w:p>
    <w:sectPr w:rsidR="003C7F30" w:rsidRPr="003C7F30" w:rsidSect="0020643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2639A" w14:textId="77777777" w:rsidR="0097595F" w:rsidRDefault="0097595F">
      <w:pPr>
        <w:spacing w:after="0" w:line="240" w:lineRule="auto"/>
      </w:pPr>
      <w:r>
        <w:separator/>
      </w:r>
    </w:p>
  </w:endnote>
  <w:endnote w:type="continuationSeparator" w:id="0">
    <w:p w14:paraId="77241045" w14:textId="77777777" w:rsidR="0097595F" w:rsidRDefault="00975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AFBD" w14:textId="77777777" w:rsidR="001C7B5F" w:rsidRDefault="00574249">
    <w:pPr>
      <w:spacing w:after="0" w:line="259" w:lineRule="auto"/>
      <w:ind w:left="0" w:right="209" w:firstLine="0"/>
      <w:jc w:val="center"/>
    </w:pPr>
    <w:r>
      <w:fldChar w:fldCharType="begin"/>
    </w:r>
    <w:r>
      <w:instrText xml:space="preserve"> PAGE   \* MERGEFORMAT </w:instrText>
    </w:r>
    <w:r>
      <w:fldChar w:fldCharType="separate"/>
    </w:r>
    <w:r>
      <w:rPr>
        <w:noProof/>
      </w:rPr>
      <w:t>1</w:t>
    </w:r>
    <w:r>
      <w:fldChar w:fldCharType="end"/>
    </w:r>
    <w:r>
      <w:t xml:space="preserve"> </w:t>
    </w:r>
  </w:p>
  <w:p w14:paraId="5D05AFBE" w14:textId="77777777" w:rsidR="001C7B5F" w:rsidRDefault="0057424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AFC0" w14:textId="6380436D" w:rsidR="001C7B5F" w:rsidRDefault="0038481C">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3C7F30">
      <w:rPr>
        <w:b/>
        <w:noProof/>
      </w:rPr>
      <w:t>5</w:t>
    </w:r>
    <w:r>
      <w:rPr>
        <w:b/>
      </w:rPr>
      <w:fldChar w:fldCharType="end"/>
    </w:r>
    <w:r>
      <w:t xml:space="preserve"> de </w:t>
    </w:r>
    <w:r>
      <w:rPr>
        <w:b/>
      </w:rPr>
      <w:fldChar w:fldCharType="begin"/>
    </w:r>
    <w:r>
      <w:rPr>
        <w:b/>
      </w:rPr>
      <w:instrText xml:space="preserve"> NUMPAGES  \* Arabic  \* MERGEFORMAT </w:instrText>
    </w:r>
    <w:r>
      <w:rPr>
        <w:b/>
      </w:rPr>
      <w:fldChar w:fldCharType="separate"/>
    </w:r>
    <w:r w:rsidR="003C7F30">
      <w:rPr>
        <w:b/>
        <w:noProof/>
      </w:rPr>
      <w:t>5</w:t>
    </w:r>
    <w:r>
      <w:rPr>
        <w:b/>
      </w:rPr>
      <w:fldChar w:fldCharType="end"/>
    </w:r>
    <w:r>
      <w:ptab w:relativeTo="margin" w:alignment="center" w:leader="none"/>
    </w:r>
    <w:r>
      <w:t xml:space="preserve">Fecha de entrada en vigor: </w:t>
    </w:r>
    <w:r w:rsidR="0097509A" w:rsidRPr="0097509A">
      <w:t>01/01/2012</w:t>
    </w:r>
    <w:r w:rsidR="0097509A" w:rsidRPr="0097509A">
      <w:t xml:space="preserve"> </w:t>
    </w:r>
    <w:r>
      <w:ptab w:relativeTo="margin" w:alignment="right" w:leader="none"/>
    </w:r>
    <w:r>
      <w:t xml:space="preserve">Versión n.º: </w:t>
    </w:r>
    <w:sdt>
      <w:sdtPr>
        <w:alias w:val="POPPRefItemVersion"/>
        <w:tag w:val="UNDP_POPP_REFITEM_VERSION"/>
        <w:id w:val="-1429033275"/>
        <w:placeholder>
          <w:docPart w:val="385EABD4CCDF49FBA92FB6BEDCA8DBF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CAB57A7-5CEB-4570-B928-51CB4745AF30}"/>
        <w:text/>
      </w:sdtPr>
      <w:sdtContent>
        <w:r w:rsidR="00100166">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AFC1" w14:textId="77777777" w:rsidR="001C7B5F" w:rsidRDefault="00574249">
    <w:pPr>
      <w:spacing w:after="0" w:line="259" w:lineRule="auto"/>
      <w:ind w:left="0" w:right="209" w:firstLine="0"/>
      <w:jc w:val="center"/>
    </w:pPr>
    <w:r>
      <w:fldChar w:fldCharType="begin"/>
    </w:r>
    <w:r>
      <w:instrText xml:space="preserve"> PAGE   \* MERGEFORMAT </w:instrText>
    </w:r>
    <w:r>
      <w:fldChar w:fldCharType="separate"/>
    </w:r>
    <w:r>
      <w:rPr>
        <w:noProof/>
      </w:rPr>
      <w:t>1</w:t>
    </w:r>
    <w:r>
      <w:fldChar w:fldCharType="end"/>
    </w:r>
    <w:r>
      <w:t xml:space="preserve"> </w:t>
    </w:r>
  </w:p>
  <w:p w14:paraId="5D05AFC2" w14:textId="77777777" w:rsidR="001C7B5F" w:rsidRDefault="00574249">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71B1C" w14:textId="77777777" w:rsidR="0097595F" w:rsidRDefault="0097595F">
      <w:pPr>
        <w:spacing w:after="0" w:line="240" w:lineRule="auto"/>
      </w:pPr>
      <w:r>
        <w:separator/>
      </w:r>
    </w:p>
  </w:footnote>
  <w:footnote w:type="continuationSeparator" w:id="0">
    <w:p w14:paraId="374B63DB" w14:textId="77777777" w:rsidR="0097595F" w:rsidRDefault="00975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1281D" w14:textId="77777777" w:rsidR="00E720ED" w:rsidRDefault="00E72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36F9D" w14:textId="7015F91A" w:rsidR="00830DA9" w:rsidRDefault="00E720ED" w:rsidP="00830DA9">
    <w:pPr>
      <w:pStyle w:val="Header"/>
      <w:jc w:val="right"/>
    </w:pPr>
    <w:r>
      <w:rPr>
        <w:noProof/>
      </w:rPr>
      <w:drawing>
        <wp:inline distT="0" distB="0" distL="0" distR="0" wp14:anchorId="16025E79" wp14:editId="73EEFD87">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D306" w14:textId="77777777" w:rsidR="00E720ED" w:rsidRDefault="00E72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B49D0"/>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E250E"/>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D50B3"/>
    <w:multiLevelType w:val="hybridMultilevel"/>
    <w:tmpl w:val="4E2EB344"/>
    <w:lvl w:ilvl="0" w:tplc="D8ACC2A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C074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6E4E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EEDCD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8AA4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24B5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68E4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44DB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316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8043A8"/>
    <w:multiLevelType w:val="hybridMultilevel"/>
    <w:tmpl w:val="80B06124"/>
    <w:lvl w:ilvl="0" w:tplc="3DB01BF8">
      <w:start w:val="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389DFA">
      <w:start w:val="1"/>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068EB6">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78DF46">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72D716">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E48F16">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2E1BCA">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3026AC">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14D7D8">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07240BB"/>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757875"/>
    <w:multiLevelType w:val="hybridMultilevel"/>
    <w:tmpl w:val="FA16E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95708"/>
    <w:multiLevelType w:val="hybridMultilevel"/>
    <w:tmpl w:val="45646C50"/>
    <w:lvl w:ilvl="0" w:tplc="CF8A856A">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243E78">
      <w:start w:val="1"/>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E276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6340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A6DA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EC7C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60BDC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D6EA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24447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5303431">
    <w:abstractNumId w:val="2"/>
  </w:num>
  <w:num w:numId="2" w16cid:durableId="140079979">
    <w:abstractNumId w:val="6"/>
  </w:num>
  <w:num w:numId="3" w16cid:durableId="213547785">
    <w:abstractNumId w:val="3"/>
  </w:num>
  <w:num w:numId="4" w16cid:durableId="268900686">
    <w:abstractNumId w:val="0"/>
  </w:num>
  <w:num w:numId="5" w16cid:durableId="1381323641">
    <w:abstractNumId w:val="1"/>
  </w:num>
  <w:num w:numId="6" w16cid:durableId="184681350">
    <w:abstractNumId w:val="5"/>
  </w:num>
  <w:num w:numId="7" w16cid:durableId="1135218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B5F"/>
    <w:rsid w:val="000A5D05"/>
    <w:rsid w:val="00100166"/>
    <w:rsid w:val="001C7B5F"/>
    <w:rsid w:val="00206433"/>
    <w:rsid w:val="0038481C"/>
    <w:rsid w:val="003C7F30"/>
    <w:rsid w:val="0046466D"/>
    <w:rsid w:val="00574249"/>
    <w:rsid w:val="005C5ACC"/>
    <w:rsid w:val="005D0C34"/>
    <w:rsid w:val="006061F2"/>
    <w:rsid w:val="00671E6C"/>
    <w:rsid w:val="006977ED"/>
    <w:rsid w:val="008050A8"/>
    <w:rsid w:val="00830DA9"/>
    <w:rsid w:val="0097509A"/>
    <w:rsid w:val="0097595F"/>
    <w:rsid w:val="00A85A3F"/>
    <w:rsid w:val="00AE4967"/>
    <w:rsid w:val="00B432AC"/>
    <w:rsid w:val="00B86066"/>
    <w:rsid w:val="00C00172"/>
    <w:rsid w:val="00C40787"/>
    <w:rsid w:val="00C6615D"/>
    <w:rsid w:val="00CD6FB8"/>
    <w:rsid w:val="00CF6CE4"/>
    <w:rsid w:val="00E720ED"/>
    <w:rsid w:val="00E74B0A"/>
    <w:rsid w:val="00ED698A"/>
    <w:rsid w:val="00FE3996"/>
    <w:rsid w:val="06A071ED"/>
    <w:rsid w:val="0DBE1A40"/>
    <w:rsid w:val="20947E12"/>
    <w:rsid w:val="2108D7C5"/>
    <w:rsid w:val="240A9834"/>
    <w:rsid w:val="2633BD0C"/>
    <w:rsid w:val="298BC697"/>
    <w:rsid w:val="2C1CCD56"/>
    <w:rsid w:val="319C3C95"/>
    <w:rsid w:val="35898133"/>
    <w:rsid w:val="3F92B782"/>
    <w:rsid w:val="481C57A1"/>
    <w:rsid w:val="4C788754"/>
    <w:rsid w:val="4DDB01FE"/>
    <w:rsid w:val="588F9FE3"/>
    <w:rsid w:val="721C0EAB"/>
    <w:rsid w:val="7A67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5AE55"/>
  <w15:docId w15:val="{BD19A99F-50D0-47BC-920D-F8C1A7F4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49" w:lineRule="auto"/>
      <w:ind w:left="730" w:right="21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30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DA9"/>
    <w:rPr>
      <w:rFonts w:ascii="Calibri" w:eastAsia="Calibri" w:hAnsi="Calibri" w:cs="Calibri"/>
      <w:color w:val="000000"/>
    </w:rPr>
  </w:style>
  <w:style w:type="character" w:styleId="PlaceholderText">
    <w:name w:val="Placeholder Text"/>
    <w:basedOn w:val="DefaultParagraphFont"/>
    <w:uiPriority w:val="99"/>
    <w:semiHidden/>
    <w:rsid w:val="00830DA9"/>
    <w:rPr>
      <w:color w:val="808080"/>
    </w:rPr>
  </w:style>
  <w:style w:type="paragraph" w:styleId="ListParagraph">
    <w:name w:val="List Paragraph"/>
    <w:basedOn w:val="Normal"/>
    <w:uiPriority w:val="34"/>
    <w:qFormat/>
    <w:rsid w:val="00830DA9"/>
    <w:pPr>
      <w:ind w:left="720"/>
      <w:contextualSpacing/>
    </w:pPr>
  </w:style>
  <w:style w:type="table" w:styleId="TableGrid0">
    <w:name w:val="Table Grid"/>
    <w:basedOn w:val="TableNormal"/>
    <w:uiPriority w:val="39"/>
    <w:rsid w:val="00830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81C"/>
    <w:rPr>
      <w:rFonts w:ascii="Tahoma" w:eastAsia="Calibri" w:hAnsi="Tahoma" w:cs="Tahoma"/>
      <w:color w:val="000000"/>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3C7F3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296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85EABD4CCDF49FBA92FB6BEDCA8DBF8"/>
        <w:category>
          <w:name w:val="General"/>
          <w:gallery w:val="placeholder"/>
        </w:category>
        <w:types>
          <w:type w:val="bbPlcHdr"/>
        </w:types>
        <w:behaviors>
          <w:behavior w:val="content"/>
        </w:behaviors>
        <w:guid w:val="{669DB40A-106B-4631-9CC8-DDAF2EE629C8}"/>
      </w:docPartPr>
      <w:docPartBody>
        <w:p w:rsidR="009300E4" w:rsidRDefault="00B432AC">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734"/>
    <w:rsid w:val="000A5D05"/>
    <w:rsid w:val="002B57F2"/>
    <w:rsid w:val="004C11A1"/>
    <w:rsid w:val="005510F5"/>
    <w:rsid w:val="006A658E"/>
    <w:rsid w:val="00864666"/>
    <w:rsid w:val="008930E4"/>
    <w:rsid w:val="009300E4"/>
    <w:rsid w:val="00B344F2"/>
    <w:rsid w:val="00B432AC"/>
    <w:rsid w:val="00BC4734"/>
    <w:rsid w:val="00D2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C5E9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2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Cuentas por cobrar</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POPP-11-3181</_dlc_DocId>
    <_dlc_DocIdUrl xmlns="8264c5cc-ec60-4b56-8111-ce635d3d139a">
      <Url>https://popp.undp.org/_layouts/15/DocIdRedir.aspx?ID=POPP-11-3181</Url>
      <Description>POPP-11-3181</Description>
    </_dlc_DocIdUrl>
    <UNDP_POPP_REFITEM_VERSION xmlns="8264c5cc-ec60-4b56-8111-ce635d3d139a">4</UNDP_POPP_REFITEM_VERSION>
    <DLCPolicyLabelLock xmlns="e560140e-7b2f-4392-90df-e7567e3021a3" xsi:nil="true"/>
    <DLCPolicyLabelClientValue xmlns="e560140e-7b2f-4392-90df-e7567e3021a3">Effective Date: 01/01/2012                                                Version #: 4.0</DLCPolicyLabelClientValue>
    <UNDP_POPP_LASTMODIFIED xmlns="8264c5cc-ec60-4b56-8111-ce635d3d139a" xsi:nil="true"/>
    <DLCPolicyLabelValue xmlns="e560140e-7b2f-4392-90df-e7567e3021a3">Effective Date: 01/01/2012                                                Version #: 4</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6C38A75B-7FBA-4DFA-8376-55B41D0A5B72}">
  <ds:schemaRefs>
    <ds:schemaRef ds:uri="http://schemas.microsoft.com/sharepoint/v3/contenttype/forms"/>
  </ds:schemaRefs>
</ds:datastoreItem>
</file>

<file path=customXml/itemProps2.xml><?xml version="1.0" encoding="utf-8"?>
<ds:datastoreItem xmlns:ds="http://schemas.openxmlformats.org/officeDocument/2006/customXml" ds:itemID="{00CCD44F-E6E2-4B5A-AFB7-487F55E97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9BBDB-75D8-40FB-9B72-6C374BD1F6BA}">
  <ds:schemaRefs>
    <ds:schemaRef ds:uri="http://schemas.microsoft.com/sharepoint/events"/>
  </ds:schemaRefs>
</ds:datastoreItem>
</file>

<file path=customXml/itemProps4.xml><?xml version="1.0" encoding="utf-8"?>
<ds:datastoreItem xmlns:ds="http://schemas.openxmlformats.org/officeDocument/2006/customXml" ds:itemID="{70BF3B0F-665B-450D-BF8A-5D74A2F0B7E2}">
  <ds:schemaRefs>
    <ds:schemaRef ds:uri="office.server.policy"/>
  </ds:schemaRefs>
</ds:datastoreItem>
</file>

<file path=customXml/itemProps5.xml><?xml version="1.0" encoding="utf-8"?>
<ds:datastoreItem xmlns:ds="http://schemas.openxmlformats.org/officeDocument/2006/customXml" ds:itemID="{5CAB57A7-5CEB-4570-B928-51CB4745AF30}">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8</cp:revision>
  <cp:lastPrinted>2019-08-26T18:27:00Z</cp:lastPrinted>
  <dcterms:created xsi:type="dcterms:W3CDTF">2020-03-12T18:32:00Z</dcterms:created>
  <dcterms:modified xsi:type="dcterms:W3CDTF">2024-06-04T12:35:00Z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293717b8-e286-458d-8a4c-f2c03e20e604</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