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84E2" w14:textId="03BF7200" w:rsidR="00A2358F" w:rsidRDefault="00A2358F" w:rsidP="00B64B98">
      <w:pPr>
        <w:shd w:val="clear" w:color="auto" w:fill="FFFFFF"/>
        <w:spacing w:line="240" w:lineRule="auto"/>
        <w:textAlignment w:val="top"/>
        <w:rPr>
          <w:rFonts w:ascii="Arial" w:eastAsia="Times New Roman" w:hAnsi="Arial" w:cs="Arial"/>
          <w:noProof/>
          <w:color w:val="333333"/>
          <w:sz w:val="20"/>
          <w:szCs w:val="20"/>
          <w:lang w:eastAsia="en-US"/>
        </w:rPr>
      </w:pPr>
    </w:p>
    <w:p w14:paraId="7EE7715C" w14:textId="58D3BB91" w:rsidR="00C3122F" w:rsidRPr="00C3122F" w:rsidRDefault="00C3122F" w:rsidP="00C3122F">
      <w:pPr>
        <w:rPr>
          <w:rFonts w:ascii="Arial" w:eastAsia="Times New Roman" w:hAnsi="Arial" w:cs="Arial"/>
          <w:b/>
          <w:bCs/>
          <w:sz w:val="24"/>
          <w:szCs w:val="30"/>
          <w:u w:val="single"/>
        </w:rPr>
      </w:pPr>
      <w:r>
        <w:rPr>
          <w:rFonts w:ascii="Arial" w:hAnsi="Arial"/>
          <w:b/>
          <w:bCs/>
          <w:sz w:val="24"/>
          <w:szCs w:val="30"/>
          <w:u w:val="single"/>
        </w:rPr>
        <w:t>Gestion de la petite caisse</w:t>
      </w:r>
      <w:bookmarkStart w:id="0" w:name="Description"/>
      <w:bookmarkEnd w:id="0"/>
    </w:p>
    <w:p w14:paraId="3BCCBAB0" w14:textId="77777777" w:rsidR="00C3122F" w:rsidRPr="00F57622" w:rsidRDefault="00C3122F" w:rsidP="00C3122F">
      <w:pPr>
        <w:shd w:val="clear" w:color="auto" w:fill="FFFFFF"/>
        <w:spacing w:after="0" w:line="240" w:lineRule="auto"/>
        <w:textAlignment w:val="top"/>
        <w:rPr>
          <w:rFonts w:ascii="Arial" w:eastAsia="Times New Roman" w:hAnsi="Arial" w:cs="Arial"/>
          <w:sz w:val="20"/>
          <w:szCs w:val="20"/>
        </w:rPr>
      </w:pPr>
      <w:r>
        <w:rPr>
          <w:rFonts w:ascii="Arial" w:hAnsi="Arial"/>
          <w:sz w:val="20"/>
          <w:szCs w:val="20"/>
        </w:rPr>
        <w:t xml:space="preserve">​ </w:t>
      </w:r>
    </w:p>
    <w:p w14:paraId="3822B693" w14:textId="1009B316"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xml:space="preserve">En raison de la nature de la mission du PNUD et de ses conditions opérationnelles uniques et difficiles dans le monde entier, les bureaux de pays sont souvent tenus d’utiliser des liquidités pour effectuer des paiements afin d’atteindre les objectifs des programmes/projets </w:t>
      </w:r>
      <w:r w:rsidR="00F13E8D">
        <w:rPr>
          <w:rFonts w:ascii="Arial" w:hAnsi="Arial"/>
          <w:sz w:val="20"/>
          <w:szCs w:val="20"/>
        </w:rPr>
        <w:t>lorsqu’il n’existe pas d’autres</w:t>
      </w:r>
      <w:r w:rsidR="00F13E8D">
        <w:rPr>
          <w:rFonts w:ascii="Arial" w:hAnsi="Arial"/>
          <w:sz w:val="20"/>
          <w:szCs w:val="20"/>
        </w:rPr>
        <w:br/>
      </w:r>
      <w:r>
        <w:rPr>
          <w:rFonts w:ascii="Arial" w:hAnsi="Arial"/>
          <w:sz w:val="20"/>
          <w:szCs w:val="20"/>
        </w:rPr>
        <w:t xml:space="preserve">solutions viables. </w:t>
      </w:r>
    </w:p>
    <w:p w14:paraId="26C2E791" w14:textId="77777777"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w:t>
      </w:r>
    </w:p>
    <w:p w14:paraId="1E3A6811" w14:textId="63F0C344"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xml:space="preserve">Les Directives des POPP relatives à la convention de trésorerie (« Directives ») visent à rendre compte des divers problèmes opérationnels observés dans les bureaux de pays du PNUD et à fournir des solutions appropriées qui mettent l’accent sur la flexibilité, la redevabilité, le suivi et l’atténuation des risques.  Il convient de noter que l’établissement de tout type de convention de trésorerie </w:t>
      </w:r>
      <w:r w:rsidR="00CD7089">
        <w:rPr>
          <w:rFonts w:ascii="Arial" w:hAnsi="Arial"/>
          <w:sz w:val="20"/>
          <w:szCs w:val="20"/>
        </w:rPr>
        <w:t xml:space="preserve">couvert  </w:t>
      </w:r>
      <w:r>
        <w:rPr>
          <w:rFonts w:ascii="Arial" w:hAnsi="Arial"/>
          <w:sz w:val="20"/>
          <w:szCs w:val="20"/>
        </w:rPr>
        <w:t xml:space="preserve">par les Directives doit être justifié en fonction des besoins opérationnels.  Cette (ces) convention(s) ne constitue pas un droit dont peut ou doit disposer chaque bureau et/ou projet, en particulier pour les projets de développement.  Tous les efforts doivent être déployés pour intégrer les exigences du projet dans les cadres de paiement existants sans avoir recours à aucun type de convention de trésorerie ou à un prestataire de services tiers. De plus, dans l’évaluation de ces besoins opérationnels, les considérations relatives à la souplesse et à la « commodité » doivent être contrebalancées par les considérations relatives à la redevabilité, au contrôle interne et aux risques pour la sécurité.  Enfin, l’utilisation de tout type de convention de trésorerie avec les directives </w:t>
      </w:r>
      <w:r>
        <w:rPr>
          <w:rFonts w:ascii="Arial" w:hAnsi="Arial"/>
          <w:b/>
          <w:sz w:val="20"/>
          <w:szCs w:val="20"/>
          <w:u w:val="single"/>
        </w:rPr>
        <w:t>n’empêche pas le bureau de pays de respecter les règles applicables en matière d’approvisionnement</w:t>
      </w:r>
      <w:r>
        <w:rPr>
          <w:rFonts w:ascii="Arial" w:hAnsi="Arial"/>
          <w:sz w:val="20"/>
          <w:szCs w:val="20"/>
        </w:rPr>
        <w:t>.</w:t>
      </w:r>
    </w:p>
    <w:p w14:paraId="41B7051B" w14:textId="77777777" w:rsidR="00C3122F"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p>
    <w:p w14:paraId="254BA7BD" w14:textId="77777777" w:rsidR="00C3122F" w:rsidRPr="00F57622" w:rsidRDefault="00C3122F" w:rsidP="00C3122F">
      <w:pPr>
        <w:shd w:val="clear" w:color="auto" w:fill="FFFFFF"/>
        <w:spacing w:after="0" w:line="312" w:lineRule="auto"/>
        <w:jc w:val="both"/>
        <w:textAlignment w:val="top"/>
        <w:rPr>
          <w:rFonts w:ascii="Arial" w:eastAsia="Times New Roman" w:hAnsi="Arial" w:cs="Arial"/>
          <w:color w:val="333333"/>
          <w:sz w:val="20"/>
          <w:szCs w:val="20"/>
          <w:u w:val="single"/>
        </w:rPr>
      </w:pPr>
      <w:r>
        <w:rPr>
          <w:rFonts w:ascii="Arial" w:hAnsi="Arial"/>
          <w:color w:val="333333"/>
          <w:sz w:val="20"/>
          <w:szCs w:val="20"/>
          <w:u w:val="single"/>
        </w:rPr>
        <w:t>Règle financière 125.09</w:t>
      </w:r>
    </w:p>
    <w:p w14:paraId="626EC9B6" w14:textId="77777777" w:rsidR="00C3122F" w:rsidRPr="00F57622" w:rsidRDefault="00C3122F" w:rsidP="00C3122F">
      <w:pPr>
        <w:pStyle w:val="NormalWeb"/>
        <w:spacing w:line="360" w:lineRule="auto"/>
        <w:jc w:val="both"/>
        <w:rPr>
          <w:rFonts w:ascii="Arial" w:hAnsi="Arial" w:cs="Arial"/>
          <w:i/>
          <w:sz w:val="20"/>
          <w:szCs w:val="20"/>
        </w:rPr>
      </w:pPr>
      <w:r>
        <w:rPr>
          <w:rFonts w:ascii="Arial" w:hAnsi="Arial"/>
          <w:i/>
          <w:sz w:val="20"/>
          <w:szCs w:val="20"/>
        </w:rPr>
        <w:t xml:space="preserve">« Des avances de petite caisse peuvent être faites aux fonctionnaires désignés par le trésorier ou par la personne qu’il aura désignée, à partir des comptes de petite caisse. Le trésorier peut, sous réserve de garanties suffisantes, autoriser les avances de caisse à partir de la petite caisse à du personnel n’ayant pas qualité de fonctionnaire, à concurrence d’un montant qu’il aura fixé. Les comptes de petite caisse doivent être tenus suivant la méthode de la caisse à montant fixe. Le montant et l’objet de chaque compte doivent être définis par le trésorier. Le montant détenu doit être le minimum compatible avec les besoins du travail. » </w:t>
      </w:r>
    </w:p>
    <w:p w14:paraId="4F3D32F8" w14:textId="78526775" w:rsidR="00C3122F" w:rsidRDefault="00F13E8D" w:rsidP="00C3122F">
      <w:pPr>
        <w:shd w:val="clear" w:color="auto" w:fill="FFFFFF"/>
        <w:spacing w:after="0" w:line="312" w:lineRule="auto"/>
        <w:jc w:val="both"/>
        <w:textAlignment w:val="top"/>
        <w:rPr>
          <w:rFonts w:ascii="Arial" w:eastAsia="Times New Roman" w:hAnsi="Arial" w:cs="Arial"/>
          <w:color w:val="333333"/>
          <w:sz w:val="20"/>
          <w:szCs w:val="20"/>
        </w:rPr>
      </w:pPr>
      <w:r w:rsidRPr="00F13E8D">
        <w:rPr>
          <w:rFonts w:ascii="Arial" w:eastAsia="Times New Roman" w:hAnsi="Arial" w:cs="Arial"/>
          <w:noProof/>
          <w:color w:val="333333"/>
          <w:sz w:val="20"/>
          <w:szCs w:val="20"/>
          <w:lang w:val="en-US" w:eastAsia="en-US"/>
        </w:rPr>
        <w:lastRenderedPageBreak/>
        <w:drawing>
          <wp:inline distT="0" distB="0" distL="0" distR="0" wp14:anchorId="34AD1AD7" wp14:editId="4F5978C5">
            <wp:extent cx="5943600" cy="4720941"/>
            <wp:effectExtent l="0" t="0" r="0" b="3810"/>
            <wp:docPr id="9" name="Imagen 9" descr="C:\Users\Usuario\Desktop\Nueva carpeta\Management of Petty Cash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esktop\Nueva carpeta\Management of Petty Cash 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20941"/>
                    </a:xfrm>
                    <a:prstGeom prst="rect">
                      <a:avLst/>
                    </a:prstGeom>
                    <a:noFill/>
                    <a:ln>
                      <a:noFill/>
                    </a:ln>
                  </pic:spPr>
                </pic:pic>
              </a:graphicData>
            </a:graphic>
          </wp:inline>
        </w:drawing>
      </w:r>
    </w:p>
    <w:p w14:paraId="79D9247D" w14:textId="77777777" w:rsidR="00C3122F"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p>
    <w:p w14:paraId="1A59CBCB" w14:textId="77777777" w:rsidR="00C3122F" w:rsidRPr="000C0226"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Les Directives portent sur les éventuelles conventions de trésorerie suivantes. Veuillez consulter les sections spécifiques des POPP pour connaître chacune des politiques et des procédures :</w:t>
      </w:r>
    </w:p>
    <w:p w14:paraId="01EBF24F"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 </w:t>
      </w:r>
    </w:p>
    <w:p w14:paraId="53BB5FB8"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 xml:space="preserve">Fonds de petite caisse (FCP) pour le bureau principal du bureau de pays (aussi connu sous le nom de projet de gestion) </w:t>
      </w:r>
    </w:p>
    <w:p w14:paraId="5653F754"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 xml:space="preserve">Fonds de petite caisse pour les projets de développement (PPCF) dans les régions éloignées         </w:t>
      </w:r>
    </w:p>
    <w:p w14:paraId="6E44280E" w14:textId="267FEF42" w:rsidR="00C3122F" w:rsidRPr="0011565D" w:rsidRDefault="00D67B2B"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Trésorerie de projet en main</w:t>
      </w:r>
      <w:r w:rsidR="00C3122F">
        <w:rPr>
          <w:rFonts w:ascii="Arial" w:hAnsi="Arial"/>
          <w:color w:val="333333"/>
          <w:sz w:val="20"/>
          <w:szCs w:val="20"/>
        </w:rPr>
        <w:t xml:space="preserve"> (PCH) (besoins monétaires &gt; montant du PPCF)</w:t>
      </w:r>
    </w:p>
    <w:p w14:paraId="47C1996C"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Avance de trésorerie de projet (PCA) (activité de projet ponctuelle requise)</w:t>
      </w:r>
    </w:p>
    <w:p w14:paraId="69279348"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p>
    <w:p w14:paraId="2E4A2333" w14:textId="77777777" w:rsidR="00C3122F" w:rsidRDefault="00C3122F" w:rsidP="00C3122F">
      <w:pPr>
        <w:shd w:val="clear" w:color="auto" w:fill="FFFFFF"/>
        <w:spacing w:after="0" w:line="312" w:lineRule="auto"/>
        <w:jc w:val="both"/>
        <w:textAlignment w:val="top"/>
        <w:rPr>
          <w:rFonts w:ascii="Arial" w:hAnsi="Arial" w:cs="Arial"/>
          <w:sz w:val="20"/>
          <w:szCs w:val="20"/>
        </w:rPr>
      </w:pPr>
      <w:r>
        <w:rPr>
          <w:rFonts w:ascii="Arial" w:hAnsi="Arial"/>
          <w:color w:val="333333"/>
          <w:sz w:val="20"/>
          <w:szCs w:val="20"/>
        </w:rPr>
        <w:t>À compter du 1</w:t>
      </w:r>
      <w:r>
        <w:rPr>
          <w:rFonts w:ascii="Arial" w:hAnsi="Arial"/>
          <w:color w:val="333333"/>
          <w:sz w:val="20"/>
          <w:szCs w:val="20"/>
          <w:vertAlign w:val="superscript"/>
        </w:rPr>
        <w:t>er</w:t>
      </w:r>
      <w:r>
        <w:rPr>
          <w:rFonts w:ascii="Arial" w:hAnsi="Arial"/>
          <w:color w:val="333333"/>
          <w:sz w:val="20"/>
          <w:szCs w:val="20"/>
        </w:rPr>
        <w:t xml:space="preserve"> septembre 2018,</w:t>
      </w:r>
      <w:r>
        <w:rPr>
          <w:rFonts w:ascii="Arial" w:hAnsi="Arial"/>
          <w:sz w:val="20"/>
          <w:szCs w:val="20"/>
        </w:rPr>
        <w:t xml:space="preserve"> les augmentations des niveaux de la convention de trésorerie, et la délégation d’autorité y afférente, entreront en vigueur de la façon suivante : </w:t>
      </w:r>
    </w:p>
    <w:p w14:paraId="6D352089" w14:textId="371459A7" w:rsidR="00F13E8D" w:rsidRDefault="00F13E8D" w:rsidP="00C3122F">
      <w:pPr>
        <w:shd w:val="clear" w:color="auto" w:fill="FFFFFF"/>
        <w:spacing w:after="0" w:line="312" w:lineRule="auto"/>
        <w:jc w:val="both"/>
        <w:textAlignment w:val="top"/>
        <w:rPr>
          <w:rFonts w:ascii="Arial" w:hAnsi="Arial" w:cs="Arial"/>
          <w:sz w:val="20"/>
          <w:szCs w:val="20"/>
        </w:rPr>
      </w:pPr>
      <w:r>
        <w:rPr>
          <w:rFonts w:ascii="Arial" w:hAnsi="Arial" w:cs="Arial"/>
          <w:sz w:val="20"/>
          <w:szCs w:val="20"/>
        </w:rPr>
        <w:br w:type="page"/>
      </w:r>
    </w:p>
    <w:p w14:paraId="22C01BE2" w14:textId="77777777" w:rsidR="00C3122F" w:rsidRPr="00F57622" w:rsidRDefault="00C3122F" w:rsidP="00C3122F">
      <w:pPr>
        <w:shd w:val="clear" w:color="auto" w:fill="FFFFFF"/>
        <w:spacing w:after="0" w:line="312" w:lineRule="auto"/>
        <w:jc w:val="both"/>
        <w:textAlignment w:val="top"/>
        <w:rPr>
          <w:rFonts w:ascii="Arial" w:hAnsi="Arial" w:cs="Arial"/>
          <w:sz w:val="20"/>
          <w:szCs w:val="20"/>
        </w:rPr>
      </w:pPr>
    </w:p>
    <w:tbl>
      <w:tblPr>
        <w:tblStyle w:val="TableGrid"/>
        <w:tblW w:w="0" w:type="auto"/>
        <w:tblLook w:val="04A0" w:firstRow="1" w:lastRow="0" w:firstColumn="1" w:lastColumn="0" w:noHBand="0" w:noVBand="1"/>
      </w:tblPr>
      <w:tblGrid>
        <w:gridCol w:w="1394"/>
        <w:gridCol w:w="8005"/>
      </w:tblGrid>
      <w:tr w:rsidR="00C3122F" w14:paraId="0FA6BD0A" w14:textId="77777777" w:rsidTr="00B22887">
        <w:tc>
          <w:tcPr>
            <w:tcW w:w="1345" w:type="dxa"/>
          </w:tcPr>
          <w:p w14:paraId="2A2E0CC6" w14:textId="77777777" w:rsidR="00C3122F" w:rsidRDefault="00C3122F" w:rsidP="00B22887">
            <w:pPr>
              <w:rPr>
                <w:rFonts w:ascii="Arial" w:hAnsi="Arial" w:cs="Arial"/>
                <w:sz w:val="20"/>
                <w:szCs w:val="20"/>
              </w:rPr>
            </w:pPr>
            <w:r>
              <w:rPr>
                <w:rFonts w:ascii="Arial" w:hAnsi="Arial"/>
                <w:sz w:val="20"/>
                <w:szCs w:val="20"/>
              </w:rPr>
              <w:t>PCF              </w:t>
            </w:r>
          </w:p>
        </w:tc>
        <w:tc>
          <w:tcPr>
            <w:tcW w:w="8005" w:type="dxa"/>
          </w:tcPr>
          <w:p w14:paraId="43ACDC13" w14:textId="77777777" w:rsidR="00C3122F" w:rsidRPr="00F57622" w:rsidRDefault="00C3122F" w:rsidP="00C3122F">
            <w:pPr>
              <w:pStyle w:val="ListParagraph"/>
              <w:numPr>
                <w:ilvl w:val="0"/>
                <w:numId w:val="5"/>
              </w:numPr>
              <w:rPr>
                <w:rFonts w:ascii="Arial" w:hAnsi="Arial" w:cs="Arial"/>
                <w:sz w:val="20"/>
                <w:szCs w:val="20"/>
              </w:rPr>
            </w:pPr>
            <w:r>
              <w:rPr>
                <w:rFonts w:ascii="Arial" w:hAnsi="Arial"/>
                <w:sz w:val="20"/>
                <w:szCs w:val="20"/>
              </w:rPr>
              <w:t>Augmentation de la limite de 1000 $ à 2500 $</w:t>
            </w:r>
          </w:p>
          <w:p w14:paraId="59839E11" w14:textId="77777777" w:rsidR="00C3122F" w:rsidRDefault="00C3122F" w:rsidP="00C3122F">
            <w:pPr>
              <w:pStyle w:val="ListParagraph"/>
              <w:numPr>
                <w:ilvl w:val="0"/>
                <w:numId w:val="5"/>
              </w:numPr>
              <w:rPr>
                <w:rFonts w:ascii="Arial" w:hAnsi="Arial" w:cs="Arial"/>
                <w:sz w:val="20"/>
                <w:szCs w:val="20"/>
              </w:rPr>
            </w:pPr>
            <w:r>
              <w:rPr>
                <w:rFonts w:ascii="Arial" w:hAnsi="Arial"/>
                <w:sz w:val="20"/>
                <w:szCs w:val="20"/>
              </w:rPr>
              <w:t>Augmentation de la limite par paiement de 100 $ à 250 $</w:t>
            </w:r>
          </w:p>
          <w:p w14:paraId="2953D1DC" w14:textId="77777777" w:rsidR="00C3122F" w:rsidRPr="00F57622" w:rsidRDefault="00C3122F" w:rsidP="00B22887">
            <w:pPr>
              <w:pStyle w:val="ListParagraph"/>
              <w:rPr>
                <w:rFonts w:ascii="Arial" w:hAnsi="Arial" w:cs="Arial"/>
                <w:sz w:val="20"/>
                <w:szCs w:val="20"/>
              </w:rPr>
            </w:pPr>
          </w:p>
        </w:tc>
      </w:tr>
      <w:tr w:rsidR="00C3122F" w14:paraId="0CD51F80" w14:textId="77777777" w:rsidTr="00B22887">
        <w:tc>
          <w:tcPr>
            <w:tcW w:w="1345" w:type="dxa"/>
          </w:tcPr>
          <w:p w14:paraId="0AAEF37D" w14:textId="77777777" w:rsidR="00C3122F" w:rsidRDefault="00C3122F" w:rsidP="00B22887">
            <w:pPr>
              <w:rPr>
                <w:rFonts w:ascii="Arial" w:hAnsi="Arial" w:cs="Arial"/>
                <w:sz w:val="20"/>
                <w:szCs w:val="20"/>
              </w:rPr>
            </w:pPr>
            <w:r>
              <w:rPr>
                <w:rFonts w:ascii="Arial" w:hAnsi="Arial"/>
                <w:sz w:val="20"/>
                <w:szCs w:val="20"/>
              </w:rPr>
              <w:t>PPCF</w:t>
            </w:r>
          </w:p>
        </w:tc>
        <w:tc>
          <w:tcPr>
            <w:tcW w:w="8005" w:type="dxa"/>
          </w:tcPr>
          <w:p w14:paraId="74BFC77E" w14:textId="77777777" w:rsidR="00C3122F" w:rsidRPr="00F57622" w:rsidRDefault="00C3122F" w:rsidP="00C3122F">
            <w:pPr>
              <w:pStyle w:val="ListParagraph"/>
              <w:numPr>
                <w:ilvl w:val="0"/>
                <w:numId w:val="6"/>
              </w:numPr>
              <w:rPr>
                <w:rFonts w:ascii="Arial" w:hAnsi="Arial" w:cs="Arial"/>
                <w:sz w:val="20"/>
                <w:szCs w:val="20"/>
              </w:rPr>
            </w:pPr>
            <w:r>
              <w:rPr>
                <w:rFonts w:ascii="Arial" w:hAnsi="Arial"/>
                <w:sz w:val="20"/>
                <w:szCs w:val="20"/>
              </w:rPr>
              <w:t xml:space="preserve">Augmentation de la limite de 1000 $ à 2500 $ </w:t>
            </w:r>
          </w:p>
          <w:p w14:paraId="7C5518BE" w14:textId="77777777" w:rsidR="00C3122F" w:rsidRPr="00F57622" w:rsidRDefault="00C3122F" w:rsidP="00C3122F">
            <w:pPr>
              <w:pStyle w:val="ListParagraph"/>
              <w:numPr>
                <w:ilvl w:val="0"/>
                <w:numId w:val="6"/>
              </w:numPr>
              <w:rPr>
                <w:rFonts w:ascii="Arial" w:hAnsi="Arial" w:cs="Arial"/>
                <w:sz w:val="20"/>
                <w:szCs w:val="20"/>
              </w:rPr>
            </w:pPr>
            <w:r>
              <w:rPr>
                <w:rFonts w:ascii="Arial" w:hAnsi="Arial"/>
                <w:sz w:val="20"/>
                <w:szCs w:val="20"/>
              </w:rPr>
              <w:t xml:space="preserve">Augmentation de la limite par paiement de 250 $ </w:t>
            </w:r>
          </w:p>
          <w:p w14:paraId="67A3277C" w14:textId="6C92E3F0" w:rsidR="00C3122F" w:rsidRDefault="00C3122F" w:rsidP="00C3122F">
            <w:pPr>
              <w:pStyle w:val="ListParagraph"/>
              <w:numPr>
                <w:ilvl w:val="0"/>
                <w:numId w:val="6"/>
              </w:numPr>
              <w:rPr>
                <w:rFonts w:ascii="Arial" w:hAnsi="Arial" w:cs="Arial"/>
                <w:sz w:val="20"/>
                <w:szCs w:val="20"/>
              </w:rPr>
            </w:pPr>
            <w:r>
              <w:rPr>
                <w:rFonts w:ascii="Arial" w:hAnsi="Arial"/>
                <w:sz w:val="20"/>
                <w:szCs w:val="20"/>
              </w:rPr>
              <w:t xml:space="preserve">Délégation d’autorité au RR pour désigner le titulaire de </w:t>
            </w:r>
            <w:r w:rsidR="00740AEB">
              <w:rPr>
                <w:rFonts w:ascii="Arial" w:hAnsi="Arial"/>
                <w:sz w:val="20"/>
                <w:szCs w:val="20"/>
              </w:rPr>
              <w:t>NPSA/IPSA</w:t>
            </w:r>
            <w:r>
              <w:rPr>
                <w:rFonts w:ascii="Arial" w:hAnsi="Arial"/>
                <w:sz w:val="20"/>
                <w:szCs w:val="20"/>
              </w:rPr>
              <w:t xml:space="preserve"> comme dépositaire</w:t>
            </w:r>
          </w:p>
          <w:p w14:paraId="792EA0A0" w14:textId="77777777" w:rsidR="00C3122F" w:rsidRPr="00F57622" w:rsidRDefault="00C3122F" w:rsidP="00B22887">
            <w:pPr>
              <w:pStyle w:val="ListParagraph"/>
              <w:rPr>
                <w:rFonts w:ascii="Arial" w:hAnsi="Arial" w:cs="Arial"/>
                <w:sz w:val="20"/>
                <w:szCs w:val="20"/>
              </w:rPr>
            </w:pPr>
          </w:p>
        </w:tc>
      </w:tr>
      <w:tr w:rsidR="00C3122F" w14:paraId="03C7BDF1" w14:textId="77777777" w:rsidTr="00B22887">
        <w:tc>
          <w:tcPr>
            <w:tcW w:w="1345" w:type="dxa"/>
          </w:tcPr>
          <w:p w14:paraId="67263143" w14:textId="77777777" w:rsidR="00C3122F" w:rsidRDefault="00C3122F" w:rsidP="00B22887">
            <w:pPr>
              <w:rPr>
                <w:rFonts w:ascii="Arial" w:hAnsi="Arial" w:cs="Arial"/>
                <w:sz w:val="20"/>
                <w:szCs w:val="20"/>
              </w:rPr>
            </w:pPr>
            <w:r>
              <w:rPr>
                <w:rFonts w:ascii="Arial" w:hAnsi="Arial"/>
                <w:sz w:val="20"/>
                <w:szCs w:val="20"/>
              </w:rPr>
              <w:t>PCH</w:t>
            </w:r>
          </w:p>
        </w:tc>
        <w:tc>
          <w:tcPr>
            <w:tcW w:w="8005" w:type="dxa"/>
          </w:tcPr>
          <w:p w14:paraId="3F3CC748"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Augmentation de la limite minimale de 1001 $ à la nouvelle limite minimale de 2501 $ jusqu’à concurrence d’un maximum de 5000 $</w:t>
            </w:r>
          </w:p>
          <w:p w14:paraId="19B5FD3C"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Pas de limite sur un paiement unique</w:t>
            </w:r>
          </w:p>
          <w:p w14:paraId="75C0A5BC"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Délégation d’autorité au RR jusqu’à concurrence d’un maximum de 25 000 $</w:t>
            </w:r>
          </w:p>
          <w:p w14:paraId="7AA30D50" w14:textId="43BC049F" w:rsidR="00C3122F" w:rsidRDefault="00C3122F" w:rsidP="00C3122F">
            <w:pPr>
              <w:pStyle w:val="ListParagraph"/>
              <w:numPr>
                <w:ilvl w:val="0"/>
                <w:numId w:val="7"/>
              </w:numPr>
              <w:rPr>
                <w:rFonts w:ascii="Arial" w:hAnsi="Arial" w:cs="Arial"/>
                <w:sz w:val="20"/>
                <w:szCs w:val="20"/>
              </w:rPr>
            </w:pPr>
            <w:r>
              <w:rPr>
                <w:rFonts w:ascii="Arial" w:hAnsi="Arial"/>
                <w:sz w:val="20"/>
                <w:szCs w:val="20"/>
              </w:rPr>
              <w:t xml:space="preserve">Délégation d’autorité au RR pour désigner le titulaire de </w:t>
            </w:r>
            <w:r w:rsidR="00740AEB">
              <w:rPr>
                <w:rFonts w:ascii="Arial" w:hAnsi="Arial"/>
                <w:sz w:val="20"/>
                <w:szCs w:val="20"/>
              </w:rPr>
              <w:t xml:space="preserve">NPSA/IPSA </w:t>
            </w:r>
            <w:r>
              <w:rPr>
                <w:rFonts w:ascii="Arial" w:hAnsi="Arial"/>
                <w:sz w:val="20"/>
                <w:szCs w:val="20"/>
              </w:rPr>
              <w:t>comme dépositaire jusqu’à concurrence de 2500 $</w:t>
            </w:r>
          </w:p>
          <w:p w14:paraId="5C42A52E" w14:textId="77777777" w:rsidR="00C3122F" w:rsidRDefault="00C3122F" w:rsidP="00B22887">
            <w:pPr>
              <w:pStyle w:val="ListParagraph"/>
            </w:pPr>
          </w:p>
        </w:tc>
      </w:tr>
      <w:tr w:rsidR="00C3122F" w14:paraId="6FC58806" w14:textId="77777777" w:rsidTr="00B22887">
        <w:tc>
          <w:tcPr>
            <w:tcW w:w="1345" w:type="dxa"/>
          </w:tcPr>
          <w:p w14:paraId="20CE6D11" w14:textId="77777777" w:rsidR="00C3122F" w:rsidRPr="00D84B17" w:rsidRDefault="00C3122F" w:rsidP="00B22887">
            <w:pPr>
              <w:rPr>
                <w:rFonts w:ascii="Arial" w:hAnsi="Arial" w:cs="Arial"/>
                <w:sz w:val="20"/>
                <w:szCs w:val="20"/>
              </w:rPr>
            </w:pPr>
            <w:r>
              <w:rPr>
                <w:rFonts w:ascii="Arial" w:hAnsi="Arial"/>
              </w:rPr>
              <w:t>PCA</w:t>
            </w:r>
          </w:p>
        </w:tc>
        <w:tc>
          <w:tcPr>
            <w:tcW w:w="8005" w:type="dxa"/>
          </w:tcPr>
          <w:p w14:paraId="2A3AE697" w14:textId="77777777" w:rsidR="00C3122F" w:rsidRPr="00F57622" w:rsidRDefault="00C3122F" w:rsidP="00C3122F">
            <w:pPr>
              <w:pStyle w:val="ListParagraph"/>
              <w:numPr>
                <w:ilvl w:val="0"/>
                <w:numId w:val="7"/>
              </w:numPr>
              <w:rPr>
                <w:rFonts w:ascii="Arial" w:hAnsi="Arial" w:cs="Arial"/>
                <w:sz w:val="20"/>
                <w:szCs w:val="20"/>
              </w:rPr>
            </w:pPr>
            <w:r>
              <w:rPr>
                <w:rFonts w:ascii="Arial" w:hAnsi="Arial"/>
                <w:sz w:val="20"/>
                <w:szCs w:val="20"/>
              </w:rPr>
              <w:t>La limite maximale demeure à 25 000 $    </w:t>
            </w:r>
          </w:p>
          <w:p w14:paraId="30ACF849" w14:textId="77777777" w:rsidR="00C3122F" w:rsidRDefault="00C3122F" w:rsidP="00C3122F">
            <w:pPr>
              <w:pStyle w:val="ListParagraph"/>
              <w:numPr>
                <w:ilvl w:val="0"/>
                <w:numId w:val="6"/>
              </w:numPr>
              <w:rPr>
                <w:rFonts w:ascii="Arial" w:hAnsi="Arial" w:cs="Arial"/>
              </w:rPr>
            </w:pPr>
            <w:r>
              <w:rPr>
                <w:rFonts w:ascii="Arial" w:hAnsi="Arial"/>
                <w:sz w:val="20"/>
                <w:szCs w:val="20"/>
              </w:rPr>
              <w:t>Pas de limite sur un paiement unique</w:t>
            </w:r>
            <w:r>
              <w:rPr>
                <w:rFonts w:ascii="Arial" w:hAnsi="Arial"/>
              </w:rPr>
              <w:t>        </w:t>
            </w:r>
          </w:p>
          <w:p w14:paraId="76BDE2A8" w14:textId="63251DB3" w:rsidR="00C3122F" w:rsidRDefault="00C3122F" w:rsidP="00C3122F">
            <w:pPr>
              <w:pStyle w:val="ListParagraph"/>
              <w:numPr>
                <w:ilvl w:val="0"/>
                <w:numId w:val="6"/>
              </w:numPr>
              <w:rPr>
                <w:rFonts w:ascii="Arial" w:hAnsi="Arial" w:cs="Arial"/>
                <w:sz w:val="20"/>
                <w:szCs w:val="20"/>
              </w:rPr>
            </w:pPr>
            <w:r>
              <w:rPr>
                <w:rFonts w:ascii="Arial" w:hAnsi="Arial"/>
                <w:sz w:val="20"/>
                <w:szCs w:val="20"/>
              </w:rPr>
              <w:t xml:space="preserve">Délégation d’autorité au RR pour désigner le titulaire de </w:t>
            </w:r>
            <w:r w:rsidR="00740AEB">
              <w:rPr>
                <w:rFonts w:ascii="Arial" w:hAnsi="Arial"/>
                <w:sz w:val="20"/>
                <w:szCs w:val="20"/>
              </w:rPr>
              <w:t xml:space="preserve">NPSA/IPSA </w:t>
            </w:r>
            <w:r>
              <w:rPr>
                <w:rFonts w:ascii="Arial" w:hAnsi="Arial"/>
                <w:sz w:val="20"/>
                <w:szCs w:val="20"/>
              </w:rPr>
              <w:t>comme dépositaire jusqu’à concurrence de 5 000 $</w:t>
            </w:r>
          </w:p>
          <w:p w14:paraId="6DAD3493" w14:textId="77777777" w:rsidR="00C3122F" w:rsidRDefault="00C3122F" w:rsidP="00C3122F">
            <w:pPr>
              <w:pStyle w:val="ListParagraph"/>
              <w:numPr>
                <w:ilvl w:val="0"/>
                <w:numId w:val="6"/>
              </w:numPr>
              <w:rPr>
                <w:rFonts w:ascii="Arial" w:hAnsi="Arial" w:cs="Arial"/>
                <w:sz w:val="20"/>
                <w:szCs w:val="20"/>
              </w:rPr>
            </w:pPr>
            <w:r>
              <w:rPr>
                <w:rFonts w:ascii="Arial" w:hAnsi="Arial"/>
                <w:sz w:val="20"/>
                <w:szCs w:val="20"/>
              </w:rPr>
              <w:t>Prolongation de la période de liquidation de 2 semaines à 1 mois à compter de la date d’émission de l’avance</w:t>
            </w:r>
          </w:p>
          <w:p w14:paraId="28C6DAD3" w14:textId="77777777" w:rsidR="00C3122F" w:rsidRPr="00F57622" w:rsidRDefault="00C3122F" w:rsidP="00B22887">
            <w:pPr>
              <w:rPr>
                <w:rFonts w:ascii="Arial" w:hAnsi="Arial" w:cs="Arial"/>
                <w:sz w:val="20"/>
                <w:szCs w:val="20"/>
              </w:rPr>
            </w:pPr>
          </w:p>
        </w:tc>
      </w:tr>
    </w:tbl>
    <w:p w14:paraId="080030F0" w14:textId="77777777" w:rsidR="00C3122F" w:rsidRDefault="00C3122F" w:rsidP="00C3122F">
      <w:pPr>
        <w:rPr>
          <w:rFonts w:ascii="Arial" w:hAnsi="Arial" w:cs="Arial"/>
          <w:sz w:val="20"/>
          <w:szCs w:val="20"/>
        </w:rPr>
      </w:pPr>
    </w:p>
    <w:p w14:paraId="0A622A40" w14:textId="77777777" w:rsidR="00C3122F" w:rsidRPr="00F57622" w:rsidRDefault="00C3122F" w:rsidP="00C3122F">
      <w:pPr>
        <w:shd w:val="clear" w:color="auto" w:fill="FFFFFF"/>
        <w:spacing w:after="0" w:line="312" w:lineRule="auto"/>
        <w:ind w:left="720"/>
        <w:jc w:val="both"/>
        <w:textAlignment w:val="top"/>
        <w:rPr>
          <w:rFonts w:ascii="Arial" w:hAnsi="Arial" w:cs="Arial"/>
          <w:sz w:val="20"/>
          <w:szCs w:val="20"/>
        </w:rPr>
      </w:pPr>
      <w:r>
        <w:rPr>
          <w:rFonts w:ascii="Arial" w:hAnsi="Arial"/>
          <w:sz w:val="20"/>
          <w:szCs w:val="20"/>
        </w:rPr>
        <w:t xml:space="preserve">                                                          </w:t>
      </w:r>
    </w:p>
    <w:p w14:paraId="72FBA287" w14:textId="77777777" w:rsidR="00C3122F" w:rsidRPr="00F57622" w:rsidRDefault="00C3122F" w:rsidP="00C3122F">
      <w:pPr>
        <w:shd w:val="clear" w:color="auto" w:fill="FFFFFF"/>
        <w:spacing w:after="0" w:line="312" w:lineRule="auto"/>
        <w:textAlignment w:val="top"/>
        <w:rPr>
          <w:rFonts w:ascii="Arial" w:eastAsia="Times New Roman" w:hAnsi="Arial" w:cs="Arial"/>
          <w:color w:val="333333"/>
          <w:sz w:val="20"/>
          <w:szCs w:val="20"/>
        </w:rPr>
      </w:pPr>
      <w:bookmarkStart w:id="1" w:name="_Hlk523474421"/>
      <w:r>
        <w:rPr>
          <w:rFonts w:ascii="Arial" w:hAnsi="Arial"/>
          <w:color w:val="333333"/>
          <w:sz w:val="20"/>
          <w:szCs w:val="20"/>
        </w:rPr>
        <w:t xml:space="preserve">Le Bureau régional peut décider d’exercer de manière sélective les options permettant d’accorder les limites révisées des conventions de trésorerie aux bureaux de pays. </w:t>
      </w:r>
    </w:p>
    <w:bookmarkEnd w:id="1"/>
    <w:p w14:paraId="3A97079C"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p>
    <w:p w14:paraId="4F0BBB2C" w14:textId="77777777" w:rsidR="00C3122F" w:rsidRPr="00F57622" w:rsidRDefault="00C3122F" w:rsidP="00C3122F">
      <w:pPr>
        <w:jc w:val="both"/>
        <w:rPr>
          <w:rFonts w:ascii="Arial" w:hAnsi="Arial" w:cs="Arial"/>
          <w:sz w:val="20"/>
          <w:szCs w:val="20"/>
        </w:rPr>
      </w:pPr>
      <w:r>
        <w:rPr>
          <w:rFonts w:ascii="Arial" w:hAnsi="Arial"/>
          <w:sz w:val="20"/>
          <w:szCs w:val="20"/>
        </w:rPr>
        <w:t xml:space="preserve">Le trésorier peut suspendre les nouvelles limites de convention de trésorerie pour un bureau de pays qui possède </w:t>
      </w:r>
    </w:p>
    <w:p w14:paraId="1018561D" w14:textId="10E8C3D5" w:rsidR="00C3122F" w:rsidRPr="00F57622" w:rsidRDefault="00F13E8D" w:rsidP="00C3122F">
      <w:pPr>
        <w:numPr>
          <w:ilvl w:val="1"/>
          <w:numId w:val="2"/>
        </w:numPr>
        <w:jc w:val="both"/>
        <w:rPr>
          <w:rFonts w:ascii="Arial" w:hAnsi="Arial" w:cs="Arial"/>
          <w:sz w:val="20"/>
          <w:szCs w:val="20"/>
        </w:rPr>
      </w:pPr>
      <w:r>
        <w:rPr>
          <w:rFonts w:ascii="Arial" w:hAnsi="Arial"/>
          <w:sz w:val="20"/>
          <w:szCs w:val="20"/>
        </w:rPr>
        <w:t>U</w:t>
      </w:r>
      <w:r w:rsidR="00C3122F">
        <w:rPr>
          <w:rFonts w:ascii="Arial" w:hAnsi="Arial"/>
          <w:sz w:val="20"/>
          <w:szCs w:val="20"/>
        </w:rPr>
        <w:t xml:space="preserve">n « tableau de bord rouge » pour les exceptions relatives aux liquidités, pendant trois mois consécutifs, </w:t>
      </w:r>
      <w:r w:rsidR="00C3122F">
        <w:rPr>
          <w:rFonts w:ascii="Arial" w:hAnsi="Arial"/>
          <w:b/>
          <w:sz w:val="20"/>
          <w:szCs w:val="20"/>
          <w:u w:val="single"/>
        </w:rPr>
        <w:t>ou</w:t>
      </w:r>
      <w:r w:rsidR="00C3122F">
        <w:rPr>
          <w:rFonts w:ascii="Arial" w:hAnsi="Arial"/>
          <w:sz w:val="20"/>
          <w:szCs w:val="20"/>
        </w:rPr>
        <w:t xml:space="preserve"> </w:t>
      </w:r>
    </w:p>
    <w:p w14:paraId="10AC42D2" w14:textId="0DCC550E" w:rsidR="00C3122F" w:rsidRPr="00F57622" w:rsidRDefault="00F13E8D" w:rsidP="00C3122F">
      <w:pPr>
        <w:numPr>
          <w:ilvl w:val="1"/>
          <w:numId w:val="2"/>
        </w:numPr>
        <w:jc w:val="both"/>
        <w:rPr>
          <w:rFonts w:ascii="Arial" w:hAnsi="Arial" w:cs="Arial"/>
          <w:sz w:val="20"/>
          <w:szCs w:val="20"/>
        </w:rPr>
      </w:pPr>
      <w:r>
        <w:rPr>
          <w:rFonts w:ascii="Arial" w:hAnsi="Arial"/>
          <w:sz w:val="20"/>
          <w:szCs w:val="20"/>
        </w:rPr>
        <w:t>U</w:t>
      </w:r>
      <w:r w:rsidR="00C3122F">
        <w:rPr>
          <w:rFonts w:ascii="Arial" w:hAnsi="Arial"/>
          <w:sz w:val="20"/>
          <w:szCs w:val="20"/>
        </w:rPr>
        <w:t>ne observation de vérification relative à une convention de trésorerie</w:t>
      </w:r>
    </w:p>
    <w:p w14:paraId="3B8C332D" w14:textId="77777777" w:rsidR="00C3122F" w:rsidRDefault="00C3122F" w:rsidP="00C3122F">
      <w:pPr>
        <w:spacing w:line="240" w:lineRule="auto"/>
        <w:jc w:val="both"/>
        <w:rPr>
          <w:rFonts w:ascii="Arial" w:hAnsi="Arial" w:cs="Arial"/>
          <w:sz w:val="20"/>
          <w:szCs w:val="20"/>
        </w:rPr>
      </w:pPr>
    </w:p>
    <w:p w14:paraId="0C942ABB" w14:textId="77777777" w:rsidR="00C3122F" w:rsidRPr="00F57622" w:rsidRDefault="00C3122F" w:rsidP="00C3122F">
      <w:pPr>
        <w:spacing w:line="240" w:lineRule="auto"/>
        <w:jc w:val="both"/>
        <w:rPr>
          <w:rFonts w:ascii="Arial" w:hAnsi="Arial" w:cs="Arial"/>
          <w:sz w:val="20"/>
          <w:szCs w:val="20"/>
        </w:rPr>
      </w:pPr>
      <w:r>
        <w:rPr>
          <w:rFonts w:ascii="Arial" w:hAnsi="Arial"/>
          <w:sz w:val="20"/>
          <w:szCs w:val="20"/>
        </w:rPr>
        <w:t>Ces deux événements entraînent la suspension.  La suspension durera un an, pendant lequel les bureaux de pays devront revenir aux anciennes limites (voir annexe 2). Après la période de suspension d’un an, les bureaux de pays seront réévalués en vue de leur réintégration aux montants ordinaires.</w:t>
      </w:r>
    </w:p>
    <w:p w14:paraId="2B37F232" w14:textId="77777777" w:rsidR="00C3122F" w:rsidRDefault="00C3122F" w:rsidP="00C3122F">
      <w:pPr>
        <w:shd w:val="clear" w:color="auto" w:fill="FFFFFF"/>
        <w:spacing w:after="0" w:line="312" w:lineRule="auto"/>
        <w:textAlignment w:val="top"/>
        <w:rPr>
          <w:rFonts w:ascii="Arial" w:eastAsia="Times New Roman" w:hAnsi="Arial" w:cs="Arial"/>
          <w:color w:val="333333"/>
          <w:sz w:val="20"/>
          <w:szCs w:val="20"/>
        </w:rPr>
      </w:pPr>
    </w:p>
    <w:p w14:paraId="1C532CBA" w14:textId="77777777" w:rsidR="00C3122F"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r>
        <w:rPr>
          <w:rFonts w:ascii="Arial" w:hAnsi="Arial"/>
          <w:color w:val="333333"/>
          <w:sz w:val="20"/>
          <w:szCs w:val="20"/>
        </w:rPr>
        <w:t>Tout besoin de convention de trésorerie au-delà des limites établies ou de délégation d’autorité doit être demandé au moyen de la présentation de l’Annexe 5 aux fins d’approbation exceptionnelle par la Division de la trésorerie.</w:t>
      </w:r>
    </w:p>
    <w:p w14:paraId="3DE796C4" w14:textId="77777777" w:rsidR="00C3122F" w:rsidRDefault="00C3122F" w:rsidP="00C3122F">
      <w:pPr>
        <w:shd w:val="clear" w:color="auto" w:fill="FFFFFF"/>
        <w:spacing w:after="0" w:line="312" w:lineRule="auto"/>
        <w:textAlignment w:val="top"/>
        <w:rPr>
          <w:rFonts w:ascii="Arial" w:eastAsia="Times New Roman" w:hAnsi="Arial" w:cs="Arial"/>
          <w:color w:val="333333"/>
          <w:sz w:val="20"/>
          <w:szCs w:val="20"/>
        </w:rPr>
      </w:pPr>
    </w:p>
    <w:p w14:paraId="788FA3B5" w14:textId="48C6D89E" w:rsidR="00C3122F" w:rsidRPr="000C0226"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r>
        <w:rPr>
          <w:rFonts w:ascii="Arial" w:hAnsi="Arial"/>
          <w:color w:val="333333"/>
          <w:sz w:val="20"/>
          <w:szCs w:val="20"/>
        </w:rPr>
        <w:t xml:space="preserve">Les bureaux de pays en crise qui ont besoin d’une limite de trésorerie plus élevée doivent soumettre cette demande conformément aux directives spécifiées à la section 6.2 </w:t>
      </w:r>
      <w:r>
        <w:rPr>
          <w:rFonts w:ascii="Arial" w:hAnsi="Arial"/>
          <w:color w:val="333333"/>
          <w:sz w:val="20"/>
          <w:szCs w:val="20"/>
          <w:u w:val="single"/>
        </w:rPr>
        <w:t>Appui à la mise en œuvre du programme</w:t>
      </w:r>
      <w:r>
        <w:rPr>
          <w:rFonts w:ascii="Arial" w:hAnsi="Arial"/>
          <w:color w:val="333333"/>
          <w:sz w:val="20"/>
          <w:szCs w:val="20"/>
        </w:rPr>
        <w:t xml:space="preserve"> de la </w:t>
      </w:r>
      <w:hyperlink r:id="rId13" w:history="1">
        <w:r>
          <w:rPr>
            <w:rStyle w:val="Hyperlink"/>
            <w:rFonts w:ascii="Arial" w:hAnsi="Arial"/>
            <w:i/>
            <w:sz w:val="20"/>
            <w:szCs w:val="20"/>
          </w:rPr>
          <w:t>Procédure opérationnelle standard pour une réponse immédiate aux crises</w:t>
        </w:r>
      </w:hyperlink>
      <w:r>
        <w:rPr>
          <w:rFonts w:ascii="Arial" w:hAnsi="Arial"/>
          <w:i/>
          <w:color w:val="333333"/>
          <w:sz w:val="20"/>
          <w:szCs w:val="20"/>
        </w:rPr>
        <w:t>.</w:t>
      </w:r>
    </w:p>
    <w:p w14:paraId="39885409" w14:textId="77777777" w:rsidR="00C3122F" w:rsidRDefault="00C3122F" w:rsidP="00C3122F">
      <w:pPr>
        <w:jc w:val="both"/>
        <w:rPr>
          <w:rFonts w:ascii="Arial" w:hAnsi="Arial" w:cs="Arial"/>
        </w:rPr>
      </w:pPr>
    </w:p>
    <w:p w14:paraId="3E0CABB8" w14:textId="0062CAB4" w:rsidR="00C3122F" w:rsidRPr="00F57622" w:rsidRDefault="00F13E8D" w:rsidP="00C3122F">
      <w:pPr>
        <w:jc w:val="both"/>
        <w:rPr>
          <w:rFonts w:ascii="Arial" w:hAnsi="Arial" w:cs="Arial"/>
        </w:rPr>
      </w:pPr>
      <w:r w:rsidRPr="00F13E8D">
        <w:rPr>
          <w:rFonts w:ascii="Arial" w:hAnsi="Arial" w:cs="Arial"/>
          <w:noProof/>
          <w:lang w:val="en-US" w:eastAsia="en-US"/>
        </w:rPr>
        <w:drawing>
          <wp:inline distT="0" distB="0" distL="0" distR="0" wp14:anchorId="5FABD9B6" wp14:editId="137B8596">
            <wp:extent cx="5943600" cy="5174704"/>
            <wp:effectExtent l="0" t="0" r="0" b="6985"/>
            <wp:docPr id="21" name="Imagen 21" descr="C:\Users\Usuario\Desktop\Nueva carpeta\Management of Petty Cash fr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uario\Desktop\Nueva carpeta\Management of Petty Cash french.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174704"/>
                    </a:xfrm>
                    <a:prstGeom prst="rect">
                      <a:avLst/>
                    </a:prstGeom>
                    <a:noFill/>
                    <a:ln>
                      <a:noFill/>
                    </a:ln>
                  </pic:spPr>
                </pic:pic>
              </a:graphicData>
            </a:graphic>
          </wp:inline>
        </w:drawing>
      </w:r>
    </w:p>
    <w:p w14:paraId="62851D66" w14:textId="21F158A3" w:rsidR="00C3122F" w:rsidRPr="00C3122F" w:rsidRDefault="00C3122F" w:rsidP="00C3122F">
      <w:pPr>
        <w:shd w:val="clear" w:color="auto" w:fill="FFFFFF"/>
        <w:spacing w:after="0" w:line="312" w:lineRule="auto"/>
        <w:textAlignment w:val="top"/>
        <w:rPr>
          <w:rFonts w:ascii="Arial" w:eastAsia="Times New Roman" w:hAnsi="Arial" w:cs="Arial"/>
          <w:color w:val="333333"/>
          <w:sz w:val="20"/>
          <w:szCs w:val="20"/>
        </w:rPr>
      </w:pPr>
      <w:r>
        <w:rPr>
          <w:rFonts w:ascii="Arial" w:hAnsi="Arial"/>
          <w:color w:val="333333"/>
          <w:sz w:val="20"/>
          <w:szCs w:val="20"/>
        </w:rPr>
        <w:t> </w:t>
      </w:r>
    </w:p>
    <w:sectPr w:rsidR="00C3122F" w:rsidRPr="00C3122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C8807" w14:textId="77777777" w:rsidR="00494F0E" w:rsidRDefault="00494F0E" w:rsidP="00A77206">
      <w:pPr>
        <w:spacing w:after="0" w:line="240" w:lineRule="auto"/>
      </w:pPr>
      <w:r>
        <w:separator/>
      </w:r>
    </w:p>
  </w:endnote>
  <w:endnote w:type="continuationSeparator" w:id="0">
    <w:p w14:paraId="4FE4189F" w14:textId="77777777" w:rsidR="00494F0E" w:rsidRDefault="00494F0E" w:rsidP="00A7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2A75" w14:textId="77777777" w:rsidR="009031CA" w:rsidRDefault="0090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84EC" w14:textId="42AA948A" w:rsidR="00A77206" w:rsidRDefault="00A14863">
    <w:pPr>
      <w:pStyle w:val="Footer"/>
    </w:pPr>
    <w:r>
      <w:t xml:space="preserve">Page </w:t>
    </w:r>
    <w:r>
      <w:rPr>
        <w:b/>
      </w:rPr>
      <w:fldChar w:fldCharType="begin"/>
    </w:r>
    <w:r>
      <w:rPr>
        <w:b/>
      </w:rPr>
      <w:instrText xml:space="preserve"> PAGE  \* Arabic  \* MERGEFORMAT </w:instrText>
    </w:r>
    <w:r>
      <w:rPr>
        <w:b/>
      </w:rPr>
      <w:fldChar w:fldCharType="separate"/>
    </w:r>
    <w:r w:rsidR="00F13E8D">
      <w:rPr>
        <w:b/>
        <w:noProof/>
      </w:rPr>
      <w:t>5</w:t>
    </w:r>
    <w:r>
      <w:rPr>
        <w:b/>
      </w:rPr>
      <w:fldChar w:fldCharType="end"/>
    </w:r>
    <w:r>
      <w:t xml:space="preserve"> sur </w:t>
    </w:r>
    <w:r>
      <w:rPr>
        <w:b/>
      </w:rPr>
      <w:fldChar w:fldCharType="begin"/>
    </w:r>
    <w:r>
      <w:rPr>
        <w:b/>
      </w:rPr>
      <w:instrText xml:space="preserve"> NUMPAGES  \* Arabic  \* MERGEFORMAT </w:instrText>
    </w:r>
    <w:r>
      <w:rPr>
        <w:b/>
      </w:rPr>
      <w:fldChar w:fldCharType="separate"/>
    </w:r>
    <w:r w:rsidR="00F13E8D">
      <w:rPr>
        <w:b/>
        <w:noProof/>
      </w:rPr>
      <w:t>5</w:t>
    </w:r>
    <w:r>
      <w:rPr>
        <w:b/>
      </w:rPr>
      <w:fldChar w:fldCharType="end"/>
    </w:r>
    <w:r>
      <w:ptab w:relativeTo="margin" w:alignment="center" w:leader="none"/>
    </w:r>
    <w:r>
      <w:t xml:space="preserve">Date d’entrée en vigueur : </w:t>
    </w:r>
    <w:r w:rsidR="00791AA7" w:rsidRPr="00791AA7">
      <w:t>01/09/2018</w:t>
    </w:r>
    <w:r w:rsidR="00791AA7" w:rsidRPr="00791AA7">
      <w:t xml:space="preserve"> </w:t>
    </w:r>
    <w:r>
      <w:ptab w:relativeTo="margin" w:alignment="right" w:leader="none"/>
    </w:r>
    <w:r>
      <w:t xml:space="preserve">Numéro de version : </w:t>
    </w:r>
    <w:sdt>
      <w:sdtPr>
        <w:alias w:val="POPPRefItemVersion"/>
        <w:tag w:val="UNDP_POPP_REFITEM_VERSION"/>
        <w:id w:val="479504690"/>
        <w:placeholder>
          <w:docPart w:val="96A43A0ED1314241B15E6AE87729B35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403B2E7-F932-44B2-8D20-993CCFB907C5}"/>
        <w:text/>
      </w:sdtPr>
      <w:sdtContent>
        <w:r w:rsidR="009031CA">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836C" w14:textId="77777777" w:rsidR="009031CA" w:rsidRDefault="0090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84900" w14:textId="77777777" w:rsidR="00494F0E" w:rsidRDefault="00494F0E" w:rsidP="00A77206">
      <w:pPr>
        <w:spacing w:after="0" w:line="240" w:lineRule="auto"/>
      </w:pPr>
      <w:r>
        <w:separator/>
      </w:r>
    </w:p>
  </w:footnote>
  <w:footnote w:type="continuationSeparator" w:id="0">
    <w:p w14:paraId="2814467C" w14:textId="77777777" w:rsidR="00494F0E" w:rsidRDefault="00494F0E" w:rsidP="00A7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A9219" w14:textId="77777777" w:rsidR="009031CA" w:rsidRDefault="00903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5604" w14:textId="32D1C316" w:rsidR="00DA1DC1" w:rsidRDefault="00DA1DC1" w:rsidP="009031CA">
    <w:pPr>
      <w:pStyle w:val="Header"/>
      <w:jc w:val="right"/>
    </w:pPr>
    <w:r>
      <w:rPr>
        <w:noProof/>
        <w:lang w:val="en-US" w:eastAsia="en-US"/>
      </w:rPr>
      <w:drawing>
        <wp:inline distT="0" distB="0" distL="0" distR="0" wp14:anchorId="5271AB45" wp14:editId="7C40ADE7">
          <wp:extent cx="284584" cy="592494"/>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6615" b="15713"/>
                  <a:stretch/>
                </pic:blipFill>
                <pic:spPr bwMode="auto">
                  <a:xfrm>
                    <a:off x="0" y="0"/>
                    <a:ext cx="288853" cy="6013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3439" w14:textId="77777777" w:rsidR="009031CA" w:rsidRDefault="00903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FC2"/>
    <w:multiLevelType w:val="hybridMultilevel"/>
    <w:tmpl w:val="B44C7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29A7"/>
    <w:multiLevelType w:val="hybridMultilevel"/>
    <w:tmpl w:val="A3B8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5B75"/>
    <w:multiLevelType w:val="hybridMultilevel"/>
    <w:tmpl w:val="C41E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F560F"/>
    <w:multiLevelType w:val="multilevel"/>
    <w:tmpl w:val="EC68E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87694"/>
    <w:multiLevelType w:val="hybridMultilevel"/>
    <w:tmpl w:val="DDEA0DBE"/>
    <w:lvl w:ilvl="0" w:tplc="04090019" w:tentative="1">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32AC9"/>
    <w:multiLevelType w:val="hybridMultilevel"/>
    <w:tmpl w:val="D56080A2"/>
    <w:lvl w:ilvl="0" w:tplc="A1BC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4623F"/>
    <w:multiLevelType w:val="hybridMultilevel"/>
    <w:tmpl w:val="75F4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000D2"/>
    <w:multiLevelType w:val="hybridMultilevel"/>
    <w:tmpl w:val="440C03E8"/>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2EF9"/>
    <w:multiLevelType w:val="hybridMultilevel"/>
    <w:tmpl w:val="3F82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64F24"/>
    <w:multiLevelType w:val="hybridMultilevel"/>
    <w:tmpl w:val="9EE0846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16178"/>
    <w:multiLevelType w:val="hybridMultilevel"/>
    <w:tmpl w:val="1CF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16B23"/>
    <w:multiLevelType w:val="hybridMultilevel"/>
    <w:tmpl w:val="186E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ED7719"/>
    <w:multiLevelType w:val="hybridMultilevel"/>
    <w:tmpl w:val="73A0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774"/>
    <w:multiLevelType w:val="hybridMultilevel"/>
    <w:tmpl w:val="BE9ABF84"/>
    <w:lvl w:ilvl="0" w:tplc="A9328B7A">
      <w:start w:val="1"/>
      <w:numFmt w:val="decimal"/>
      <w:lvlText w:val="%1)"/>
      <w:lvlJc w:val="left"/>
      <w:pPr>
        <w:tabs>
          <w:tab w:val="num" w:pos="720"/>
        </w:tabs>
        <w:ind w:left="720" w:hanging="360"/>
      </w:pPr>
    </w:lvl>
    <w:lvl w:ilvl="1" w:tplc="3CEEDB40">
      <w:start w:val="1"/>
      <w:numFmt w:val="decimal"/>
      <w:lvlText w:val="%2)"/>
      <w:lvlJc w:val="left"/>
      <w:pPr>
        <w:tabs>
          <w:tab w:val="num" w:pos="1440"/>
        </w:tabs>
        <w:ind w:left="1440" w:hanging="360"/>
      </w:pPr>
    </w:lvl>
    <w:lvl w:ilvl="2" w:tplc="C1BCE1E8" w:tentative="1">
      <w:start w:val="1"/>
      <w:numFmt w:val="decimal"/>
      <w:lvlText w:val="%3)"/>
      <w:lvlJc w:val="left"/>
      <w:pPr>
        <w:tabs>
          <w:tab w:val="num" w:pos="2160"/>
        </w:tabs>
        <w:ind w:left="2160" w:hanging="360"/>
      </w:pPr>
    </w:lvl>
    <w:lvl w:ilvl="3" w:tplc="19AC2AA8" w:tentative="1">
      <w:start w:val="1"/>
      <w:numFmt w:val="decimal"/>
      <w:lvlText w:val="%4)"/>
      <w:lvlJc w:val="left"/>
      <w:pPr>
        <w:tabs>
          <w:tab w:val="num" w:pos="2880"/>
        </w:tabs>
        <w:ind w:left="2880" w:hanging="360"/>
      </w:pPr>
    </w:lvl>
    <w:lvl w:ilvl="4" w:tplc="EC44AC66" w:tentative="1">
      <w:start w:val="1"/>
      <w:numFmt w:val="decimal"/>
      <w:lvlText w:val="%5)"/>
      <w:lvlJc w:val="left"/>
      <w:pPr>
        <w:tabs>
          <w:tab w:val="num" w:pos="3600"/>
        </w:tabs>
        <w:ind w:left="3600" w:hanging="360"/>
      </w:pPr>
    </w:lvl>
    <w:lvl w:ilvl="5" w:tplc="6ACA5396" w:tentative="1">
      <w:start w:val="1"/>
      <w:numFmt w:val="decimal"/>
      <w:lvlText w:val="%6)"/>
      <w:lvlJc w:val="left"/>
      <w:pPr>
        <w:tabs>
          <w:tab w:val="num" w:pos="4320"/>
        </w:tabs>
        <w:ind w:left="4320" w:hanging="360"/>
      </w:pPr>
    </w:lvl>
    <w:lvl w:ilvl="6" w:tplc="0BAC2B4C" w:tentative="1">
      <w:start w:val="1"/>
      <w:numFmt w:val="decimal"/>
      <w:lvlText w:val="%7)"/>
      <w:lvlJc w:val="left"/>
      <w:pPr>
        <w:tabs>
          <w:tab w:val="num" w:pos="5040"/>
        </w:tabs>
        <w:ind w:left="5040" w:hanging="360"/>
      </w:pPr>
    </w:lvl>
    <w:lvl w:ilvl="7" w:tplc="6344B444" w:tentative="1">
      <w:start w:val="1"/>
      <w:numFmt w:val="decimal"/>
      <w:lvlText w:val="%8)"/>
      <w:lvlJc w:val="left"/>
      <w:pPr>
        <w:tabs>
          <w:tab w:val="num" w:pos="5760"/>
        </w:tabs>
        <w:ind w:left="5760" w:hanging="360"/>
      </w:pPr>
    </w:lvl>
    <w:lvl w:ilvl="8" w:tplc="37D8B1B0" w:tentative="1">
      <w:start w:val="1"/>
      <w:numFmt w:val="decimal"/>
      <w:lvlText w:val="%9)"/>
      <w:lvlJc w:val="left"/>
      <w:pPr>
        <w:tabs>
          <w:tab w:val="num" w:pos="6480"/>
        </w:tabs>
        <w:ind w:left="6480" w:hanging="360"/>
      </w:pPr>
    </w:lvl>
  </w:abstractNum>
  <w:abstractNum w:abstractNumId="30" w15:restartNumberingAfterBreak="0">
    <w:nsid w:val="75A87786"/>
    <w:multiLevelType w:val="hybridMultilevel"/>
    <w:tmpl w:val="3EF6D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F607C"/>
    <w:multiLevelType w:val="hybridMultilevel"/>
    <w:tmpl w:val="A3486B1C"/>
    <w:lvl w:ilvl="0" w:tplc="5D26D004">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23844">
    <w:abstractNumId w:val="16"/>
  </w:num>
  <w:num w:numId="2" w16cid:durableId="114174541">
    <w:abstractNumId w:val="29"/>
  </w:num>
  <w:num w:numId="3" w16cid:durableId="465703331">
    <w:abstractNumId w:val="0"/>
  </w:num>
  <w:num w:numId="4" w16cid:durableId="1700281356">
    <w:abstractNumId w:val="32"/>
  </w:num>
  <w:num w:numId="5" w16cid:durableId="241335580">
    <w:abstractNumId w:val="28"/>
  </w:num>
  <w:num w:numId="6" w16cid:durableId="2051108379">
    <w:abstractNumId w:val="25"/>
  </w:num>
  <w:num w:numId="7" w16cid:durableId="647975569">
    <w:abstractNumId w:val="26"/>
  </w:num>
  <w:num w:numId="8" w16cid:durableId="1536579256">
    <w:abstractNumId w:val="30"/>
  </w:num>
  <w:num w:numId="9" w16cid:durableId="1125124700">
    <w:abstractNumId w:val="24"/>
  </w:num>
  <w:num w:numId="10" w16cid:durableId="1096440599">
    <w:abstractNumId w:val="33"/>
  </w:num>
  <w:num w:numId="11" w16cid:durableId="666639642">
    <w:abstractNumId w:val="33"/>
    <w:lvlOverride w:ilvl="0">
      <w:lvl w:ilvl="0" w:tplc="D244F07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472944123">
    <w:abstractNumId w:val="33"/>
    <w:lvlOverride w:ilvl="0">
      <w:lvl w:ilvl="0" w:tplc="D244F07A">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949627240">
    <w:abstractNumId w:val="8"/>
  </w:num>
  <w:num w:numId="14" w16cid:durableId="1857504475">
    <w:abstractNumId w:val="8"/>
    <w:lvlOverride w:ilvl="0">
      <w:lvl w:ilvl="0" w:tplc="CD36342E">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1840852905">
    <w:abstractNumId w:val="5"/>
  </w:num>
  <w:num w:numId="16" w16cid:durableId="1580016568">
    <w:abstractNumId w:val="12"/>
  </w:num>
  <w:num w:numId="17" w16cid:durableId="967513648">
    <w:abstractNumId w:val="1"/>
  </w:num>
  <w:num w:numId="18" w16cid:durableId="2023968530">
    <w:abstractNumId w:val="13"/>
  </w:num>
  <w:num w:numId="19" w16cid:durableId="1963919638">
    <w:abstractNumId w:val="9"/>
  </w:num>
  <w:num w:numId="20" w16cid:durableId="1068305355">
    <w:abstractNumId w:val="4"/>
  </w:num>
  <w:num w:numId="21" w16cid:durableId="796990568">
    <w:abstractNumId w:val="17"/>
  </w:num>
  <w:num w:numId="22" w16cid:durableId="437145749">
    <w:abstractNumId w:val="14"/>
  </w:num>
  <w:num w:numId="23" w16cid:durableId="626356942">
    <w:abstractNumId w:val="6"/>
  </w:num>
  <w:num w:numId="24" w16cid:durableId="1799909126">
    <w:abstractNumId w:val="11"/>
  </w:num>
  <w:num w:numId="25" w16cid:durableId="1295212455">
    <w:abstractNumId w:val="23"/>
  </w:num>
  <w:num w:numId="26" w16cid:durableId="524292829">
    <w:abstractNumId w:val="19"/>
  </w:num>
  <w:num w:numId="27" w16cid:durableId="2127460852">
    <w:abstractNumId w:val="27"/>
  </w:num>
  <w:num w:numId="28" w16cid:durableId="1011296956">
    <w:abstractNumId w:val="22"/>
  </w:num>
  <w:num w:numId="29" w16cid:durableId="1931546326">
    <w:abstractNumId w:val="7"/>
  </w:num>
  <w:num w:numId="30" w16cid:durableId="1650862625">
    <w:abstractNumId w:val="20"/>
  </w:num>
  <w:num w:numId="31" w16cid:durableId="2008172931">
    <w:abstractNumId w:val="15"/>
  </w:num>
  <w:num w:numId="32" w16cid:durableId="493109129">
    <w:abstractNumId w:val="31"/>
  </w:num>
  <w:num w:numId="33" w16cid:durableId="1820271216">
    <w:abstractNumId w:val="21"/>
  </w:num>
  <w:num w:numId="34" w16cid:durableId="1454637643">
    <w:abstractNumId w:val="10"/>
  </w:num>
  <w:num w:numId="35" w16cid:durableId="1397435539">
    <w:abstractNumId w:val="3"/>
  </w:num>
  <w:num w:numId="36" w16cid:durableId="428934935">
    <w:abstractNumId w:val="2"/>
  </w:num>
  <w:num w:numId="37" w16cid:durableId="10739675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8BF"/>
    <w:rsid w:val="000E253B"/>
    <w:rsid w:val="000F1571"/>
    <w:rsid w:val="001E7CC9"/>
    <w:rsid w:val="00211B74"/>
    <w:rsid w:val="00271E11"/>
    <w:rsid w:val="002F36A8"/>
    <w:rsid w:val="003F6A93"/>
    <w:rsid w:val="00442A74"/>
    <w:rsid w:val="00457667"/>
    <w:rsid w:val="00494F0E"/>
    <w:rsid w:val="005E53D2"/>
    <w:rsid w:val="006849DD"/>
    <w:rsid w:val="006B5B14"/>
    <w:rsid w:val="0071142A"/>
    <w:rsid w:val="00740AEB"/>
    <w:rsid w:val="00750078"/>
    <w:rsid w:val="007548BF"/>
    <w:rsid w:val="00791AA7"/>
    <w:rsid w:val="007B7AF8"/>
    <w:rsid w:val="00815F59"/>
    <w:rsid w:val="009031CA"/>
    <w:rsid w:val="00A14863"/>
    <w:rsid w:val="00A2358F"/>
    <w:rsid w:val="00A77206"/>
    <w:rsid w:val="00B226EF"/>
    <w:rsid w:val="00B27726"/>
    <w:rsid w:val="00B64B98"/>
    <w:rsid w:val="00B74791"/>
    <w:rsid w:val="00B809D8"/>
    <w:rsid w:val="00C3122F"/>
    <w:rsid w:val="00CD7089"/>
    <w:rsid w:val="00D67B2B"/>
    <w:rsid w:val="00DA1DC1"/>
    <w:rsid w:val="00DA3BEE"/>
    <w:rsid w:val="00E73411"/>
    <w:rsid w:val="00E927A8"/>
    <w:rsid w:val="00EE41B1"/>
    <w:rsid w:val="00F13E8D"/>
    <w:rsid w:val="00F7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684B9"/>
  <w15:docId w15:val="{FEBFDB3B-46C7-4BFB-AD01-F7A0058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DD"/>
    <w:pPr>
      <w:ind w:left="720"/>
      <w:contextualSpacing/>
    </w:pPr>
  </w:style>
  <w:style w:type="paragraph" w:styleId="Header">
    <w:name w:val="header"/>
    <w:basedOn w:val="Normal"/>
    <w:link w:val="HeaderChar"/>
    <w:uiPriority w:val="99"/>
    <w:unhideWhenUsed/>
    <w:rsid w:val="00A7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06"/>
  </w:style>
  <w:style w:type="paragraph" w:styleId="Footer">
    <w:name w:val="footer"/>
    <w:basedOn w:val="Normal"/>
    <w:link w:val="FooterChar"/>
    <w:uiPriority w:val="99"/>
    <w:unhideWhenUsed/>
    <w:rsid w:val="00A7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06"/>
  </w:style>
  <w:style w:type="character" w:styleId="PlaceholderText">
    <w:name w:val="Placeholder Text"/>
    <w:basedOn w:val="DefaultParagraphFont"/>
    <w:uiPriority w:val="99"/>
    <w:semiHidden/>
    <w:rsid w:val="00DA1DC1"/>
    <w:rPr>
      <w:color w:val="808080"/>
    </w:rPr>
  </w:style>
  <w:style w:type="paragraph" w:styleId="BalloonText">
    <w:name w:val="Balloon Text"/>
    <w:basedOn w:val="Normal"/>
    <w:link w:val="BalloonTextChar"/>
    <w:uiPriority w:val="99"/>
    <w:semiHidden/>
    <w:unhideWhenUsed/>
    <w:rsid w:val="00A1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63"/>
    <w:rPr>
      <w:rFonts w:ascii="Tahoma" w:hAnsi="Tahoma" w:cs="Tahoma"/>
      <w:sz w:val="16"/>
      <w:szCs w:val="16"/>
    </w:rPr>
  </w:style>
  <w:style w:type="character" w:styleId="Hyperlink">
    <w:name w:val="Hyperlink"/>
    <w:basedOn w:val="DefaultParagraphFont"/>
    <w:uiPriority w:val="99"/>
    <w:unhideWhenUsed/>
    <w:rsid w:val="00C3122F"/>
    <w:rPr>
      <w:strike w:val="0"/>
      <w:dstrike w:val="0"/>
      <w:color w:val="0072BC"/>
      <w:u w:val="none"/>
      <w:effect w:val="none"/>
    </w:rPr>
  </w:style>
  <w:style w:type="paragraph" w:styleId="NormalWeb">
    <w:name w:val="Normal (Web)"/>
    <w:basedOn w:val="Normal"/>
    <w:uiPriority w:val="99"/>
    <w:unhideWhenUsed/>
    <w:rsid w:val="00C3122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C3122F"/>
    <w:rPr>
      <w:sz w:val="16"/>
      <w:szCs w:val="16"/>
    </w:rPr>
  </w:style>
  <w:style w:type="paragraph" w:styleId="CommentText">
    <w:name w:val="annotation text"/>
    <w:basedOn w:val="Normal"/>
    <w:link w:val="CommentTextChar"/>
    <w:uiPriority w:val="99"/>
    <w:semiHidden/>
    <w:unhideWhenUsed/>
    <w:rsid w:val="00C3122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3122F"/>
    <w:rPr>
      <w:rFonts w:eastAsiaTheme="minorHAnsi"/>
      <w:sz w:val="20"/>
      <w:szCs w:val="20"/>
      <w:lang w:val="fr-FR" w:eastAsia="en-US"/>
    </w:rPr>
  </w:style>
  <w:style w:type="paragraph" w:styleId="CommentSubject">
    <w:name w:val="annotation subject"/>
    <w:basedOn w:val="CommentText"/>
    <w:next w:val="CommentText"/>
    <w:link w:val="CommentSubjectChar"/>
    <w:uiPriority w:val="99"/>
    <w:semiHidden/>
    <w:unhideWhenUsed/>
    <w:rsid w:val="00C3122F"/>
    <w:rPr>
      <w:b/>
      <w:bCs/>
    </w:rPr>
  </w:style>
  <w:style w:type="character" w:customStyle="1" w:styleId="CommentSubjectChar">
    <w:name w:val="Comment Subject Char"/>
    <w:basedOn w:val="CommentTextChar"/>
    <w:link w:val="CommentSubject"/>
    <w:uiPriority w:val="99"/>
    <w:semiHidden/>
    <w:rsid w:val="00C3122F"/>
    <w:rPr>
      <w:rFonts w:eastAsiaTheme="minorHAnsi"/>
      <w:b/>
      <w:bCs/>
      <w:sz w:val="20"/>
      <w:szCs w:val="20"/>
      <w:lang w:val="fr-FR" w:eastAsia="en-US"/>
    </w:rPr>
  </w:style>
  <w:style w:type="table" w:styleId="TableGrid">
    <w:name w:val="Table Grid"/>
    <w:basedOn w:val="TableNormal"/>
    <w:uiPriority w:val="39"/>
    <w:rsid w:val="00C312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22F"/>
    <w:rPr>
      <w:color w:val="808080"/>
      <w:shd w:val="clear" w:color="auto" w:fill="E6E6E6"/>
    </w:rPr>
  </w:style>
  <w:style w:type="character" w:styleId="FollowedHyperlink">
    <w:name w:val="FollowedHyperlink"/>
    <w:basedOn w:val="DefaultParagraphFont"/>
    <w:uiPriority w:val="99"/>
    <w:semiHidden/>
    <w:unhideWhenUsed/>
    <w:rsid w:val="00C3122F"/>
    <w:rPr>
      <w:color w:val="954F72" w:themeColor="followedHyperlink"/>
      <w:u w:val="single"/>
    </w:rPr>
  </w:style>
  <w:style w:type="paragraph" w:styleId="Revision">
    <w:name w:val="Revision"/>
    <w:hidden/>
    <w:uiPriority w:val="99"/>
    <w:semiHidden/>
    <w:rsid w:val="00B27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51592">
      <w:bodyDiv w:val="1"/>
      <w:marLeft w:val="0"/>
      <w:marRight w:val="0"/>
      <w:marTop w:val="0"/>
      <w:marBottom w:val="0"/>
      <w:divBdr>
        <w:top w:val="none" w:sz="0" w:space="0" w:color="auto"/>
        <w:left w:val="none" w:sz="0" w:space="0" w:color="auto"/>
        <w:bottom w:val="none" w:sz="0" w:space="0" w:color="auto"/>
        <w:right w:val="none" w:sz="0" w:space="0" w:color="auto"/>
      </w:divBdr>
      <w:divsChild>
        <w:div w:id="826480585">
          <w:marLeft w:val="0"/>
          <w:marRight w:val="0"/>
          <w:marTop w:val="0"/>
          <w:marBottom w:val="0"/>
          <w:divBdr>
            <w:top w:val="none" w:sz="0" w:space="0" w:color="auto"/>
            <w:left w:val="none" w:sz="0" w:space="0" w:color="auto"/>
            <w:bottom w:val="none" w:sz="0" w:space="0" w:color="auto"/>
            <w:right w:val="none" w:sz="0" w:space="0" w:color="auto"/>
          </w:divBdr>
          <w:divsChild>
            <w:div w:id="255552701">
              <w:marLeft w:val="0"/>
              <w:marRight w:val="0"/>
              <w:marTop w:val="0"/>
              <w:marBottom w:val="0"/>
              <w:divBdr>
                <w:top w:val="none" w:sz="0" w:space="0" w:color="auto"/>
                <w:left w:val="none" w:sz="0" w:space="0" w:color="auto"/>
                <w:bottom w:val="none" w:sz="0" w:space="0" w:color="auto"/>
                <w:right w:val="none" w:sz="0" w:space="0" w:color="auto"/>
              </w:divBdr>
              <w:divsChild>
                <w:div w:id="504367722">
                  <w:marLeft w:val="0"/>
                  <w:marRight w:val="0"/>
                  <w:marTop w:val="0"/>
                  <w:marBottom w:val="300"/>
                  <w:divBdr>
                    <w:top w:val="none" w:sz="0" w:space="0" w:color="auto"/>
                    <w:left w:val="none" w:sz="0" w:space="0" w:color="auto"/>
                    <w:bottom w:val="none" w:sz="0" w:space="0" w:color="auto"/>
                    <w:right w:val="none" w:sz="0" w:space="0" w:color="auto"/>
                  </w:divBdr>
                  <w:divsChild>
                    <w:div w:id="1632050085">
                      <w:marLeft w:val="2325"/>
                      <w:marRight w:val="0"/>
                      <w:marTop w:val="0"/>
                      <w:marBottom w:val="0"/>
                      <w:divBdr>
                        <w:top w:val="none" w:sz="0" w:space="0" w:color="auto"/>
                        <w:left w:val="none" w:sz="0" w:space="0" w:color="auto"/>
                        <w:bottom w:val="none" w:sz="0" w:space="0" w:color="auto"/>
                        <w:right w:val="none" w:sz="0" w:space="0" w:color="auto"/>
                      </w:divBdr>
                      <w:divsChild>
                        <w:div w:id="767773577">
                          <w:marLeft w:val="0"/>
                          <w:marRight w:val="0"/>
                          <w:marTop w:val="0"/>
                          <w:marBottom w:val="0"/>
                          <w:divBdr>
                            <w:top w:val="none" w:sz="0" w:space="0" w:color="auto"/>
                            <w:left w:val="none" w:sz="0" w:space="0" w:color="auto"/>
                            <w:bottom w:val="none" w:sz="0" w:space="0" w:color="auto"/>
                            <w:right w:val="none" w:sz="0" w:space="0" w:color="auto"/>
                          </w:divBdr>
                          <w:divsChild>
                            <w:div w:id="1912351908">
                              <w:marLeft w:val="0"/>
                              <w:marRight w:val="0"/>
                              <w:marTop w:val="0"/>
                              <w:marBottom w:val="0"/>
                              <w:divBdr>
                                <w:top w:val="none" w:sz="0" w:space="0" w:color="auto"/>
                                <w:left w:val="none" w:sz="0" w:space="0" w:color="auto"/>
                                <w:bottom w:val="none" w:sz="0" w:space="0" w:color="auto"/>
                                <w:right w:val="none" w:sz="0" w:space="0" w:color="auto"/>
                              </w:divBdr>
                              <w:divsChild>
                                <w:div w:id="551233278">
                                  <w:marLeft w:val="0"/>
                                  <w:marRight w:val="0"/>
                                  <w:marTop w:val="0"/>
                                  <w:marBottom w:val="0"/>
                                  <w:divBdr>
                                    <w:top w:val="none" w:sz="0" w:space="0" w:color="auto"/>
                                    <w:left w:val="none" w:sz="0" w:space="0" w:color="auto"/>
                                    <w:bottom w:val="none" w:sz="0" w:space="0" w:color="auto"/>
                                    <w:right w:val="none" w:sz="0" w:space="0" w:color="auto"/>
                                  </w:divBdr>
                                  <w:divsChild>
                                    <w:div w:id="1689406377">
                                      <w:marLeft w:val="0"/>
                                      <w:marRight w:val="0"/>
                                      <w:marTop w:val="0"/>
                                      <w:marBottom w:val="0"/>
                                      <w:divBdr>
                                        <w:top w:val="none" w:sz="0" w:space="0" w:color="auto"/>
                                        <w:left w:val="none" w:sz="0" w:space="0" w:color="auto"/>
                                        <w:bottom w:val="none" w:sz="0" w:space="0" w:color="auto"/>
                                        <w:right w:val="none" w:sz="0" w:space="0" w:color="auto"/>
                                      </w:divBdr>
                                      <w:divsChild>
                                        <w:div w:id="111099824">
                                          <w:marLeft w:val="0"/>
                                          <w:marRight w:val="-3525"/>
                                          <w:marTop w:val="0"/>
                                          <w:marBottom w:val="0"/>
                                          <w:divBdr>
                                            <w:top w:val="none" w:sz="0" w:space="0" w:color="auto"/>
                                            <w:left w:val="none" w:sz="0" w:space="0" w:color="auto"/>
                                            <w:bottom w:val="none" w:sz="0" w:space="0" w:color="auto"/>
                                            <w:right w:val="none" w:sz="0" w:space="0" w:color="auto"/>
                                          </w:divBdr>
                                          <w:divsChild>
                                            <w:div w:id="1079908050">
                                              <w:marLeft w:val="0"/>
                                              <w:marRight w:val="3225"/>
                                              <w:marTop w:val="0"/>
                                              <w:marBottom w:val="0"/>
                                              <w:divBdr>
                                                <w:top w:val="none" w:sz="0" w:space="0" w:color="auto"/>
                                                <w:left w:val="none" w:sz="0" w:space="0" w:color="auto"/>
                                                <w:bottom w:val="none" w:sz="0" w:space="0" w:color="auto"/>
                                                <w:right w:val="none" w:sz="0" w:space="0" w:color="auto"/>
                                              </w:divBdr>
                                              <w:divsChild>
                                                <w:div w:id="617372149">
                                                  <w:marLeft w:val="15"/>
                                                  <w:marRight w:val="15"/>
                                                  <w:marTop w:val="15"/>
                                                  <w:marBottom w:val="15"/>
                                                  <w:divBdr>
                                                    <w:top w:val="none" w:sz="0" w:space="0" w:color="auto"/>
                                                    <w:left w:val="none" w:sz="0" w:space="0" w:color="auto"/>
                                                    <w:bottom w:val="none" w:sz="0" w:space="0" w:color="auto"/>
                                                    <w:right w:val="none" w:sz="0" w:space="0" w:color="auto"/>
                                                  </w:divBdr>
                                                  <w:divsChild>
                                                    <w:div w:id="1072893001">
                                                      <w:marLeft w:val="0"/>
                                                      <w:marRight w:val="0"/>
                                                      <w:marTop w:val="0"/>
                                                      <w:marBottom w:val="0"/>
                                                      <w:divBdr>
                                                        <w:top w:val="none" w:sz="0" w:space="0" w:color="auto"/>
                                                        <w:left w:val="none" w:sz="0" w:space="0" w:color="auto"/>
                                                        <w:bottom w:val="none" w:sz="0" w:space="0" w:color="auto"/>
                                                        <w:right w:val="none" w:sz="0" w:space="0" w:color="auto"/>
                                                      </w:divBdr>
                                                    </w:div>
                                                    <w:div w:id="1392922266">
                                                      <w:marLeft w:val="0"/>
                                                      <w:marRight w:val="0"/>
                                                      <w:marTop w:val="0"/>
                                                      <w:marBottom w:val="0"/>
                                                      <w:divBdr>
                                                        <w:top w:val="none" w:sz="0" w:space="0" w:color="auto"/>
                                                        <w:left w:val="none" w:sz="0" w:space="0" w:color="auto"/>
                                                        <w:bottom w:val="none" w:sz="0" w:space="0" w:color="auto"/>
                                                        <w:right w:val="none" w:sz="0" w:space="0" w:color="auto"/>
                                                      </w:divBdr>
                                                    </w:div>
                                                    <w:div w:id="779495905">
                                                      <w:marLeft w:val="0"/>
                                                      <w:marRight w:val="0"/>
                                                      <w:marTop w:val="0"/>
                                                      <w:marBottom w:val="0"/>
                                                      <w:divBdr>
                                                        <w:top w:val="none" w:sz="0" w:space="0" w:color="auto"/>
                                                        <w:left w:val="none" w:sz="0" w:space="0" w:color="auto"/>
                                                        <w:bottom w:val="none" w:sz="0" w:space="0" w:color="auto"/>
                                                        <w:right w:val="none" w:sz="0" w:space="0" w:color="auto"/>
                                                      </w:divBdr>
                                                      <w:divsChild>
                                                        <w:div w:id="403601350">
                                                          <w:marLeft w:val="0"/>
                                                          <w:marRight w:val="0"/>
                                                          <w:marTop w:val="0"/>
                                                          <w:marBottom w:val="0"/>
                                                          <w:divBdr>
                                                            <w:top w:val="none" w:sz="0" w:space="0" w:color="auto"/>
                                                            <w:left w:val="none" w:sz="0" w:space="0" w:color="auto"/>
                                                            <w:bottom w:val="none" w:sz="0" w:space="0" w:color="auto"/>
                                                            <w:right w:val="none" w:sz="0" w:space="0" w:color="auto"/>
                                                          </w:divBdr>
                                                        </w:div>
                                                        <w:div w:id="408502536">
                                                          <w:marLeft w:val="0"/>
                                                          <w:marRight w:val="0"/>
                                                          <w:marTop w:val="0"/>
                                                          <w:marBottom w:val="0"/>
                                                          <w:divBdr>
                                                            <w:top w:val="none" w:sz="0" w:space="0" w:color="auto"/>
                                                            <w:left w:val="none" w:sz="0" w:space="0" w:color="auto"/>
                                                            <w:bottom w:val="none" w:sz="0" w:space="0" w:color="auto"/>
                                                            <w:right w:val="none" w:sz="0" w:space="0" w:color="auto"/>
                                                          </w:divBdr>
                                                        </w:div>
                                                        <w:div w:id="1713768219">
                                                          <w:marLeft w:val="0"/>
                                                          <w:marRight w:val="0"/>
                                                          <w:marTop w:val="0"/>
                                                          <w:marBottom w:val="0"/>
                                                          <w:divBdr>
                                                            <w:top w:val="none" w:sz="0" w:space="0" w:color="auto"/>
                                                            <w:left w:val="none" w:sz="0" w:space="0" w:color="auto"/>
                                                            <w:bottom w:val="none" w:sz="0" w:space="0" w:color="auto"/>
                                                            <w:right w:val="none" w:sz="0" w:space="0" w:color="auto"/>
                                                          </w:divBdr>
                                                        </w:div>
                                                        <w:div w:id="480776330">
                                                          <w:marLeft w:val="0"/>
                                                          <w:marRight w:val="0"/>
                                                          <w:marTop w:val="0"/>
                                                          <w:marBottom w:val="0"/>
                                                          <w:divBdr>
                                                            <w:top w:val="none" w:sz="0" w:space="0" w:color="auto"/>
                                                            <w:left w:val="none" w:sz="0" w:space="0" w:color="auto"/>
                                                            <w:bottom w:val="none" w:sz="0" w:space="0" w:color="auto"/>
                                                            <w:right w:val="none" w:sz="0" w:space="0" w:color="auto"/>
                                                          </w:divBdr>
                                                        </w:div>
                                                        <w:div w:id="364645010">
                                                          <w:marLeft w:val="0"/>
                                                          <w:marRight w:val="0"/>
                                                          <w:marTop w:val="0"/>
                                                          <w:marBottom w:val="0"/>
                                                          <w:divBdr>
                                                            <w:top w:val="none" w:sz="0" w:space="0" w:color="auto"/>
                                                            <w:left w:val="none" w:sz="0" w:space="0" w:color="auto"/>
                                                            <w:bottom w:val="none" w:sz="0" w:space="0" w:color="auto"/>
                                                            <w:right w:val="none" w:sz="0" w:space="0" w:color="auto"/>
                                                          </w:divBdr>
                                                        </w:div>
                                                        <w:div w:id="345250325">
                                                          <w:marLeft w:val="0"/>
                                                          <w:marRight w:val="0"/>
                                                          <w:marTop w:val="0"/>
                                                          <w:marBottom w:val="0"/>
                                                          <w:divBdr>
                                                            <w:top w:val="none" w:sz="0" w:space="0" w:color="auto"/>
                                                            <w:left w:val="none" w:sz="0" w:space="0" w:color="auto"/>
                                                            <w:bottom w:val="none" w:sz="0" w:space="0" w:color="auto"/>
                                                            <w:right w:val="none" w:sz="0" w:space="0" w:color="auto"/>
                                                          </w:divBdr>
                                                        </w:div>
                                                        <w:div w:id="972254313">
                                                          <w:marLeft w:val="0"/>
                                                          <w:marRight w:val="0"/>
                                                          <w:marTop w:val="0"/>
                                                          <w:marBottom w:val="0"/>
                                                          <w:divBdr>
                                                            <w:top w:val="none" w:sz="0" w:space="0" w:color="auto"/>
                                                            <w:left w:val="none" w:sz="0" w:space="0" w:color="auto"/>
                                                            <w:bottom w:val="none" w:sz="0" w:space="0" w:color="auto"/>
                                                            <w:right w:val="none" w:sz="0" w:space="0" w:color="auto"/>
                                                          </w:divBdr>
                                                        </w:div>
                                                        <w:div w:id="584152067">
                                                          <w:marLeft w:val="0"/>
                                                          <w:marRight w:val="0"/>
                                                          <w:marTop w:val="0"/>
                                                          <w:marBottom w:val="0"/>
                                                          <w:divBdr>
                                                            <w:top w:val="none" w:sz="0" w:space="0" w:color="auto"/>
                                                            <w:left w:val="none" w:sz="0" w:space="0" w:color="auto"/>
                                                            <w:bottom w:val="none" w:sz="0" w:space="0" w:color="auto"/>
                                                            <w:right w:val="none" w:sz="0" w:space="0" w:color="auto"/>
                                                          </w:divBdr>
                                                        </w:div>
                                                        <w:div w:id="974026328">
                                                          <w:marLeft w:val="0"/>
                                                          <w:marRight w:val="0"/>
                                                          <w:marTop w:val="0"/>
                                                          <w:marBottom w:val="0"/>
                                                          <w:divBdr>
                                                            <w:top w:val="none" w:sz="0" w:space="0" w:color="auto"/>
                                                            <w:left w:val="none" w:sz="0" w:space="0" w:color="auto"/>
                                                            <w:bottom w:val="none" w:sz="0" w:space="0" w:color="auto"/>
                                                            <w:right w:val="none" w:sz="0" w:space="0" w:color="auto"/>
                                                          </w:divBdr>
                                                        </w:div>
                                                        <w:div w:id="818813441">
                                                          <w:marLeft w:val="0"/>
                                                          <w:marRight w:val="0"/>
                                                          <w:marTop w:val="0"/>
                                                          <w:marBottom w:val="0"/>
                                                          <w:divBdr>
                                                            <w:top w:val="none" w:sz="0" w:space="0" w:color="auto"/>
                                                            <w:left w:val="none" w:sz="0" w:space="0" w:color="auto"/>
                                                            <w:bottom w:val="none" w:sz="0" w:space="0" w:color="auto"/>
                                                            <w:right w:val="none" w:sz="0" w:space="0" w:color="auto"/>
                                                          </w:divBdr>
                                                        </w:div>
                                                        <w:div w:id="646974457">
                                                          <w:marLeft w:val="0"/>
                                                          <w:marRight w:val="0"/>
                                                          <w:marTop w:val="0"/>
                                                          <w:marBottom w:val="0"/>
                                                          <w:divBdr>
                                                            <w:top w:val="none" w:sz="0" w:space="0" w:color="auto"/>
                                                            <w:left w:val="none" w:sz="0" w:space="0" w:color="auto"/>
                                                            <w:bottom w:val="none" w:sz="0" w:space="0" w:color="auto"/>
                                                            <w:right w:val="none" w:sz="0" w:space="0" w:color="auto"/>
                                                          </w:divBdr>
                                                        </w:div>
                                                        <w:div w:id="1211066467">
                                                          <w:marLeft w:val="0"/>
                                                          <w:marRight w:val="0"/>
                                                          <w:marTop w:val="0"/>
                                                          <w:marBottom w:val="0"/>
                                                          <w:divBdr>
                                                            <w:top w:val="none" w:sz="0" w:space="0" w:color="auto"/>
                                                            <w:left w:val="none" w:sz="0" w:space="0" w:color="auto"/>
                                                            <w:bottom w:val="none" w:sz="0" w:space="0" w:color="auto"/>
                                                            <w:right w:val="none" w:sz="0" w:space="0" w:color="auto"/>
                                                          </w:divBdr>
                                                        </w:div>
                                                        <w:div w:id="1038358086">
                                                          <w:marLeft w:val="0"/>
                                                          <w:marRight w:val="0"/>
                                                          <w:marTop w:val="0"/>
                                                          <w:marBottom w:val="0"/>
                                                          <w:divBdr>
                                                            <w:top w:val="none" w:sz="0" w:space="0" w:color="auto"/>
                                                            <w:left w:val="none" w:sz="0" w:space="0" w:color="auto"/>
                                                            <w:bottom w:val="none" w:sz="0" w:space="0" w:color="auto"/>
                                                            <w:right w:val="none" w:sz="0" w:space="0" w:color="auto"/>
                                                          </w:divBdr>
                                                        </w:div>
                                                        <w:div w:id="327826672">
                                                          <w:marLeft w:val="0"/>
                                                          <w:marRight w:val="0"/>
                                                          <w:marTop w:val="0"/>
                                                          <w:marBottom w:val="0"/>
                                                          <w:divBdr>
                                                            <w:top w:val="none" w:sz="0" w:space="0" w:color="auto"/>
                                                            <w:left w:val="none" w:sz="0" w:space="0" w:color="auto"/>
                                                            <w:bottom w:val="none" w:sz="0" w:space="0" w:color="auto"/>
                                                            <w:right w:val="none" w:sz="0" w:space="0" w:color="auto"/>
                                                          </w:divBdr>
                                                        </w:div>
                                                        <w:div w:id="1316255633">
                                                          <w:marLeft w:val="0"/>
                                                          <w:marRight w:val="0"/>
                                                          <w:marTop w:val="0"/>
                                                          <w:marBottom w:val="0"/>
                                                          <w:divBdr>
                                                            <w:top w:val="none" w:sz="0" w:space="0" w:color="auto"/>
                                                            <w:left w:val="none" w:sz="0" w:space="0" w:color="auto"/>
                                                            <w:bottom w:val="none" w:sz="0" w:space="0" w:color="auto"/>
                                                            <w:right w:val="none" w:sz="0" w:space="0" w:color="auto"/>
                                                          </w:divBdr>
                                                        </w:div>
                                                      </w:divsChild>
                                                    </w:div>
                                                    <w:div w:id="503203780">
                                                      <w:marLeft w:val="0"/>
                                                      <w:marRight w:val="0"/>
                                                      <w:marTop w:val="0"/>
                                                      <w:marBottom w:val="0"/>
                                                      <w:divBdr>
                                                        <w:top w:val="none" w:sz="0" w:space="0" w:color="auto"/>
                                                        <w:left w:val="none" w:sz="0" w:space="0" w:color="auto"/>
                                                        <w:bottom w:val="none" w:sz="0" w:space="0" w:color="auto"/>
                                                        <w:right w:val="none" w:sz="0" w:space="0" w:color="auto"/>
                                                      </w:divBdr>
                                                    </w:div>
                                                    <w:div w:id="976031778">
                                                      <w:marLeft w:val="0"/>
                                                      <w:marRight w:val="0"/>
                                                      <w:marTop w:val="0"/>
                                                      <w:marBottom w:val="0"/>
                                                      <w:divBdr>
                                                        <w:top w:val="none" w:sz="0" w:space="0" w:color="auto"/>
                                                        <w:left w:val="none" w:sz="0" w:space="0" w:color="auto"/>
                                                        <w:bottom w:val="none" w:sz="0" w:space="0" w:color="auto"/>
                                                        <w:right w:val="none" w:sz="0" w:space="0" w:color="auto"/>
                                                      </w:divBdr>
                                                    </w:div>
                                                    <w:div w:id="1646474730">
                                                      <w:marLeft w:val="0"/>
                                                      <w:marRight w:val="0"/>
                                                      <w:marTop w:val="0"/>
                                                      <w:marBottom w:val="0"/>
                                                      <w:divBdr>
                                                        <w:top w:val="none" w:sz="0" w:space="0" w:color="auto"/>
                                                        <w:left w:val="none" w:sz="0" w:space="0" w:color="auto"/>
                                                        <w:bottom w:val="none" w:sz="0" w:space="0" w:color="auto"/>
                                                        <w:right w:val="none" w:sz="0" w:space="0" w:color="auto"/>
                                                      </w:divBdr>
                                                    </w:div>
                                                    <w:div w:id="19666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754083">
      <w:bodyDiv w:val="1"/>
      <w:marLeft w:val="0"/>
      <w:marRight w:val="0"/>
      <w:marTop w:val="0"/>
      <w:marBottom w:val="0"/>
      <w:divBdr>
        <w:top w:val="none" w:sz="0" w:space="0" w:color="auto"/>
        <w:left w:val="none" w:sz="0" w:space="0" w:color="auto"/>
        <w:bottom w:val="none" w:sz="0" w:space="0" w:color="auto"/>
        <w:right w:val="none" w:sz="0" w:space="0" w:color="auto"/>
      </w:divBdr>
      <w:divsChild>
        <w:div w:id="715083322">
          <w:marLeft w:val="0"/>
          <w:marRight w:val="0"/>
          <w:marTop w:val="0"/>
          <w:marBottom w:val="0"/>
          <w:divBdr>
            <w:top w:val="none" w:sz="0" w:space="0" w:color="auto"/>
            <w:left w:val="none" w:sz="0" w:space="0" w:color="auto"/>
            <w:bottom w:val="none" w:sz="0" w:space="0" w:color="auto"/>
            <w:right w:val="none" w:sz="0" w:space="0" w:color="auto"/>
          </w:divBdr>
          <w:divsChild>
            <w:div w:id="105589537">
              <w:marLeft w:val="0"/>
              <w:marRight w:val="0"/>
              <w:marTop w:val="0"/>
              <w:marBottom w:val="0"/>
              <w:divBdr>
                <w:top w:val="none" w:sz="0" w:space="0" w:color="auto"/>
                <w:left w:val="none" w:sz="0" w:space="0" w:color="auto"/>
                <w:bottom w:val="none" w:sz="0" w:space="0" w:color="auto"/>
                <w:right w:val="none" w:sz="0" w:space="0" w:color="auto"/>
              </w:divBdr>
              <w:divsChild>
                <w:div w:id="1050111668">
                  <w:marLeft w:val="0"/>
                  <w:marRight w:val="0"/>
                  <w:marTop w:val="0"/>
                  <w:marBottom w:val="300"/>
                  <w:divBdr>
                    <w:top w:val="none" w:sz="0" w:space="0" w:color="auto"/>
                    <w:left w:val="none" w:sz="0" w:space="0" w:color="auto"/>
                    <w:bottom w:val="none" w:sz="0" w:space="0" w:color="auto"/>
                    <w:right w:val="none" w:sz="0" w:space="0" w:color="auto"/>
                  </w:divBdr>
                  <w:divsChild>
                    <w:div w:id="1103958299">
                      <w:marLeft w:val="2325"/>
                      <w:marRight w:val="0"/>
                      <w:marTop w:val="0"/>
                      <w:marBottom w:val="0"/>
                      <w:divBdr>
                        <w:top w:val="none" w:sz="0" w:space="0" w:color="auto"/>
                        <w:left w:val="none" w:sz="0" w:space="0" w:color="auto"/>
                        <w:bottom w:val="none" w:sz="0" w:space="0" w:color="auto"/>
                        <w:right w:val="none" w:sz="0" w:space="0" w:color="auto"/>
                      </w:divBdr>
                      <w:divsChild>
                        <w:div w:id="1904487956">
                          <w:marLeft w:val="0"/>
                          <w:marRight w:val="0"/>
                          <w:marTop w:val="0"/>
                          <w:marBottom w:val="0"/>
                          <w:divBdr>
                            <w:top w:val="none" w:sz="0" w:space="0" w:color="auto"/>
                            <w:left w:val="none" w:sz="0" w:space="0" w:color="auto"/>
                            <w:bottom w:val="none" w:sz="0" w:space="0" w:color="auto"/>
                            <w:right w:val="none" w:sz="0" w:space="0" w:color="auto"/>
                          </w:divBdr>
                          <w:divsChild>
                            <w:div w:id="1607881790">
                              <w:marLeft w:val="0"/>
                              <w:marRight w:val="0"/>
                              <w:marTop w:val="0"/>
                              <w:marBottom w:val="0"/>
                              <w:divBdr>
                                <w:top w:val="none" w:sz="0" w:space="0" w:color="auto"/>
                                <w:left w:val="none" w:sz="0" w:space="0" w:color="auto"/>
                                <w:bottom w:val="none" w:sz="0" w:space="0" w:color="auto"/>
                                <w:right w:val="none" w:sz="0" w:space="0" w:color="auto"/>
                              </w:divBdr>
                              <w:divsChild>
                                <w:div w:id="459499763">
                                  <w:marLeft w:val="0"/>
                                  <w:marRight w:val="0"/>
                                  <w:marTop w:val="0"/>
                                  <w:marBottom w:val="0"/>
                                  <w:divBdr>
                                    <w:top w:val="none" w:sz="0" w:space="0" w:color="auto"/>
                                    <w:left w:val="none" w:sz="0" w:space="0" w:color="auto"/>
                                    <w:bottom w:val="none" w:sz="0" w:space="0" w:color="auto"/>
                                    <w:right w:val="none" w:sz="0" w:space="0" w:color="auto"/>
                                  </w:divBdr>
                                  <w:divsChild>
                                    <w:div w:id="396367267">
                                      <w:marLeft w:val="0"/>
                                      <w:marRight w:val="0"/>
                                      <w:marTop w:val="0"/>
                                      <w:marBottom w:val="0"/>
                                      <w:divBdr>
                                        <w:top w:val="none" w:sz="0" w:space="0" w:color="auto"/>
                                        <w:left w:val="none" w:sz="0" w:space="0" w:color="auto"/>
                                        <w:bottom w:val="none" w:sz="0" w:space="0" w:color="auto"/>
                                        <w:right w:val="none" w:sz="0" w:space="0" w:color="auto"/>
                                      </w:divBdr>
                                      <w:divsChild>
                                        <w:div w:id="325477440">
                                          <w:marLeft w:val="0"/>
                                          <w:marRight w:val="-3525"/>
                                          <w:marTop w:val="0"/>
                                          <w:marBottom w:val="0"/>
                                          <w:divBdr>
                                            <w:top w:val="none" w:sz="0" w:space="0" w:color="auto"/>
                                            <w:left w:val="none" w:sz="0" w:space="0" w:color="auto"/>
                                            <w:bottom w:val="none" w:sz="0" w:space="0" w:color="auto"/>
                                            <w:right w:val="none" w:sz="0" w:space="0" w:color="auto"/>
                                          </w:divBdr>
                                          <w:divsChild>
                                            <w:div w:id="1962805913">
                                              <w:marLeft w:val="0"/>
                                              <w:marRight w:val="3225"/>
                                              <w:marTop w:val="0"/>
                                              <w:marBottom w:val="0"/>
                                              <w:divBdr>
                                                <w:top w:val="none" w:sz="0" w:space="0" w:color="auto"/>
                                                <w:left w:val="none" w:sz="0" w:space="0" w:color="auto"/>
                                                <w:bottom w:val="none" w:sz="0" w:space="0" w:color="auto"/>
                                                <w:right w:val="none" w:sz="0" w:space="0" w:color="auto"/>
                                              </w:divBdr>
                                              <w:divsChild>
                                                <w:div w:id="386028216">
                                                  <w:marLeft w:val="0"/>
                                                  <w:marRight w:val="0"/>
                                                  <w:marTop w:val="0"/>
                                                  <w:marBottom w:val="150"/>
                                                  <w:divBdr>
                                                    <w:top w:val="none" w:sz="0" w:space="0" w:color="auto"/>
                                                    <w:left w:val="none" w:sz="0" w:space="0" w:color="auto"/>
                                                    <w:bottom w:val="none" w:sz="0" w:space="0" w:color="auto"/>
                                                    <w:right w:val="none" w:sz="0" w:space="0" w:color="auto"/>
                                                  </w:divBdr>
                                                </w:div>
                                                <w:div w:id="1029260282">
                                                  <w:marLeft w:val="0"/>
                                                  <w:marRight w:val="0"/>
                                                  <w:marTop w:val="0"/>
                                                  <w:marBottom w:val="0"/>
                                                  <w:divBdr>
                                                    <w:top w:val="none" w:sz="0" w:space="0" w:color="auto"/>
                                                    <w:left w:val="none" w:sz="0" w:space="0" w:color="auto"/>
                                                    <w:bottom w:val="none" w:sz="0" w:space="0" w:color="auto"/>
                                                    <w:right w:val="none" w:sz="0" w:space="0" w:color="auto"/>
                                                  </w:divBdr>
                                                  <w:divsChild>
                                                    <w:div w:id="1016616514">
                                                      <w:marLeft w:val="0"/>
                                                      <w:marRight w:val="0"/>
                                                      <w:marTop w:val="0"/>
                                                      <w:marBottom w:val="0"/>
                                                      <w:divBdr>
                                                        <w:top w:val="none" w:sz="0" w:space="0" w:color="auto"/>
                                                        <w:left w:val="none" w:sz="0" w:space="0" w:color="auto"/>
                                                        <w:bottom w:val="none" w:sz="0" w:space="0" w:color="auto"/>
                                                        <w:right w:val="none" w:sz="0" w:space="0" w:color="auto"/>
                                                      </w:divBdr>
                                                    </w:div>
                                                  </w:divsChild>
                                                </w:div>
                                                <w:div w:id="752898213">
                                                  <w:marLeft w:val="15"/>
                                                  <w:marRight w:val="15"/>
                                                  <w:marTop w:val="15"/>
                                                  <w:marBottom w:val="15"/>
                                                  <w:divBdr>
                                                    <w:top w:val="none" w:sz="0" w:space="0" w:color="auto"/>
                                                    <w:left w:val="none" w:sz="0" w:space="0" w:color="auto"/>
                                                    <w:bottom w:val="none" w:sz="0" w:space="0" w:color="auto"/>
                                                    <w:right w:val="none" w:sz="0" w:space="0" w:color="auto"/>
                                                  </w:divBdr>
                                                  <w:divsChild>
                                                    <w:div w:id="2030983294">
                                                      <w:marLeft w:val="0"/>
                                                      <w:marRight w:val="0"/>
                                                      <w:marTop w:val="0"/>
                                                      <w:marBottom w:val="0"/>
                                                      <w:divBdr>
                                                        <w:top w:val="none" w:sz="0" w:space="0" w:color="auto"/>
                                                        <w:left w:val="none" w:sz="0" w:space="0" w:color="auto"/>
                                                        <w:bottom w:val="none" w:sz="0" w:space="0" w:color="auto"/>
                                                        <w:right w:val="none" w:sz="0" w:space="0" w:color="auto"/>
                                                      </w:divBdr>
                                                    </w:div>
                                                    <w:div w:id="24911233">
                                                      <w:marLeft w:val="0"/>
                                                      <w:marRight w:val="0"/>
                                                      <w:marTop w:val="0"/>
                                                      <w:marBottom w:val="0"/>
                                                      <w:divBdr>
                                                        <w:top w:val="none" w:sz="0" w:space="0" w:color="auto"/>
                                                        <w:left w:val="none" w:sz="0" w:space="0" w:color="auto"/>
                                                        <w:bottom w:val="none" w:sz="0" w:space="0" w:color="auto"/>
                                                        <w:right w:val="none" w:sz="0" w:space="0" w:color="auto"/>
                                                      </w:divBdr>
                                                    </w:div>
                                                    <w:div w:id="1657805860">
                                                      <w:marLeft w:val="0"/>
                                                      <w:marRight w:val="0"/>
                                                      <w:marTop w:val="0"/>
                                                      <w:marBottom w:val="0"/>
                                                      <w:divBdr>
                                                        <w:top w:val="none" w:sz="0" w:space="0" w:color="auto"/>
                                                        <w:left w:val="none" w:sz="0" w:space="0" w:color="auto"/>
                                                        <w:bottom w:val="none" w:sz="0" w:space="0" w:color="auto"/>
                                                        <w:right w:val="none" w:sz="0" w:space="0" w:color="auto"/>
                                                      </w:divBdr>
                                                    </w:div>
                                                    <w:div w:id="683166079">
                                                      <w:marLeft w:val="0"/>
                                                      <w:marRight w:val="0"/>
                                                      <w:marTop w:val="0"/>
                                                      <w:marBottom w:val="0"/>
                                                      <w:divBdr>
                                                        <w:top w:val="none" w:sz="0" w:space="0" w:color="auto"/>
                                                        <w:left w:val="none" w:sz="0" w:space="0" w:color="auto"/>
                                                        <w:bottom w:val="none" w:sz="0" w:space="0" w:color="auto"/>
                                                        <w:right w:val="none" w:sz="0" w:space="0" w:color="auto"/>
                                                      </w:divBdr>
                                                    </w:div>
                                                    <w:div w:id="770665863">
                                                      <w:marLeft w:val="0"/>
                                                      <w:marRight w:val="0"/>
                                                      <w:marTop w:val="0"/>
                                                      <w:marBottom w:val="0"/>
                                                      <w:divBdr>
                                                        <w:top w:val="none" w:sz="0" w:space="0" w:color="auto"/>
                                                        <w:left w:val="none" w:sz="0" w:space="0" w:color="auto"/>
                                                        <w:bottom w:val="none" w:sz="0" w:space="0" w:color="auto"/>
                                                        <w:right w:val="none" w:sz="0" w:space="0" w:color="auto"/>
                                                      </w:divBdr>
                                                    </w:div>
                                                    <w:div w:id="2005235264">
                                                      <w:marLeft w:val="0"/>
                                                      <w:marRight w:val="0"/>
                                                      <w:marTop w:val="0"/>
                                                      <w:marBottom w:val="0"/>
                                                      <w:divBdr>
                                                        <w:top w:val="none" w:sz="0" w:space="0" w:color="auto"/>
                                                        <w:left w:val="none" w:sz="0" w:space="0" w:color="auto"/>
                                                        <w:bottom w:val="none" w:sz="0" w:space="0" w:color="auto"/>
                                                        <w:right w:val="none" w:sz="0" w:space="0" w:color="auto"/>
                                                      </w:divBdr>
                                                    </w:div>
                                                    <w:div w:id="609552580">
                                                      <w:marLeft w:val="0"/>
                                                      <w:marRight w:val="0"/>
                                                      <w:marTop w:val="0"/>
                                                      <w:marBottom w:val="0"/>
                                                      <w:divBdr>
                                                        <w:top w:val="none" w:sz="0" w:space="0" w:color="auto"/>
                                                        <w:left w:val="none" w:sz="0" w:space="0" w:color="auto"/>
                                                        <w:bottom w:val="none" w:sz="0" w:space="0" w:color="auto"/>
                                                        <w:right w:val="none" w:sz="0" w:space="0" w:color="auto"/>
                                                      </w:divBdr>
                                                    </w:div>
                                                    <w:div w:id="1591623168">
                                                      <w:marLeft w:val="0"/>
                                                      <w:marRight w:val="0"/>
                                                      <w:marTop w:val="0"/>
                                                      <w:marBottom w:val="0"/>
                                                      <w:divBdr>
                                                        <w:top w:val="none" w:sz="0" w:space="0" w:color="auto"/>
                                                        <w:left w:val="none" w:sz="0" w:space="0" w:color="auto"/>
                                                        <w:bottom w:val="none" w:sz="0" w:space="0" w:color="auto"/>
                                                        <w:right w:val="none" w:sz="0" w:space="0" w:color="auto"/>
                                                      </w:divBdr>
                                                    </w:div>
                                                    <w:div w:id="646394206">
                                                      <w:marLeft w:val="0"/>
                                                      <w:marRight w:val="0"/>
                                                      <w:marTop w:val="0"/>
                                                      <w:marBottom w:val="0"/>
                                                      <w:divBdr>
                                                        <w:top w:val="none" w:sz="0" w:space="0" w:color="auto"/>
                                                        <w:left w:val="none" w:sz="0" w:space="0" w:color="auto"/>
                                                        <w:bottom w:val="none" w:sz="0" w:space="0" w:color="auto"/>
                                                        <w:right w:val="none" w:sz="0" w:space="0" w:color="auto"/>
                                                      </w:divBdr>
                                                    </w:div>
                                                    <w:div w:id="1824614452">
                                                      <w:marLeft w:val="0"/>
                                                      <w:marRight w:val="0"/>
                                                      <w:marTop w:val="0"/>
                                                      <w:marBottom w:val="0"/>
                                                      <w:divBdr>
                                                        <w:top w:val="none" w:sz="0" w:space="0" w:color="auto"/>
                                                        <w:left w:val="none" w:sz="0" w:space="0" w:color="auto"/>
                                                        <w:bottom w:val="none" w:sz="0" w:space="0" w:color="auto"/>
                                                        <w:right w:val="none" w:sz="0" w:space="0" w:color="auto"/>
                                                      </w:divBdr>
                                                    </w:div>
                                                    <w:div w:id="1006597174">
                                                      <w:marLeft w:val="0"/>
                                                      <w:marRight w:val="0"/>
                                                      <w:marTop w:val="0"/>
                                                      <w:marBottom w:val="0"/>
                                                      <w:divBdr>
                                                        <w:top w:val="none" w:sz="0" w:space="0" w:color="auto"/>
                                                        <w:left w:val="none" w:sz="0" w:space="0" w:color="auto"/>
                                                        <w:bottom w:val="none" w:sz="0" w:space="0" w:color="auto"/>
                                                        <w:right w:val="none" w:sz="0" w:space="0" w:color="auto"/>
                                                      </w:divBdr>
                                                    </w:div>
                                                    <w:div w:id="1398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sites/crr/response/_layouts/15/WopiFrame.aspx?sourcedoc=/sites/crr/response/HeadquartersDocs/1.%20POS%20pour%20une%20r&#233;ponse%20imm&#233;diate%20aux%20crises.pdf&amp;action=defau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A43A0ED1314241B15E6AE87729B358"/>
        <w:category>
          <w:name w:val="General"/>
          <w:gallery w:val="placeholder"/>
        </w:category>
        <w:types>
          <w:type w:val="bbPlcHdr"/>
        </w:types>
        <w:behaviors>
          <w:behavior w:val="content"/>
        </w:behaviors>
        <w:guid w:val="{4C47E426-405E-4C61-A0D5-333FF835E1D9}"/>
      </w:docPartPr>
      <w:docPartBody>
        <w:p w:rsidR="00515C57" w:rsidRDefault="00FF553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332"/>
    <w:rsid w:val="00062ABA"/>
    <w:rsid w:val="00165332"/>
    <w:rsid w:val="001E7CC9"/>
    <w:rsid w:val="00515C57"/>
    <w:rsid w:val="005814D0"/>
    <w:rsid w:val="00B42AD0"/>
    <w:rsid w:val="00CB07C2"/>
    <w:rsid w:val="00FB2D13"/>
    <w:rsid w:val="00FD0870"/>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7086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5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French</UNDP_POPP_DOCUMENT_LANGUAGE>
    <UNDP_POPP_EFFECTIVEDATE xmlns="8264c5cc-ec60-4b56-8111-ce635d3d139a">2018-08-31T22:00:00+00:00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Management of Petty Cash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POPP-11-3694</_dlc_DocId>
    <_dlc_DocIdUrl xmlns="8264c5cc-ec60-4b56-8111-ce635d3d139a">
      <Url>https://popp.undp.org/_layouts/15/DocIdRedir.aspx?ID=POPP-11-3694</Url>
      <Description>POPP-11-3694</Description>
    </_dlc_DocIdUrl>
    <UNDP_POPP_REFITEM_VERSION xmlns="8264c5cc-ec60-4b56-8111-ce635d3d139a">4</UNDP_POPP_REFITEM_VERSION>
    <DLCPolicyLabelLock xmlns="e560140e-7b2f-4392-90df-e7567e3021a3" xsi:nil="true"/>
    <DLCPolicyLabelClientValue xmlns="e560140e-7b2f-4392-90df-e7567e3021a3">Effective Date: 01/09/2018                                                Version #: 4.0</DLCPolicyLabelClientValue>
    <UNDP_POPP_LASTMODIFIED xmlns="8264c5cc-ec60-4b56-8111-ce635d3d139a" xsi:nil="true"/>
    <DLCPolicyLabelValue xmlns="e560140e-7b2f-4392-90df-e7567e3021a3">Effective Date: 01/09/2018                                                Version #: 4</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1C649-43E3-4842-9A77-839BF2F9EF9F}">
  <ds:schemaRefs>
    <ds:schemaRef ds:uri="office.server.policy"/>
  </ds:schemaRefs>
</ds:datastoreItem>
</file>

<file path=customXml/itemProps2.xml><?xml version="1.0" encoding="utf-8"?>
<ds:datastoreItem xmlns:ds="http://schemas.openxmlformats.org/officeDocument/2006/customXml" ds:itemID="{F403B2E7-F932-44B2-8D20-993CCFB907C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6047F8A-4682-485D-93C5-3FE450F84AF2}">
  <ds:schemaRefs>
    <ds:schemaRef ds:uri="http://schemas.microsoft.com/sharepoint/v3/contenttype/forms"/>
  </ds:schemaRefs>
</ds:datastoreItem>
</file>

<file path=customXml/itemProps4.xml><?xml version="1.0" encoding="utf-8"?>
<ds:datastoreItem xmlns:ds="http://schemas.openxmlformats.org/officeDocument/2006/customXml" ds:itemID="{2FDF1EA7-F717-4D5B-9369-9E27EBF2752A}">
  <ds:schemaRefs>
    <ds:schemaRef ds:uri="http://schemas.microsoft.com/sharepoint/events"/>
  </ds:schemaRefs>
</ds:datastoreItem>
</file>

<file path=customXml/itemProps5.xml><?xml version="1.0" encoding="utf-8"?>
<ds:datastoreItem xmlns:ds="http://schemas.openxmlformats.org/officeDocument/2006/customXml" ds:itemID="{6DD9F75C-0577-4ECA-A456-963B4FEC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7</cp:revision>
  <dcterms:created xsi:type="dcterms:W3CDTF">2021-12-20T23:03:00Z</dcterms:created>
  <dcterms:modified xsi:type="dcterms:W3CDTF">2024-05-24T13:39:00Z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UNDP_POPP_BUSINESSUNIT">
    <vt:lpwstr>350;#Financial Resources Management|682d4c54-a288-412d-bfec-ce5587bbd25c</vt:lpwstr>
  </property>
  <property fmtid="{D5CDD505-2E9C-101B-9397-08002B2CF9AE}" pid="5" name="_dlc_DocIdItemGuid">
    <vt:lpwstr>a6d35988-2e94-4137-a7ab-c54ea87feaf3</vt:lpwstr>
  </property>
</Properties>
</file>