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684E2" w14:textId="03BF7200" w:rsidR="00A2358F" w:rsidRDefault="00A2358F" w:rsidP="00B64B98">
      <w:pPr>
        <w:shd w:val="clear" w:color="auto" w:fill="FFFFFF"/>
        <w:spacing w:line="240" w:lineRule="auto"/>
        <w:textAlignment w:val="top"/>
        <w:rPr>
          <w:rFonts w:ascii="Arial" w:eastAsia="Times New Roman" w:hAnsi="Arial" w:cs="Arial"/>
          <w:noProof/>
          <w:color w:val="333333"/>
          <w:sz w:val="20"/>
          <w:szCs w:val="20"/>
          <w:lang w:eastAsia="en-US"/>
        </w:rPr>
      </w:pPr>
    </w:p>
    <w:p w14:paraId="7EE7715C" w14:textId="58D3BB91" w:rsidR="00C3122F" w:rsidRPr="00C3122F" w:rsidRDefault="00C3122F" w:rsidP="00C3122F">
      <w:pPr>
        <w:rPr>
          <w:rFonts w:ascii="Arial" w:eastAsia="Times New Roman" w:hAnsi="Arial" w:cs="Arial"/>
          <w:b/>
          <w:bCs/>
          <w:sz w:val="24"/>
          <w:szCs w:val="30"/>
          <w:u w:val="single"/>
        </w:rPr>
      </w:pPr>
      <w:r>
        <w:rPr>
          <w:rFonts w:ascii="Arial" w:hAnsi="Arial"/>
          <w:b/>
          <w:bCs/>
          <w:sz w:val="24"/>
          <w:szCs w:val="30"/>
          <w:u w:val="single"/>
        </w:rPr>
        <w:t>Gestión de la caja chica</w:t>
      </w:r>
      <w:bookmarkStart w:id="0" w:name="Description"/>
      <w:bookmarkEnd w:id="0"/>
    </w:p>
    <w:p w14:paraId="3BCCBAB0" w14:textId="77777777" w:rsidR="00C3122F" w:rsidRPr="00F57622" w:rsidRDefault="00C3122F" w:rsidP="00C3122F">
      <w:pPr>
        <w:shd w:val="clear" w:color="auto" w:fill="FFFFFF"/>
        <w:spacing w:after="0" w:line="240" w:lineRule="auto"/>
        <w:textAlignment w:val="top"/>
        <w:rPr>
          <w:rFonts w:ascii="Arial" w:eastAsia="Times New Roman" w:hAnsi="Arial" w:cs="Arial"/>
          <w:sz w:val="20"/>
          <w:szCs w:val="20"/>
        </w:rPr>
      </w:pPr>
      <w:r>
        <w:rPr>
          <w:rFonts w:ascii="Arial" w:hAnsi="Arial"/>
          <w:sz w:val="20"/>
          <w:szCs w:val="20"/>
        </w:rPr>
        <w:t xml:space="preserve">​ </w:t>
      </w:r>
    </w:p>
    <w:p w14:paraId="3822B693" w14:textId="198B02DD" w:rsidR="00C3122F" w:rsidRPr="00F57622" w:rsidRDefault="00C3122F" w:rsidP="00C3122F">
      <w:pPr>
        <w:shd w:val="clear" w:color="auto" w:fill="FFFFFF"/>
        <w:spacing w:after="0" w:line="312" w:lineRule="auto"/>
        <w:jc w:val="both"/>
        <w:textAlignment w:val="top"/>
        <w:rPr>
          <w:rFonts w:ascii="Arial" w:eastAsia="Times New Roman" w:hAnsi="Arial" w:cs="Arial"/>
          <w:sz w:val="20"/>
          <w:szCs w:val="20"/>
        </w:rPr>
      </w:pPr>
      <w:r>
        <w:rPr>
          <w:rFonts w:ascii="Arial" w:hAnsi="Arial"/>
          <w:sz w:val="20"/>
          <w:szCs w:val="20"/>
        </w:rPr>
        <w:t xml:space="preserve">Debido a la naturaleza de la misión del PNUD (Programa de las Naciones Unidas para el Desarrollo) y a su entorno operativo único y desafiante en todo el mundo, las oficinas de país (CO, </w:t>
      </w:r>
      <w:r w:rsidR="0057708F">
        <w:rPr>
          <w:rFonts w:ascii="Arial" w:hAnsi="Arial"/>
          <w:i/>
          <w:sz w:val="20"/>
          <w:szCs w:val="20"/>
        </w:rPr>
        <w:t>Country O</w:t>
      </w:r>
      <w:r>
        <w:rPr>
          <w:rFonts w:ascii="Arial" w:hAnsi="Arial"/>
          <w:i/>
          <w:sz w:val="20"/>
          <w:szCs w:val="20"/>
        </w:rPr>
        <w:t>ffices</w:t>
      </w:r>
      <w:r>
        <w:rPr>
          <w:rFonts w:ascii="Arial" w:hAnsi="Arial"/>
          <w:sz w:val="20"/>
          <w:szCs w:val="20"/>
        </w:rPr>
        <w:t xml:space="preserve">, por sus siglas en inglés) por lo general deben usar efectivo para realizar pagos con el fin de lograr los objetivos de los programas o proyectos cuando no hay otras alternativas viables. </w:t>
      </w:r>
    </w:p>
    <w:p w14:paraId="26C2E791" w14:textId="77777777" w:rsidR="00C3122F" w:rsidRPr="00F57622" w:rsidRDefault="00C3122F" w:rsidP="00C3122F">
      <w:pPr>
        <w:shd w:val="clear" w:color="auto" w:fill="FFFFFF"/>
        <w:spacing w:after="0" w:line="312" w:lineRule="auto"/>
        <w:jc w:val="both"/>
        <w:textAlignment w:val="top"/>
        <w:rPr>
          <w:rFonts w:ascii="Arial" w:eastAsia="Times New Roman" w:hAnsi="Arial" w:cs="Arial"/>
          <w:sz w:val="20"/>
          <w:szCs w:val="20"/>
        </w:rPr>
      </w:pPr>
      <w:r>
        <w:rPr>
          <w:rFonts w:ascii="Arial" w:hAnsi="Arial"/>
          <w:sz w:val="20"/>
          <w:szCs w:val="20"/>
        </w:rPr>
        <w:t> </w:t>
      </w:r>
    </w:p>
    <w:p w14:paraId="1E3A6811" w14:textId="77777777" w:rsidR="00C3122F" w:rsidRPr="00F57622" w:rsidRDefault="00C3122F" w:rsidP="00C3122F">
      <w:pPr>
        <w:shd w:val="clear" w:color="auto" w:fill="FFFFFF"/>
        <w:spacing w:after="0" w:line="312" w:lineRule="auto"/>
        <w:jc w:val="both"/>
        <w:textAlignment w:val="top"/>
        <w:rPr>
          <w:rFonts w:ascii="Arial" w:eastAsia="Times New Roman" w:hAnsi="Arial" w:cs="Arial"/>
          <w:sz w:val="20"/>
          <w:szCs w:val="20"/>
        </w:rPr>
      </w:pPr>
      <w:r>
        <w:rPr>
          <w:rFonts w:ascii="Arial" w:hAnsi="Arial"/>
          <w:sz w:val="20"/>
          <w:szCs w:val="20"/>
        </w:rPr>
        <w:t xml:space="preserve">Las directrices de las Políticas y Procedimientos de Operaciones y Programas (POPP, </w:t>
      </w:r>
      <w:r>
        <w:rPr>
          <w:rFonts w:ascii="Arial" w:hAnsi="Arial"/>
          <w:i/>
          <w:sz w:val="20"/>
          <w:szCs w:val="20"/>
        </w:rPr>
        <w:t>Programme and Operations Policies and Procedures</w:t>
      </w:r>
      <w:r>
        <w:rPr>
          <w:rFonts w:ascii="Arial" w:hAnsi="Arial"/>
          <w:sz w:val="20"/>
          <w:szCs w:val="20"/>
        </w:rPr>
        <w:t xml:space="preserve">, por sus siglas en inglés) para el manejo de caja («Directrices») apuntan a hacer frente a varios obstáculos operativos observados en las CO del PNUD y a brindar soluciones apropiadas que enfaticen la flexibilidad, la rendición de cuentas y el seguimiento y la mitigación de riesgos.  Debe tenerse en cuenta que el establecimiento de cualquiera de los tipos de manejos de caja cubiertos dentro de las directrices debe estar fundamentado con base en las necesidades operativas.  No es un derecho que todas las oficinas y/o proyectos pueden o deben tener dichos manejos, especialmente para proyectos de desarrollo.  Deberá realizarse todo lo posible por incorporar los requisitos del proyecto en los marcos de pago existentes sin utilizar ningún tipo de manejo de caja o utilizar proveedores de servicios externos. Más aún, al evaluar dichas necesidades operativas, las consideraciones otorgadas a la flexibilidad y a la «conveniencia» deben ser contrarrestadas con las consideraciones de rendición de cuentas, control interno y riesgos de seguridad.  Finalmente, el uso de cualquier tipo de manejo de caja con las directrices </w:t>
      </w:r>
      <w:r>
        <w:rPr>
          <w:rFonts w:ascii="Arial" w:hAnsi="Arial"/>
          <w:b/>
          <w:bCs/>
          <w:sz w:val="20"/>
          <w:szCs w:val="20"/>
          <w:u w:val="single"/>
        </w:rPr>
        <w:t>no exime a las CO del cumplimiento de las reglas aplicables de adquisición</w:t>
      </w:r>
      <w:r>
        <w:rPr>
          <w:rFonts w:ascii="Arial" w:hAnsi="Arial"/>
          <w:sz w:val="20"/>
          <w:szCs w:val="20"/>
        </w:rPr>
        <w:t>.</w:t>
      </w:r>
    </w:p>
    <w:p w14:paraId="41B7051B" w14:textId="77777777" w:rsidR="00C3122F" w:rsidRDefault="00C3122F" w:rsidP="00C3122F">
      <w:pPr>
        <w:shd w:val="clear" w:color="auto" w:fill="FFFFFF"/>
        <w:spacing w:after="0" w:line="312" w:lineRule="auto"/>
        <w:jc w:val="both"/>
        <w:textAlignment w:val="top"/>
        <w:rPr>
          <w:rFonts w:ascii="Arial" w:eastAsia="Times New Roman" w:hAnsi="Arial" w:cs="Arial"/>
          <w:color w:val="333333"/>
          <w:sz w:val="20"/>
          <w:szCs w:val="20"/>
        </w:rPr>
      </w:pPr>
    </w:p>
    <w:p w14:paraId="254BA7BD" w14:textId="77777777" w:rsidR="00C3122F" w:rsidRPr="00F57622" w:rsidRDefault="00C3122F" w:rsidP="00C3122F">
      <w:pPr>
        <w:shd w:val="clear" w:color="auto" w:fill="FFFFFF"/>
        <w:spacing w:after="0" w:line="312" w:lineRule="auto"/>
        <w:jc w:val="both"/>
        <w:textAlignment w:val="top"/>
        <w:rPr>
          <w:rFonts w:ascii="Arial" w:eastAsia="Times New Roman" w:hAnsi="Arial" w:cs="Arial"/>
          <w:color w:val="333333"/>
          <w:sz w:val="20"/>
          <w:szCs w:val="20"/>
          <w:u w:val="single"/>
        </w:rPr>
      </w:pPr>
      <w:r>
        <w:rPr>
          <w:rFonts w:ascii="Arial" w:hAnsi="Arial"/>
          <w:color w:val="333333"/>
          <w:sz w:val="20"/>
          <w:szCs w:val="20"/>
          <w:u w:val="single"/>
        </w:rPr>
        <w:t>Reglamentación financiera 125.09</w:t>
      </w:r>
    </w:p>
    <w:p w14:paraId="626EC9B6" w14:textId="77777777" w:rsidR="00C3122F" w:rsidRPr="00F57622" w:rsidRDefault="00C3122F" w:rsidP="00C3122F">
      <w:pPr>
        <w:pStyle w:val="NormalWeb"/>
        <w:spacing w:line="360" w:lineRule="auto"/>
        <w:jc w:val="both"/>
        <w:rPr>
          <w:rFonts w:ascii="Arial" w:hAnsi="Arial" w:cs="Arial"/>
          <w:i/>
          <w:sz w:val="20"/>
          <w:szCs w:val="20"/>
        </w:rPr>
      </w:pPr>
      <w:r>
        <w:rPr>
          <w:rFonts w:ascii="Arial" w:hAnsi="Arial"/>
          <w:i/>
          <w:sz w:val="20"/>
          <w:szCs w:val="20"/>
        </w:rPr>
        <w:t xml:space="preserve">«Los anticipos de caja chica pueden ponerse a disposición de los oficiales designados por el Tesorero o por la persona que este designe a partir de las cuentas de caja chica. El Tesorero puede, cuando se proporcionan las salvaguardias apropiadas, autorizar anticipos de caja chica de las cuentas de caja chica al personal que no es de plantilla hasta un monto determinado por el Tesorero. Estas cuentas de caja deberán mantenerse en forma de anticipo de fondos. El monto y los propósitos de cada cuenta deberán ser definidos por el Tesorero. El monto debe ser el mínimo compatible con los requisitos de trabajo». </w:t>
      </w:r>
    </w:p>
    <w:p w14:paraId="4F3D32F8" w14:textId="2EDF180A" w:rsidR="00C3122F" w:rsidRDefault="0057708F" w:rsidP="00C3122F">
      <w:pPr>
        <w:shd w:val="clear" w:color="auto" w:fill="FFFFFF"/>
        <w:spacing w:after="0" w:line="312" w:lineRule="auto"/>
        <w:jc w:val="both"/>
        <w:textAlignment w:val="top"/>
        <w:rPr>
          <w:rFonts w:ascii="Arial" w:eastAsia="Times New Roman" w:hAnsi="Arial" w:cs="Arial"/>
          <w:color w:val="333333"/>
          <w:sz w:val="20"/>
          <w:szCs w:val="20"/>
        </w:rPr>
      </w:pPr>
      <w:r>
        <w:rPr>
          <w:noProof/>
          <w:lang w:val="en-US" w:eastAsia="en-US"/>
        </w:rPr>
        <w:lastRenderedPageBreak/>
        <w:drawing>
          <wp:inline distT="0" distB="0" distL="0" distR="0" wp14:anchorId="00320CF3" wp14:editId="2301A295">
            <wp:extent cx="5943600" cy="4720942"/>
            <wp:effectExtent l="0" t="0" r="0" b="3810"/>
            <wp:docPr id="1342999738" name="Imagen 8" descr="C:\Users\Usuario\Desktop\Nueva carpeta\Management of Petty C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pic:nvPicPr>
                  <pic:blipFill>
                    <a:blip r:embed="rId12">
                      <a:extLst>
                        <a:ext uri="{28A0092B-C50C-407E-A947-70E740481C1C}">
                          <a14:useLocalDpi xmlns:a14="http://schemas.microsoft.com/office/drawing/2010/main" val="0"/>
                        </a:ext>
                      </a:extLst>
                    </a:blip>
                    <a:stretch>
                      <a:fillRect/>
                    </a:stretch>
                  </pic:blipFill>
                  <pic:spPr>
                    <a:xfrm>
                      <a:off x="0" y="0"/>
                      <a:ext cx="5943600" cy="4720942"/>
                    </a:xfrm>
                    <a:prstGeom prst="rect">
                      <a:avLst/>
                    </a:prstGeom>
                  </pic:spPr>
                </pic:pic>
              </a:graphicData>
            </a:graphic>
          </wp:inline>
        </w:drawing>
      </w:r>
    </w:p>
    <w:p w14:paraId="79D9247D" w14:textId="77777777" w:rsidR="00C3122F" w:rsidRDefault="00C3122F" w:rsidP="00C3122F">
      <w:pPr>
        <w:shd w:val="clear" w:color="auto" w:fill="FFFFFF"/>
        <w:spacing w:after="0" w:line="312" w:lineRule="auto"/>
        <w:jc w:val="both"/>
        <w:textAlignment w:val="top"/>
        <w:rPr>
          <w:rFonts w:ascii="Arial" w:eastAsia="Times New Roman" w:hAnsi="Arial" w:cs="Arial"/>
          <w:color w:val="333333"/>
          <w:sz w:val="20"/>
          <w:szCs w:val="20"/>
        </w:rPr>
      </w:pPr>
    </w:p>
    <w:p w14:paraId="1A59CBCB" w14:textId="77777777" w:rsidR="00C3122F" w:rsidRPr="00BE0C40" w:rsidRDefault="00C3122F" w:rsidP="00C3122F">
      <w:pPr>
        <w:shd w:val="clear" w:color="auto" w:fill="FFFFFF"/>
        <w:spacing w:after="0" w:line="312" w:lineRule="auto"/>
        <w:textAlignment w:val="top"/>
        <w:rPr>
          <w:rFonts w:ascii="Arial" w:eastAsia="Times New Roman" w:hAnsi="Arial" w:cs="Arial"/>
          <w:sz w:val="20"/>
          <w:szCs w:val="20"/>
        </w:rPr>
      </w:pPr>
      <w:r w:rsidRPr="00BE0C40">
        <w:rPr>
          <w:rFonts w:ascii="Arial" w:hAnsi="Arial"/>
          <w:sz w:val="20"/>
          <w:szCs w:val="20"/>
        </w:rPr>
        <w:t>Las directrices cubren los siguientes manejos posibles de caja. Consulte las secciones específicas de las POPP para conocer las políticas y procedimientos individuales:</w:t>
      </w:r>
    </w:p>
    <w:p w14:paraId="01EBF24F" w14:textId="77777777" w:rsidR="00C3122F" w:rsidRPr="00BE0C40" w:rsidRDefault="00C3122F" w:rsidP="00C3122F">
      <w:pPr>
        <w:shd w:val="clear" w:color="auto" w:fill="FFFFFF"/>
        <w:spacing w:after="0" w:line="312" w:lineRule="auto"/>
        <w:textAlignment w:val="top"/>
        <w:rPr>
          <w:rFonts w:ascii="Arial" w:eastAsia="Times New Roman" w:hAnsi="Arial" w:cs="Arial"/>
          <w:sz w:val="20"/>
          <w:szCs w:val="20"/>
        </w:rPr>
      </w:pPr>
      <w:r w:rsidRPr="00BE0C40">
        <w:rPr>
          <w:rFonts w:ascii="Arial" w:hAnsi="Arial"/>
          <w:sz w:val="20"/>
          <w:szCs w:val="20"/>
        </w:rPr>
        <w:t> </w:t>
      </w:r>
    </w:p>
    <w:p w14:paraId="53BB5FB8" w14:textId="0848E37F" w:rsidR="00C3122F" w:rsidRPr="00BE0C40" w:rsidRDefault="00000000" w:rsidP="00C3122F">
      <w:pPr>
        <w:shd w:val="clear" w:color="auto" w:fill="FFFFFF"/>
        <w:spacing w:after="0" w:line="312" w:lineRule="auto"/>
        <w:textAlignment w:val="top"/>
        <w:rPr>
          <w:rFonts w:ascii="Arial" w:eastAsia="Times New Roman" w:hAnsi="Arial" w:cs="Arial"/>
          <w:sz w:val="20"/>
          <w:szCs w:val="20"/>
        </w:rPr>
      </w:pPr>
      <w:hyperlink r:id="rId13" w:history="1">
        <w:r w:rsidR="00C3122F" w:rsidRPr="00BE0C40">
          <w:rPr>
            <w:rStyle w:val="Hyperlink"/>
            <w:rFonts w:ascii="Arial" w:hAnsi="Arial"/>
            <w:sz w:val="20"/>
            <w:szCs w:val="20"/>
          </w:rPr>
          <w:t xml:space="preserve">Fondo de caja chica (PCF, </w:t>
        </w:r>
        <w:r w:rsidR="00C3122F" w:rsidRPr="00BE0C40">
          <w:rPr>
            <w:rStyle w:val="Hyperlink"/>
            <w:rFonts w:ascii="Arial" w:hAnsi="Arial"/>
            <w:i/>
            <w:sz w:val="20"/>
            <w:szCs w:val="20"/>
          </w:rPr>
          <w:t>Petty Cash Fund</w:t>
        </w:r>
        <w:r w:rsidR="00C3122F" w:rsidRPr="00BE0C40">
          <w:rPr>
            <w:rStyle w:val="Hyperlink"/>
            <w:rFonts w:ascii="Arial" w:hAnsi="Arial"/>
            <w:sz w:val="20"/>
            <w:szCs w:val="20"/>
          </w:rPr>
          <w:t>, por sus siglas en inglés) para la oficina principal de la CO</w:t>
        </w:r>
      </w:hyperlink>
      <w:r w:rsidR="00C3122F" w:rsidRPr="00BE0C40">
        <w:rPr>
          <w:rFonts w:ascii="Arial" w:hAnsi="Arial"/>
          <w:sz w:val="20"/>
          <w:szCs w:val="20"/>
        </w:rPr>
        <w:t xml:space="preserve"> (también conocido como proyecto de gestión) </w:t>
      </w:r>
    </w:p>
    <w:p w14:paraId="5653F754" w14:textId="000CDF05" w:rsidR="00C3122F" w:rsidRPr="00BE0C40" w:rsidRDefault="00000000" w:rsidP="00C3122F">
      <w:pPr>
        <w:shd w:val="clear" w:color="auto" w:fill="FFFFFF"/>
        <w:spacing w:after="0" w:line="312" w:lineRule="auto"/>
        <w:textAlignment w:val="top"/>
        <w:rPr>
          <w:rFonts w:ascii="Arial" w:eastAsia="Times New Roman" w:hAnsi="Arial" w:cs="Arial"/>
          <w:sz w:val="20"/>
          <w:szCs w:val="20"/>
        </w:rPr>
      </w:pPr>
      <w:hyperlink r:id="rId14" w:history="1">
        <w:r w:rsidR="00C3122F" w:rsidRPr="00F25E3C">
          <w:rPr>
            <w:rStyle w:val="Hyperlink"/>
            <w:rFonts w:ascii="Arial" w:hAnsi="Arial"/>
            <w:sz w:val="20"/>
            <w:szCs w:val="20"/>
          </w:rPr>
          <w:t xml:space="preserve">Fondo de caja chica para proyectos de desarrollo (PPCF, </w:t>
        </w:r>
        <w:r w:rsidR="00C3122F" w:rsidRPr="00F25E3C">
          <w:rPr>
            <w:rStyle w:val="Hyperlink"/>
            <w:rFonts w:ascii="Arial" w:hAnsi="Arial"/>
            <w:i/>
            <w:sz w:val="20"/>
            <w:szCs w:val="20"/>
          </w:rPr>
          <w:t>Project Petty Cash Fund</w:t>
        </w:r>
        <w:r w:rsidR="00C3122F" w:rsidRPr="00F25E3C">
          <w:rPr>
            <w:rStyle w:val="Hyperlink"/>
            <w:rFonts w:ascii="Arial" w:hAnsi="Arial"/>
            <w:sz w:val="20"/>
            <w:szCs w:val="20"/>
          </w:rPr>
          <w:t>, por sus siglas en inglés)</w:t>
        </w:r>
      </w:hyperlink>
      <w:r w:rsidR="00C3122F" w:rsidRPr="00BE0C40">
        <w:rPr>
          <w:rFonts w:ascii="Arial" w:hAnsi="Arial"/>
          <w:sz w:val="20"/>
          <w:szCs w:val="20"/>
        </w:rPr>
        <w:t xml:space="preserve"> para ubicaciones remotas         </w:t>
      </w:r>
    </w:p>
    <w:p w14:paraId="6E44280E" w14:textId="646BB465" w:rsidR="00C3122F" w:rsidRPr="00BE0C40" w:rsidRDefault="00000000" w:rsidP="00C3122F">
      <w:pPr>
        <w:shd w:val="clear" w:color="auto" w:fill="FFFFFF"/>
        <w:spacing w:after="0" w:line="312" w:lineRule="auto"/>
        <w:textAlignment w:val="top"/>
        <w:rPr>
          <w:rFonts w:ascii="Arial" w:eastAsia="Times New Roman" w:hAnsi="Arial" w:cs="Arial"/>
          <w:sz w:val="20"/>
          <w:szCs w:val="20"/>
        </w:rPr>
      </w:pPr>
      <w:hyperlink r:id="rId15" w:history="1">
        <w:r w:rsidR="00C3122F" w:rsidRPr="00BE0C40">
          <w:rPr>
            <w:rStyle w:val="Hyperlink"/>
            <w:rFonts w:ascii="Arial" w:hAnsi="Arial"/>
            <w:sz w:val="20"/>
            <w:szCs w:val="20"/>
          </w:rPr>
          <w:t xml:space="preserve">Efectivo disponible para proyectos (PCH, </w:t>
        </w:r>
        <w:r w:rsidR="00C3122F" w:rsidRPr="00BE0C40">
          <w:rPr>
            <w:rStyle w:val="Hyperlink"/>
            <w:rFonts w:ascii="Arial" w:hAnsi="Arial"/>
            <w:i/>
            <w:sz w:val="20"/>
            <w:szCs w:val="20"/>
          </w:rPr>
          <w:t>Project Cash on Hand</w:t>
        </w:r>
        <w:r w:rsidR="00C3122F" w:rsidRPr="00BE0C40">
          <w:rPr>
            <w:rStyle w:val="Hyperlink"/>
            <w:rFonts w:ascii="Arial" w:hAnsi="Arial"/>
            <w:sz w:val="20"/>
            <w:szCs w:val="20"/>
          </w:rPr>
          <w:t>, por sus siglas en inglés)</w:t>
        </w:r>
      </w:hyperlink>
      <w:r w:rsidR="00C3122F" w:rsidRPr="00BE0C40">
        <w:rPr>
          <w:rFonts w:ascii="Arial" w:hAnsi="Arial"/>
          <w:sz w:val="20"/>
          <w:szCs w:val="20"/>
        </w:rPr>
        <w:t xml:space="preserve"> (requisito monetario &gt; monto del PPCF)</w:t>
      </w:r>
    </w:p>
    <w:p w14:paraId="47C1996C" w14:textId="071374F5" w:rsidR="00C3122F" w:rsidRPr="00BE0C40" w:rsidRDefault="00000000" w:rsidP="00C3122F">
      <w:pPr>
        <w:shd w:val="clear" w:color="auto" w:fill="FFFFFF"/>
        <w:spacing w:after="0" w:line="312" w:lineRule="auto"/>
        <w:textAlignment w:val="top"/>
        <w:rPr>
          <w:rFonts w:ascii="Arial" w:eastAsia="Times New Roman" w:hAnsi="Arial" w:cs="Arial"/>
          <w:sz w:val="20"/>
          <w:szCs w:val="20"/>
        </w:rPr>
      </w:pPr>
      <w:hyperlink r:id="rId16" w:history="1">
        <w:r w:rsidR="00C3122F" w:rsidRPr="00BE0C40">
          <w:rPr>
            <w:rStyle w:val="Hyperlink"/>
            <w:rFonts w:ascii="Arial" w:hAnsi="Arial"/>
            <w:sz w:val="20"/>
            <w:szCs w:val="20"/>
          </w:rPr>
          <w:t xml:space="preserve">Anticipo de efectivo para proyectos (PCA, </w:t>
        </w:r>
        <w:r w:rsidR="00C3122F" w:rsidRPr="00BE0C40">
          <w:rPr>
            <w:rStyle w:val="Hyperlink"/>
            <w:rFonts w:ascii="Arial" w:hAnsi="Arial"/>
            <w:i/>
            <w:sz w:val="20"/>
            <w:szCs w:val="20"/>
          </w:rPr>
          <w:t>Project Cash Advance</w:t>
        </w:r>
        <w:r w:rsidR="00C3122F" w:rsidRPr="00BE0C40">
          <w:rPr>
            <w:rStyle w:val="Hyperlink"/>
            <w:rFonts w:ascii="Arial" w:hAnsi="Arial"/>
            <w:sz w:val="20"/>
            <w:szCs w:val="20"/>
          </w:rPr>
          <w:t>, por sus siglas en inglés)</w:t>
        </w:r>
      </w:hyperlink>
      <w:r w:rsidR="00C3122F" w:rsidRPr="00BE0C40">
        <w:rPr>
          <w:rFonts w:ascii="Arial" w:hAnsi="Arial"/>
          <w:sz w:val="20"/>
          <w:szCs w:val="20"/>
        </w:rPr>
        <w:t xml:space="preserve"> (requisito de actividad única de proyecto)</w:t>
      </w:r>
    </w:p>
    <w:p w14:paraId="69279348" w14:textId="6D53C4B4" w:rsidR="0057708F" w:rsidRDefault="0057708F" w:rsidP="00C3122F">
      <w:pPr>
        <w:shd w:val="clear" w:color="auto" w:fill="FFFFFF"/>
        <w:spacing w:after="0" w:line="312" w:lineRule="auto"/>
        <w:textAlignment w:val="top"/>
        <w:rPr>
          <w:rFonts w:ascii="Arial" w:eastAsia="Times New Roman" w:hAnsi="Arial" w:cs="Arial"/>
          <w:color w:val="333333"/>
          <w:sz w:val="20"/>
          <w:szCs w:val="20"/>
        </w:rPr>
      </w:pPr>
      <w:r>
        <w:rPr>
          <w:rFonts w:ascii="Arial" w:eastAsia="Times New Roman" w:hAnsi="Arial" w:cs="Arial"/>
          <w:color w:val="333333"/>
          <w:sz w:val="20"/>
          <w:szCs w:val="20"/>
        </w:rPr>
        <w:br w:type="page"/>
      </w:r>
    </w:p>
    <w:p w14:paraId="2E4A2333" w14:textId="77777777" w:rsidR="00C3122F" w:rsidRDefault="00C3122F" w:rsidP="00C3122F">
      <w:pPr>
        <w:shd w:val="clear" w:color="auto" w:fill="FFFFFF"/>
        <w:spacing w:after="0" w:line="312" w:lineRule="auto"/>
        <w:jc w:val="both"/>
        <w:textAlignment w:val="top"/>
        <w:rPr>
          <w:rFonts w:ascii="Arial" w:hAnsi="Arial" w:cs="Arial"/>
          <w:sz w:val="20"/>
          <w:szCs w:val="20"/>
        </w:rPr>
      </w:pPr>
      <w:r w:rsidRPr="00BE0C40">
        <w:rPr>
          <w:rFonts w:ascii="Arial" w:hAnsi="Arial"/>
          <w:sz w:val="20"/>
          <w:szCs w:val="20"/>
        </w:rPr>
        <w:lastRenderedPageBreak/>
        <w:t xml:space="preserve">A partir del 1 de septiembre de 2018, </w:t>
      </w:r>
      <w:r>
        <w:rPr>
          <w:rFonts w:ascii="Arial" w:hAnsi="Arial"/>
          <w:sz w:val="20"/>
          <w:szCs w:val="20"/>
        </w:rPr>
        <w:t xml:space="preserve">el aumento en los niveles de manejo de caja y la delegación de autoridad (DoA, </w:t>
      </w:r>
      <w:r>
        <w:rPr>
          <w:rFonts w:ascii="Arial" w:hAnsi="Arial"/>
          <w:i/>
          <w:sz w:val="20"/>
          <w:szCs w:val="20"/>
        </w:rPr>
        <w:t>Delegation of Authority</w:t>
      </w:r>
      <w:r>
        <w:rPr>
          <w:rFonts w:ascii="Arial" w:hAnsi="Arial"/>
          <w:sz w:val="20"/>
          <w:szCs w:val="20"/>
        </w:rPr>
        <w:t xml:space="preserve">, por sus siglas en inglés) relacionada entran en vigor de la siguiente manera: </w:t>
      </w:r>
    </w:p>
    <w:p w14:paraId="6D352089" w14:textId="77777777" w:rsidR="00C3122F" w:rsidRPr="00F57622" w:rsidRDefault="00C3122F" w:rsidP="00C3122F">
      <w:pPr>
        <w:shd w:val="clear" w:color="auto" w:fill="FFFFFF"/>
        <w:spacing w:after="0" w:line="312" w:lineRule="auto"/>
        <w:jc w:val="both"/>
        <w:textAlignment w:val="top"/>
        <w:rPr>
          <w:rFonts w:ascii="Arial" w:hAnsi="Arial" w:cs="Arial"/>
          <w:sz w:val="20"/>
          <w:szCs w:val="20"/>
        </w:rPr>
      </w:pPr>
    </w:p>
    <w:tbl>
      <w:tblPr>
        <w:tblStyle w:val="TableGrid"/>
        <w:tblW w:w="0" w:type="auto"/>
        <w:tblLook w:val="04A0" w:firstRow="1" w:lastRow="0" w:firstColumn="1" w:lastColumn="0" w:noHBand="0" w:noVBand="1"/>
      </w:tblPr>
      <w:tblGrid>
        <w:gridCol w:w="1394"/>
        <w:gridCol w:w="7956"/>
      </w:tblGrid>
      <w:tr w:rsidR="00C3122F" w14:paraId="0FA6BD0A" w14:textId="77777777" w:rsidTr="00B22887">
        <w:tc>
          <w:tcPr>
            <w:tcW w:w="1345" w:type="dxa"/>
          </w:tcPr>
          <w:p w14:paraId="2A2E0CC6" w14:textId="77777777" w:rsidR="00C3122F" w:rsidRDefault="00C3122F" w:rsidP="00B22887">
            <w:pPr>
              <w:rPr>
                <w:rFonts w:ascii="Arial" w:hAnsi="Arial" w:cs="Arial"/>
                <w:sz w:val="20"/>
                <w:szCs w:val="20"/>
              </w:rPr>
            </w:pPr>
            <w:r>
              <w:rPr>
                <w:rFonts w:ascii="Arial" w:hAnsi="Arial"/>
                <w:sz w:val="20"/>
                <w:szCs w:val="20"/>
              </w:rPr>
              <w:t>PCF              </w:t>
            </w:r>
          </w:p>
        </w:tc>
        <w:tc>
          <w:tcPr>
            <w:tcW w:w="8005" w:type="dxa"/>
          </w:tcPr>
          <w:p w14:paraId="43ACDC13" w14:textId="77777777" w:rsidR="00C3122F" w:rsidRPr="00F57622" w:rsidRDefault="00C3122F" w:rsidP="00C3122F">
            <w:pPr>
              <w:pStyle w:val="ListParagraph"/>
              <w:numPr>
                <w:ilvl w:val="0"/>
                <w:numId w:val="5"/>
              </w:numPr>
              <w:rPr>
                <w:rFonts w:ascii="Arial" w:hAnsi="Arial" w:cs="Arial"/>
                <w:sz w:val="20"/>
                <w:szCs w:val="20"/>
              </w:rPr>
            </w:pPr>
            <w:r>
              <w:rPr>
                <w:rFonts w:ascii="Arial" w:hAnsi="Arial"/>
                <w:sz w:val="20"/>
                <w:szCs w:val="20"/>
              </w:rPr>
              <w:t>Aumento de límite de USD 1000 a USD 2500</w:t>
            </w:r>
          </w:p>
          <w:p w14:paraId="59839E11" w14:textId="77777777" w:rsidR="00C3122F" w:rsidRDefault="00C3122F" w:rsidP="00C3122F">
            <w:pPr>
              <w:pStyle w:val="ListParagraph"/>
              <w:numPr>
                <w:ilvl w:val="0"/>
                <w:numId w:val="5"/>
              </w:numPr>
              <w:rPr>
                <w:rFonts w:ascii="Arial" w:hAnsi="Arial" w:cs="Arial"/>
                <w:sz w:val="20"/>
                <w:szCs w:val="20"/>
              </w:rPr>
            </w:pPr>
            <w:r>
              <w:rPr>
                <w:rFonts w:ascii="Arial" w:hAnsi="Arial"/>
                <w:sz w:val="20"/>
                <w:szCs w:val="20"/>
              </w:rPr>
              <w:t>Aumento de límite por pago de USD 100 a USD 250</w:t>
            </w:r>
          </w:p>
          <w:p w14:paraId="2953D1DC" w14:textId="77777777" w:rsidR="00C3122F" w:rsidRPr="00F57622" w:rsidRDefault="00C3122F" w:rsidP="00B22887">
            <w:pPr>
              <w:pStyle w:val="ListParagraph"/>
              <w:rPr>
                <w:rFonts w:ascii="Arial" w:hAnsi="Arial" w:cs="Arial"/>
                <w:sz w:val="20"/>
                <w:szCs w:val="20"/>
              </w:rPr>
            </w:pPr>
          </w:p>
        </w:tc>
      </w:tr>
      <w:tr w:rsidR="00C3122F" w14:paraId="0CD51F80" w14:textId="77777777" w:rsidTr="00B22887">
        <w:tc>
          <w:tcPr>
            <w:tcW w:w="1345" w:type="dxa"/>
          </w:tcPr>
          <w:p w14:paraId="0AAEF37D" w14:textId="77777777" w:rsidR="00C3122F" w:rsidRDefault="00C3122F" w:rsidP="00B22887">
            <w:pPr>
              <w:rPr>
                <w:rFonts w:ascii="Arial" w:hAnsi="Arial" w:cs="Arial"/>
                <w:sz w:val="20"/>
                <w:szCs w:val="20"/>
              </w:rPr>
            </w:pPr>
            <w:r>
              <w:rPr>
                <w:rFonts w:ascii="Arial" w:hAnsi="Arial"/>
                <w:sz w:val="20"/>
                <w:szCs w:val="20"/>
              </w:rPr>
              <w:t>PPCF</w:t>
            </w:r>
          </w:p>
        </w:tc>
        <w:tc>
          <w:tcPr>
            <w:tcW w:w="8005" w:type="dxa"/>
          </w:tcPr>
          <w:p w14:paraId="74BFC77E" w14:textId="77777777" w:rsidR="00C3122F" w:rsidRPr="00F57622" w:rsidRDefault="00C3122F" w:rsidP="00C3122F">
            <w:pPr>
              <w:pStyle w:val="ListParagraph"/>
              <w:numPr>
                <w:ilvl w:val="0"/>
                <w:numId w:val="6"/>
              </w:numPr>
              <w:rPr>
                <w:rFonts w:ascii="Arial" w:hAnsi="Arial" w:cs="Arial"/>
                <w:sz w:val="20"/>
                <w:szCs w:val="20"/>
              </w:rPr>
            </w:pPr>
            <w:r>
              <w:rPr>
                <w:rFonts w:ascii="Arial" w:hAnsi="Arial"/>
                <w:sz w:val="20"/>
                <w:szCs w:val="20"/>
              </w:rPr>
              <w:t xml:space="preserve">Aumento de límite de USD 1000 a USD 2500 </w:t>
            </w:r>
          </w:p>
          <w:p w14:paraId="7C5518BE" w14:textId="77777777" w:rsidR="00C3122F" w:rsidRPr="00F57622" w:rsidRDefault="00C3122F" w:rsidP="00C3122F">
            <w:pPr>
              <w:pStyle w:val="ListParagraph"/>
              <w:numPr>
                <w:ilvl w:val="0"/>
                <w:numId w:val="6"/>
              </w:numPr>
              <w:rPr>
                <w:rFonts w:ascii="Arial" w:hAnsi="Arial" w:cs="Arial"/>
                <w:sz w:val="20"/>
                <w:szCs w:val="20"/>
              </w:rPr>
            </w:pPr>
            <w:r>
              <w:rPr>
                <w:rFonts w:ascii="Arial" w:hAnsi="Arial"/>
                <w:sz w:val="20"/>
                <w:szCs w:val="20"/>
              </w:rPr>
              <w:t xml:space="preserve">Aumento de límite por pago a USD 250 </w:t>
            </w:r>
          </w:p>
          <w:p w14:paraId="67A3277C" w14:textId="71C96A00" w:rsidR="00C3122F" w:rsidRDefault="00C3122F" w:rsidP="00C3122F">
            <w:pPr>
              <w:pStyle w:val="ListParagraph"/>
              <w:numPr>
                <w:ilvl w:val="0"/>
                <w:numId w:val="6"/>
              </w:numPr>
              <w:rPr>
                <w:rFonts w:ascii="Arial" w:hAnsi="Arial" w:cs="Arial"/>
                <w:sz w:val="20"/>
                <w:szCs w:val="20"/>
              </w:rPr>
            </w:pPr>
            <w:r>
              <w:rPr>
                <w:rFonts w:ascii="Arial" w:hAnsi="Arial"/>
                <w:sz w:val="20"/>
                <w:szCs w:val="20"/>
              </w:rPr>
              <w:t xml:space="preserve">DoA al Representante Residente (RR, </w:t>
            </w:r>
            <w:r>
              <w:rPr>
                <w:rFonts w:ascii="Arial" w:hAnsi="Arial"/>
                <w:i/>
                <w:sz w:val="20"/>
                <w:szCs w:val="20"/>
              </w:rPr>
              <w:t>Resident Representative</w:t>
            </w:r>
            <w:r>
              <w:rPr>
                <w:rFonts w:ascii="Arial" w:hAnsi="Arial"/>
                <w:sz w:val="20"/>
                <w:szCs w:val="20"/>
              </w:rPr>
              <w:t xml:space="preserve">, por sus siglas en inglés) para designar al titular del </w:t>
            </w:r>
            <w:r w:rsidR="00BD4C0B">
              <w:rPr>
                <w:rFonts w:ascii="Arial" w:hAnsi="Arial"/>
                <w:sz w:val="20"/>
                <w:szCs w:val="20"/>
              </w:rPr>
              <w:t>NPSA/IPSA</w:t>
            </w:r>
            <w:r>
              <w:rPr>
                <w:rFonts w:ascii="Arial" w:hAnsi="Arial"/>
                <w:sz w:val="20"/>
                <w:szCs w:val="20"/>
              </w:rPr>
              <w:t xml:space="preserve"> como custodio</w:t>
            </w:r>
          </w:p>
          <w:p w14:paraId="792EA0A0" w14:textId="77777777" w:rsidR="00C3122F" w:rsidRPr="00F57622" w:rsidRDefault="00C3122F" w:rsidP="00B22887">
            <w:pPr>
              <w:pStyle w:val="ListParagraph"/>
              <w:rPr>
                <w:rFonts w:ascii="Arial" w:hAnsi="Arial" w:cs="Arial"/>
                <w:sz w:val="20"/>
                <w:szCs w:val="20"/>
              </w:rPr>
            </w:pPr>
          </w:p>
        </w:tc>
      </w:tr>
      <w:tr w:rsidR="00C3122F" w14:paraId="03C7BDF1" w14:textId="77777777" w:rsidTr="00B22887">
        <w:tc>
          <w:tcPr>
            <w:tcW w:w="1345" w:type="dxa"/>
          </w:tcPr>
          <w:p w14:paraId="67263143" w14:textId="77777777" w:rsidR="00C3122F" w:rsidRDefault="00C3122F" w:rsidP="00B22887">
            <w:pPr>
              <w:rPr>
                <w:rFonts w:ascii="Arial" w:hAnsi="Arial" w:cs="Arial"/>
                <w:sz w:val="20"/>
                <w:szCs w:val="20"/>
              </w:rPr>
            </w:pPr>
            <w:r>
              <w:rPr>
                <w:rFonts w:ascii="Arial" w:hAnsi="Arial"/>
                <w:sz w:val="20"/>
                <w:szCs w:val="20"/>
              </w:rPr>
              <w:t>PCH</w:t>
            </w:r>
          </w:p>
        </w:tc>
        <w:tc>
          <w:tcPr>
            <w:tcW w:w="8005" w:type="dxa"/>
          </w:tcPr>
          <w:p w14:paraId="3F3CC748" w14:textId="77777777" w:rsidR="00C3122F" w:rsidRDefault="00C3122F" w:rsidP="00C3122F">
            <w:pPr>
              <w:pStyle w:val="ListParagraph"/>
              <w:numPr>
                <w:ilvl w:val="0"/>
                <w:numId w:val="7"/>
              </w:numPr>
              <w:rPr>
                <w:rFonts w:ascii="Arial" w:hAnsi="Arial" w:cs="Arial"/>
                <w:sz w:val="20"/>
                <w:szCs w:val="20"/>
              </w:rPr>
            </w:pPr>
            <w:r>
              <w:rPr>
                <w:rFonts w:ascii="Arial" w:hAnsi="Arial"/>
                <w:sz w:val="20"/>
                <w:szCs w:val="20"/>
              </w:rPr>
              <w:t>Aumento de límite del mínimo de USD 1001 a un nuevo mínimo de USD 2501 hasta un máximo de USD 5000</w:t>
            </w:r>
          </w:p>
          <w:p w14:paraId="19B5FD3C" w14:textId="77777777" w:rsidR="00C3122F" w:rsidRDefault="00C3122F" w:rsidP="00C3122F">
            <w:pPr>
              <w:pStyle w:val="ListParagraph"/>
              <w:numPr>
                <w:ilvl w:val="0"/>
                <w:numId w:val="7"/>
              </w:numPr>
              <w:rPr>
                <w:rFonts w:ascii="Arial" w:hAnsi="Arial" w:cs="Arial"/>
                <w:sz w:val="20"/>
                <w:szCs w:val="20"/>
              </w:rPr>
            </w:pPr>
            <w:r>
              <w:rPr>
                <w:rFonts w:ascii="Arial" w:hAnsi="Arial"/>
                <w:sz w:val="20"/>
                <w:szCs w:val="20"/>
              </w:rPr>
              <w:t>Sin límites para pagos únicos</w:t>
            </w:r>
          </w:p>
          <w:p w14:paraId="75C0A5BC" w14:textId="77777777" w:rsidR="00C3122F" w:rsidRDefault="00C3122F" w:rsidP="00C3122F">
            <w:pPr>
              <w:pStyle w:val="ListParagraph"/>
              <w:numPr>
                <w:ilvl w:val="0"/>
                <w:numId w:val="7"/>
              </w:numPr>
              <w:rPr>
                <w:rFonts w:ascii="Arial" w:hAnsi="Arial" w:cs="Arial"/>
                <w:sz w:val="20"/>
                <w:szCs w:val="20"/>
              </w:rPr>
            </w:pPr>
            <w:r>
              <w:rPr>
                <w:rFonts w:ascii="Arial" w:hAnsi="Arial"/>
                <w:sz w:val="20"/>
                <w:szCs w:val="20"/>
              </w:rPr>
              <w:t>DoA al RR hasta un límite máximo de USD 25 000</w:t>
            </w:r>
          </w:p>
          <w:p w14:paraId="7AA30D50" w14:textId="4C84E7DA" w:rsidR="00C3122F" w:rsidRDefault="00C3122F" w:rsidP="00C3122F">
            <w:pPr>
              <w:pStyle w:val="ListParagraph"/>
              <w:numPr>
                <w:ilvl w:val="0"/>
                <w:numId w:val="7"/>
              </w:numPr>
              <w:rPr>
                <w:rFonts w:ascii="Arial" w:hAnsi="Arial" w:cs="Arial"/>
                <w:sz w:val="20"/>
                <w:szCs w:val="20"/>
              </w:rPr>
            </w:pPr>
            <w:r>
              <w:rPr>
                <w:rFonts w:ascii="Arial" w:hAnsi="Arial"/>
                <w:sz w:val="20"/>
                <w:szCs w:val="20"/>
              </w:rPr>
              <w:t xml:space="preserve">DoA al RR para designar al titular del </w:t>
            </w:r>
            <w:r w:rsidR="00BD4C0B">
              <w:rPr>
                <w:rFonts w:ascii="Arial" w:hAnsi="Arial"/>
                <w:sz w:val="20"/>
                <w:szCs w:val="20"/>
              </w:rPr>
              <w:t>NPCA/IPSA</w:t>
            </w:r>
            <w:r>
              <w:rPr>
                <w:rFonts w:ascii="Arial" w:hAnsi="Arial"/>
                <w:sz w:val="20"/>
                <w:szCs w:val="20"/>
              </w:rPr>
              <w:t xml:space="preserve"> como custodio hasta USD 2500</w:t>
            </w:r>
          </w:p>
          <w:p w14:paraId="5C42A52E" w14:textId="77777777" w:rsidR="00C3122F" w:rsidRDefault="00C3122F" w:rsidP="00B22887">
            <w:pPr>
              <w:pStyle w:val="ListParagraph"/>
            </w:pPr>
          </w:p>
        </w:tc>
      </w:tr>
      <w:tr w:rsidR="00C3122F" w14:paraId="6FC58806" w14:textId="77777777" w:rsidTr="00B22887">
        <w:tc>
          <w:tcPr>
            <w:tcW w:w="1345" w:type="dxa"/>
          </w:tcPr>
          <w:p w14:paraId="20CE6D11" w14:textId="77777777" w:rsidR="00C3122F" w:rsidRPr="00D84B17" w:rsidRDefault="00C3122F" w:rsidP="00B22887">
            <w:pPr>
              <w:rPr>
                <w:rFonts w:ascii="Arial" w:hAnsi="Arial" w:cs="Arial"/>
                <w:sz w:val="20"/>
                <w:szCs w:val="20"/>
              </w:rPr>
            </w:pPr>
            <w:r>
              <w:rPr>
                <w:rFonts w:ascii="Arial" w:hAnsi="Arial"/>
              </w:rPr>
              <w:t>PCA</w:t>
            </w:r>
          </w:p>
        </w:tc>
        <w:tc>
          <w:tcPr>
            <w:tcW w:w="8005" w:type="dxa"/>
          </w:tcPr>
          <w:p w14:paraId="2A3AE697" w14:textId="77777777" w:rsidR="00C3122F" w:rsidRPr="00F57622" w:rsidRDefault="00C3122F" w:rsidP="00C3122F">
            <w:pPr>
              <w:pStyle w:val="ListParagraph"/>
              <w:numPr>
                <w:ilvl w:val="0"/>
                <w:numId w:val="7"/>
              </w:numPr>
              <w:rPr>
                <w:rFonts w:ascii="Arial" w:hAnsi="Arial" w:cs="Arial"/>
                <w:sz w:val="20"/>
                <w:szCs w:val="20"/>
              </w:rPr>
            </w:pPr>
            <w:r>
              <w:rPr>
                <w:rFonts w:ascii="Arial" w:hAnsi="Arial"/>
                <w:sz w:val="20"/>
                <w:szCs w:val="20"/>
              </w:rPr>
              <w:t>El límite máximo permanece en USD 25 000    </w:t>
            </w:r>
          </w:p>
          <w:p w14:paraId="30ACF849" w14:textId="77777777" w:rsidR="00C3122F" w:rsidRDefault="00C3122F" w:rsidP="00C3122F">
            <w:pPr>
              <w:pStyle w:val="ListParagraph"/>
              <w:numPr>
                <w:ilvl w:val="0"/>
                <w:numId w:val="6"/>
              </w:numPr>
              <w:rPr>
                <w:rFonts w:ascii="Arial" w:hAnsi="Arial" w:cs="Arial"/>
              </w:rPr>
            </w:pPr>
            <w:r>
              <w:rPr>
                <w:rFonts w:ascii="Arial" w:hAnsi="Arial"/>
                <w:sz w:val="20"/>
                <w:szCs w:val="20"/>
              </w:rPr>
              <w:t>Sin límites para pagos únicos</w:t>
            </w:r>
            <w:r>
              <w:rPr>
                <w:rFonts w:ascii="Arial" w:hAnsi="Arial"/>
              </w:rPr>
              <w:t>        </w:t>
            </w:r>
          </w:p>
          <w:p w14:paraId="76BDE2A8" w14:textId="11B2DF2C" w:rsidR="00C3122F" w:rsidRDefault="00C3122F" w:rsidP="00C3122F">
            <w:pPr>
              <w:pStyle w:val="ListParagraph"/>
              <w:numPr>
                <w:ilvl w:val="0"/>
                <w:numId w:val="6"/>
              </w:numPr>
              <w:rPr>
                <w:rFonts w:ascii="Arial" w:hAnsi="Arial" w:cs="Arial"/>
                <w:sz w:val="20"/>
                <w:szCs w:val="20"/>
              </w:rPr>
            </w:pPr>
            <w:r>
              <w:rPr>
                <w:rFonts w:ascii="Arial" w:hAnsi="Arial"/>
                <w:sz w:val="20"/>
                <w:szCs w:val="20"/>
              </w:rPr>
              <w:t xml:space="preserve">DoA al RR para designar al titular del </w:t>
            </w:r>
            <w:r w:rsidR="00BD4C0B">
              <w:rPr>
                <w:rFonts w:ascii="Arial" w:hAnsi="Arial"/>
                <w:sz w:val="20"/>
                <w:szCs w:val="20"/>
              </w:rPr>
              <w:t>NPCA/IPSA</w:t>
            </w:r>
            <w:r>
              <w:rPr>
                <w:rFonts w:ascii="Arial" w:hAnsi="Arial"/>
                <w:sz w:val="20"/>
                <w:szCs w:val="20"/>
              </w:rPr>
              <w:t xml:space="preserve"> como custodio hasta USD 5000</w:t>
            </w:r>
          </w:p>
          <w:p w14:paraId="6DAD3493" w14:textId="77777777" w:rsidR="00C3122F" w:rsidRDefault="00C3122F" w:rsidP="00C3122F">
            <w:pPr>
              <w:pStyle w:val="ListParagraph"/>
              <w:numPr>
                <w:ilvl w:val="0"/>
                <w:numId w:val="6"/>
              </w:numPr>
              <w:rPr>
                <w:rFonts w:ascii="Arial" w:hAnsi="Arial" w:cs="Arial"/>
                <w:sz w:val="20"/>
                <w:szCs w:val="20"/>
              </w:rPr>
            </w:pPr>
            <w:r>
              <w:rPr>
                <w:rFonts w:ascii="Arial" w:hAnsi="Arial"/>
                <w:sz w:val="20"/>
                <w:szCs w:val="20"/>
              </w:rPr>
              <w:t>Período de liquidación extendido del actual de 2 semanas a 1 mes a partir de la fecha de emisión del anticipo</w:t>
            </w:r>
          </w:p>
          <w:p w14:paraId="28C6DAD3" w14:textId="77777777" w:rsidR="00C3122F" w:rsidRPr="00F57622" w:rsidRDefault="00C3122F" w:rsidP="00B22887">
            <w:pPr>
              <w:rPr>
                <w:rFonts w:ascii="Arial" w:hAnsi="Arial" w:cs="Arial"/>
                <w:sz w:val="20"/>
                <w:szCs w:val="20"/>
              </w:rPr>
            </w:pPr>
          </w:p>
        </w:tc>
      </w:tr>
    </w:tbl>
    <w:p w14:paraId="080030F0" w14:textId="77777777" w:rsidR="00C3122F" w:rsidRDefault="00C3122F" w:rsidP="00C3122F">
      <w:pPr>
        <w:rPr>
          <w:rFonts w:ascii="Arial" w:hAnsi="Arial" w:cs="Arial"/>
          <w:sz w:val="20"/>
          <w:szCs w:val="20"/>
        </w:rPr>
      </w:pPr>
    </w:p>
    <w:p w14:paraId="6998A968" w14:textId="6B6DC71D" w:rsidR="00C3122F" w:rsidRPr="00F57622" w:rsidRDefault="707E8510" w:rsidP="00BE0C40">
      <w:pPr>
        <w:shd w:val="clear" w:color="auto" w:fill="FFFFFF" w:themeFill="background1"/>
        <w:spacing w:after="0" w:line="312" w:lineRule="auto"/>
        <w:jc w:val="both"/>
        <w:textAlignment w:val="top"/>
        <w:rPr>
          <w:rFonts w:ascii="Arial" w:hAnsi="Arial" w:cs="Arial"/>
          <w:sz w:val="20"/>
          <w:szCs w:val="20"/>
        </w:rPr>
      </w:pPr>
      <w:r w:rsidRPr="7DF9DF72">
        <w:rPr>
          <w:rFonts w:ascii="Arial" w:hAnsi="Arial"/>
          <w:sz w:val="20"/>
          <w:szCs w:val="20"/>
        </w:rPr>
        <w:t>La naturaleza perpetua de los arreglos de caja se mantiene</w:t>
      </w:r>
      <w:r w:rsidR="298C41E8" w:rsidRPr="7DF9DF72">
        <w:rPr>
          <w:rFonts w:ascii="Arial" w:hAnsi="Arial"/>
          <w:sz w:val="20"/>
          <w:szCs w:val="20"/>
        </w:rPr>
        <w:t xml:space="preserve"> sobre la base de anticipo de fondos</w:t>
      </w:r>
      <w:r w:rsidR="5CA5BFDD" w:rsidRPr="7DF9DF72">
        <w:rPr>
          <w:rFonts w:ascii="Arial" w:hAnsi="Arial"/>
          <w:sz w:val="20"/>
          <w:szCs w:val="20"/>
        </w:rPr>
        <w:t xml:space="preserve">, tales como:  PCF, PPCF, y PCH, no requieren de una </w:t>
      </w:r>
      <w:r w:rsidR="21CB64F0" w:rsidRPr="7DF9DF72">
        <w:rPr>
          <w:rFonts w:ascii="Arial" w:hAnsi="Arial"/>
          <w:sz w:val="20"/>
          <w:szCs w:val="20"/>
        </w:rPr>
        <w:t>aprobación</w:t>
      </w:r>
      <w:r w:rsidR="5CA5BFDD" w:rsidRPr="7DF9DF72">
        <w:rPr>
          <w:rFonts w:ascii="Arial" w:hAnsi="Arial"/>
          <w:sz w:val="20"/>
          <w:szCs w:val="20"/>
        </w:rPr>
        <w:t xml:space="preserve"> anual luego de otorgada la primera </w:t>
      </w:r>
      <w:r w:rsidR="4E430606" w:rsidRPr="7DF9DF72">
        <w:rPr>
          <w:rFonts w:ascii="Arial" w:hAnsi="Arial"/>
          <w:sz w:val="20"/>
          <w:szCs w:val="20"/>
        </w:rPr>
        <w:t>aprobación</w:t>
      </w:r>
      <w:r w:rsidR="5CA5BFDD" w:rsidRPr="7DF9DF72">
        <w:rPr>
          <w:rFonts w:ascii="Arial" w:hAnsi="Arial"/>
          <w:sz w:val="20"/>
          <w:szCs w:val="20"/>
        </w:rPr>
        <w:t xml:space="preserve">, a no ser que las condiciones </w:t>
      </w:r>
      <w:r w:rsidR="2DCFCE97" w:rsidRPr="7DF9DF72">
        <w:rPr>
          <w:rFonts w:ascii="Arial" w:hAnsi="Arial"/>
          <w:sz w:val="20"/>
          <w:szCs w:val="20"/>
        </w:rPr>
        <w:t>básicas</w:t>
      </w:r>
      <w:r w:rsidR="5CA5BFDD" w:rsidRPr="7DF9DF72">
        <w:rPr>
          <w:rFonts w:ascii="Arial" w:hAnsi="Arial"/>
          <w:sz w:val="20"/>
          <w:szCs w:val="20"/>
        </w:rPr>
        <w:t xml:space="preserve"> sobre las que fue otorgado el anticipo hayan cambiado. </w:t>
      </w:r>
      <w:r w:rsidR="015E4791" w:rsidRPr="7DF9DF72">
        <w:rPr>
          <w:rFonts w:ascii="Arial" w:hAnsi="Arial"/>
          <w:sz w:val="20"/>
          <w:szCs w:val="20"/>
        </w:rPr>
        <w:t xml:space="preserve"> Dichas condiciones básicas son:  cambio en la designación del custodio,</w:t>
      </w:r>
      <w:r w:rsidR="22517803" w:rsidRPr="7DF9DF72">
        <w:rPr>
          <w:rFonts w:ascii="Arial" w:hAnsi="Arial"/>
          <w:sz w:val="20"/>
          <w:szCs w:val="20"/>
        </w:rPr>
        <w:t xml:space="preserve"> cambio en el monto, cambio de proyecto, cambio en la ubicación, y el cambio en la </w:t>
      </w:r>
      <w:r w:rsidR="2B7BB11D" w:rsidRPr="7DF9DF72">
        <w:rPr>
          <w:rFonts w:ascii="Arial" w:hAnsi="Arial"/>
          <w:sz w:val="20"/>
          <w:szCs w:val="20"/>
        </w:rPr>
        <w:t>justificación</w:t>
      </w:r>
      <w:r w:rsidR="22517803" w:rsidRPr="7DF9DF72">
        <w:rPr>
          <w:rFonts w:ascii="Arial" w:hAnsi="Arial"/>
          <w:sz w:val="20"/>
          <w:szCs w:val="20"/>
        </w:rPr>
        <w:t xml:space="preserve"> del caso (por ejemplo, ausencia de un sistema bancario efic</w:t>
      </w:r>
      <w:r w:rsidR="1A2D5EFD" w:rsidRPr="7DF9DF72">
        <w:rPr>
          <w:rFonts w:ascii="Arial" w:hAnsi="Arial"/>
          <w:sz w:val="20"/>
          <w:szCs w:val="20"/>
        </w:rPr>
        <w:t xml:space="preserve">iente, situación de emergencia) sobre la cual se obtuvo una </w:t>
      </w:r>
      <w:r w:rsidR="6B6538BB" w:rsidRPr="7DF9DF72">
        <w:rPr>
          <w:rFonts w:ascii="Arial" w:hAnsi="Arial"/>
          <w:sz w:val="20"/>
          <w:szCs w:val="20"/>
        </w:rPr>
        <w:t>aprobación</w:t>
      </w:r>
      <w:r w:rsidR="1A2D5EFD" w:rsidRPr="7DF9DF72">
        <w:rPr>
          <w:rFonts w:ascii="Arial" w:hAnsi="Arial"/>
          <w:sz w:val="20"/>
          <w:szCs w:val="20"/>
        </w:rPr>
        <w:t xml:space="preserve"> de parte de la </w:t>
      </w:r>
      <w:r w:rsidR="7BED7EC9" w:rsidRPr="7DF9DF72">
        <w:rPr>
          <w:rFonts w:ascii="Arial" w:hAnsi="Arial"/>
          <w:sz w:val="20"/>
          <w:szCs w:val="20"/>
        </w:rPr>
        <w:t>T</w:t>
      </w:r>
      <w:r w:rsidR="4C50DE2E" w:rsidRPr="7DF9DF72">
        <w:rPr>
          <w:rFonts w:ascii="Arial" w:hAnsi="Arial"/>
          <w:sz w:val="20"/>
          <w:szCs w:val="20"/>
        </w:rPr>
        <w:t>esorería</w:t>
      </w:r>
      <w:r w:rsidR="1A2D5EFD" w:rsidRPr="7DF9DF72">
        <w:rPr>
          <w:rFonts w:ascii="Arial" w:hAnsi="Arial"/>
          <w:sz w:val="20"/>
          <w:szCs w:val="20"/>
        </w:rPr>
        <w:t>.</w:t>
      </w:r>
    </w:p>
    <w:p w14:paraId="0A622A40" w14:textId="074894BF" w:rsidR="00C3122F" w:rsidRPr="00F57622" w:rsidRDefault="1A2D5EFD" w:rsidP="7DF9DF72">
      <w:pPr>
        <w:shd w:val="clear" w:color="auto" w:fill="FFFFFF" w:themeFill="background1"/>
        <w:spacing w:after="0" w:line="312" w:lineRule="auto"/>
        <w:jc w:val="both"/>
        <w:textAlignment w:val="top"/>
        <w:rPr>
          <w:rFonts w:ascii="Arial" w:hAnsi="Arial" w:cs="Arial"/>
          <w:sz w:val="20"/>
          <w:szCs w:val="20"/>
        </w:rPr>
      </w:pPr>
      <w:r w:rsidRPr="7DF9DF72">
        <w:rPr>
          <w:rFonts w:ascii="Arial" w:hAnsi="Arial"/>
          <w:sz w:val="20"/>
          <w:szCs w:val="20"/>
        </w:rPr>
        <w:t xml:space="preserve"> </w:t>
      </w:r>
      <w:r w:rsidR="00C3122F" w:rsidRPr="7DF9DF72">
        <w:rPr>
          <w:rFonts w:ascii="Arial" w:hAnsi="Arial"/>
          <w:sz w:val="20"/>
          <w:szCs w:val="20"/>
        </w:rPr>
        <w:t xml:space="preserve">                                                    </w:t>
      </w:r>
    </w:p>
    <w:p w14:paraId="72FBA287" w14:textId="77777777" w:rsidR="00C3122F" w:rsidRPr="00BE0C40" w:rsidRDefault="00C3122F" w:rsidP="00C3122F">
      <w:pPr>
        <w:shd w:val="clear" w:color="auto" w:fill="FFFFFF"/>
        <w:spacing w:after="0" w:line="312" w:lineRule="auto"/>
        <w:textAlignment w:val="top"/>
        <w:rPr>
          <w:rFonts w:ascii="Arial" w:eastAsia="Times New Roman" w:hAnsi="Arial" w:cs="Arial"/>
          <w:sz w:val="20"/>
          <w:szCs w:val="20"/>
        </w:rPr>
      </w:pPr>
      <w:bookmarkStart w:id="1" w:name="_Hlk523474421"/>
      <w:r w:rsidRPr="00BE0C40">
        <w:rPr>
          <w:rFonts w:ascii="Arial" w:hAnsi="Arial"/>
          <w:sz w:val="20"/>
          <w:szCs w:val="20"/>
        </w:rPr>
        <w:t xml:space="preserve">El Buró Regional puede decidir ejercer las opciones de otorgar los límites revisados de manejo de caja de manera selectiva a las Oficinas de País. </w:t>
      </w:r>
    </w:p>
    <w:bookmarkEnd w:id="1"/>
    <w:p w14:paraId="3A97079C" w14:textId="77777777" w:rsidR="00C3122F" w:rsidRPr="0011565D" w:rsidRDefault="00C3122F" w:rsidP="00C3122F">
      <w:pPr>
        <w:shd w:val="clear" w:color="auto" w:fill="FFFFFF"/>
        <w:spacing w:after="0" w:line="312" w:lineRule="auto"/>
        <w:textAlignment w:val="top"/>
        <w:rPr>
          <w:rFonts w:ascii="Arial" w:eastAsia="Times New Roman" w:hAnsi="Arial" w:cs="Arial"/>
          <w:color w:val="333333"/>
          <w:sz w:val="20"/>
          <w:szCs w:val="20"/>
        </w:rPr>
      </w:pPr>
    </w:p>
    <w:p w14:paraId="4F0BBB2C" w14:textId="77777777" w:rsidR="00C3122F" w:rsidRPr="00F57622" w:rsidRDefault="00C3122F" w:rsidP="00C3122F">
      <w:pPr>
        <w:jc w:val="both"/>
        <w:rPr>
          <w:rFonts w:ascii="Arial" w:hAnsi="Arial" w:cs="Arial"/>
          <w:sz w:val="20"/>
          <w:szCs w:val="20"/>
        </w:rPr>
      </w:pPr>
      <w:r>
        <w:rPr>
          <w:rFonts w:ascii="Arial" w:hAnsi="Arial"/>
          <w:sz w:val="20"/>
          <w:szCs w:val="20"/>
        </w:rPr>
        <w:t xml:space="preserve">El Tesorero puede suspender los nuevos límites generales de manejo de caja para una Oficina de País que tiene </w:t>
      </w:r>
    </w:p>
    <w:p w14:paraId="1018561D" w14:textId="37555A58" w:rsidR="00C3122F" w:rsidRPr="00F57622" w:rsidRDefault="0057708F" w:rsidP="00C3122F">
      <w:pPr>
        <w:numPr>
          <w:ilvl w:val="1"/>
          <w:numId w:val="2"/>
        </w:numPr>
        <w:jc w:val="both"/>
        <w:rPr>
          <w:rFonts w:ascii="Arial" w:hAnsi="Arial" w:cs="Arial"/>
          <w:sz w:val="20"/>
          <w:szCs w:val="20"/>
        </w:rPr>
      </w:pPr>
      <w:r>
        <w:rPr>
          <w:rFonts w:ascii="Arial" w:hAnsi="Arial"/>
          <w:sz w:val="20"/>
          <w:szCs w:val="20"/>
        </w:rPr>
        <w:t>U</w:t>
      </w:r>
      <w:r w:rsidR="00C3122F">
        <w:rPr>
          <w:rFonts w:ascii="Arial" w:hAnsi="Arial"/>
          <w:sz w:val="20"/>
          <w:szCs w:val="20"/>
        </w:rPr>
        <w:t xml:space="preserve">n «tablero rojo» para las excepciones de caja, durante tres meses consecutivos, </w:t>
      </w:r>
      <w:r w:rsidR="00C3122F">
        <w:rPr>
          <w:rFonts w:ascii="Arial" w:hAnsi="Arial"/>
          <w:b/>
          <w:sz w:val="20"/>
          <w:szCs w:val="20"/>
          <w:u w:val="single"/>
        </w:rPr>
        <w:t>o</w:t>
      </w:r>
      <w:r w:rsidR="00C3122F">
        <w:rPr>
          <w:rFonts w:ascii="Arial" w:hAnsi="Arial"/>
          <w:sz w:val="20"/>
          <w:szCs w:val="20"/>
        </w:rPr>
        <w:t xml:space="preserve"> </w:t>
      </w:r>
    </w:p>
    <w:p w14:paraId="10AC42D2" w14:textId="17F97F9F" w:rsidR="00C3122F" w:rsidRPr="00F57622" w:rsidRDefault="0057708F" w:rsidP="00C3122F">
      <w:pPr>
        <w:numPr>
          <w:ilvl w:val="1"/>
          <w:numId w:val="2"/>
        </w:numPr>
        <w:jc w:val="both"/>
        <w:rPr>
          <w:rFonts w:ascii="Arial" w:hAnsi="Arial" w:cs="Arial"/>
          <w:sz w:val="20"/>
          <w:szCs w:val="20"/>
        </w:rPr>
      </w:pPr>
      <w:r>
        <w:rPr>
          <w:rFonts w:ascii="Arial" w:hAnsi="Arial"/>
          <w:sz w:val="20"/>
          <w:szCs w:val="20"/>
        </w:rPr>
        <w:t>U</w:t>
      </w:r>
      <w:r w:rsidR="00C3122F">
        <w:rPr>
          <w:rFonts w:ascii="Arial" w:hAnsi="Arial"/>
          <w:sz w:val="20"/>
          <w:szCs w:val="20"/>
        </w:rPr>
        <w:t>na observación de auditoría relacionada con un manejo de caja</w:t>
      </w:r>
    </w:p>
    <w:p w14:paraId="3B8C332D" w14:textId="77777777" w:rsidR="00C3122F" w:rsidRDefault="00C3122F" w:rsidP="00C3122F">
      <w:pPr>
        <w:spacing w:line="240" w:lineRule="auto"/>
        <w:jc w:val="both"/>
        <w:rPr>
          <w:rFonts w:ascii="Arial" w:hAnsi="Arial" w:cs="Arial"/>
          <w:sz w:val="20"/>
          <w:szCs w:val="20"/>
        </w:rPr>
      </w:pPr>
    </w:p>
    <w:p w14:paraId="2B37F232" w14:textId="390824BD" w:rsidR="00C3122F" w:rsidRDefault="00C3122F" w:rsidP="00BE0C40">
      <w:pPr>
        <w:spacing w:line="360" w:lineRule="auto"/>
        <w:jc w:val="both"/>
        <w:rPr>
          <w:rFonts w:ascii="Arial" w:eastAsia="Times New Roman" w:hAnsi="Arial" w:cs="Arial"/>
          <w:color w:val="333333"/>
          <w:sz w:val="20"/>
          <w:szCs w:val="20"/>
        </w:rPr>
      </w:pPr>
      <w:r>
        <w:rPr>
          <w:rFonts w:ascii="Arial" w:hAnsi="Arial"/>
          <w:sz w:val="20"/>
          <w:szCs w:val="20"/>
        </w:rPr>
        <w:t xml:space="preserve">Cualquiera de estos eventos ocasiona la suspensión.  La suspensión durará un año durante el cual las Oficinas de País deberán regresar a los límites anteriores (consulte el Anexo 2). Después del período de </w:t>
      </w:r>
      <w:r>
        <w:rPr>
          <w:rFonts w:ascii="Arial" w:hAnsi="Arial"/>
          <w:sz w:val="20"/>
          <w:szCs w:val="20"/>
        </w:rPr>
        <w:lastRenderedPageBreak/>
        <w:t>suspensión de un año, las Oficinas de País serán reevaluadas</w:t>
      </w:r>
      <w:r w:rsidR="0057708F">
        <w:rPr>
          <w:rFonts w:ascii="Arial" w:hAnsi="Arial"/>
          <w:sz w:val="20"/>
          <w:szCs w:val="20"/>
        </w:rPr>
        <w:t xml:space="preserve"> para volver a incluirse en los</w:t>
      </w:r>
      <w:r w:rsidR="0057708F">
        <w:rPr>
          <w:rFonts w:ascii="Arial" w:hAnsi="Arial"/>
          <w:sz w:val="20"/>
          <w:szCs w:val="20"/>
        </w:rPr>
        <w:br/>
      </w:r>
      <w:r>
        <w:rPr>
          <w:rFonts w:ascii="Arial" w:hAnsi="Arial"/>
          <w:sz w:val="20"/>
          <w:szCs w:val="20"/>
        </w:rPr>
        <w:t>montos generales.</w:t>
      </w:r>
    </w:p>
    <w:p w14:paraId="1C532CBA" w14:textId="51439EC5" w:rsidR="00C3122F" w:rsidRPr="00B96BFA" w:rsidRDefault="00C3122F" w:rsidP="00BE0C40">
      <w:pPr>
        <w:shd w:val="clear" w:color="auto" w:fill="FFFFFF"/>
        <w:spacing w:line="360" w:lineRule="auto"/>
        <w:jc w:val="both"/>
        <w:textAlignment w:val="top"/>
        <w:rPr>
          <w:rFonts w:ascii="Arial" w:eastAsia="Times New Roman" w:hAnsi="Arial" w:cs="Arial"/>
          <w:sz w:val="20"/>
          <w:szCs w:val="20"/>
        </w:rPr>
      </w:pPr>
      <w:r w:rsidRPr="00B96BFA">
        <w:rPr>
          <w:rFonts w:ascii="Arial" w:hAnsi="Arial"/>
          <w:sz w:val="20"/>
          <w:szCs w:val="20"/>
        </w:rPr>
        <w:t>Cualquier necesidad de manejo de caja que supere los límites establecidos o delegación de autoridad deberá solicitarse a través de la presentación del Anexo 5 pa</w:t>
      </w:r>
      <w:r w:rsidR="0057708F" w:rsidRPr="00B96BFA">
        <w:rPr>
          <w:rFonts w:ascii="Arial" w:hAnsi="Arial"/>
          <w:sz w:val="20"/>
          <w:szCs w:val="20"/>
        </w:rPr>
        <w:t>ra la aprobación excepcional de</w:t>
      </w:r>
      <w:r w:rsidR="0057708F" w:rsidRPr="00B96BFA">
        <w:rPr>
          <w:rFonts w:ascii="Arial" w:hAnsi="Arial"/>
          <w:sz w:val="20"/>
          <w:szCs w:val="20"/>
        </w:rPr>
        <w:br/>
      </w:r>
      <w:r w:rsidRPr="00B96BFA">
        <w:rPr>
          <w:rFonts w:ascii="Arial" w:hAnsi="Arial"/>
          <w:sz w:val="20"/>
          <w:szCs w:val="20"/>
        </w:rPr>
        <w:t>la Tesorería.</w:t>
      </w:r>
    </w:p>
    <w:p w14:paraId="788FA3B5" w14:textId="08763723" w:rsidR="00C3122F" w:rsidRPr="000C0226" w:rsidRDefault="00C3122F" w:rsidP="00BE0C40">
      <w:pPr>
        <w:shd w:val="clear" w:color="auto" w:fill="FFFFFF"/>
        <w:spacing w:line="360" w:lineRule="auto"/>
        <w:jc w:val="both"/>
        <w:textAlignment w:val="top"/>
        <w:rPr>
          <w:rFonts w:ascii="Arial" w:eastAsia="Times New Roman" w:hAnsi="Arial" w:cs="Arial"/>
          <w:color w:val="333333"/>
          <w:sz w:val="20"/>
          <w:szCs w:val="20"/>
        </w:rPr>
      </w:pPr>
      <w:r w:rsidRPr="00B96BFA">
        <w:rPr>
          <w:rFonts w:ascii="Arial" w:hAnsi="Arial"/>
          <w:sz w:val="20"/>
          <w:szCs w:val="20"/>
        </w:rPr>
        <w:t xml:space="preserve">Las Oficinas de País en crisis que requieran un límite superior de efectivo deben presentar dicha solicitud conforme a las directrices estipuladas en la sección </w:t>
      </w:r>
      <w:r w:rsidRPr="00B96BFA">
        <w:rPr>
          <w:rFonts w:ascii="Arial" w:hAnsi="Arial"/>
          <w:sz w:val="20"/>
          <w:szCs w:val="20"/>
          <w:u w:val="single"/>
        </w:rPr>
        <w:t>6.2 Apoyo para la implementación del programa</w:t>
      </w:r>
      <w:r w:rsidRPr="00B96BFA">
        <w:rPr>
          <w:rFonts w:ascii="Arial" w:hAnsi="Arial"/>
          <w:sz w:val="20"/>
          <w:szCs w:val="20"/>
        </w:rPr>
        <w:t xml:space="preserve"> del </w:t>
      </w:r>
      <w:hyperlink r:id="rId17" w:history="1">
        <w:r>
          <w:rPr>
            <w:rStyle w:val="Hyperlink"/>
            <w:rFonts w:ascii="Arial" w:hAnsi="Arial"/>
            <w:i/>
            <w:sz w:val="20"/>
            <w:szCs w:val="20"/>
          </w:rPr>
          <w:t>Procedimiento operativo estándar para la respuesta inmediata a las crisis</w:t>
        </w:r>
      </w:hyperlink>
      <w:r>
        <w:rPr>
          <w:rFonts w:ascii="Arial" w:hAnsi="Arial"/>
          <w:i/>
          <w:color w:val="333333"/>
          <w:sz w:val="20"/>
          <w:szCs w:val="20"/>
        </w:rPr>
        <w:t>.</w:t>
      </w:r>
    </w:p>
    <w:p w14:paraId="39885409" w14:textId="77777777" w:rsidR="00C3122F" w:rsidRDefault="00C3122F" w:rsidP="00C3122F">
      <w:pPr>
        <w:jc w:val="both"/>
        <w:rPr>
          <w:rFonts w:ascii="Arial" w:hAnsi="Arial" w:cs="Arial"/>
        </w:rPr>
      </w:pPr>
    </w:p>
    <w:p w14:paraId="3E0CABB8" w14:textId="597D3462" w:rsidR="00C3122F" w:rsidRPr="00F57622" w:rsidRDefault="0057708F" w:rsidP="00C3122F">
      <w:pPr>
        <w:jc w:val="both"/>
        <w:rPr>
          <w:rFonts w:ascii="Arial" w:hAnsi="Arial" w:cs="Arial"/>
        </w:rPr>
      </w:pPr>
      <w:r>
        <w:rPr>
          <w:noProof/>
          <w:lang w:val="en-US" w:eastAsia="en-US"/>
        </w:rPr>
        <w:drawing>
          <wp:inline distT="0" distB="0" distL="0" distR="0" wp14:anchorId="59D7500D" wp14:editId="0C47282C">
            <wp:extent cx="5943600" cy="4910908"/>
            <wp:effectExtent l="0" t="0" r="0" b="4445"/>
            <wp:docPr id="2077237745" name="Imagen 10" descr="C:\Users\Usuario\Desktop\Nueva carpeta\Management of Petty Cash span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pic:nvPicPr>
                  <pic:blipFill>
                    <a:blip r:embed="rId18">
                      <a:extLst>
                        <a:ext uri="{28A0092B-C50C-407E-A947-70E740481C1C}">
                          <a14:useLocalDpi xmlns:a14="http://schemas.microsoft.com/office/drawing/2010/main" val="0"/>
                        </a:ext>
                      </a:extLst>
                    </a:blip>
                    <a:stretch>
                      <a:fillRect/>
                    </a:stretch>
                  </pic:blipFill>
                  <pic:spPr>
                    <a:xfrm>
                      <a:off x="0" y="0"/>
                      <a:ext cx="5943600" cy="4910908"/>
                    </a:xfrm>
                    <a:prstGeom prst="rect">
                      <a:avLst/>
                    </a:prstGeom>
                  </pic:spPr>
                </pic:pic>
              </a:graphicData>
            </a:graphic>
          </wp:inline>
        </w:drawing>
      </w:r>
    </w:p>
    <w:p w14:paraId="3CEB0B5A" w14:textId="20DA134C" w:rsidR="00B96BFA" w:rsidRPr="00BE0C40" w:rsidRDefault="00C3122F" w:rsidP="00C3122F">
      <w:pPr>
        <w:shd w:val="clear" w:color="auto" w:fill="FFFFFF"/>
        <w:spacing w:after="0" w:line="312" w:lineRule="auto"/>
        <w:textAlignment w:val="top"/>
        <w:rPr>
          <w:rFonts w:ascii="Arial" w:eastAsia="Times New Roman" w:hAnsi="Arial" w:cs="Arial"/>
          <w:color w:val="333333"/>
          <w:sz w:val="20"/>
          <w:szCs w:val="20"/>
          <w:lang w:val="es-ES_tradnl"/>
        </w:rPr>
      </w:pPr>
      <w:r w:rsidRPr="00BD4C0B">
        <w:rPr>
          <w:rFonts w:ascii="Arial" w:hAnsi="Arial"/>
          <w:color w:val="333333"/>
          <w:sz w:val="20"/>
          <w:szCs w:val="20"/>
        </w:rPr>
        <w:t> </w:t>
      </w:r>
      <w:r w:rsidR="00B96BFA" w:rsidRPr="00B96BFA">
        <w:rPr>
          <w:rFonts w:ascii="Calibri" w:eastAsia="Times New Roman" w:hAnsi="Calibri" w:cs="Times New Roman"/>
          <w:i/>
          <w:iCs/>
          <w:color w:val="000000"/>
          <w:sz w:val="24"/>
          <w:szCs w:val="24"/>
          <w:bdr w:val="none" w:sz="0" w:space="0" w:color="auto" w:frame="1"/>
          <w:shd w:val="clear" w:color="auto" w:fill="FFFFFF"/>
          <w:lang w:val="es-ES_tradnl" w:eastAsia="en-US"/>
        </w:rPr>
        <w:t>Descargo de responsabilidad: esta es una traducción de un documento original en inglés. </w:t>
      </w:r>
      <w:r w:rsidR="00B96BFA" w:rsidRPr="00B96BFA">
        <w:rPr>
          <w:rFonts w:ascii="Calibri" w:eastAsia="Times New Roman" w:hAnsi="Calibri" w:cs="Times New Roman"/>
          <w:i/>
          <w:iCs/>
          <w:color w:val="000000"/>
          <w:sz w:val="24"/>
          <w:szCs w:val="24"/>
          <w:bdr w:val="none" w:sz="0" w:space="0" w:color="auto" w:frame="1"/>
          <w:shd w:val="clear" w:color="auto" w:fill="FFFFFF"/>
          <w:lang w:val="es-UY" w:eastAsia="en-US"/>
        </w:rPr>
        <w:t>En caso de discrepancias entre esta traducción y el documento original en inglés, prevalecerá el documento original en inglés.</w:t>
      </w:r>
    </w:p>
    <w:sectPr w:rsidR="00B96BFA" w:rsidRPr="00BE0C40">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C5AB1" w14:textId="77777777" w:rsidR="00507BE8" w:rsidRDefault="00507BE8" w:rsidP="00A77206">
      <w:pPr>
        <w:spacing w:after="0" w:line="240" w:lineRule="auto"/>
      </w:pPr>
      <w:r>
        <w:separator/>
      </w:r>
    </w:p>
  </w:endnote>
  <w:endnote w:type="continuationSeparator" w:id="0">
    <w:p w14:paraId="53AB011F" w14:textId="77777777" w:rsidR="00507BE8" w:rsidRDefault="00507BE8" w:rsidP="00A7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2BDB8" w14:textId="77777777" w:rsidR="00B97BA7" w:rsidRDefault="00B97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684EC" w14:textId="02C27746" w:rsidR="00A77206" w:rsidRDefault="00A14863">
    <w:pPr>
      <w:pStyle w:val="Footer"/>
    </w:pPr>
    <w:r>
      <w:t xml:space="preserve">Página </w:t>
    </w:r>
    <w:r>
      <w:rPr>
        <w:b/>
      </w:rPr>
      <w:fldChar w:fldCharType="begin"/>
    </w:r>
    <w:r>
      <w:rPr>
        <w:b/>
      </w:rPr>
      <w:instrText xml:space="preserve"> PAGE  \* Arabic  \* MERGEFORMAT </w:instrText>
    </w:r>
    <w:r>
      <w:rPr>
        <w:b/>
      </w:rPr>
      <w:fldChar w:fldCharType="separate"/>
    </w:r>
    <w:r w:rsidR="00F25E3C">
      <w:rPr>
        <w:b/>
        <w:noProof/>
      </w:rPr>
      <w:t>5</w:t>
    </w:r>
    <w:r>
      <w:rPr>
        <w:b/>
      </w:rPr>
      <w:fldChar w:fldCharType="end"/>
    </w:r>
    <w:r>
      <w:t xml:space="preserve"> de </w:t>
    </w:r>
    <w:r>
      <w:rPr>
        <w:b/>
      </w:rPr>
      <w:fldChar w:fldCharType="begin"/>
    </w:r>
    <w:r>
      <w:rPr>
        <w:b/>
      </w:rPr>
      <w:instrText xml:space="preserve"> NUMPAGES  \* Arabic  \* MERGEFORMAT </w:instrText>
    </w:r>
    <w:r>
      <w:rPr>
        <w:b/>
      </w:rPr>
      <w:fldChar w:fldCharType="separate"/>
    </w:r>
    <w:r w:rsidR="00F25E3C">
      <w:rPr>
        <w:b/>
        <w:noProof/>
      </w:rPr>
      <w:t>5</w:t>
    </w:r>
    <w:r>
      <w:rPr>
        <w:b/>
      </w:rPr>
      <w:fldChar w:fldCharType="end"/>
    </w:r>
    <w:r>
      <w:ptab w:relativeTo="margin" w:alignment="center" w:leader="none"/>
    </w:r>
    <w:r>
      <w:t xml:space="preserve">Fecha de entrada en vigor: </w:t>
    </w:r>
    <w:r w:rsidR="00C94B3A" w:rsidRPr="00C94B3A">
      <w:t>01/09/2018</w:t>
    </w:r>
    <w:r w:rsidR="00C94B3A" w:rsidRPr="00C94B3A">
      <w:t xml:space="preserve"> </w:t>
    </w:r>
    <w:r>
      <w:ptab w:relativeTo="margin" w:alignment="right" w:leader="none"/>
    </w:r>
    <w:r>
      <w:t xml:space="preserve">Versión n.º: </w:t>
    </w:r>
    <w:sdt>
      <w:sdtPr>
        <w:alias w:val="POPPRefItemVersion"/>
        <w:tag w:val="UNDP_POPP_REFITEM_VERSION"/>
        <w:id w:val="479504690"/>
        <w:placeholder>
          <w:docPart w:val="96A43A0ED1314241B15E6AE87729B358"/>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403B2E7-F932-44B2-8D20-993CCFB907C5}"/>
        <w:text/>
      </w:sdtPr>
      <w:sdtContent>
        <w:r w:rsidR="00B97BA7">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D4EF8" w14:textId="77777777" w:rsidR="00B97BA7" w:rsidRDefault="00B97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68C79" w14:textId="77777777" w:rsidR="00507BE8" w:rsidRDefault="00507BE8" w:rsidP="00A77206">
      <w:pPr>
        <w:spacing w:after="0" w:line="240" w:lineRule="auto"/>
      </w:pPr>
      <w:r>
        <w:separator/>
      </w:r>
    </w:p>
  </w:footnote>
  <w:footnote w:type="continuationSeparator" w:id="0">
    <w:p w14:paraId="5951799B" w14:textId="77777777" w:rsidR="00507BE8" w:rsidRDefault="00507BE8" w:rsidP="00A7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5D976" w14:textId="77777777" w:rsidR="00B97BA7" w:rsidRDefault="00B97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611FD" w14:textId="32227BEE" w:rsidR="00DA1DC1" w:rsidRDefault="00B97BA7" w:rsidP="00DA1DC1">
    <w:pPr>
      <w:pStyle w:val="Header"/>
      <w:jc w:val="right"/>
    </w:pPr>
    <w:r>
      <w:rPr>
        <w:noProof/>
      </w:rPr>
      <w:drawing>
        <wp:inline distT="0" distB="0" distL="0" distR="0" wp14:anchorId="6FF92B95" wp14:editId="4509E6F8">
          <wp:extent cx="293370" cy="578485"/>
          <wp:effectExtent l="0" t="0" r="0" b="0"/>
          <wp:docPr id="28897184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7184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554" b="17704"/>
                  <a:stretch/>
                </pic:blipFill>
                <pic:spPr bwMode="auto">
                  <a:xfrm>
                    <a:off x="0" y="0"/>
                    <a:ext cx="293370" cy="57848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92154" w14:textId="77777777" w:rsidR="00B97BA7" w:rsidRDefault="00B97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F4FC2"/>
    <w:multiLevelType w:val="hybridMultilevel"/>
    <w:tmpl w:val="B44C7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4D15"/>
    <w:multiLevelType w:val="hybridMultilevel"/>
    <w:tmpl w:val="B68A3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D29A7"/>
    <w:multiLevelType w:val="hybridMultilevel"/>
    <w:tmpl w:val="A3B85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0A7E"/>
    <w:multiLevelType w:val="hybridMultilevel"/>
    <w:tmpl w:val="D88E3770"/>
    <w:lvl w:ilvl="0" w:tplc="C1F44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95B75"/>
    <w:multiLevelType w:val="hybridMultilevel"/>
    <w:tmpl w:val="C41E65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F560F"/>
    <w:multiLevelType w:val="multilevel"/>
    <w:tmpl w:val="EC68E2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4A56AE"/>
    <w:multiLevelType w:val="hybridMultilevel"/>
    <w:tmpl w:val="D73479DC"/>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8111F"/>
    <w:multiLevelType w:val="hybridMultilevel"/>
    <w:tmpl w:val="20329E74"/>
    <w:lvl w:ilvl="0" w:tplc="76D41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B9275E"/>
    <w:multiLevelType w:val="hybridMultilevel"/>
    <w:tmpl w:val="EC68E26C"/>
    <w:lvl w:ilvl="0" w:tplc="CD3634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F0BA6"/>
    <w:multiLevelType w:val="hybridMultilevel"/>
    <w:tmpl w:val="6B449F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564671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87694"/>
    <w:multiLevelType w:val="hybridMultilevel"/>
    <w:tmpl w:val="DDEA0DBE"/>
    <w:lvl w:ilvl="0" w:tplc="04090019" w:tentative="1">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F475A"/>
    <w:multiLevelType w:val="hybridMultilevel"/>
    <w:tmpl w:val="0608B41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645FD"/>
    <w:multiLevelType w:val="hybridMultilevel"/>
    <w:tmpl w:val="98F6C502"/>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8196200"/>
    <w:multiLevelType w:val="hybridMultilevel"/>
    <w:tmpl w:val="29BA480A"/>
    <w:lvl w:ilvl="0" w:tplc="CD36342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F5B246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66451F"/>
    <w:multiLevelType w:val="hybridMultilevel"/>
    <w:tmpl w:val="E6DE59CA"/>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32AC9"/>
    <w:multiLevelType w:val="hybridMultilevel"/>
    <w:tmpl w:val="D56080A2"/>
    <w:lvl w:ilvl="0" w:tplc="A1BC3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74623F"/>
    <w:multiLevelType w:val="hybridMultilevel"/>
    <w:tmpl w:val="75F48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4000D2"/>
    <w:multiLevelType w:val="hybridMultilevel"/>
    <w:tmpl w:val="440C03E8"/>
    <w:lvl w:ilvl="0" w:tplc="0409001B" w:tentative="1">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702EF9"/>
    <w:multiLevelType w:val="hybridMultilevel"/>
    <w:tmpl w:val="3F82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82734"/>
    <w:multiLevelType w:val="hybridMultilevel"/>
    <w:tmpl w:val="BCD01DB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70EC3"/>
    <w:multiLevelType w:val="hybridMultilevel"/>
    <w:tmpl w:val="081A14B6"/>
    <w:lvl w:ilvl="0" w:tplc="3D02DF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E24014"/>
    <w:multiLevelType w:val="hybridMultilevel"/>
    <w:tmpl w:val="21B8F002"/>
    <w:lvl w:ilvl="0" w:tplc="CF78DC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B64F24"/>
    <w:multiLevelType w:val="hybridMultilevel"/>
    <w:tmpl w:val="9EE08466"/>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83913"/>
    <w:multiLevelType w:val="hybridMultilevel"/>
    <w:tmpl w:val="CC54524C"/>
    <w:lvl w:ilvl="0" w:tplc="3B242D80">
      <w:start w:val="1"/>
      <w:numFmt w:val="lowerLetter"/>
      <w:lvlText w:val="%1."/>
      <w:lvlJc w:val="left"/>
      <w:pPr>
        <w:ind w:left="720" w:hanging="360"/>
      </w:pPr>
      <w:rPr>
        <w:rFonts w:hint="default"/>
      </w:rPr>
    </w:lvl>
    <w:lvl w:ilvl="1" w:tplc="DDD269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C2988"/>
    <w:multiLevelType w:val="hybridMultilevel"/>
    <w:tmpl w:val="72C8CC8C"/>
    <w:lvl w:ilvl="0" w:tplc="0409000F">
      <w:start w:val="1"/>
      <w:numFmt w:val="decimal"/>
      <w:lvlText w:val="%1."/>
      <w:lvlJc w:val="left"/>
      <w:pPr>
        <w:ind w:left="720" w:hanging="360"/>
      </w:pPr>
      <w:rPr>
        <w:rFonts w:hint="default"/>
      </w:rPr>
    </w:lvl>
    <w:lvl w:ilvl="1" w:tplc="AECC4D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16178"/>
    <w:multiLevelType w:val="hybridMultilevel"/>
    <w:tmpl w:val="1CF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16B23"/>
    <w:multiLevelType w:val="hybridMultilevel"/>
    <w:tmpl w:val="186E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047A6"/>
    <w:multiLevelType w:val="hybridMultilevel"/>
    <w:tmpl w:val="6B2AA172"/>
    <w:lvl w:ilvl="0" w:tplc="3B242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ED7719"/>
    <w:multiLevelType w:val="hybridMultilevel"/>
    <w:tmpl w:val="73A0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D7774"/>
    <w:multiLevelType w:val="hybridMultilevel"/>
    <w:tmpl w:val="BE9ABF84"/>
    <w:lvl w:ilvl="0" w:tplc="A9328B7A">
      <w:start w:val="1"/>
      <w:numFmt w:val="decimal"/>
      <w:lvlText w:val="%1)"/>
      <w:lvlJc w:val="left"/>
      <w:pPr>
        <w:tabs>
          <w:tab w:val="num" w:pos="720"/>
        </w:tabs>
        <w:ind w:left="720" w:hanging="360"/>
      </w:pPr>
    </w:lvl>
    <w:lvl w:ilvl="1" w:tplc="3CEEDB40">
      <w:start w:val="1"/>
      <w:numFmt w:val="decimal"/>
      <w:lvlText w:val="%2)"/>
      <w:lvlJc w:val="left"/>
      <w:pPr>
        <w:tabs>
          <w:tab w:val="num" w:pos="1440"/>
        </w:tabs>
        <w:ind w:left="1440" w:hanging="360"/>
      </w:pPr>
    </w:lvl>
    <w:lvl w:ilvl="2" w:tplc="C1BCE1E8" w:tentative="1">
      <w:start w:val="1"/>
      <w:numFmt w:val="decimal"/>
      <w:lvlText w:val="%3)"/>
      <w:lvlJc w:val="left"/>
      <w:pPr>
        <w:tabs>
          <w:tab w:val="num" w:pos="2160"/>
        </w:tabs>
        <w:ind w:left="2160" w:hanging="360"/>
      </w:pPr>
    </w:lvl>
    <w:lvl w:ilvl="3" w:tplc="19AC2AA8" w:tentative="1">
      <w:start w:val="1"/>
      <w:numFmt w:val="decimal"/>
      <w:lvlText w:val="%4)"/>
      <w:lvlJc w:val="left"/>
      <w:pPr>
        <w:tabs>
          <w:tab w:val="num" w:pos="2880"/>
        </w:tabs>
        <w:ind w:left="2880" w:hanging="360"/>
      </w:pPr>
    </w:lvl>
    <w:lvl w:ilvl="4" w:tplc="EC44AC66" w:tentative="1">
      <w:start w:val="1"/>
      <w:numFmt w:val="decimal"/>
      <w:lvlText w:val="%5)"/>
      <w:lvlJc w:val="left"/>
      <w:pPr>
        <w:tabs>
          <w:tab w:val="num" w:pos="3600"/>
        </w:tabs>
        <w:ind w:left="3600" w:hanging="360"/>
      </w:pPr>
    </w:lvl>
    <w:lvl w:ilvl="5" w:tplc="6ACA5396" w:tentative="1">
      <w:start w:val="1"/>
      <w:numFmt w:val="decimal"/>
      <w:lvlText w:val="%6)"/>
      <w:lvlJc w:val="left"/>
      <w:pPr>
        <w:tabs>
          <w:tab w:val="num" w:pos="4320"/>
        </w:tabs>
        <w:ind w:left="4320" w:hanging="360"/>
      </w:pPr>
    </w:lvl>
    <w:lvl w:ilvl="6" w:tplc="0BAC2B4C" w:tentative="1">
      <w:start w:val="1"/>
      <w:numFmt w:val="decimal"/>
      <w:lvlText w:val="%7)"/>
      <w:lvlJc w:val="left"/>
      <w:pPr>
        <w:tabs>
          <w:tab w:val="num" w:pos="5040"/>
        </w:tabs>
        <w:ind w:left="5040" w:hanging="360"/>
      </w:pPr>
    </w:lvl>
    <w:lvl w:ilvl="7" w:tplc="6344B444" w:tentative="1">
      <w:start w:val="1"/>
      <w:numFmt w:val="decimal"/>
      <w:lvlText w:val="%8)"/>
      <w:lvlJc w:val="left"/>
      <w:pPr>
        <w:tabs>
          <w:tab w:val="num" w:pos="5760"/>
        </w:tabs>
        <w:ind w:left="5760" w:hanging="360"/>
      </w:pPr>
    </w:lvl>
    <w:lvl w:ilvl="8" w:tplc="37D8B1B0" w:tentative="1">
      <w:start w:val="1"/>
      <w:numFmt w:val="decimal"/>
      <w:lvlText w:val="%9)"/>
      <w:lvlJc w:val="left"/>
      <w:pPr>
        <w:tabs>
          <w:tab w:val="num" w:pos="6480"/>
        </w:tabs>
        <w:ind w:left="6480" w:hanging="360"/>
      </w:pPr>
    </w:lvl>
  </w:abstractNum>
  <w:abstractNum w:abstractNumId="30" w15:restartNumberingAfterBreak="0">
    <w:nsid w:val="75A87786"/>
    <w:multiLevelType w:val="hybridMultilevel"/>
    <w:tmpl w:val="3EF6D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A7297F"/>
    <w:multiLevelType w:val="hybridMultilevel"/>
    <w:tmpl w:val="A6FA4384"/>
    <w:lvl w:ilvl="0" w:tplc="60B8FA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F607C"/>
    <w:multiLevelType w:val="hybridMultilevel"/>
    <w:tmpl w:val="A3486B1C"/>
    <w:lvl w:ilvl="0" w:tplc="5D26D004">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114A51"/>
    <w:multiLevelType w:val="hybridMultilevel"/>
    <w:tmpl w:val="34B8DEAA"/>
    <w:lvl w:ilvl="0" w:tplc="D244F07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146073">
    <w:abstractNumId w:val="16"/>
  </w:num>
  <w:num w:numId="2" w16cid:durableId="690836701">
    <w:abstractNumId w:val="29"/>
  </w:num>
  <w:num w:numId="3" w16cid:durableId="1073703047">
    <w:abstractNumId w:val="0"/>
  </w:num>
  <w:num w:numId="4" w16cid:durableId="1180660854">
    <w:abstractNumId w:val="32"/>
  </w:num>
  <w:num w:numId="5" w16cid:durableId="1502576080">
    <w:abstractNumId w:val="28"/>
  </w:num>
  <w:num w:numId="6" w16cid:durableId="1187675086">
    <w:abstractNumId w:val="25"/>
  </w:num>
  <w:num w:numId="7" w16cid:durableId="324479414">
    <w:abstractNumId w:val="26"/>
  </w:num>
  <w:num w:numId="8" w16cid:durableId="1063141758">
    <w:abstractNumId w:val="30"/>
  </w:num>
  <w:num w:numId="9" w16cid:durableId="465705256">
    <w:abstractNumId w:val="24"/>
  </w:num>
  <w:num w:numId="10" w16cid:durableId="635375050">
    <w:abstractNumId w:val="33"/>
  </w:num>
  <w:num w:numId="11" w16cid:durableId="1451974035">
    <w:abstractNumId w:val="33"/>
    <w:lvlOverride w:ilvl="0">
      <w:lvl w:ilvl="0" w:tplc="D244F07A">
        <w:start w:val="1"/>
        <w:numFmt w:val="lowerLetter"/>
        <w:lvlText w:val="%1."/>
        <w:lvlJc w:val="left"/>
        <w:pPr>
          <w:ind w:left="144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16cid:durableId="319621094">
    <w:abstractNumId w:val="33"/>
    <w:lvlOverride w:ilvl="0">
      <w:lvl w:ilvl="0" w:tplc="D244F07A">
        <w:start w:val="1"/>
        <w:numFmt w:val="lowerLetter"/>
        <w:lvlText w:val="%1."/>
        <w:lvlJc w:val="left"/>
        <w:pPr>
          <w:ind w:left="1440" w:hanging="360"/>
        </w:pPr>
        <w:rPr>
          <w:rFonts w:ascii="Arial" w:eastAsia="Times New Roman" w:hAnsi="Arial" w:cs="Arial"/>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3" w16cid:durableId="628319791">
    <w:abstractNumId w:val="8"/>
  </w:num>
  <w:num w:numId="14" w16cid:durableId="1505900077">
    <w:abstractNumId w:val="8"/>
    <w:lvlOverride w:ilvl="0">
      <w:lvl w:ilvl="0" w:tplc="CD36342E">
        <w:start w:val="1"/>
        <w:numFmt w:val="lowerLetter"/>
        <w:lvlText w:val="%1."/>
        <w:lvlJc w:val="left"/>
        <w:pPr>
          <w:ind w:left="1440" w:hanging="360"/>
        </w:pPr>
        <w:rPr>
          <w:rFonts w:ascii="Arial" w:eastAsia="Times New Roman" w:hAnsi="Arial" w:cs="Arial"/>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16cid:durableId="830557816">
    <w:abstractNumId w:val="5"/>
  </w:num>
  <w:num w:numId="16" w16cid:durableId="1077631546">
    <w:abstractNumId w:val="12"/>
  </w:num>
  <w:num w:numId="17" w16cid:durableId="1454443878">
    <w:abstractNumId w:val="1"/>
  </w:num>
  <w:num w:numId="18" w16cid:durableId="2104108738">
    <w:abstractNumId w:val="13"/>
  </w:num>
  <w:num w:numId="19" w16cid:durableId="271783782">
    <w:abstractNumId w:val="9"/>
  </w:num>
  <w:num w:numId="20" w16cid:durableId="638460907">
    <w:abstractNumId w:val="4"/>
  </w:num>
  <w:num w:numId="21" w16cid:durableId="556823689">
    <w:abstractNumId w:val="17"/>
  </w:num>
  <w:num w:numId="22" w16cid:durableId="943616491">
    <w:abstractNumId w:val="14"/>
  </w:num>
  <w:num w:numId="23" w16cid:durableId="44183565">
    <w:abstractNumId w:val="6"/>
  </w:num>
  <w:num w:numId="24" w16cid:durableId="1825780339">
    <w:abstractNumId w:val="11"/>
  </w:num>
  <w:num w:numId="25" w16cid:durableId="1755856737">
    <w:abstractNumId w:val="23"/>
  </w:num>
  <w:num w:numId="26" w16cid:durableId="96297049">
    <w:abstractNumId w:val="19"/>
  </w:num>
  <w:num w:numId="27" w16cid:durableId="37821245">
    <w:abstractNumId w:val="27"/>
  </w:num>
  <w:num w:numId="28" w16cid:durableId="2096978983">
    <w:abstractNumId w:val="22"/>
  </w:num>
  <w:num w:numId="29" w16cid:durableId="2000036909">
    <w:abstractNumId w:val="7"/>
  </w:num>
  <w:num w:numId="30" w16cid:durableId="1517771055">
    <w:abstractNumId w:val="20"/>
  </w:num>
  <w:num w:numId="31" w16cid:durableId="1137649860">
    <w:abstractNumId w:val="15"/>
  </w:num>
  <w:num w:numId="32" w16cid:durableId="1093433103">
    <w:abstractNumId w:val="31"/>
  </w:num>
  <w:num w:numId="33" w16cid:durableId="146212664">
    <w:abstractNumId w:val="21"/>
  </w:num>
  <w:num w:numId="34" w16cid:durableId="114448512">
    <w:abstractNumId w:val="10"/>
  </w:num>
  <w:num w:numId="35" w16cid:durableId="445849764">
    <w:abstractNumId w:val="3"/>
  </w:num>
  <w:num w:numId="36" w16cid:durableId="898982482">
    <w:abstractNumId w:val="2"/>
  </w:num>
  <w:num w:numId="37" w16cid:durableId="9864700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BF"/>
    <w:rsid w:val="0004189E"/>
    <w:rsid w:val="00096623"/>
    <w:rsid w:val="000E253B"/>
    <w:rsid w:val="00271E11"/>
    <w:rsid w:val="002F36A8"/>
    <w:rsid w:val="00320E21"/>
    <w:rsid w:val="00457667"/>
    <w:rsid w:val="00507BE8"/>
    <w:rsid w:val="0057708F"/>
    <w:rsid w:val="005E38F1"/>
    <w:rsid w:val="005E53D2"/>
    <w:rsid w:val="0063291B"/>
    <w:rsid w:val="006849DD"/>
    <w:rsid w:val="006B5B14"/>
    <w:rsid w:val="00750078"/>
    <w:rsid w:val="007548BF"/>
    <w:rsid w:val="007A6264"/>
    <w:rsid w:val="00815F59"/>
    <w:rsid w:val="00A14863"/>
    <w:rsid w:val="00A2358F"/>
    <w:rsid w:val="00A424D9"/>
    <w:rsid w:val="00A77206"/>
    <w:rsid w:val="00B64B98"/>
    <w:rsid w:val="00B809D8"/>
    <w:rsid w:val="00B96BFA"/>
    <w:rsid w:val="00B97BA7"/>
    <w:rsid w:val="00BD4C0B"/>
    <w:rsid w:val="00BE0C40"/>
    <w:rsid w:val="00C3122F"/>
    <w:rsid w:val="00C94B3A"/>
    <w:rsid w:val="00DA1DC1"/>
    <w:rsid w:val="00DA3BEE"/>
    <w:rsid w:val="00E927A8"/>
    <w:rsid w:val="00F25E3C"/>
    <w:rsid w:val="00F64B2A"/>
    <w:rsid w:val="00FF01BD"/>
    <w:rsid w:val="00FF553E"/>
    <w:rsid w:val="015E4791"/>
    <w:rsid w:val="059E18AA"/>
    <w:rsid w:val="0A0DB23A"/>
    <w:rsid w:val="193EE371"/>
    <w:rsid w:val="1A04044C"/>
    <w:rsid w:val="1A2D5EFD"/>
    <w:rsid w:val="1D2A2326"/>
    <w:rsid w:val="2005BE98"/>
    <w:rsid w:val="20078F98"/>
    <w:rsid w:val="2188F5DA"/>
    <w:rsid w:val="21CB64F0"/>
    <w:rsid w:val="22517803"/>
    <w:rsid w:val="298C41E8"/>
    <w:rsid w:val="2B7BB11D"/>
    <w:rsid w:val="2DCFCE97"/>
    <w:rsid w:val="39FF1D7E"/>
    <w:rsid w:val="3CBE1ED4"/>
    <w:rsid w:val="4460042F"/>
    <w:rsid w:val="4C50DE2E"/>
    <w:rsid w:val="4D1DDE27"/>
    <w:rsid w:val="4E430606"/>
    <w:rsid w:val="4EDCB374"/>
    <w:rsid w:val="4FF9F04E"/>
    <w:rsid w:val="500407E8"/>
    <w:rsid w:val="5C6502DC"/>
    <w:rsid w:val="5CA5BFDD"/>
    <w:rsid w:val="6216515D"/>
    <w:rsid w:val="634734F0"/>
    <w:rsid w:val="68B7B851"/>
    <w:rsid w:val="6B6538BB"/>
    <w:rsid w:val="6B949AE7"/>
    <w:rsid w:val="707E8510"/>
    <w:rsid w:val="77411402"/>
    <w:rsid w:val="7BED7EC9"/>
    <w:rsid w:val="7DF9D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684B9"/>
  <w15:docId w15:val="{FEBFDB3B-46C7-4BFB-AD01-F7A0058F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9DD"/>
    <w:pPr>
      <w:ind w:left="720"/>
      <w:contextualSpacing/>
    </w:pPr>
  </w:style>
  <w:style w:type="paragraph" w:styleId="Header">
    <w:name w:val="header"/>
    <w:basedOn w:val="Normal"/>
    <w:link w:val="HeaderChar"/>
    <w:uiPriority w:val="99"/>
    <w:unhideWhenUsed/>
    <w:rsid w:val="00A77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206"/>
  </w:style>
  <w:style w:type="paragraph" w:styleId="Footer">
    <w:name w:val="footer"/>
    <w:basedOn w:val="Normal"/>
    <w:link w:val="FooterChar"/>
    <w:uiPriority w:val="99"/>
    <w:unhideWhenUsed/>
    <w:rsid w:val="00A77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206"/>
  </w:style>
  <w:style w:type="character" w:styleId="PlaceholderText">
    <w:name w:val="Placeholder Text"/>
    <w:basedOn w:val="DefaultParagraphFont"/>
    <w:uiPriority w:val="99"/>
    <w:semiHidden/>
    <w:rsid w:val="00DA1DC1"/>
    <w:rPr>
      <w:color w:val="808080"/>
    </w:rPr>
  </w:style>
  <w:style w:type="paragraph" w:styleId="BalloonText">
    <w:name w:val="Balloon Text"/>
    <w:basedOn w:val="Normal"/>
    <w:link w:val="BalloonTextChar"/>
    <w:uiPriority w:val="99"/>
    <w:semiHidden/>
    <w:unhideWhenUsed/>
    <w:rsid w:val="00A14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863"/>
    <w:rPr>
      <w:rFonts w:ascii="Tahoma" w:hAnsi="Tahoma" w:cs="Tahoma"/>
      <w:sz w:val="16"/>
      <w:szCs w:val="16"/>
    </w:rPr>
  </w:style>
  <w:style w:type="character" w:styleId="Hyperlink">
    <w:name w:val="Hyperlink"/>
    <w:basedOn w:val="DefaultParagraphFont"/>
    <w:uiPriority w:val="99"/>
    <w:unhideWhenUsed/>
    <w:rsid w:val="00C3122F"/>
    <w:rPr>
      <w:strike w:val="0"/>
      <w:dstrike w:val="0"/>
      <w:color w:val="0072BC"/>
      <w:u w:val="none"/>
      <w:effect w:val="none"/>
    </w:rPr>
  </w:style>
  <w:style w:type="paragraph" w:styleId="NormalWeb">
    <w:name w:val="Normal (Web)"/>
    <w:basedOn w:val="Normal"/>
    <w:uiPriority w:val="99"/>
    <w:unhideWhenUsed/>
    <w:rsid w:val="00C3122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C3122F"/>
    <w:rPr>
      <w:sz w:val="16"/>
      <w:szCs w:val="16"/>
    </w:rPr>
  </w:style>
  <w:style w:type="paragraph" w:styleId="CommentText">
    <w:name w:val="annotation text"/>
    <w:basedOn w:val="Normal"/>
    <w:link w:val="CommentTextChar"/>
    <w:uiPriority w:val="99"/>
    <w:semiHidden/>
    <w:unhideWhenUsed/>
    <w:rsid w:val="00C3122F"/>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C3122F"/>
    <w:rPr>
      <w:rFonts w:eastAsiaTheme="minorHAnsi"/>
      <w:sz w:val="20"/>
      <w:szCs w:val="20"/>
      <w:lang w:val="es-ES" w:eastAsia="en-US"/>
    </w:rPr>
  </w:style>
  <w:style w:type="paragraph" w:styleId="CommentSubject">
    <w:name w:val="annotation subject"/>
    <w:basedOn w:val="CommentText"/>
    <w:next w:val="CommentText"/>
    <w:link w:val="CommentSubjectChar"/>
    <w:uiPriority w:val="99"/>
    <w:semiHidden/>
    <w:unhideWhenUsed/>
    <w:rsid w:val="00C3122F"/>
    <w:rPr>
      <w:b/>
      <w:bCs/>
    </w:rPr>
  </w:style>
  <w:style w:type="character" w:customStyle="1" w:styleId="CommentSubjectChar">
    <w:name w:val="Comment Subject Char"/>
    <w:basedOn w:val="CommentTextChar"/>
    <w:link w:val="CommentSubject"/>
    <w:uiPriority w:val="99"/>
    <w:semiHidden/>
    <w:rsid w:val="00C3122F"/>
    <w:rPr>
      <w:rFonts w:eastAsiaTheme="minorHAnsi"/>
      <w:b/>
      <w:bCs/>
      <w:sz w:val="20"/>
      <w:szCs w:val="20"/>
      <w:lang w:val="es-ES" w:eastAsia="en-US"/>
    </w:rPr>
  </w:style>
  <w:style w:type="table" w:styleId="TableGrid">
    <w:name w:val="Table Grid"/>
    <w:basedOn w:val="TableNormal"/>
    <w:uiPriority w:val="39"/>
    <w:rsid w:val="00C3122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3122F"/>
    <w:rPr>
      <w:color w:val="808080"/>
      <w:shd w:val="clear" w:color="auto" w:fill="E6E6E6"/>
    </w:rPr>
  </w:style>
  <w:style w:type="character" w:styleId="FollowedHyperlink">
    <w:name w:val="FollowedHyperlink"/>
    <w:basedOn w:val="DefaultParagraphFont"/>
    <w:uiPriority w:val="99"/>
    <w:semiHidden/>
    <w:unhideWhenUsed/>
    <w:rsid w:val="00C312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51592">
      <w:bodyDiv w:val="1"/>
      <w:marLeft w:val="0"/>
      <w:marRight w:val="0"/>
      <w:marTop w:val="0"/>
      <w:marBottom w:val="0"/>
      <w:divBdr>
        <w:top w:val="none" w:sz="0" w:space="0" w:color="auto"/>
        <w:left w:val="none" w:sz="0" w:space="0" w:color="auto"/>
        <w:bottom w:val="none" w:sz="0" w:space="0" w:color="auto"/>
        <w:right w:val="none" w:sz="0" w:space="0" w:color="auto"/>
      </w:divBdr>
      <w:divsChild>
        <w:div w:id="826480585">
          <w:marLeft w:val="0"/>
          <w:marRight w:val="0"/>
          <w:marTop w:val="0"/>
          <w:marBottom w:val="0"/>
          <w:divBdr>
            <w:top w:val="none" w:sz="0" w:space="0" w:color="auto"/>
            <w:left w:val="none" w:sz="0" w:space="0" w:color="auto"/>
            <w:bottom w:val="none" w:sz="0" w:space="0" w:color="auto"/>
            <w:right w:val="none" w:sz="0" w:space="0" w:color="auto"/>
          </w:divBdr>
          <w:divsChild>
            <w:div w:id="255552701">
              <w:marLeft w:val="0"/>
              <w:marRight w:val="0"/>
              <w:marTop w:val="0"/>
              <w:marBottom w:val="0"/>
              <w:divBdr>
                <w:top w:val="none" w:sz="0" w:space="0" w:color="auto"/>
                <w:left w:val="none" w:sz="0" w:space="0" w:color="auto"/>
                <w:bottom w:val="none" w:sz="0" w:space="0" w:color="auto"/>
                <w:right w:val="none" w:sz="0" w:space="0" w:color="auto"/>
              </w:divBdr>
              <w:divsChild>
                <w:div w:id="504367722">
                  <w:marLeft w:val="0"/>
                  <w:marRight w:val="0"/>
                  <w:marTop w:val="0"/>
                  <w:marBottom w:val="300"/>
                  <w:divBdr>
                    <w:top w:val="none" w:sz="0" w:space="0" w:color="auto"/>
                    <w:left w:val="none" w:sz="0" w:space="0" w:color="auto"/>
                    <w:bottom w:val="none" w:sz="0" w:space="0" w:color="auto"/>
                    <w:right w:val="none" w:sz="0" w:space="0" w:color="auto"/>
                  </w:divBdr>
                  <w:divsChild>
                    <w:div w:id="1632050085">
                      <w:marLeft w:val="2325"/>
                      <w:marRight w:val="0"/>
                      <w:marTop w:val="0"/>
                      <w:marBottom w:val="0"/>
                      <w:divBdr>
                        <w:top w:val="none" w:sz="0" w:space="0" w:color="auto"/>
                        <w:left w:val="none" w:sz="0" w:space="0" w:color="auto"/>
                        <w:bottom w:val="none" w:sz="0" w:space="0" w:color="auto"/>
                        <w:right w:val="none" w:sz="0" w:space="0" w:color="auto"/>
                      </w:divBdr>
                      <w:divsChild>
                        <w:div w:id="767773577">
                          <w:marLeft w:val="0"/>
                          <w:marRight w:val="0"/>
                          <w:marTop w:val="0"/>
                          <w:marBottom w:val="0"/>
                          <w:divBdr>
                            <w:top w:val="none" w:sz="0" w:space="0" w:color="auto"/>
                            <w:left w:val="none" w:sz="0" w:space="0" w:color="auto"/>
                            <w:bottom w:val="none" w:sz="0" w:space="0" w:color="auto"/>
                            <w:right w:val="none" w:sz="0" w:space="0" w:color="auto"/>
                          </w:divBdr>
                          <w:divsChild>
                            <w:div w:id="1912351908">
                              <w:marLeft w:val="0"/>
                              <w:marRight w:val="0"/>
                              <w:marTop w:val="0"/>
                              <w:marBottom w:val="0"/>
                              <w:divBdr>
                                <w:top w:val="none" w:sz="0" w:space="0" w:color="auto"/>
                                <w:left w:val="none" w:sz="0" w:space="0" w:color="auto"/>
                                <w:bottom w:val="none" w:sz="0" w:space="0" w:color="auto"/>
                                <w:right w:val="none" w:sz="0" w:space="0" w:color="auto"/>
                              </w:divBdr>
                              <w:divsChild>
                                <w:div w:id="551233278">
                                  <w:marLeft w:val="0"/>
                                  <w:marRight w:val="0"/>
                                  <w:marTop w:val="0"/>
                                  <w:marBottom w:val="0"/>
                                  <w:divBdr>
                                    <w:top w:val="none" w:sz="0" w:space="0" w:color="auto"/>
                                    <w:left w:val="none" w:sz="0" w:space="0" w:color="auto"/>
                                    <w:bottom w:val="none" w:sz="0" w:space="0" w:color="auto"/>
                                    <w:right w:val="none" w:sz="0" w:space="0" w:color="auto"/>
                                  </w:divBdr>
                                  <w:divsChild>
                                    <w:div w:id="1689406377">
                                      <w:marLeft w:val="0"/>
                                      <w:marRight w:val="0"/>
                                      <w:marTop w:val="0"/>
                                      <w:marBottom w:val="0"/>
                                      <w:divBdr>
                                        <w:top w:val="none" w:sz="0" w:space="0" w:color="auto"/>
                                        <w:left w:val="none" w:sz="0" w:space="0" w:color="auto"/>
                                        <w:bottom w:val="none" w:sz="0" w:space="0" w:color="auto"/>
                                        <w:right w:val="none" w:sz="0" w:space="0" w:color="auto"/>
                                      </w:divBdr>
                                      <w:divsChild>
                                        <w:div w:id="111099824">
                                          <w:marLeft w:val="0"/>
                                          <w:marRight w:val="-3525"/>
                                          <w:marTop w:val="0"/>
                                          <w:marBottom w:val="0"/>
                                          <w:divBdr>
                                            <w:top w:val="none" w:sz="0" w:space="0" w:color="auto"/>
                                            <w:left w:val="none" w:sz="0" w:space="0" w:color="auto"/>
                                            <w:bottom w:val="none" w:sz="0" w:space="0" w:color="auto"/>
                                            <w:right w:val="none" w:sz="0" w:space="0" w:color="auto"/>
                                          </w:divBdr>
                                          <w:divsChild>
                                            <w:div w:id="1079908050">
                                              <w:marLeft w:val="0"/>
                                              <w:marRight w:val="3225"/>
                                              <w:marTop w:val="0"/>
                                              <w:marBottom w:val="0"/>
                                              <w:divBdr>
                                                <w:top w:val="none" w:sz="0" w:space="0" w:color="auto"/>
                                                <w:left w:val="none" w:sz="0" w:space="0" w:color="auto"/>
                                                <w:bottom w:val="none" w:sz="0" w:space="0" w:color="auto"/>
                                                <w:right w:val="none" w:sz="0" w:space="0" w:color="auto"/>
                                              </w:divBdr>
                                              <w:divsChild>
                                                <w:div w:id="617372149">
                                                  <w:marLeft w:val="15"/>
                                                  <w:marRight w:val="15"/>
                                                  <w:marTop w:val="15"/>
                                                  <w:marBottom w:val="15"/>
                                                  <w:divBdr>
                                                    <w:top w:val="none" w:sz="0" w:space="0" w:color="auto"/>
                                                    <w:left w:val="none" w:sz="0" w:space="0" w:color="auto"/>
                                                    <w:bottom w:val="none" w:sz="0" w:space="0" w:color="auto"/>
                                                    <w:right w:val="none" w:sz="0" w:space="0" w:color="auto"/>
                                                  </w:divBdr>
                                                  <w:divsChild>
                                                    <w:div w:id="1072893001">
                                                      <w:marLeft w:val="0"/>
                                                      <w:marRight w:val="0"/>
                                                      <w:marTop w:val="0"/>
                                                      <w:marBottom w:val="0"/>
                                                      <w:divBdr>
                                                        <w:top w:val="none" w:sz="0" w:space="0" w:color="auto"/>
                                                        <w:left w:val="none" w:sz="0" w:space="0" w:color="auto"/>
                                                        <w:bottom w:val="none" w:sz="0" w:space="0" w:color="auto"/>
                                                        <w:right w:val="none" w:sz="0" w:space="0" w:color="auto"/>
                                                      </w:divBdr>
                                                    </w:div>
                                                    <w:div w:id="1392922266">
                                                      <w:marLeft w:val="0"/>
                                                      <w:marRight w:val="0"/>
                                                      <w:marTop w:val="0"/>
                                                      <w:marBottom w:val="0"/>
                                                      <w:divBdr>
                                                        <w:top w:val="none" w:sz="0" w:space="0" w:color="auto"/>
                                                        <w:left w:val="none" w:sz="0" w:space="0" w:color="auto"/>
                                                        <w:bottom w:val="none" w:sz="0" w:space="0" w:color="auto"/>
                                                        <w:right w:val="none" w:sz="0" w:space="0" w:color="auto"/>
                                                      </w:divBdr>
                                                    </w:div>
                                                    <w:div w:id="779495905">
                                                      <w:marLeft w:val="0"/>
                                                      <w:marRight w:val="0"/>
                                                      <w:marTop w:val="0"/>
                                                      <w:marBottom w:val="0"/>
                                                      <w:divBdr>
                                                        <w:top w:val="none" w:sz="0" w:space="0" w:color="auto"/>
                                                        <w:left w:val="none" w:sz="0" w:space="0" w:color="auto"/>
                                                        <w:bottom w:val="none" w:sz="0" w:space="0" w:color="auto"/>
                                                        <w:right w:val="none" w:sz="0" w:space="0" w:color="auto"/>
                                                      </w:divBdr>
                                                      <w:divsChild>
                                                        <w:div w:id="403601350">
                                                          <w:marLeft w:val="0"/>
                                                          <w:marRight w:val="0"/>
                                                          <w:marTop w:val="0"/>
                                                          <w:marBottom w:val="0"/>
                                                          <w:divBdr>
                                                            <w:top w:val="none" w:sz="0" w:space="0" w:color="auto"/>
                                                            <w:left w:val="none" w:sz="0" w:space="0" w:color="auto"/>
                                                            <w:bottom w:val="none" w:sz="0" w:space="0" w:color="auto"/>
                                                            <w:right w:val="none" w:sz="0" w:space="0" w:color="auto"/>
                                                          </w:divBdr>
                                                        </w:div>
                                                        <w:div w:id="408502536">
                                                          <w:marLeft w:val="0"/>
                                                          <w:marRight w:val="0"/>
                                                          <w:marTop w:val="0"/>
                                                          <w:marBottom w:val="0"/>
                                                          <w:divBdr>
                                                            <w:top w:val="none" w:sz="0" w:space="0" w:color="auto"/>
                                                            <w:left w:val="none" w:sz="0" w:space="0" w:color="auto"/>
                                                            <w:bottom w:val="none" w:sz="0" w:space="0" w:color="auto"/>
                                                            <w:right w:val="none" w:sz="0" w:space="0" w:color="auto"/>
                                                          </w:divBdr>
                                                        </w:div>
                                                        <w:div w:id="1713768219">
                                                          <w:marLeft w:val="0"/>
                                                          <w:marRight w:val="0"/>
                                                          <w:marTop w:val="0"/>
                                                          <w:marBottom w:val="0"/>
                                                          <w:divBdr>
                                                            <w:top w:val="none" w:sz="0" w:space="0" w:color="auto"/>
                                                            <w:left w:val="none" w:sz="0" w:space="0" w:color="auto"/>
                                                            <w:bottom w:val="none" w:sz="0" w:space="0" w:color="auto"/>
                                                            <w:right w:val="none" w:sz="0" w:space="0" w:color="auto"/>
                                                          </w:divBdr>
                                                        </w:div>
                                                        <w:div w:id="480776330">
                                                          <w:marLeft w:val="0"/>
                                                          <w:marRight w:val="0"/>
                                                          <w:marTop w:val="0"/>
                                                          <w:marBottom w:val="0"/>
                                                          <w:divBdr>
                                                            <w:top w:val="none" w:sz="0" w:space="0" w:color="auto"/>
                                                            <w:left w:val="none" w:sz="0" w:space="0" w:color="auto"/>
                                                            <w:bottom w:val="none" w:sz="0" w:space="0" w:color="auto"/>
                                                            <w:right w:val="none" w:sz="0" w:space="0" w:color="auto"/>
                                                          </w:divBdr>
                                                        </w:div>
                                                        <w:div w:id="364645010">
                                                          <w:marLeft w:val="0"/>
                                                          <w:marRight w:val="0"/>
                                                          <w:marTop w:val="0"/>
                                                          <w:marBottom w:val="0"/>
                                                          <w:divBdr>
                                                            <w:top w:val="none" w:sz="0" w:space="0" w:color="auto"/>
                                                            <w:left w:val="none" w:sz="0" w:space="0" w:color="auto"/>
                                                            <w:bottom w:val="none" w:sz="0" w:space="0" w:color="auto"/>
                                                            <w:right w:val="none" w:sz="0" w:space="0" w:color="auto"/>
                                                          </w:divBdr>
                                                        </w:div>
                                                        <w:div w:id="345250325">
                                                          <w:marLeft w:val="0"/>
                                                          <w:marRight w:val="0"/>
                                                          <w:marTop w:val="0"/>
                                                          <w:marBottom w:val="0"/>
                                                          <w:divBdr>
                                                            <w:top w:val="none" w:sz="0" w:space="0" w:color="auto"/>
                                                            <w:left w:val="none" w:sz="0" w:space="0" w:color="auto"/>
                                                            <w:bottom w:val="none" w:sz="0" w:space="0" w:color="auto"/>
                                                            <w:right w:val="none" w:sz="0" w:space="0" w:color="auto"/>
                                                          </w:divBdr>
                                                        </w:div>
                                                        <w:div w:id="972254313">
                                                          <w:marLeft w:val="0"/>
                                                          <w:marRight w:val="0"/>
                                                          <w:marTop w:val="0"/>
                                                          <w:marBottom w:val="0"/>
                                                          <w:divBdr>
                                                            <w:top w:val="none" w:sz="0" w:space="0" w:color="auto"/>
                                                            <w:left w:val="none" w:sz="0" w:space="0" w:color="auto"/>
                                                            <w:bottom w:val="none" w:sz="0" w:space="0" w:color="auto"/>
                                                            <w:right w:val="none" w:sz="0" w:space="0" w:color="auto"/>
                                                          </w:divBdr>
                                                        </w:div>
                                                        <w:div w:id="584152067">
                                                          <w:marLeft w:val="0"/>
                                                          <w:marRight w:val="0"/>
                                                          <w:marTop w:val="0"/>
                                                          <w:marBottom w:val="0"/>
                                                          <w:divBdr>
                                                            <w:top w:val="none" w:sz="0" w:space="0" w:color="auto"/>
                                                            <w:left w:val="none" w:sz="0" w:space="0" w:color="auto"/>
                                                            <w:bottom w:val="none" w:sz="0" w:space="0" w:color="auto"/>
                                                            <w:right w:val="none" w:sz="0" w:space="0" w:color="auto"/>
                                                          </w:divBdr>
                                                        </w:div>
                                                        <w:div w:id="974026328">
                                                          <w:marLeft w:val="0"/>
                                                          <w:marRight w:val="0"/>
                                                          <w:marTop w:val="0"/>
                                                          <w:marBottom w:val="0"/>
                                                          <w:divBdr>
                                                            <w:top w:val="none" w:sz="0" w:space="0" w:color="auto"/>
                                                            <w:left w:val="none" w:sz="0" w:space="0" w:color="auto"/>
                                                            <w:bottom w:val="none" w:sz="0" w:space="0" w:color="auto"/>
                                                            <w:right w:val="none" w:sz="0" w:space="0" w:color="auto"/>
                                                          </w:divBdr>
                                                        </w:div>
                                                        <w:div w:id="818813441">
                                                          <w:marLeft w:val="0"/>
                                                          <w:marRight w:val="0"/>
                                                          <w:marTop w:val="0"/>
                                                          <w:marBottom w:val="0"/>
                                                          <w:divBdr>
                                                            <w:top w:val="none" w:sz="0" w:space="0" w:color="auto"/>
                                                            <w:left w:val="none" w:sz="0" w:space="0" w:color="auto"/>
                                                            <w:bottom w:val="none" w:sz="0" w:space="0" w:color="auto"/>
                                                            <w:right w:val="none" w:sz="0" w:space="0" w:color="auto"/>
                                                          </w:divBdr>
                                                        </w:div>
                                                        <w:div w:id="646974457">
                                                          <w:marLeft w:val="0"/>
                                                          <w:marRight w:val="0"/>
                                                          <w:marTop w:val="0"/>
                                                          <w:marBottom w:val="0"/>
                                                          <w:divBdr>
                                                            <w:top w:val="none" w:sz="0" w:space="0" w:color="auto"/>
                                                            <w:left w:val="none" w:sz="0" w:space="0" w:color="auto"/>
                                                            <w:bottom w:val="none" w:sz="0" w:space="0" w:color="auto"/>
                                                            <w:right w:val="none" w:sz="0" w:space="0" w:color="auto"/>
                                                          </w:divBdr>
                                                        </w:div>
                                                        <w:div w:id="1211066467">
                                                          <w:marLeft w:val="0"/>
                                                          <w:marRight w:val="0"/>
                                                          <w:marTop w:val="0"/>
                                                          <w:marBottom w:val="0"/>
                                                          <w:divBdr>
                                                            <w:top w:val="none" w:sz="0" w:space="0" w:color="auto"/>
                                                            <w:left w:val="none" w:sz="0" w:space="0" w:color="auto"/>
                                                            <w:bottom w:val="none" w:sz="0" w:space="0" w:color="auto"/>
                                                            <w:right w:val="none" w:sz="0" w:space="0" w:color="auto"/>
                                                          </w:divBdr>
                                                        </w:div>
                                                        <w:div w:id="1038358086">
                                                          <w:marLeft w:val="0"/>
                                                          <w:marRight w:val="0"/>
                                                          <w:marTop w:val="0"/>
                                                          <w:marBottom w:val="0"/>
                                                          <w:divBdr>
                                                            <w:top w:val="none" w:sz="0" w:space="0" w:color="auto"/>
                                                            <w:left w:val="none" w:sz="0" w:space="0" w:color="auto"/>
                                                            <w:bottom w:val="none" w:sz="0" w:space="0" w:color="auto"/>
                                                            <w:right w:val="none" w:sz="0" w:space="0" w:color="auto"/>
                                                          </w:divBdr>
                                                        </w:div>
                                                        <w:div w:id="327826672">
                                                          <w:marLeft w:val="0"/>
                                                          <w:marRight w:val="0"/>
                                                          <w:marTop w:val="0"/>
                                                          <w:marBottom w:val="0"/>
                                                          <w:divBdr>
                                                            <w:top w:val="none" w:sz="0" w:space="0" w:color="auto"/>
                                                            <w:left w:val="none" w:sz="0" w:space="0" w:color="auto"/>
                                                            <w:bottom w:val="none" w:sz="0" w:space="0" w:color="auto"/>
                                                            <w:right w:val="none" w:sz="0" w:space="0" w:color="auto"/>
                                                          </w:divBdr>
                                                        </w:div>
                                                        <w:div w:id="1316255633">
                                                          <w:marLeft w:val="0"/>
                                                          <w:marRight w:val="0"/>
                                                          <w:marTop w:val="0"/>
                                                          <w:marBottom w:val="0"/>
                                                          <w:divBdr>
                                                            <w:top w:val="none" w:sz="0" w:space="0" w:color="auto"/>
                                                            <w:left w:val="none" w:sz="0" w:space="0" w:color="auto"/>
                                                            <w:bottom w:val="none" w:sz="0" w:space="0" w:color="auto"/>
                                                            <w:right w:val="none" w:sz="0" w:space="0" w:color="auto"/>
                                                          </w:divBdr>
                                                        </w:div>
                                                      </w:divsChild>
                                                    </w:div>
                                                    <w:div w:id="503203780">
                                                      <w:marLeft w:val="0"/>
                                                      <w:marRight w:val="0"/>
                                                      <w:marTop w:val="0"/>
                                                      <w:marBottom w:val="0"/>
                                                      <w:divBdr>
                                                        <w:top w:val="none" w:sz="0" w:space="0" w:color="auto"/>
                                                        <w:left w:val="none" w:sz="0" w:space="0" w:color="auto"/>
                                                        <w:bottom w:val="none" w:sz="0" w:space="0" w:color="auto"/>
                                                        <w:right w:val="none" w:sz="0" w:space="0" w:color="auto"/>
                                                      </w:divBdr>
                                                    </w:div>
                                                    <w:div w:id="976031778">
                                                      <w:marLeft w:val="0"/>
                                                      <w:marRight w:val="0"/>
                                                      <w:marTop w:val="0"/>
                                                      <w:marBottom w:val="0"/>
                                                      <w:divBdr>
                                                        <w:top w:val="none" w:sz="0" w:space="0" w:color="auto"/>
                                                        <w:left w:val="none" w:sz="0" w:space="0" w:color="auto"/>
                                                        <w:bottom w:val="none" w:sz="0" w:space="0" w:color="auto"/>
                                                        <w:right w:val="none" w:sz="0" w:space="0" w:color="auto"/>
                                                      </w:divBdr>
                                                    </w:div>
                                                    <w:div w:id="1646474730">
                                                      <w:marLeft w:val="0"/>
                                                      <w:marRight w:val="0"/>
                                                      <w:marTop w:val="0"/>
                                                      <w:marBottom w:val="0"/>
                                                      <w:divBdr>
                                                        <w:top w:val="none" w:sz="0" w:space="0" w:color="auto"/>
                                                        <w:left w:val="none" w:sz="0" w:space="0" w:color="auto"/>
                                                        <w:bottom w:val="none" w:sz="0" w:space="0" w:color="auto"/>
                                                        <w:right w:val="none" w:sz="0" w:space="0" w:color="auto"/>
                                                      </w:divBdr>
                                                    </w:div>
                                                    <w:div w:id="19666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754083">
      <w:bodyDiv w:val="1"/>
      <w:marLeft w:val="0"/>
      <w:marRight w:val="0"/>
      <w:marTop w:val="0"/>
      <w:marBottom w:val="0"/>
      <w:divBdr>
        <w:top w:val="none" w:sz="0" w:space="0" w:color="auto"/>
        <w:left w:val="none" w:sz="0" w:space="0" w:color="auto"/>
        <w:bottom w:val="none" w:sz="0" w:space="0" w:color="auto"/>
        <w:right w:val="none" w:sz="0" w:space="0" w:color="auto"/>
      </w:divBdr>
      <w:divsChild>
        <w:div w:id="715083322">
          <w:marLeft w:val="0"/>
          <w:marRight w:val="0"/>
          <w:marTop w:val="0"/>
          <w:marBottom w:val="0"/>
          <w:divBdr>
            <w:top w:val="none" w:sz="0" w:space="0" w:color="auto"/>
            <w:left w:val="none" w:sz="0" w:space="0" w:color="auto"/>
            <w:bottom w:val="none" w:sz="0" w:space="0" w:color="auto"/>
            <w:right w:val="none" w:sz="0" w:space="0" w:color="auto"/>
          </w:divBdr>
          <w:divsChild>
            <w:div w:id="105589537">
              <w:marLeft w:val="0"/>
              <w:marRight w:val="0"/>
              <w:marTop w:val="0"/>
              <w:marBottom w:val="0"/>
              <w:divBdr>
                <w:top w:val="none" w:sz="0" w:space="0" w:color="auto"/>
                <w:left w:val="none" w:sz="0" w:space="0" w:color="auto"/>
                <w:bottom w:val="none" w:sz="0" w:space="0" w:color="auto"/>
                <w:right w:val="none" w:sz="0" w:space="0" w:color="auto"/>
              </w:divBdr>
              <w:divsChild>
                <w:div w:id="1050111668">
                  <w:marLeft w:val="0"/>
                  <w:marRight w:val="0"/>
                  <w:marTop w:val="0"/>
                  <w:marBottom w:val="300"/>
                  <w:divBdr>
                    <w:top w:val="none" w:sz="0" w:space="0" w:color="auto"/>
                    <w:left w:val="none" w:sz="0" w:space="0" w:color="auto"/>
                    <w:bottom w:val="none" w:sz="0" w:space="0" w:color="auto"/>
                    <w:right w:val="none" w:sz="0" w:space="0" w:color="auto"/>
                  </w:divBdr>
                  <w:divsChild>
                    <w:div w:id="1103958299">
                      <w:marLeft w:val="2325"/>
                      <w:marRight w:val="0"/>
                      <w:marTop w:val="0"/>
                      <w:marBottom w:val="0"/>
                      <w:divBdr>
                        <w:top w:val="none" w:sz="0" w:space="0" w:color="auto"/>
                        <w:left w:val="none" w:sz="0" w:space="0" w:color="auto"/>
                        <w:bottom w:val="none" w:sz="0" w:space="0" w:color="auto"/>
                        <w:right w:val="none" w:sz="0" w:space="0" w:color="auto"/>
                      </w:divBdr>
                      <w:divsChild>
                        <w:div w:id="1904487956">
                          <w:marLeft w:val="0"/>
                          <w:marRight w:val="0"/>
                          <w:marTop w:val="0"/>
                          <w:marBottom w:val="0"/>
                          <w:divBdr>
                            <w:top w:val="none" w:sz="0" w:space="0" w:color="auto"/>
                            <w:left w:val="none" w:sz="0" w:space="0" w:color="auto"/>
                            <w:bottom w:val="none" w:sz="0" w:space="0" w:color="auto"/>
                            <w:right w:val="none" w:sz="0" w:space="0" w:color="auto"/>
                          </w:divBdr>
                          <w:divsChild>
                            <w:div w:id="1607881790">
                              <w:marLeft w:val="0"/>
                              <w:marRight w:val="0"/>
                              <w:marTop w:val="0"/>
                              <w:marBottom w:val="0"/>
                              <w:divBdr>
                                <w:top w:val="none" w:sz="0" w:space="0" w:color="auto"/>
                                <w:left w:val="none" w:sz="0" w:space="0" w:color="auto"/>
                                <w:bottom w:val="none" w:sz="0" w:space="0" w:color="auto"/>
                                <w:right w:val="none" w:sz="0" w:space="0" w:color="auto"/>
                              </w:divBdr>
                              <w:divsChild>
                                <w:div w:id="459499763">
                                  <w:marLeft w:val="0"/>
                                  <w:marRight w:val="0"/>
                                  <w:marTop w:val="0"/>
                                  <w:marBottom w:val="0"/>
                                  <w:divBdr>
                                    <w:top w:val="none" w:sz="0" w:space="0" w:color="auto"/>
                                    <w:left w:val="none" w:sz="0" w:space="0" w:color="auto"/>
                                    <w:bottom w:val="none" w:sz="0" w:space="0" w:color="auto"/>
                                    <w:right w:val="none" w:sz="0" w:space="0" w:color="auto"/>
                                  </w:divBdr>
                                  <w:divsChild>
                                    <w:div w:id="396367267">
                                      <w:marLeft w:val="0"/>
                                      <w:marRight w:val="0"/>
                                      <w:marTop w:val="0"/>
                                      <w:marBottom w:val="0"/>
                                      <w:divBdr>
                                        <w:top w:val="none" w:sz="0" w:space="0" w:color="auto"/>
                                        <w:left w:val="none" w:sz="0" w:space="0" w:color="auto"/>
                                        <w:bottom w:val="none" w:sz="0" w:space="0" w:color="auto"/>
                                        <w:right w:val="none" w:sz="0" w:space="0" w:color="auto"/>
                                      </w:divBdr>
                                      <w:divsChild>
                                        <w:div w:id="325477440">
                                          <w:marLeft w:val="0"/>
                                          <w:marRight w:val="-3525"/>
                                          <w:marTop w:val="0"/>
                                          <w:marBottom w:val="0"/>
                                          <w:divBdr>
                                            <w:top w:val="none" w:sz="0" w:space="0" w:color="auto"/>
                                            <w:left w:val="none" w:sz="0" w:space="0" w:color="auto"/>
                                            <w:bottom w:val="none" w:sz="0" w:space="0" w:color="auto"/>
                                            <w:right w:val="none" w:sz="0" w:space="0" w:color="auto"/>
                                          </w:divBdr>
                                          <w:divsChild>
                                            <w:div w:id="1962805913">
                                              <w:marLeft w:val="0"/>
                                              <w:marRight w:val="3225"/>
                                              <w:marTop w:val="0"/>
                                              <w:marBottom w:val="0"/>
                                              <w:divBdr>
                                                <w:top w:val="none" w:sz="0" w:space="0" w:color="auto"/>
                                                <w:left w:val="none" w:sz="0" w:space="0" w:color="auto"/>
                                                <w:bottom w:val="none" w:sz="0" w:space="0" w:color="auto"/>
                                                <w:right w:val="none" w:sz="0" w:space="0" w:color="auto"/>
                                              </w:divBdr>
                                              <w:divsChild>
                                                <w:div w:id="386028216">
                                                  <w:marLeft w:val="0"/>
                                                  <w:marRight w:val="0"/>
                                                  <w:marTop w:val="0"/>
                                                  <w:marBottom w:val="150"/>
                                                  <w:divBdr>
                                                    <w:top w:val="none" w:sz="0" w:space="0" w:color="auto"/>
                                                    <w:left w:val="none" w:sz="0" w:space="0" w:color="auto"/>
                                                    <w:bottom w:val="none" w:sz="0" w:space="0" w:color="auto"/>
                                                    <w:right w:val="none" w:sz="0" w:space="0" w:color="auto"/>
                                                  </w:divBdr>
                                                </w:div>
                                                <w:div w:id="1029260282">
                                                  <w:marLeft w:val="0"/>
                                                  <w:marRight w:val="0"/>
                                                  <w:marTop w:val="0"/>
                                                  <w:marBottom w:val="0"/>
                                                  <w:divBdr>
                                                    <w:top w:val="none" w:sz="0" w:space="0" w:color="auto"/>
                                                    <w:left w:val="none" w:sz="0" w:space="0" w:color="auto"/>
                                                    <w:bottom w:val="none" w:sz="0" w:space="0" w:color="auto"/>
                                                    <w:right w:val="none" w:sz="0" w:space="0" w:color="auto"/>
                                                  </w:divBdr>
                                                  <w:divsChild>
                                                    <w:div w:id="1016616514">
                                                      <w:marLeft w:val="0"/>
                                                      <w:marRight w:val="0"/>
                                                      <w:marTop w:val="0"/>
                                                      <w:marBottom w:val="0"/>
                                                      <w:divBdr>
                                                        <w:top w:val="none" w:sz="0" w:space="0" w:color="auto"/>
                                                        <w:left w:val="none" w:sz="0" w:space="0" w:color="auto"/>
                                                        <w:bottom w:val="none" w:sz="0" w:space="0" w:color="auto"/>
                                                        <w:right w:val="none" w:sz="0" w:space="0" w:color="auto"/>
                                                      </w:divBdr>
                                                    </w:div>
                                                  </w:divsChild>
                                                </w:div>
                                                <w:div w:id="752898213">
                                                  <w:marLeft w:val="15"/>
                                                  <w:marRight w:val="15"/>
                                                  <w:marTop w:val="15"/>
                                                  <w:marBottom w:val="15"/>
                                                  <w:divBdr>
                                                    <w:top w:val="none" w:sz="0" w:space="0" w:color="auto"/>
                                                    <w:left w:val="none" w:sz="0" w:space="0" w:color="auto"/>
                                                    <w:bottom w:val="none" w:sz="0" w:space="0" w:color="auto"/>
                                                    <w:right w:val="none" w:sz="0" w:space="0" w:color="auto"/>
                                                  </w:divBdr>
                                                  <w:divsChild>
                                                    <w:div w:id="2030983294">
                                                      <w:marLeft w:val="0"/>
                                                      <w:marRight w:val="0"/>
                                                      <w:marTop w:val="0"/>
                                                      <w:marBottom w:val="0"/>
                                                      <w:divBdr>
                                                        <w:top w:val="none" w:sz="0" w:space="0" w:color="auto"/>
                                                        <w:left w:val="none" w:sz="0" w:space="0" w:color="auto"/>
                                                        <w:bottom w:val="none" w:sz="0" w:space="0" w:color="auto"/>
                                                        <w:right w:val="none" w:sz="0" w:space="0" w:color="auto"/>
                                                      </w:divBdr>
                                                    </w:div>
                                                    <w:div w:id="24911233">
                                                      <w:marLeft w:val="0"/>
                                                      <w:marRight w:val="0"/>
                                                      <w:marTop w:val="0"/>
                                                      <w:marBottom w:val="0"/>
                                                      <w:divBdr>
                                                        <w:top w:val="none" w:sz="0" w:space="0" w:color="auto"/>
                                                        <w:left w:val="none" w:sz="0" w:space="0" w:color="auto"/>
                                                        <w:bottom w:val="none" w:sz="0" w:space="0" w:color="auto"/>
                                                        <w:right w:val="none" w:sz="0" w:space="0" w:color="auto"/>
                                                      </w:divBdr>
                                                    </w:div>
                                                    <w:div w:id="1657805860">
                                                      <w:marLeft w:val="0"/>
                                                      <w:marRight w:val="0"/>
                                                      <w:marTop w:val="0"/>
                                                      <w:marBottom w:val="0"/>
                                                      <w:divBdr>
                                                        <w:top w:val="none" w:sz="0" w:space="0" w:color="auto"/>
                                                        <w:left w:val="none" w:sz="0" w:space="0" w:color="auto"/>
                                                        <w:bottom w:val="none" w:sz="0" w:space="0" w:color="auto"/>
                                                        <w:right w:val="none" w:sz="0" w:space="0" w:color="auto"/>
                                                      </w:divBdr>
                                                    </w:div>
                                                    <w:div w:id="683166079">
                                                      <w:marLeft w:val="0"/>
                                                      <w:marRight w:val="0"/>
                                                      <w:marTop w:val="0"/>
                                                      <w:marBottom w:val="0"/>
                                                      <w:divBdr>
                                                        <w:top w:val="none" w:sz="0" w:space="0" w:color="auto"/>
                                                        <w:left w:val="none" w:sz="0" w:space="0" w:color="auto"/>
                                                        <w:bottom w:val="none" w:sz="0" w:space="0" w:color="auto"/>
                                                        <w:right w:val="none" w:sz="0" w:space="0" w:color="auto"/>
                                                      </w:divBdr>
                                                    </w:div>
                                                    <w:div w:id="770665863">
                                                      <w:marLeft w:val="0"/>
                                                      <w:marRight w:val="0"/>
                                                      <w:marTop w:val="0"/>
                                                      <w:marBottom w:val="0"/>
                                                      <w:divBdr>
                                                        <w:top w:val="none" w:sz="0" w:space="0" w:color="auto"/>
                                                        <w:left w:val="none" w:sz="0" w:space="0" w:color="auto"/>
                                                        <w:bottom w:val="none" w:sz="0" w:space="0" w:color="auto"/>
                                                        <w:right w:val="none" w:sz="0" w:space="0" w:color="auto"/>
                                                      </w:divBdr>
                                                    </w:div>
                                                    <w:div w:id="2005235264">
                                                      <w:marLeft w:val="0"/>
                                                      <w:marRight w:val="0"/>
                                                      <w:marTop w:val="0"/>
                                                      <w:marBottom w:val="0"/>
                                                      <w:divBdr>
                                                        <w:top w:val="none" w:sz="0" w:space="0" w:color="auto"/>
                                                        <w:left w:val="none" w:sz="0" w:space="0" w:color="auto"/>
                                                        <w:bottom w:val="none" w:sz="0" w:space="0" w:color="auto"/>
                                                        <w:right w:val="none" w:sz="0" w:space="0" w:color="auto"/>
                                                      </w:divBdr>
                                                    </w:div>
                                                    <w:div w:id="609552580">
                                                      <w:marLeft w:val="0"/>
                                                      <w:marRight w:val="0"/>
                                                      <w:marTop w:val="0"/>
                                                      <w:marBottom w:val="0"/>
                                                      <w:divBdr>
                                                        <w:top w:val="none" w:sz="0" w:space="0" w:color="auto"/>
                                                        <w:left w:val="none" w:sz="0" w:space="0" w:color="auto"/>
                                                        <w:bottom w:val="none" w:sz="0" w:space="0" w:color="auto"/>
                                                        <w:right w:val="none" w:sz="0" w:space="0" w:color="auto"/>
                                                      </w:divBdr>
                                                    </w:div>
                                                    <w:div w:id="1591623168">
                                                      <w:marLeft w:val="0"/>
                                                      <w:marRight w:val="0"/>
                                                      <w:marTop w:val="0"/>
                                                      <w:marBottom w:val="0"/>
                                                      <w:divBdr>
                                                        <w:top w:val="none" w:sz="0" w:space="0" w:color="auto"/>
                                                        <w:left w:val="none" w:sz="0" w:space="0" w:color="auto"/>
                                                        <w:bottom w:val="none" w:sz="0" w:space="0" w:color="auto"/>
                                                        <w:right w:val="none" w:sz="0" w:space="0" w:color="auto"/>
                                                      </w:divBdr>
                                                    </w:div>
                                                    <w:div w:id="646394206">
                                                      <w:marLeft w:val="0"/>
                                                      <w:marRight w:val="0"/>
                                                      <w:marTop w:val="0"/>
                                                      <w:marBottom w:val="0"/>
                                                      <w:divBdr>
                                                        <w:top w:val="none" w:sz="0" w:space="0" w:color="auto"/>
                                                        <w:left w:val="none" w:sz="0" w:space="0" w:color="auto"/>
                                                        <w:bottom w:val="none" w:sz="0" w:space="0" w:color="auto"/>
                                                        <w:right w:val="none" w:sz="0" w:space="0" w:color="auto"/>
                                                      </w:divBdr>
                                                    </w:div>
                                                    <w:div w:id="1824614452">
                                                      <w:marLeft w:val="0"/>
                                                      <w:marRight w:val="0"/>
                                                      <w:marTop w:val="0"/>
                                                      <w:marBottom w:val="0"/>
                                                      <w:divBdr>
                                                        <w:top w:val="none" w:sz="0" w:space="0" w:color="auto"/>
                                                        <w:left w:val="none" w:sz="0" w:space="0" w:color="auto"/>
                                                        <w:bottom w:val="none" w:sz="0" w:space="0" w:color="auto"/>
                                                        <w:right w:val="none" w:sz="0" w:space="0" w:color="auto"/>
                                                      </w:divBdr>
                                                    </w:div>
                                                    <w:div w:id="1006597174">
                                                      <w:marLeft w:val="0"/>
                                                      <w:marRight w:val="0"/>
                                                      <w:marTop w:val="0"/>
                                                      <w:marBottom w:val="0"/>
                                                      <w:divBdr>
                                                        <w:top w:val="none" w:sz="0" w:space="0" w:color="auto"/>
                                                        <w:left w:val="none" w:sz="0" w:space="0" w:color="auto"/>
                                                        <w:bottom w:val="none" w:sz="0" w:space="0" w:color="auto"/>
                                                        <w:right w:val="none" w:sz="0" w:space="0" w:color="auto"/>
                                                      </w:divBdr>
                                                    </w:div>
                                                    <w:div w:id="13984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10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node/11261" TargetMode="External"/><Relationship Id="rId18" Type="http://schemas.openxmlformats.org/officeDocument/2006/relationships/image" Target="media/image2.jp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popp.undp.org/es/node/626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node/1134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es/node/11351"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11356"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6A43A0ED1314241B15E6AE87729B358"/>
        <w:category>
          <w:name w:val="General"/>
          <w:gallery w:val="placeholder"/>
        </w:category>
        <w:types>
          <w:type w:val="bbPlcHdr"/>
        </w:types>
        <w:behaviors>
          <w:behavior w:val="content"/>
        </w:behaviors>
        <w:guid w:val="{4C47E426-405E-4C61-A0D5-333FF835E1D9}"/>
      </w:docPartPr>
      <w:docPartBody>
        <w:p w:rsidR="00515C57" w:rsidRDefault="00FF553E">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5332"/>
    <w:rsid w:val="000F0D2D"/>
    <w:rsid w:val="00165332"/>
    <w:rsid w:val="003812E2"/>
    <w:rsid w:val="00515C57"/>
    <w:rsid w:val="005C7B25"/>
    <w:rsid w:val="007A5029"/>
    <w:rsid w:val="007E6752"/>
    <w:rsid w:val="00B42AD0"/>
    <w:rsid w:val="00F64B2A"/>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F7086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5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Spanish</UNDP_POPP_DOCUMENT_LANGUAGE>
    <UNDP_POPP_EFFECTIVEDATE xmlns="8264c5cc-ec60-4b56-8111-ce635d3d139a">2018-08-31T22:00:00+00:00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Gestión de caja chica</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Public</Location>
    <_dlc_DocId xmlns="8264c5cc-ec60-4b56-8111-ce635d3d139a">POPP-11-3153</_dlc_DocId>
    <_dlc_DocIdUrl xmlns="8264c5cc-ec60-4b56-8111-ce635d3d139a">
      <Url>https://popp.undp.org/_layouts/15/DocIdRedir.aspx?ID=POPP-11-3153</Url>
      <Description>POPP-11-3153</Description>
    </_dlc_DocIdUrl>
    <UNDP_POPP_REFITEM_VERSION xmlns="8264c5cc-ec60-4b56-8111-ce635d3d139a">4</UNDP_POPP_REFITEM_VERSION>
    <DLCPolicyLabelLock xmlns="e560140e-7b2f-4392-90df-e7567e3021a3" xsi:nil="true"/>
    <DLCPolicyLabelClientValue xmlns="e560140e-7b2f-4392-90df-e7567e3021a3">Effective Date: 01/09/2018                                                Version #: 4.0</DLCPolicyLabelClientValue>
    <UNDP_POPP_LASTMODIFIED xmlns="8264c5cc-ec60-4b56-8111-ce635d3d139a" xsi:nil="true"/>
    <DLCPolicyLabelValue xmlns="e560140e-7b2f-4392-90df-e7567e3021a3">Effective Date: 01/09/2018                                                Version #: 4</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46047F8A-4682-485D-93C5-3FE450F84AF2}">
  <ds:schemaRefs>
    <ds:schemaRef ds:uri="http://schemas.microsoft.com/sharepoint/v3/contenttype/forms"/>
  </ds:schemaRefs>
</ds:datastoreItem>
</file>

<file path=customXml/itemProps2.xml><?xml version="1.0" encoding="utf-8"?>
<ds:datastoreItem xmlns:ds="http://schemas.openxmlformats.org/officeDocument/2006/customXml" ds:itemID="{2FDF1EA7-F717-4D5B-9369-9E27EBF2752A}">
  <ds:schemaRefs>
    <ds:schemaRef ds:uri="http://schemas.microsoft.com/sharepoint/events"/>
  </ds:schemaRefs>
</ds:datastoreItem>
</file>

<file path=customXml/itemProps3.xml><?xml version="1.0" encoding="utf-8"?>
<ds:datastoreItem xmlns:ds="http://schemas.openxmlformats.org/officeDocument/2006/customXml" ds:itemID="{571C94F7-4D9C-49C3-81B1-292DFCFBF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1C649-43E3-4842-9A77-839BF2F9EF9F}">
  <ds:schemaRefs>
    <ds:schemaRef ds:uri="office.server.policy"/>
  </ds:schemaRefs>
</ds:datastoreItem>
</file>

<file path=customXml/itemProps5.xml><?xml version="1.0" encoding="utf-8"?>
<ds:datastoreItem xmlns:ds="http://schemas.openxmlformats.org/officeDocument/2006/customXml" ds:itemID="{F403B2E7-F932-44B2-8D20-993CCFB907C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7</cp:revision>
  <dcterms:created xsi:type="dcterms:W3CDTF">2020-02-19T16:49:00Z</dcterms:created>
  <dcterms:modified xsi:type="dcterms:W3CDTF">2024-05-24T13:40:00Z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UNDP_POPP_BUSINESSUNIT">
    <vt:lpwstr>350;#Financial Resources Management|682d4c54-a288-412d-bfec-ce5587bbd25c</vt:lpwstr>
  </property>
  <property fmtid="{D5CDD505-2E9C-101B-9397-08002B2CF9AE}" pid="5" name="_dlc_DocIdItemGuid">
    <vt:lpwstr>13847340-1578-429a-b81e-388eebf3c140</vt:lpwstr>
  </property>
</Properties>
</file>