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8469" w14:textId="77777777" w:rsidR="0007779D" w:rsidRPr="0007779D" w:rsidRDefault="0007779D" w:rsidP="0007779D">
      <w:pPr>
        <w:spacing w:before="120" w:after="0" w:line="360" w:lineRule="auto"/>
        <w:rPr>
          <w:rFonts w:ascii="Calibri" w:eastAsia="Times New Roman" w:hAnsi="Calibri" w:cs="Calibri"/>
          <w:color w:val="333333"/>
          <w:kern w:val="0"/>
          <w:sz w:val="22"/>
          <w:szCs w:val="22"/>
          <w:lang w:val="en-GB" w:eastAsia="ja-JP"/>
          <w14:ligatures w14:val="none"/>
        </w:rPr>
      </w:pPr>
    </w:p>
    <w:p w14:paraId="702AA1E2" w14:textId="77777777" w:rsidR="0007779D" w:rsidRPr="0007779D" w:rsidRDefault="0007779D" w:rsidP="0007779D">
      <w:pPr>
        <w:spacing w:before="120" w:after="0" w:line="360" w:lineRule="auto"/>
        <w:rPr>
          <w:rFonts w:ascii="Calibri" w:eastAsia="MS Mincho" w:hAnsi="Calibri" w:cs="Calibri"/>
          <w:b/>
          <w:bCs/>
          <w:kern w:val="0"/>
          <w:sz w:val="22"/>
          <w:szCs w:val="22"/>
          <w:lang w:eastAsia="ja-JP"/>
          <w14:ligatures w14:val="none"/>
        </w:rPr>
      </w:pPr>
      <w:r w:rsidRPr="0007779D">
        <w:rPr>
          <w:rFonts w:ascii="Calibri" w:eastAsia="MS Mincho" w:hAnsi="Calibri" w:cs="Calibri"/>
          <w:b/>
          <w:bCs/>
          <w:kern w:val="0"/>
          <w:sz w:val="22"/>
          <w:szCs w:val="22"/>
          <w:lang w:eastAsia="ja-JP"/>
          <w14:ligatures w14:val="none"/>
        </w:rPr>
        <w:t>Core Contributions Policy</w:t>
      </w:r>
    </w:p>
    <w:p w14:paraId="2E9150F7" w14:textId="77777777" w:rsidR="0007779D" w:rsidRPr="0007779D" w:rsidRDefault="0007779D" w:rsidP="0007779D">
      <w:pPr>
        <w:shd w:val="clear" w:color="auto" w:fill="FFFFFF"/>
        <w:tabs>
          <w:tab w:val="left" w:pos="1070"/>
        </w:tabs>
        <w:spacing w:after="0" w:line="240" w:lineRule="auto"/>
        <w:ind w:left="717"/>
        <w:contextualSpacing/>
        <w:textAlignment w:val="top"/>
        <w:rPr>
          <w:rFonts w:ascii="Calibri" w:eastAsia="MS Mincho" w:hAnsi="Calibri" w:cs="Calibri"/>
          <w:color w:val="000000"/>
          <w:kern w:val="0"/>
          <w:sz w:val="22"/>
          <w:szCs w:val="22"/>
          <w:lang w:eastAsia="ja-JP"/>
          <w14:ligatures w14:val="none"/>
        </w:rPr>
      </w:pPr>
    </w:p>
    <w:p w14:paraId="17DBE2EF" w14:textId="77777777" w:rsidR="0007779D" w:rsidRPr="0007779D" w:rsidRDefault="0007779D" w:rsidP="0007779D">
      <w:pPr>
        <w:numPr>
          <w:ilvl w:val="0"/>
          <w:numId w:val="19"/>
        </w:numPr>
        <w:shd w:val="clear" w:color="auto" w:fill="FFFFFF"/>
        <w:tabs>
          <w:tab w:val="left" w:pos="1070"/>
        </w:tabs>
        <w:spacing w:after="0" w:line="240" w:lineRule="auto"/>
        <w:ind w:left="284" w:hanging="284"/>
        <w:contextualSpacing/>
        <w:textAlignment w:val="top"/>
        <w:rPr>
          <w:rFonts w:ascii="Calibri" w:eastAsia="MS Mincho" w:hAnsi="Calibri" w:cs="Calibri"/>
          <w:color w:val="000000"/>
          <w:kern w:val="0"/>
          <w:sz w:val="22"/>
          <w:szCs w:val="22"/>
          <w:lang w:eastAsia="ja-JP"/>
          <w14:ligatures w14:val="none"/>
        </w:rPr>
      </w:pPr>
      <w:r w:rsidRPr="0007779D">
        <w:rPr>
          <w:rFonts w:ascii="Calibri" w:eastAsia="MS Mincho" w:hAnsi="Calibri" w:cs="Calibri"/>
          <w:color w:val="000000"/>
          <w:kern w:val="0"/>
          <w:sz w:val="22"/>
          <w:szCs w:val="22"/>
          <w:lang w:eastAsia="ja-JP"/>
          <w14:ligatures w14:val="none"/>
        </w:rPr>
        <w:t>Core revenue is unearmarked funding received as voluntary contributions primarily from donor governments. The formal arrangements with each donor vary: multi-year agreements, annual letters of intent/ commitment, or cash receipt prior to formal agreement/ communication. This policy covers the accounting treatment of core contributions in the financial statements.</w:t>
      </w:r>
    </w:p>
    <w:p w14:paraId="699D9E13" w14:textId="77777777" w:rsidR="0007779D" w:rsidRPr="0007779D" w:rsidRDefault="0007779D" w:rsidP="0007779D">
      <w:pPr>
        <w:shd w:val="clear" w:color="auto" w:fill="FFFFFF"/>
        <w:tabs>
          <w:tab w:val="left" w:pos="1070"/>
        </w:tabs>
        <w:spacing w:after="0" w:line="240" w:lineRule="auto"/>
        <w:textAlignment w:val="top"/>
        <w:rPr>
          <w:rFonts w:ascii="Calibri" w:eastAsia="Times New Roman" w:hAnsi="Calibri" w:cs="Calibri"/>
          <w:color w:val="333333"/>
          <w:kern w:val="0"/>
          <w:sz w:val="22"/>
          <w:szCs w:val="22"/>
          <w:lang w:eastAsia="ja-JP"/>
          <w14:ligatures w14:val="none"/>
        </w:rPr>
      </w:pPr>
    </w:p>
    <w:p w14:paraId="5EC62208" w14:textId="77777777" w:rsidR="0007779D" w:rsidRPr="0007779D" w:rsidRDefault="0007779D" w:rsidP="0007779D">
      <w:pPr>
        <w:numPr>
          <w:ilvl w:val="0"/>
          <w:numId w:val="19"/>
        </w:numPr>
        <w:shd w:val="clear" w:color="auto" w:fill="FFFFFF"/>
        <w:spacing w:after="0" w:line="240" w:lineRule="auto"/>
        <w:ind w:left="284" w:hanging="284"/>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Core contributions are recorded based on the following scenarios: </w:t>
      </w:r>
    </w:p>
    <w:p w14:paraId="721472A8" w14:textId="77777777" w:rsidR="0007779D" w:rsidRPr="0007779D" w:rsidRDefault="0007779D" w:rsidP="0007779D">
      <w:pPr>
        <w:shd w:val="clear" w:color="auto" w:fill="FFFFFF"/>
        <w:spacing w:after="0" w:line="240" w:lineRule="auto"/>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w:t>
      </w:r>
    </w:p>
    <w:p w14:paraId="157F8A80" w14:textId="77777777" w:rsidR="0007779D" w:rsidRPr="0007779D" w:rsidRDefault="0007779D" w:rsidP="0007779D">
      <w:pPr>
        <w:shd w:val="clear" w:color="auto" w:fill="FFFFFF"/>
        <w:spacing w:after="0" w:line="240" w:lineRule="auto"/>
        <w:ind w:left="1134" w:hanging="567"/>
        <w:contextualSpacing/>
        <w:textAlignment w:val="top"/>
        <w:rPr>
          <w:rFonts w:ascii="Calibri" w:eastAsia="Times New Roman" w:hAnsi="Calibri" w:cs="Calibri"/>
          <w:i/>
          <w:iCs/>
          <w:color w:val="333333"/>
          <w:kern w:val="0"/>
          <w:sz w:val="22"/>
          <w:szCs w:val="22"/>
          <w:lang w:val="en-GB" w:eastAsia="ja-JP"/>
          <w14:ligatures w14:val="none"/>
        </w:rPr>
      </w:pPr>
      <w:r w:rsidRPr="0007779D">
        <w:rPr>
          <w:rFonts w:ascii="Calibri" w:eastAsia="Times New Roman" w:hAnsi="Calibri" w:cs="Calibri"/>
          <w:i/>
          <w:iCs/>
          <w:color w:val="333333"/>
          <w:kern w:val="0"/>
          <w:sz w:val="22"/>
          <w:szCs w:val="22"/>
          <w:lang w:val="en-GB" w:eastAsia="ja-JP"/>
          <w14:ligatures w14:val="none"/>
        </w:rPr>
        <w:t>2.1 Where no agreement exists:</w:t>
      </w:r>
    </w:p>
    <w:p w14:paraId="58F10087" w14:textId="77777777" w:rsidR="0007779D" w:rsidRPr="0007779D" w:rsidRDefault="0007779D" w:rsidP="0007779D">
      <w:pPr>
        <w:shd w:val="clear" w:color="auto" w:fill="FFFFFF"/>
        <w:spacing w:after="0" w:line="240" w:lineRule="auto"/>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w:t>
      </w:r>
    </w:p>
    <w:p w14:paraId="30AE2571" w14:textId="77777777" w:rsidR="0007779D" w:rsidRPr="0007779D" w:rsidRDefault="0007779D" w:rsidP="0007779D">
      <w:pPr>
        <w:numPr>
          <w:ilvl w:val="0"/>
          <w:numId w:val="1"/>
        </w:numPr>
        <w:shd w:val="clear" w:color="auto" w:fill="FFFFFF"/>
        <w:spacing w:after="0" w:line="240" w:lineRule="auto"/>
        <w:ind w:left="1418" w:hanging="283"/>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Where no agreement exists for core contributions or cash is transferred prior to an agreement being signed by both parties, revenue will be recorded on a cash basis at the time that funds are received in the UNDP bank account.</w:t>
      </w:r>
    </w:p>
    <w:p w14:paraId="23DF3732" w14:textId="77777777" w:rsidR="0007779D" w:rsidRPr="0007779D" w:rsidRDefault="0007779D" w:rsidP="0007779D">
      <w:pPr>
        <w:numPr>
          <w:ilvl w:val="0"/>
          <w:numId w:val="1"/>
        </w:numPr>
        <w:shd w:val="clear" w:color="auto" w:fill="FFFFFF"/>
        <w:spacing w:after="0" w:line="240" w:lineRule="auto"/>
        <w:ind w:left="1418" w:hanging="283"/>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Letters of intent/exchange are considered binding </w:t>
      </w:r>
      <w:proofErr w:type="gramStart"/>
      <w:r w:rsidRPr="0007779D">
        <w:rPr>
          <w:rFonts w:ascii="Calibri" w:eastAsia="Times New Roman" w:hAnsi="Calibri" w:cs="Calibri"/>
          <w:color w:val="333333"/>
          <w:kern w:val="0"/>
          <w:sz w:val="22"/>
          <w:szCs w:val="22"/>
          <w:lang w:val="en-GB" w:eastAsia="ja-JP"/>
          <w14:ligatures w14:val="none"/>
        </w:rPr>
        <w:t>documents</w:t>
      </w:r>
      <w:proofErr w:type="gramEnd"/>
      <w:r w:rsidRPr="0007779D">
        <w:rPr>
          <w:rFonts w:ascii="Calibri" w:eastAsia="Times New Roman" w:hAnsi="Calibri" w:cs="Calibri"/>
          <w:color w:val="333333"/>
          <w:kern w:val="0"/>
          <w:sz w:val="22"/>
          <w:szCs w:val="22"/>
          <w:lang w:val="en-GB" w:eastAsia="ja-JP"/>
          <w14:ligatures w14:val="none"/>
        </w:rPr>
        <w:t xml:space="preserve"> and revenue is recognized only upon signature of the letter.</w:t>
      </w:r>
    </w:p>
    <w:p w14:paraId="45553628" w14:textId="77777777" w:rsidR="0007779D" w:rsidRPr="0007779D" w:rsidRDefault="0007779D" w:rsidP="0007779D">
      <w:pPr>
        <w:shd w:val="clear" w:color="auto" w:fill="FFFFFF"/>
        <w:spacing w:after="0" w:line="240" w:lineRule="auto"/>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b/>
          <w:bCs/>
          <w:color w:val="333333"/>
          <w:kern w:val="0"/>
          <w:sz w:val="22"/>
          <w:szCs w:val="22"/>
          <w:lang w:val="en-GB" w:eastAsia="ja-JP"/>
          <w14:ligatures w14:val="none"/>
        </w:rPr>
        <w:t> </w:t>
      </w:r>
    </w:p>
    <w:p w14:paraId="710B70D3" w14:textId="77777777" w:rsidR="0007779D" w:rsidRPr="0007779D" w:rsidRDefault="0007779D" w:rsidP="0007779D">
      <w:pPr>
        <w:shd w:val="clear" w:color="auto" w:fill="FFFFFF"/>
        <w:spacing w:after="0" w:line="240" w:lineRule="auto"/>
        <w:ind w:left="567"/>
        <w:jc w:val="both"/>
        <w:textAlignment w:val="top"/>
        <w:rPr>
          <w:rFonts w:ascii="Calibri" w:eastAsia="Times New Roman" w:hAnsi="Calibri" w:cs="Calibri"/>
          <w:i/>
          <w:iCs/>
          <w:color w:val="333333"/>
          <w:kern w:val="0"/>
          <w:sz w:val="22"/>
          <w:szCs w:val="22"/>
          <w:lang w:val="en-GB" w:eastAsia="ja-JP"/>
          <w14:ligatures w14:val="none"/>
        </w:rPr>
      </w:pPr>
      <w:r w:rsidRPr="0007779D">
        <w:rPr>
          <w:rFonts w:ascii="Calibri" w:eastAsia="Times New Roman" w:hAnsi="Calibri" w:cs="Calibri"/>
          <w:i/>
          <w:iCs/>
          <w:color w:val="333333"/>
          <w:kern w:val="0"/>
          <w:sz w:val="22"/>
          <w:szCs w:val="22"/>
          <w:lang w:val="en-GB" w:eastAsia="ja-JP"/>
          <w14:ligatures w14:val="none"/>
        </w:rPr>
        <w:t>2.2 Where agreements exist for core contributions:</w:t>
      </w:r>
    </w:p>
    <w:p w14:paraId="5EF435C1" w14:textId="77777777" w:rsidR="0007779D" w:rsidRPr="0007779D" w:rsidRDefault="0007779D" w:rsidP="0007779D">
      <w:pPr>
        <w:shd w:val="clear" w:color="auto" w:fill="FFFFFF"/>
        <w:spacing w:after="0" w:line="240" w:lineRule="auto"/>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w:t>
      </w:r>
    </w:p>
    <w:p w14:paraId="59BF048E" w14:textId="77777777" w:rsidR="0007779D" w:rsidRPr="0007779D" w:rsidRDefault="0007779D" w:rsidP="0007779D">
      <w:pPr>
        <w:numPr>
          <w:ilvl w:val="0"/>
          <w:numId w:val="2"/>
        </w:numPr>
        <w:shd w:val="clear" w:color="auto" w:fill="FFFFFF"/>
        <w:spacing w:after="0" w:line="240" w:lineRule="auto"/>
        <w:ind w:left="1418" w:hanging="283"/>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Where a binding agreement exists, revenue will be recognized in the financial statements upon signature of the agreement.</w:t>
      </w:r>
    </w:p>
    <w:p w14:paraId="101E9474" w14:textId="77777777" w:rsidR="0007779D" w:rsidRPr="0007779D" w:rsidRDefault="0007779D" w:rsidP="0007779D">
      <w:pPr>
        <w:numPr>
          <w:ilvl w:val="0"/>
          <w:numId w:val="2"/>
        </w:numPr>
        <w:shd w:val="clear" w:color="auto" w:fill="FFFFFF"/>
        <w:spacing w:after="0" w:line="240" w:lineRule="auto"/>
        <w:ind w:left="1418" w:hanging="283"/>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For multi-year core contributions, the full amount of contribution agreements is recognised in year one, if the schedule of payments is distributed over several future reporting periods.</w:t>
      </w:r>
    </w:p>
    <w:p w14:paraId="0031E9F4" w14:textId="77777777" w:rsidR="0007779D" w:rsidRPr="0007779D" w:rsidRDefault="0007779D" w:rsidP="0007779D">
      <w:pPr>
        <w:shd w:val="clear" w:color="auto" w:fill="FFFFFF"/>
        <w:spacing w:after="0" w:line="240" w:lineRule="auto"/>
        <w:ind w:left="1134"/>
        <w:contextualSpacing/>
        <w:jc w:val="both"/>
        <w:textAlignment w:val="top"/>
        <w:rPr>
          <w:rFonts w:ascii="Calibri" w:eastAsia="Times New Roman" w:hAnsi="Calibri" w:cs="Calibri"/>
          <w:color w:val="333333"/>
          <w:kern w:val="0"/>
          <w:sz w:val="22"/>
          <w:szCs w:val="22"/>
          <w:lang w:val="en-GB" w:eastAsia="ja-JP"/>
          <w14:ligatures w14:val="none"/>
        </w:rPr>
      </w:pPr>
    </w:p>
    <w:p w14:paraId="15E8F7E1" w14:textId="77777777" w:rsidR="0007779D" w:rsidRPr="0007779D" w:rsidRDefault="0007779D" w:rsidP="0007779D">
      <w:pPr>
        <w:shd w:val="clear" w:color="auto" w:fill="FFFFFF"/>
        <w:spacing w:after="0" w:line="240" w:lineRule="auto"/>
        <w:ind w:left="1134" w:hanging="567"/>
        <w:jc w:val="both"/>
        <w:textAlignment w:val="top"/>
        <w:rPr>
          <w:rFonts w:ascii="Calibri" w:eastAsia="Times New Roman" w:hAnsi="Calibri" w:cs="Calibri"/>
          <w:i/>
          <w:iCs/>
          <w:color w:val="333333"/>
          <w:kern w:val="0"/>
          <w:sz w:val="22"/>
          <w:szCs w:val="22"/>
          <w:lang w:val="en-GB" w:eastAsia="ja-JP"/>
          <w14:ligatures w14:val="none"/>
        </w:rPr>
      </w:pPr>
      <w:r w:rsidRPr="0007779D">
        <w:rPr>
          <w:rFonts w:ascii="Calibri" w:eastAsia="Times New Roman" w:hAnsi="Calibri" w:cs="Calibri"/>
          <w:i/>
          <w:iCs/>
          <w:color w:val="333333"/>
          <w:kern w:val="0"/>
          <w:sz w:val="22"/>
          <w:szCs w:val="22"/>
          <w:lang w:val="en-GB" w:eastAsia="ja-JP"/>
          <w14:ligatures w14:val="none"/>
        </w:rPr>
        <w:t>2.3 Where agreements exist with specific conditions:</w:t>
      </w:r>
    </w:p>
    <w:p w14:paraId="257A3C19" w14:textId="77777777" w:rsidR="0007779D" w:rsidRPr="0007779D" w:rsidRDefault="0007779D" w:rsidP="0007779D">
      <w:pPr>
        <w:shd w:val="clear" w:color="auto" w:fill="FFFFFF"/>
        <w:spacing w:after="0" w:line="240" w:lineRule="auto"/>
        <w:jc w:val="both"/>
        <w:textAlignment w:val="top"/>
        <w:rPr>
          <w:rFonts w:ascii="Calibri" w:eastAsia="Times New Roman" w:hAnsi="Calibri" w:cs="Calibri"/>
          <w:color w:val="333333"/>
          <w:kern w:val="0"/>
          <w:sz w:val="22"/>
          <w:szCs w:val="22"/>
          <w:lang w:val="en-GB" w:eastAsia="ja-JP"/>
          <w14:ligatures w14:val="none"/>
        </w:rPr>
      </w:pPr>
    </w:p>
    <w:p w14:paraId="5D604641" w14:textId="77777777" w:rsidR="0007779D" w:rsidRPr="0007779D" w:rsidRDefault="0007779D" w:rsidP="0007779D">
      <w:pPr>
        <w:numPr>
          <w:ilvl w:val="0"/>
          <w:numId w:val="9"/>
        </w:numPr>
        <w:shd w:val="clear" w:color="auto" w:fill="FFFFFF"/>
        <w:spacing w:after="0" w:line="240" w:lineRule="auto"/>
        <w:ind w:left="1418" w:hanging="284"/>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Certain agreements may include a clause with a condition that must be fulfilled before an agreement can become binding or before revenue can be recognized. Such agreements could include conditions requiring parliamentary approval or prior approval of reports   </w:t>
      </w:r>
    </w:p>
    <w:p w14:paraId="5174205A" w14:textId="77777777" w:rsidR="0007779D" w:rsidRPr="0007779D" w:rsidRDefault="0007779D" w:rsidP="0007779D">
      <w:pPr>
        <w:numPr>
          <w:ilvl w:val="0"/>
          <w:numId w:val="9"/>
        </w:numPr>
        <w:shd w:val="clear" w:color="auto" w:fill="FFFFFF"/>
        <w:spacing w:after="0" w:line="240" w:lineRule="auto"/>
        <w:ind w:left="1418" w:hanging="284"/>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u w:val="single"/>
          <w:lang w:val="en-GB" w:eastAsia="ja-JP"/>
          <w14:ligatures w14:val="none"/>
        </w:rPr>
        <w:t>Parliamentary approval</w:t>
      </w:r>
      <w:r w:rsidRPr="0007779D">
        <w:rPr>
          <w:rFonts w:ascii="Calibri" w:eastAsia="MS Mincho" w:hAnsi="Calibri" w:cs="Calibri"/>
          <w:kern w:val="0"/>
          <w:sz w:val="22"/>
          <w:szCs w:val="22"/>
          <w:lang w:val="en-GB" w:eastAsia="ja-JP"/>
          <w14:ligatures w14:val="none"/>
        </w:rPr>
        <w:t xml:space="preserve"> - Some agreements (usually those with donor governments) include a clause that disbursements are subject to parliamentary/ government approval. While it may appear that this clause limits control of the asset since it is not certain that the agreement amount will be honoured, in UNDP’s experience, donor governments have a history of transferring agreed resources pertaining to core contributions. Often, the clause refers to the donor’s general annual process for its overall budget and is not specific to its </w:t>
      </w:r>
      <w:proofErr w:type="gramStart"/>
      <w:r w:rsidRPr="0007779D">
        <w:rPr>
          <w:rFonts w:ascii="Calibri" w:eastAsia="MS Mincho" w:hAnsi="Calibri" w:cs="Calibri"/>
          <w:kern w:val="0"/>
          <w:sz w:val="22"/>
          <w:szCs w:val="22"/>
          <w:lang w:val="en-GB" w:eastAsia="ja-JP"/>
          <w14:ligatures w14:val="none"/>
        </w:rPr>
        <w:t>particular commitment</w:t>
      </w:r>
      <w:proofErr w:type="gramEnd"/>
      <w:r w:rsidRPr="0007779D">
        <w:rPr>
          <w:rFonts w:ascii="Calibri" w:eastAsia="MS Mincho" w:hAnsi="Calibri" w:cs="Calibri"/>
          <w:kern w:val="0"/>
          <w:sz w:val="22"/>
          <w:szCs w:val="22"/>
          <w:lang w:val="en-GB" w:eastAsia="ja-JP"/>
          <w14:ligatures w14:val="none"/>
        </w:rPr>
        <w:t xml:space="preserve"> to UNDP. For </w:t>
      </w:r>
      <w:proofErr w:type="gramStart"/>
      <w:r w:rsidRPr="0007779D">
        <w:rPr>
          <w:rFonts w:ascii="Calibri" w:eastAsia="MS Mincho" w:hAnsi="Calibri" w:cs="Calibri"/>
          <w:kern w:val="0"/>
          <w:sz w:val="22"/>
          <w:szCs w:val="22"/>
          <w:lang w:val="en-GB" w:eastAsia="ja-JP"/>
          <w14:ligatures w14:val="none"/>
        </w:rPr>
        <w:t>the majority of</w:t>
      </w:r>
      <w:proofErr w:type="gramEnd"/>
      <w:r w:rsidRPr="0007779D">
        <w:rPr>
          <w:rFonts w:ascii="Calibri" w:eastAsia="MS Mincho" w:hAnsi="Calibri" w:cs="Calibri"/>
          <w:kern w:val="0"/>
          <w:sz w:val="22"/>
          <w:szCs w:val="22"/>
          <w:lang w:val="en-GB" w:eastAsia="ja-JP"/>
          <w14:ligatures w14:val="none"/>
        </w:rPr>
        <w:t xml:space="preserve"> cases, revenue asset recognition is appropriate.</w:t>
      </w:r>
    </w:p>
    <w:p w14:paraId="6F09F662" w14:textId="77777777" w:rsidR="0007779D" w:rsidRPr="0007779D" w:rsidRDefault="0007779D" w:rsidP="0007779D">
      <w:pPr>
        <w:numPr>
          <w:ilvl w:val="0"/>
          <w:numId w:val="9"/>
        </w:numPr>
        <w:shd w:val="clear" w:color="auto" w:fill="FFFFFF"/>
        <w:spacing w:after="0" w:line="240" w:lineRule="auto"/>
        <w:ind w:left="1418" w:hanging="284"/>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The exception to this is where the agreement expressly reflects the contribution as an intention by the donor to transfer resources subject to parliamentary </w:t>
      </w:r>
      <w:proofErr w:type="gramStart"/>
      <w:r w:rsidRPr="0007779D">
        <w:rPr>
          <w:rFonts w:ascii="Calibri" w:eastAsia="MS Mincho" w:hAnsi="Calibri" w:cs="Calibri"/>
          <w:kern w:val="0"/>
          <w:sz w:val="22"/>
          <w:szCs w:val="22"/>
          <w:lang w:val="en-GB" w:eastAsia="ja-JP"/>
          <w14:ligatures w14:val="none"/>
        </w:rPr>
        <w:t>approval</w:t>
      </w:r>
      <w:proofErr w:type="gramEnd"/>
      <w:r w:rsidRPr="0007779D">
        <w:rPr>
          <w:rFonts w:ascii="Calibri" w:eastAsia="MS Mincho" w:hAnsi="Calibri" w:cs="Calibri"/>
          <w:kern w:val="0"/>
          <w:sz w:val="22"/>
          <w:szCs w:val="22"/>
          <w:lang w:val="en-GB" w:eastAsia="ja-JP"/>
          <w14:ligatures w14:val="none"/>
        </w:rPr>
        <w:t xml:space="preserve"> but the actual commitment would be communicated formally to UNDP when parliamentary approval is granted. In this case, revenue recognition is deferred until the formal communication is received by UNDP.</w:t>
      </w:r>
    </w:p>
    <w:p w14:paraId="6C3DF7B3" w14:textId="77777777" w:rsidR="0007779D" w:rsidRPr="0007779D" w:rsidRDefault="0007779D" w:rsidP="0007779D">
      <w:pPr>
        <w:numPr>
          <w:ilvl w:val="0"/>
          <w:numId w:val="9"/>
        </w:numPr>
        <w:shd w:val="clear" w:color="auto" w:fill="FFFFFF"/>
        <w:spacing w:after="0" w:line="240" w:lineRule="auto"/>
        <w:ind w:left="1418" w:hanging="284"/>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For cases requiring formal communication of parliamentary approval, GSSC will submit a report of pending parliamentary approval milestones regularly to UNDP Offices for follow-up with the respective donors.   </w:t>
      </w:r>
    </w:p>
    <w:p w14:paraId="20546FA9" w14:textId="77777777" w:rsidR="0007779D" w:rsidRPr="0007779D" w:rsidRDefault="0007779D" w:rsidP="0007779D">
      <w:pPr>
        <w:numPr>
          <w:ilvl w:val="0"/>
          <w:numId w:val="9"/>
        </w:numPr>
        <w:shd w:val="clear" w:color="auto" w:fill="FFFFFF"/>
        <w:spacing w:after="0" w:line="240" w:lineRule="auto"/>
        <w:ind w:left="1418"/>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u w:val="single"/>
          <w:lang w:val="en-GB" w:eastAsia="ja-JP"/>
          <w14:ligatures w14:val="none"/>
        </w:rPr>
        <w:lastRenderedPageBreak/>
        <w:t>Availability of Funds</w:t>
      </w:r>
      <w:r w:rsidRPr="0007779D">
        <w:rPr>
          <w:rFonts w:ascii="Calibri" w:eastAsia="MS Mincho" w:hAnsi="Calibri" w:cs="Calibri"/>
          <w:kern w:val="0"/>
          <w:sz w:val="22"/>
          <w:szCs w:val="22"/>
          <w:lang w:val="en-GB" w:eastAsia="ja-JP"/>
          <w14:ligatures w14:val="none"/>
        </w:rPr>
        <w:t xml:space="preserve"> – Agreements may include a general clause on the availability of funds. In UNDPs pas experience, funding has not been withheld </w:t>
      </w:r>
      <w:proofErr w:type="gramStart"/>
      <w:r w:rsidRPr="0007779D">
        <w:rPr>
          <w:rFonts w:ascii="Calibri" w:eastAsia="MS Mincho" w:hAnsi="Calibri" w:cs="Calibri"/>
          <w:kern w:val="0"/>
          <w:sz w:val="22"/>
          <w:szCs w:val="22"/>
          <w:lang w:val="en-GB" w:eastAsia="ja-JP"/>
          <w14:ligatures w14:val="none"/>
        </w:rPr>
        <w:t>as a result of</w:t>
      </w:r>
      <w:proofErr w:type="gramEnd"/>
      <w:r w:rsidRPr="0007779D">
        <w:rPr>
          <w:rFonts w:ascii="Calibri" w:eastAsia="MS Mincho" w:hAnsi="Calibri" w:cs="Calibri"/>
          <w:kern w:val="0"/>
          <w:sz w:val="22"/>
          <w:szCs w:val="22"/>
          <w:lang w:val="en-GB" w:eastAsia="ja-JP"/>
          <w14:ligatures w14:val="none"/>
        </w:rPr>
        <w:t xml:space="preserve"> the existence of this clause, therefore, asset recognition is appropriate.</w:t>
      </w:r>
    </w:p>
    <w:p w14:paraId="624C73F2" w14:textId="77777777" w:rsidR="0007779D" w:rsidRPr="0007779D" w:rsidRDefault="0007779D" w:rsidP="0007779D">
      <w:pPr>
        <w:numPr>
          <w:ilvl w:val="0"/>
          <w:numId w:val="9"/>
        </w:numPr>
        <w:spacing w:after="0" w:line="240" w:lineRule="auto"/>
        <w:ind w:left="1418"/>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u w:val="single"/>
          <w:lang w:val="en-GB" w:eastAsia="ja-JP"/>
          <w14:ligatures w14:val="none"/>
        </w:rPr>
        <w:t>Variable/performance-related portion</w:t>
      </w:r>
      <w:r w:rsidRPr="0007779D">
        <w:rPr>
          <w:rFonts w:ascii="Calibri" w:eastAsia="MS Mincho" w:hAnsi="Calibri" w:cs="Calibri"/>
          <w:kern w:val="0"/>
          <w:sz w:val="22"/>
          <w:szCs w:val="22"/>
          <w:lang w:val="en-GB" w:eastAsia="ja-JP"/>
          <w14:ligatures w14:val="none"/>
        </w:rPr>
        <w:t xml:space="preserve"> - Certain agreements may include variable or performance-related payment amounts, linked to specific targets (performance/ expenditure/ reporting) being met.</w:t>
      </w:r>
    </w:p>
    <w:p w14:paraId="2A08E4AE" w14:textId="77777777" w:rsidR="0007779D" w:rsidRPr="0007779D" w:rsidRDefault="0007779D" w:rsidP="0007779D">
      <w:pPr>
        <w:numPr>
          <w:ilvl w:val="0"/>
          <w:numId w:val="9"/>
        </w:numPr>
        <w:spacing w:before="100" w:beforeAutospacing="1" w:after="100" w:afterAutospacing="1" w:line="240" w:lineRule="auto"/>
        <w:ind w:left="1418"/>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The achievement of targets is not always under the control of UNDP and may require the involvement and assessment of targets for other partners, including other UN Agencies. Consequently, only the fixed portion (i.e. not the variable or performance-related payment amount) meets the definition of an asset since it is under UNDP’s control. The variable or performance-related portion is considered a contingent asset and is recognised as an asset only once the specific targets are met.</w:t>
      </w:r>
    </w:p>
    <w:p w14:paraId="3239B1EA" w14:textId="77777777" w:rsidR="0007779D" w:rsidRPr="0007779D" w:rsidRDefault="0007779D" w:rsidP="0007779D">
      <w:pPr>
        <w:shd w:val="clear" w:color="auto" w:fill="FFFFFF"/>
        <w:spacing w:after="0" w:line="240" w:lineRule="auto"/>
        <w:ind w:left="1080"/>
        <w:contextualSpacing/>
        <w:jc w:val="both"/>
        <w:textAlignment w:val="top"/>
        <w:rPr>
          <w:rFonts w:ascii="Calibri" w:eastAsia="MS Mincho" w:hAnsi="Calibri" w:cs="Calibri"/>
          <w:kern w:val="0"/>
          <w:sz w:val="22"/>
          <w:szCs w:val="22"/>
          <w:lang w:val="en-GB" w:eastAsia="ja-JP"/>
          <w14:ligatures w14:val="none"/>
        </w:rPr>
      </w:pPr>
    </w:p>
    <w:p w14:paraId="6A6B3B84"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In certain instances, a formal documented pledge (i.e. exchange of letters) exists at financial year-end which provides a clear indication from the donor about the transfer of funds for the following financial period. In such cases, revenue recognition is based on the full amount per the binding formal document letter of exchange/commitment when received by UNDP. </w:t>
      </w:r>
    </w:p>
    <w:p w14:paraId="2ED72B2B" w14:textId="77777777" w:rsidR="0007779D" w:rsidRPr="0007779D" w:rsidRDefault="0007779D" w:rsidP="0007779D">
      <w:pPr>
        <w:shd w:val="clear" w:color="auto" w:fill="FFFFFF"/>
        <w:spacing w:after="0" w:line="240" w:lineRule="auto"/>
        <w:ind w:left="720"/>
        <w:contextualSpacing/>
        <w:textAlignment w:val="top"/>
        <w:rPr>
          <w:rFonts w:ascii="Calibri" w:eastAsia="Times New Roman" w:hAnsi="Calibri" w:cs="Calibri"/>
          <w:color w:val="333333"/>
          <w:kern w:val="0"/>
          <w:sz w:val="22"/>
          <w:szCs w:val="22"/>
          <w:lang w:val="en-GB" w:eastAsia="ja-JP"/>
          <w14:ligatures w14:val="none"/>
        </w:rPr>
      </w:pPr>
    </w:p>
    <w:p w14:paraId="0F9FDFE6"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Upload of agreements to UNITY/UNALL</w:t>
      </w:r>
    </w:p>
    <w:p w14:paraId="035D34C7" w14:textId="77777777" w:rsidR="0007779D" w:rsidRPr="0007779D" w:rsidRDefault="0007779D" w:rsidP="0007779D">
      <w:pPr>
        <w:numPr>
          <w:ilvl w:val="0"/>
          <w:numId w:val="3"/>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The signed agreement/letter of exchange must be scanned and uploaded to Unity/UNALL by the UNDP Office for submission to the Global Shared Services Centre (GSSC) </w:t>
      </w:r>
      <w:r w:rsidRPr="0007779D">
        <w:rPr>
          <w:rFonts w:ascii="Calibri" w:eastAsia="MS Mincho" w:hAnsi="Calibri" w:cs="Calibri"/>
          <w:b/>
          <w:bCs/>
          <w:kern w:val="0"/>
          <w:sz w:val="22"/>
          <w:szCs w:val="22"/>
          <w:lang w:val="en-GB" w:eastAsia="ja-JP"/>
          <w14:ligatures w14:val="none"/>
        </w:rPr>
        <w:t>within 1 week</w:t>
      </w:r>
      <w:r w:rsidRPr="0007779D">
        <w:rPr>
          <w:rFonts w:ascii="Calibri" w:eastAsia="MS Mincho" w:hAnsi="Calibri" w:cs="Calibri"/>
          <w:kern w:val="0"/>
          <w:sz w:val="22"/>
          <w:szCs w:val="22"/>
          <w:lang w:val="en-GB" w:eastAsia="ja-JP"/>
          <w14:ligatures w14:val="none"/>
        </w:rPr>
        <w:t xml:space="preserve"> of the agreement being signed. </w:t>
      </w:r>
    </w:p>
    <w:p w14:paraId="29BE6EF1" w14:textId="77777777" w:rsidR="0007779D" w:rsidRPr="0007779D" w:rsidRDefault="0007779D" w:rsidP="0007779D">
      <w:pPr>
        <w:numPr>
          <w:ilvl w:val="0"/>
          <w:numId w:val="3"/>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Times New Roman" w:hAnsi="Calibri" w:cs="Calibri"/>
          <w:color w:val="343A41"/>
          <w:kern w:val="0"/>
          <w:sz w:val="22"/>
          <w:szCs w:val="22"/>
          <w:lang w:eastAsia="ja-JP"/>
          <w14:ligatures w14:val="none"/>
        </w:rPr>
        <w:t xml:space="preserve">At the end of every year, the Head of Office will be required to certify in the annual representation that all signed agreements/amendments to agreements have been submitted to GSSC in compliance with this policy prior to the closure of the financial ledgers. </w:t>
      </w:r>
      <w:r w:rsidRPr="0007779D">
        <w:rPr>
          <w:rFonts w:ascii="Calibri" w:eastAsia="MS Mincho" w:hAnsi="Calibri" w:cs="Calibri"/>
          <w:color w:val="343A41"/>
          <w:kern w:val="0"/>
          <w:sz w:val="22"/>
          <w:szCs w:val="22"/>
          <w:lang w:eastAsia="ja-JP"/>
          <w14:ligatures w14:val="none"/>
        </w:rPr>
        <w:t>This will help ensure that UNDP revenue is captured in a timely manner as any late submission of these documents poses a significant financial and audit risk as revenue will not be reported accurately in the UNDP financial statements, including quarterly financial statements.</w:t>
      </w:r>
    </w:p>
    <w:p w14:paraId="09B2D352" w14:textId="77777777" w:rsidR="0007779D" w:rsidRPr="0007779D" w:rsidRDefault="0007779D" w:rsidP="0007779D">
      <w:pPr>
        <w:shd w:val="clear" w:color="auto" w:fill="FFFFFF"/>
        <w:spacing w:after="0" w:line="240" w:lineRule="auto"/>
        <w:jc w:val="both"/>
        <w:textAlignment w:val="top"/>
        <w:rPr>
          <w:rFonts w:ascii="Calibri" w:eastAsia="Times New Roman" w:hAnsi="Calibri" w:cs="Calibri"/>
          <w:color w:val="333333"/>
          <w:kern w:val="0"/>
          <w:sz w:val="22"/>
          <w:szCs w:val="22"/>
          <w:lang w:val="en-GB" w:eastAsia="ja-JP"/>
          <w14:ligatures w14:val="none"/>
        </w:rPr>
      </w:pPr>
    </w:p>
    <w:p w14:paraId="2C619402"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The Global Shared Service Centre (GSSC):</w:t>
      </w:r>
    </w:p>
    <w:p w14:paraId="3677D271" w14:textId="77777777" w:rsidR="0007779D" w:rsidRPr="0007779D" w:rsidRDefault="0007779D" w:rsidP="0007779D">
      <w:pPr>
        <w:numPr>
          <w:ilvl w:val="0"/>
          <w:numId w:val="4"/>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The GSSC is responsible for recording all voluntary contributions for both core and non-core contributions.   </w:t>
      </w:r>
    </w:p>
    <w:p w14:paraId="2DD0F7FE" w14:textId="77777777" w:rsidR="0007779D" w:rsidRPr="0007779D" w:rsidRDefault="0007779D" w:rsidP="0007779D">
      <w:pPr>
        <w:numPr>
          <w:ilvl w:val="0"/>
          <w:numId w:val="4"/>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UNDP Offices should submit the signed agreement and amendments to legal agreements to GSSC via Unity/UNALL, </w:t>
      </w:r>
      <w:r w:rsidRPr="0007779D">
        <w:rPr>
          <w:rFonts w:ascii="Calibri" w:eastAsia="MS Mincho" w:hAnsi="Calibri" w:cs="Calibri"/>
          <w:b/>
          <w:bCs/>
          <w:kern w:val="0"/>
          <w:sz w:val="22"/>
          <w:szCs w:val="22"/>
          <w:lang w:val="en-GB" w:eastAsia="ja-JP"/>
          <w14:ligatures w14:val="none"/>
        </w:rPr>
        <w:t>within 1 week of signature</w:t>
      </w:r>
      <w:r w:rsidRPr="0007779D">
        <w:rPr>
          <w:rFonts w:ascii="Calibri" w:eastAsia="MS Mincho" w:hAnsi="Calibri" w:cs="Calibri"/>
          <w:kern w:val="0"/>
          <w:sz w:val="22"/>
          <w:szCs w:val="22"/>
          <w:lang w:val="en-GB" w:eastAsia="ja-JP"/>
          <w14:ligatures w14:val="none"/>
        </w:rPr>
        <w:t>.</w:t>
      </w:r>
    </w:p>
    <w:p w14:paraId="44C694EE" w14:textId="77777777" w:rsidR="0007779D" w:rsidRPr="0007779D" w:rsidRDefault="0007779D" w:rsidP="0007779D">
      <w:pPr>
        <w:spacing w:line="259" w:lineRule="auto"/>
        <w:ind w:left="720"/>
        <w:contextualSpacing/>
        <w:rPr>
          <w:rFonts w:ascii="Calibri" w:eastAsia="MS Mincho" w:hAnsi="Calibri" w:cs="Calibri"/>
          <w:kern w:val="0"/>
          <w:sz w:val="22"/>
          <w:szCs w:val="22"/>
          <w:lang w:val="en-GB" w:eastAsia="ja-JP"/>
          <w14:ligatures w14:val="none"/>
        </w:rPr>
      </w:pPr>
    </w:p>
    <w:p w14:paraId="114C3725"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The Contract Management Module:</w:t>
      </w:r>
    </w:p>
    <w:p w14:paraId="33EC4143" w14:textId="77777777" w:rsidR="0007779D" w:rsidRPr="0007779D" w:rsidRDefault="0007779D" w:rsidP="0007779D">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The Contract Management Module in Quantum will be used for the recording of contributions. Information will be entered relating to the agreement and the necessary accounting information to ensure that revenue is recorded in the General Ledger and reflected correctly in the accounts. The system is set up to ensure that all IPSAS conditions relating to agreements have been identified by the GSSC and appropriately entered.   </w:t>
      </w:r>
    </w:p>
    <w:p w14:paraId="0990715F" w14:textId="77777777" w:rsidR="0007779D" w:rsidRPr="0007779D" w:rsidRDefault="0007779D" w:rsidP="0007779D">
      <w:pPr>
        <w:numPr>
          <w:ilvl w:val="0"/>
          <w:numId w:val="5"/>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Key information to be entered in Contract Management Module by the GSSC will be as follows:   </w:t>
      </w:r>
    </w:p>
    <w:p w14:paraId="055A0EAD" w14:textId="77777777" w:rsidR="0007779D" w:rsidRPr="0007779D" w:rsidRDefault="0007779D" w:rsidP="0007779D">
      <w:pPr>
        <w:shd w:val="clear" w:color="auto" w:fill="FFFFFF"/>
        <w:spacing w:after="0" w:line="240" w:lineRule="auto"/>
        <w:ind w:left="720"/>
        <w:jc w:val="both"/>
        <w:rPr>
          <w:rFonts w:ascii="Calibri" w:eastAsia="MS Mincho" w:hAnsi="Calibri" w:cs="Calibri"/>
          <w:kern w:val="0"/>
          <w:sz w:val="22"/>
          <w:szCs w:val="22"/>
          <w:lang w:val="en-GB" w:eastAsia="ja-JP"/>
          <w14:ligatures w14:val="none"/>
        </w:rPr>
      </w:pPr>
    </w:p>
    <w:tbl>
      <w:tblPr>
        <w:tblStyle w:val="TableGrid0"/>
        <w:tblW w:w="9266" w:type="dxa"/>
        <w:tblInd w:w="85" w:type="dxa"/>
        <w:tblLook w:val="04A0" w:firstRow="1" w:lastRow="0" w:firstColumn="1" w:lastColumn="0" w:noHBand="0" w:noVBand="1"/>
      </w:tblPr>
      <w:tblGrid>
        <w:gridCol w:w="3596"/>
        <w:gridCol w:w="5670"/>
      </w:tblGrid>
      <w:tr w:rsidR="0007779D" w:rsidRPr="0007779D" w14:paraId="53EF96B7" w14:textId="77777777" w:rsidTr="004C49CC">
        <w:trPr>
          <w:trHeight w:val="591"/>
        </w:trPr>
        <w:tc>
          <w:tcPr>
            <w:tcW w:w="9266" w:type="dxa"/>
            <w:gridSpan w:val="2"/>
            <w:vAlign w:val="center"/>
          </w:tcPr>
          <w:p w14:paraId="6AF1A90F" w14:textId="77777777" w:rsidR="0007779D" w:rsidRPr="0007779D" w:rsidRDefault="0007779D" w:rsidP="0007779D">
            <w:pPr>
              <w:spacing w:line="259" w:lineRule="auto"/>
              <w:rPr>
                <w:rFonts w:ascii="Calibri" w:hAnsi="Calibri" w:cs="Calibri"/>
                <w:b/>
                <w:bCs/>
                <w:lang w:val="en-GB"/>
              </w:rPr>
            </w:pPr>
            <w:r w:rsidRPr="0007779D">
              <w:rPr>
                <w:rFonts w:ascii="Calibri" w:hAnsi="Calibri" w:cs="Calibri"/>
                <w:b/>
                <w:bCs/>
                <w:lang w:val="en-GB"/>
              </w:rPr>
              <w:t>Contract Management Information to be entered</w:t>
            </w:r>
          </w:p>
        </w:tc>
      </w:tr>
      <w:tr w:rsidR="0007779D" w:rsidRPr="0007779D" w14:paraId="44F70F0A" w14:textId="77777777" w:rsidTr="004C49CC">
        <w:trPr>
          <w:trHeight w:val="288"/>
        </w:trPr>
        <w:tc>
          <w:tcPr>
            <w:tcW w:w="3596" w:type="dxa"/>
            <w:vAlign w:val="center"/>
          </w:tcPr>
          <w:p w14:paraId="2975C479" w14:textId="77777777" w:rsidR="0007779D" w:rsidRPr="0007779D" w:rsidRDefault="0007779D" w:rsidP="0007779D">
            <w:pPr>
              <w:spacing w:line="259" w:lineRule="auto"/>
              <w:rPr>
                <w:rFonts w:ascii="Calibri" w:hAnsi="Calibri" w:cs="Calibri"/>
                <w:lang w:val="en-GB"/>
              </w:rPr>
            </w:pPr>
            <w:r w:rsidRPr="0007779D">
              <w:rPr>
                <w:rFonts w:ascii="Calibri" w:hAnsi="Calibri" w:cs="Calibri"/>
                <w:lang w:val="en-GB"/>
              </w:rPr>
              <w:t>Overview</w:t>
            </w:r>
          </w:p>
        </w:tc>
        <w:tc>
          <w:tcPr>
            <w:tcW w:w="5670" w:type="dxa"/>
            <w:vAlign w:val="center"/>
          </w:tcPr>
          <w:p w14:paraId="25FF0F34" w14:textId="77777777" w:rsidR="0007779D" w:rsidRPr="0007779D" w:rsidRDefault="0007779D" w:rsidP="0007779D">
            <w:pPr>
              <w:spacing w:line="259" w:lineRule="auto"/>
              <w:rPr>
                <w:rFonts w:ascii="Calibri" w:hAnsi="Calibri" w:cs="Calibri"/>
                <w:lang w:val="en-GB"/>
              </w:rPr>
            </w:pPr>
            <w:r w:rsidRPr="0007779D">
              <w:rPr>
                <w:rFonts w:ascii="Calibri" w:hAnsi="Calibri" w:cs="Calibri"/>
                <w:lang w:val="en-GB"/>
              </w:rPr>
              <w:t>Includes all the general information relating to the agreement</w:t>
            </w:r>
          </w:p>
        </w:tc>
      </w:tr>
      <w:tr w:rsidR="0007779D" w:rsidRPr="0007779D" w14:paraId="34995490" w14:textId="77777777" w:rsidTr="004C49CC">
        <w:trPr>
          <w:trHeight w:val="288"/>
        </w:trPr>
        <w:tc>
          <w:tcPr>
            <w:tcW w:w="3596" w:type="dxa"/>
            <w:vAlign w:val="center"/>
          </w:tcPr>
          <w:p w14:paraId="5508C19B" w14:textId="77777777" w:rsidR="0007779D" w:rsidRPr="0007779D" w:rsidRDefault="0007779D" w:rsidP="0007779D">
            <w:pPr>
              <w:shd w:val="clear" w:color="auto" w:fill="FFFFFF"/>
              <w:ind w:left="12" w:hanging="12"/>
              <w:textAlignment w:val="top"/>
              <w:rPr>
                <w:rFonts w:ascii="Calibri" w:hAnsi="Calibri" w:cs="Calibri"/>
                <w:lang w:val="en-GB"/>
              </w:rPr>
            </w:pPr>
            <w:r w:rsidRPr="0007779D">
              <w:rPr>
                <w:rFonts w:ascii="Calibri" w:hAnsi="Calibri" w:cs="Calibri"/>
                <w:lang w:val="en-GB"/>
              </w:rPr>
              <w:lastRenderedPageBreak/>
              <w:t>Accounting</w:t>
            </w:r>
          </w:p>
          <w:p w14:paraId="4BF84261" w14:textId="77777777" w:rsidR="0007779D" w:rsidRPr="0007779D" w:rsidRDefault="0007779D" w:rsidP="0007779D">
            <w:pPr>
              <w:shd w:val="clear" w:color="auto" w:fill="FFFFFF"/>
              <w:ind w:left="12" w:hanging="12"/>
              <w:textAlignment w:val="top"/>
              <w:rPr>
                <w:rFonts w:ascii="Calibri" w:hAnsi="Calibri" w:cs="Calibri"/>
                <w:lang w:val="en-GB"/>
              </w:rPr>
            </w:pPr>
            <w:r w:rsidRPr="0007779D">
              <w:rPr>
                <w:rFonts w:ascii="Calibri" w:hAnsi="Calibri" w:cs="Calibri"/>
                <w:lang w:val="en-GB"/>
              </w:rPr>
              <w:t>Distribution</w:t>
            </w:r>
          </w:p>
        </w:tc>
        <w:tc>
          <w:tcPr>
            <w:tcW w:w="5670" w:type="dxa"/>
            <w:vAlign w:val="center"/>
          </w:tcPr>
          <w:p w14:paraId="0E1772BC" w14:textId="77777777" w:rsidR="0007779D" w:rsidRPr="0007779D" w:rsidRDefault="0007779D" w:rsidP="0007779D">
            <w:pPr>
              <w:shd w:val="clear" w:color="auto" w:fill="FFFFFF"/>
              <w:ind w:left="12" w:hanging="12"/>
              <w:textAlignment w:val="top"/>
              <w:rPr>
                <w:rFonts w:ascii="Calibri" w:hAnsi="Calibri" w:cs="Calibri"/>
                <w:lang w:val="en-GB"/>
              </w:rPr>
            </w:pPr>
            <w:r w:rsidRPr="0007779D">
              <w:rPr>
                <w:rFonts w:ascii="Calibri" w:hAnsi="Calibri" w:cs="Calibri"/>
                <w:lang w:val="en-GB"/>
              </w:rPr>
              <w:t>This is the full chart of account information relating to the revenue and accounts receivable provided by the UNDP Office to GSSC.</w:t>
            </w:r>
          </w:p>
        </w:tc>
      </w:tr>
      <w:tr w:rsidR="0007779D" w:rsidRPr="0007779D" w14:paraId="0FED79BE" w14:textId="77777777" w:rsidTr="004C49CC">
        <w:trPr>
          <w:trHeight w:val="288"/>
        </w:trPr>
        <w:tc>
          <w:tcPr>
            <w:tcW w:w="3596" w:type="dxa"/>
            <w:vAlign w:val="center"/>
          </w:tcPr>
          <w:p w14:paraId="794DEFFA" w14:textId="77777777" w:rsidR="0007779D" w:rsidRPr="0007779D" w:rsidRDefault="0007779D" w:rsidP="0007779D">
            <w:pPr>
              <w:spacing w:line="259" w:lineRule="auto"/>
              <w:rPr>
                <w:rFonts w:ascii="Calibri" w:hAnsi="Calibri" w:cs="Calibri"/>
                <w:lang w:val="en-GB"/>
              </w:rPr>
            </w:pPr>
            <w:r w:rsidRPr="0007779D">
              <w:rPr>
                <w:rFonts w:ascii="Calibri" w:hAnsi="Calibri" w:cs="Calibri"/>
                <w:lang w:val="en-GB"/>
              </w:rPr>
              <w:t>Agreement date</w:t>
            </w:r>
          </w:p>
        </w:tc>
        <w:tc>
          <w:tcPr>
            <w:tcW w:w="5670" w:type="dxa"/>
            <w:vAlign w:val="center"/>
          </w:tcPr>
          <w:p w14:paraId="3DFC3797" w14:textId="77777777" w:rsidR="0007779D" w:rsidRPr="0007779D" w:rsidRDefault="0007779D" w:rsidP="0007779D">
            <w:pPr>
              <w:shd w:val="clear" w:color="auto" w:fill="FFFFFF"/>
              <w:ind w:left="12" w:hanging="12"/>
              <w:textAlignment w:val="top"/>
              <w:rPr>
                <w:rFonts w:ascii="Calibri" w:eastAsia="Times New Roman" w:hAnsi="Calibri" w:cs="Calibri"/>
                <w:color w:val="333333"/>
                <w:lang w:val="en-GB"/>
              </w:rPr>
            </w:pPr>
            <w:r w:rsidRPr="0007779D">
              <w:rPr>
                <w:rFonts w:ascii="Calibri" w:eastAsia="Times New Roman" w:hAnsi="Calibri" w:cs="Calibri"/>
                <w:color w:val="333333"/>
                <w:lang w:val="en-GB"/>
              </w:rPr>
              <w:t>​Is the date that the agreement came into effect and is the key trigger that is set-up in the Contract Management Module for revenue recognition. These are dependent on type of agreements and interpretation of relevant IPSAS policy.</w:t>
            </w:r>
          </w:p>
        </w:tc>
      </w:tr>
      <w:tr w:rsidR="0007779D" w:rsidRPr="0007779D" w14:paraId="35928307" w14:textId="77777777" w:rsidTr="004C49CC">
        <w:trPr>
          <w:trHeight w:val="840"/>
        </w:trPr>
        <w:tc>
          <w:tcPr>
            <w:tcW w:w="3596" w:type="dxa"/>
            <w:vAlign w:val="center"/>
          </w:tcPr>
          <w:p w14:paraId="2464385B" w14:textId="77777777" w:rsidR="0007779D" w:rsidRPr="0007779D" w:rsidRDefault="0007779D" w:rsidP="0007779D">
            <w:pPr>
              <w:spacing w:line="259" w:lineRule="auto"/>
              <w:rPr>
                <w:rFonts w:ascii="Calibri" w:hAnsi="Calibri" w:cs="Calibri"/>
                <w:lang w:val="en-GB"/>
              </w:rPr>
            </w:pPr>
            <w:r w:rsidRPr="0007779D">
              <w:rPr>
                <w:rFonts w:ascii="Calibri" w:hAnsi="Calibri" w:cs="Calibri"/>
                <w:lang w:val="en-GB"/>
              </w:rPr>
              <w:t>Invoice event</w:t>
            </w:r>
          </w:p>
        </w:tc>
        <w:tc>
          <w:tcPr>
            <w:tcW w:w="5670" w:type="dxa"/>
            <w:vAlign w:val="center"/>
          </w:tcPr>
          <w:p w14:paraId="33D2B5BB" w14:textId="77777777" w:rsidR="0007779D" w:rsidRPr="0007779D" w:rsidRDefault="0007779D" w:rsidP="0007779D">
            <w:pPr>
              <w:spacing w:line="259" w:lineRule="auto"/>
              <w:rPr>
                <w:rFonts w:ascii="Calibri" w:hAnsi="Calibri" w:cs="Calibri"/>
                <w:lang w:val="en-GB"/>
              </w:rPr>
            </w:pPr>
            <w:r w:rsidRPr="0007779D">
              <w:rPr>
                <w:rFonts w:ascii="Calibri" w:hAnsi="Calibri" w:cs="Calibri"/>
                <w:lang w:val="en-GB"/>
              </w:rPr>
              <w:t>The invoice event includes the event type that needs to be achieved to create the billing and generate the Accounts Receivable entries in the General Ledger.</w:t>
            </w:r>
          </w:p>
        </w:tc>
      </w:tr>
      <w:tr w:rsidR="0007779D" w:rsidRPr="0007779D" w14:paraId="1D7EAEF9" w14:textId="77777777" w:rsidTr="004C49CC">
        <w:trPr>
          <w:trHeight w:val="784"/>
        </w:trPr>
        <w:tc>
          <w:tcPr>
            <w:tcW w:w="3596" w:type="dxa"/>
            <w:vAlign w:val="center"/>
          </w:tcPr>
          <w:p w14:paraId="50B970F1" w14:textId="77777777" w:rsidR="0007779D" w:rsidRPr="0007779D" w:rsidRDefault="0007779D" w:rsidP="0007779D">
            <w:pPr>
              <w:spacing w:line="259" w:lineRule="auto"/>
              <w:rPr>
                <w:rFonts w:ascii="Calibri" w:hAnsi="Calibri" w:cs="Calibri"/>
                <w:lang w:val="en-GB"/>
              </w:rPr>
            </w:pPr>
            <w:r w:rsidRPr="0007779D">
              <w:rPr>
                <w:rFonts w:ascii="Calibri" w:hAnsi="Calibri" w:cs="Calibri"/>
                <w:lang w:val="en-GB"/>
              </w:rPr>
              <w:t>Revenue event</w:t>
            </w:r>
          </w:p>
        </w:tc>
        <w:tc>
          <w:tcPr>
            <w:tcW w:w="5670" w:type="dxa"/>
            <w:vAlign w:val="center"/>
          </w:tcPr>
          <w:p w14:paraId="752EBFBD" w14:textId="77777777" w:rsidR="0007779D" w:rsidRPr="0007779D" w:rsidRDefault="0007779D" w:rsidP="0007779D">
            <w:pPr>
              <w:spacing w:line="259" w:lineRule="auto"/>
              <w:rPr>
                <w:rFonts w:ascii="Calibri" w:hAnsi="Calibri" w:cs="Calibri"/>
                <w:lang w:val="en-GB"/>
              </w:rPr>
            </w:pPr>
            <w:r w:rsidRPr="0007779D">
              <w:rPr>
                <w:rFonts w:ascii="Calibri" w:hAnsi="Calibri" w:cs="Calibri"/>
                <w:lang w:val="en-GB"/>
              </w:rPr>
              <w:t xml:space="preserve">The revenue </w:t>
            </w:r>
            <w:proofErr w:type="gramStart"/>
            <w:r w:rsidRPr="0007779D">
              <w:rPr>
                <w:rFonts w:ascii="Calibri" w:hAnsi="Calibri" w:cs="Calibri"/>
                <w:lang w:val="en-GB"/>
              </w:rPr>
              <w:t>event  will</w:t>
            </w:r>
            <w:proofErr w:type="gramEnd"/>
            <w:r w:rsidRPr="0007779D">
              <w:rPr>
                <w:rFonts w:ascii="Calibri" w:hAnsi="Calibri" w:cs="Calibri"/>
                <w:lang w:val="en-GB"/>
              </w:rPr>
              <w:t xml:space="preserve"> be created upon signing the relevant contribution agreement as revenue entries are generated upon signature of the contribution agreement.</w:t>
            </w:r>
          </w:p>
        </w:tc>
      </w:tr>
      <w:tr w:rsidR="0007779D" w:rsidRPr="0007779D" w14:paraId="67BC0827" w14:textId="77777777" w:rsidTr="004C49CC">
        <w:trPr>
          <w:trHeight w:val="288"/>
        </w:trPr>
        <w:tc>
          <w:tcPr>
            <w:tcW w:w="3596" w:type="dxa"/>
            <w:vAlign w:val="center"/>
          </w:tcPr>
          <w:p w14:paraId="200B3CEF" w14:textId="77777777" w:rsidR="0007779D" w:rsidRPr="0007779D" w:rsidRDefault="0007779D" w:rsidP="0007779D">
            <w:pPr>
              <w:spacing w:line="259" w:lineRule="auto"/>
              <w:rPr>
                <w:rFonts w:ascii="Calibri" w:hAnsi="Calibri" w:cs="Calibri"/>
                <w:lang w:val="en-GB"/>
              </w:rPr>
            </w:pPr>
            <w:r w:rsidRPr="0007779D">
              <w:rPr>
                <w:rFonts w:ascii="Calibri" w:hAnsi="Calibri" w:cs="Calibri"/>
                <w:lang w:val="en-GB"/>
              </w:rPr>
              <w:t>Amendments</w:t>
            </w:r>
          </w:p>
        </w:tc>
        <w:tc>
          <w:tcPr>
            <w:tcW w:w="5670" w:type="dxa"/>
            <w:vAlign w:val="center"/>
          </w:tcPr>
          <w:p w14:paraId="6A2D5252" w14:textId="77777777" w:rsidR="0007779D" w:rsidRPr="0007779D" w:rsidRDefault="0007779D" w:rsidP="0007779D">
            <w:pPr>
              <w:spacing w:line="259" w:lineRule="auto"/>
              <w:rPr>
                <w:rFonts w:ascii="Calibri" w:hAnsi="Calibri" w:cs="Calibri"/>
                <w:lang w:val="en-GB"/>
              </w:rPr>
            </w:pPr>
            <w:r w:rsidRPr="0007779D">
              <w:rPr>
                <w:rFonts w:ascii="Calibri" w:hAnsi="Calibri" w:cs="Calibri"/>
                <w:lang w:val="en-GB"/>
              </w:rPr>
              <w:t>Amendments can be made to original contracts that have already been entered in the Contract Management Module using the amend function.</w:t>
            </w:r>
          </w:p>
        </w:tc>
      </w:tr>
    </w:tbl>
    <w:p w14:paraId="33919D61" w14:textId="77777777" w:rsidR="0007779D" w:rsidRPr="0007779D" w:rsidRDefault="0007779D" w:rsidP="0007779D">
      <w:pPr>
        <w:spacing w:line="259" w:lineRule="auto"/>
        <w:rPr>
          <w:rFonts w:ascii="Calibri" w:eastAsia="MS Mincho" w:hAnsi="Calibri" w:cs="Calibri"/>
          <w:i/>
          <w:iCs/>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 </w:t>
      </w:r>
      <w:r w:rsidRPr="0007779D">
        <w:rPr>
          <w:rFonts w:ascii="Calibri" w:eastAsia="MS Mincho" w:hAnsi="Calibri" w:cs="Calibri"/>
          <w:i/>
          <w:iCs/>
          <w:kern w:val="0"/>
          <w:sz w:val="22"/>
          <w:szCs w:val="22"/>
          <w:lang w:val="en-GB" w:eastAsia="ja-JP"/>
          <w14:ligatures w14:val="none"/>
        </w:rPr>
        <w:t xml:space="preserve">Note: UNDP Offices should submit their signed agreements and/or amendments to legal agreements to the GSSC via Unity/UNALL, </w:t>
      </w:r>
      <w:r w:rsidRPr="0007779D">
        <w:rPr>
          <w:rFonts w:ascii="Calibri" w:eastAsia="MS Mincho" w:hAnsi="Calibri" w:cs="Calibri"/>
          <w:b/>
          <w:bCs/>
          <w:i/>
          <w:iCs/>
          <w:kern w:val="0"/>
          <w:sz w:val="22"/>
          <w:szCs w:val="22"/>
          <w:lang w:val="en-GB" w:eastAsia="ja-JP"/>
          <w14:ligatures w14:val="none"/>
        </w:rPr>
        <w:t>within 1 week of signature</w:t>
      </w:r>
      <w:r w:rsidRPr="0007779D">
        <w:rPr>
          <w:rFonts w:ascii="Calibri" w:eastAsia="MS Mincho" w:hAnsi="Calibri" w:cs="Calibri"/>
          <w:i/>
          <w:iCs/>
          <w:kern w:val="0"/>
          <w:sz w:val="22"/>
          <w:szCs w:val="22"/>
          <w:lang w:val="en-GB" w:eastAsia="ja-JP"/>
          <w14:ligatures w14:val="none"/>
        </w:rPr>
        <w:t>.</w:t>
      </w:r>
    </w:p>
    <w:p w14:paraId="744F6A93"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Application of receipts:   </w:t>
      </w:r>
    </w:p>
    <w:p w14:paraId="25B88F87" w14:textId="77777777" w:rsidR="0007779D" w:rsidRPr="0007779D" w:rsidRDefault="0007779D" w:rsidP="0007779D">
      <w:pPr>
        <w:numPr>
          <w:ilvl w:val="0"/>
          <w:numId w:val="7"/>
        </w:numPr>
        <w:shd w:val="clear" w:color="auto" w:fill="FFFFFF"/>
        <w:spacing w:after="0" w:line="240" w:lineRule="auto"/>
        <w:ind w:hanging="513"/>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Application of funds against accounts receivable is handled by the GSSC for both receipts received in HQ and local offices’ bank accounts. The GSSC will review the unapplied receipts report and regularly check the unit’s email inbox to identify cash received that needs to be applied.   </w:t>
      </w:r>
    </w:p>
    <w:p w14:paraId="3466E6EA" w14:textId="77777777" w:rsidR="0007779D" w:rsidRPr="0007779D" w:rsidRDefault="0007779D" w:rsidP="0007779D">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eastAsia="ja-JP"/>
          <w14:ligatures w14:val="none"/>
        </w:rPr>
      </w:pPr>
    </w:p>
    <w:p w14:paraId="6AB573AD"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HQ Bank accounts:   </w:t>
      </w:r>
    </w:p>
    <w:p w14:paraId="4E23976D" w14:textId="77777777" w:rsidR="0007779D" w:rsidRPr="0007779D" w:rsidRDefault="0007779D" w:rsidP="0007779D">
      <w:pPr>
        <w:numPr>
          <w:ilvl w:val="0"/>
          <w:numId w:val="18"/>
        </w:numPr>
        <w:shd w:val="clear" w:color="auto" w:fill="FFFFFF"/>
        <w:spacing w:after="0" w:line="240" w:lineRule="auto"/>
        <w:ind w:hanging="513"/>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The GSSC will review the unapplied receipts report and check if adequate information is provided in the remittance advice to identify the funds deposited. It is the responsibility of the respective CO or Business Unit to communicate the deposit/s via UNALL. The respective CO or Business Unit should follow-up with the GSSC on whether the receipt/s has/</w:t>
      </w:r>
      <w:proofErr w:type="spellStart"/>
      <w:r w:rsidRPr="0007779D">
        <w:rPr>
          <w:rFonts w:ascii="Calibri" w:eastAsia="MS Mincho" w:hAnsi="Calibri" w:cs="Calibri"/>
          <w:kern w:val="0"/>
          <w:sz w:val="22"/>
          <w:szCs w:val="22"/>
          <w:lang w:val="en-GB" w:eastAsia="ja-JP"/>
          <w14:ligatures w14:val="none"/>
        </w:rPr>
        <w:t>ve</w:t>
      </w:r>
      <w:proofErr w:type="spellEnd"/>
      <w:r w:rsidRPr="0007779D">
        <w:rPr>
          <w:rFonts w:ascii="Calibri" w:eastAsia="MS Mincho" w:hAnsi="Calibri" w:cs="Calibri"/>
          <w:kern w:val="0"/>
          <w:sz w:val="22"/>
          <w:szCs w:val="22"/>
          <w:lang w:val="en-GB" w:eastAsia="ja-JP"/>
          <w14:ligatures w14:val="none"/>
        </w:rPr>
        <w:t xml:space="preserve"> been received.  It is the responsibility of the relevant CO or Business Unit to upload all receipt information to the portal even if funds are received at HQ. The GSSC will apply the funds against the accounts receivable. </w:t>
      </w:r>
    </w:p>
    <w:p w14:paraId="467519CC" w14:textId="77777777" w:rsidR="0007779D" w:rsidRPr="0007779D" w:rsidRDefault="0007779D" w:rsidP="0007779D">
      <w:pPr>
        <w:numPr>
          <w:ilvl w:val="0"/>
          <w:numId w:val="18"/>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If adequate information is not provided in the remittance advice identifying the funds deposited, GSSC will liaise with programme and finance officers to confirm the intention of these funds and release the relevant event.  </w:t>
      </w:r>
    </w:p>
    <w:p w14:paraId="156B81DA" w14:textId="77777777" w:rsidR="0007779D" w:rsidRPr="0007779D" w:rsidRDefault="0007779D" w:rsidP="0007779D">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eastAsia="ja-JP"/>
          <w14:ligatures w14:val="none"/>
        </w:rPr>
      </w:pPr>
    </w:p>
    <w:p w14:paraId="58613A65" w14:textId="77777777" w:rsidR="0007779D" w:rsidRPr="0007779D" w:rsidRDefault="0007779D" w:rsidP="0007779D">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eastAsia="ja-JP"/>
          <w14:ligatures w14:val="none"/>
        </w:rPr>
      </w:pPr>
    </w:p>
    <w:p w14:paraId="250A295B" w14:textId="77777777" w:rsidR="0007779D" w:rsidRPr="0007779D" w:rsidRDefault="0007779D" w:rsidP="0007779D">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eastAsia="ja-JP"/>
          <w14:ligatures w14:val="none"/>
        </w:rPr>
      </w:pPr>
    </w:p>
    <w:p w14:paraId="11E15AC8"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CO Bank accounts:</w:t>
      </w:r>
    </w:p>
    <w:p w14:paraId="0D647284" w14:textId="77777777" w:rsidR="0007779D" w:rsidRPr="0007779D" w:rsidRDefault="0007779D" w:rsidP="0007779D">
      <w:pPr>
        <w:numPr>
          <w:ilvl w:val="0"/>
          <w:numId w:val="8"/>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The CO finance units will review the unapplied receipts report (for CO bank accounts) and identify all receipts for those contracts entered with event type signature.   </w:t>
      </w:r>
    </w:p>
    <w:p w14:paraId="6189ECD8" w14:textId="77777777" w:rsidR="0007779D" w:rsidRPr="0007779D" w:rsidRDefault="0007779D" w:rsidP="0007779D">
      <w:pPr>
        <w:numPr>
          <w:ilvl w:val="0"/>
          <w:numId w:val="8"/>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The CO finance units will complete a receipt confirmation sheet to be uploaded to UNALL, to enable the GSSC to release the relevant event.  </w:t>
      </w:r>
    </w:p>
    <w:p w14:paraId="035011D5" w14:textId="77777777" w:rsidR="0007779D" w:rsidRPr="0007779D" w:rsidRDefault="0007779D" w:rsidP="0007779D">
      <w:pPr>
        <w:numPr>
          <w:ilvl w:val="0"/>
          <w:numId w:val="8"/>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The GSSC will apply the funds that are received in local bank accounts.</w:t>
      </w:r>
    </w:p>
    <w:p w14:paraId="31C8D96B" w14:textId="77777777" w:rsidR="0007779D" w:rsidRPr="0007779D" w:rsidRDefault="0007779D" w:rsidP="0007779D">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eastAsia="ja-JP"/>
          <w14:ligatures w14:val="none"/>
        </w:rPr>
      </w:pPr>
    </w:p>
    <w:p w14:paraId="0149AAD4"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Foreign currency differences: </w:t>
      </w:r>
    </w:p>
    <w:p w14:paraId="022B400A" w14:textId="77777777" w:rsidR="0007779D" w:rsidRPr="0007779D" w:rsidRDefault="0007779D" w:rsidP="0007779D">
      <w:pPr>
        <w:shd w:val="clear" w:color="auto" w:fill="FFFFFF"/>
        <w:spacing w:after="0" w:line="240" w:lineRule="auto"/>
        <w:ind w:left="720"/>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In certain instances, payments may be received in currencies different from those specified in the signed agreement.  When funds are being applied, this may result in a foreign exchange difference that generates under application. These differences should be adjusted using the invoice adjustment function by the GSSC and documenting the adjustment reason as a write off.  </w:t>
      </w:r>
    </w:p>
    <w:p w14:paraId="50447BE0" w14:textId="77777777" w:rsidR="0007779D" w:rsidRPr="0007779D" w:rsidRDefault="0007779D" w:rsidP="0007779D">
      <w:pPr>
        <w:shd w:val="clear" w:color="auto" w:fill="FFFFFF"/>
        <w:spacing w:after="0" w:line="240" w:lineRule="auto"/>
        <w:jc w:val="both"/>
        <w:textAlignment w:val="top"/>
        <w:rPr>
          <w:rFonts w:ascii="Calibri" w:eastAsia="MS Mincho" w:hAnsi="Calibri" w:cs="Calibri"/>
          <w:kern w:val="0"/>
          <w:sz w:val="22"/>
          <w:szCs w:val="22"/>
          <w:lang w:val="en-GB" w:eastAsia="ja-JP"/>
          <w14:ligatures w14:val="none"/>
        </w:rPr>
      </w:pPr>
    </w:p>
    <w:p w14:paraId="6E512736"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Amendments to Agreements:   </w:t>
      </w:r>
    </w:p>
    <w:p w14:paraId="3A5A2440" w14:textId="77777777" w:rsidR="0007779D" w:rsidRPr="0007779D" w:rsidRDefault="0007779D" w:rsidP="0007779D">
      <w:pPr>
        <w:numPr>
          <w:ilvl w:val="0"/>
          <w:numId w:val="10"/>
        </w:numPr>
        <w:shd w:val="clear" w:color="auto" w:fill="FFFFFF"/>
        <w:spacing w:after="0" w:line="240" w:lineRule="auto"/>
        <w:ind w:left="851" w:hanging="284"/>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In the case when an agreement has been amended with the approval of the donor (e.g. change of agreement amount, change of period), such amendment needs to be communicated to GSSC staff via Unity/UNALL </w:t>
      </w:r>
      <w:r w:rsidRPr="0007779D">
        <w:rPr>
          <w:rFonts w:ascii="Calibri" w:eastAsia="MS Mincho" w:hAnsi="Calibri" w:cs="Calibri"/>
          <w:b/>
          <w:bCs/>
          <w:kern w:val="0"/>
          <w:sz w:val="22"/>
          <w:szCs w:val="22"/>
          <w:lang w:val="en-GB" w:eastAsia="ja-JP"/>
          <w14:ligatures w14:val="none"/>
        </w:rPr>
        <w:t>within 1 week</w:t>
      </w:r>
      <w:r w:rsidRPr="0007779D">
        <w:rPr>
          <w:rFonts w:ascii="Calibri" w:eastAsia="MS Mincho" w:hAnsi="Calibri" w:cs="Calibri"/>
          <w:kern w:val="0"/>
          <w:sz w:val="22"/>
          <w:szCs w:val="22"/>
          <w:lang w:val="en-GB" w:eastAsia="ja-JP"/>
          <w14:ligatures w14:val="none"/>
        </w:rPr>
        <w:t xml:space="preserve">. The GSSC will then reflect these amendment(s) in </w:t>
      </w:r>
      <w:proofErr w:type="gramStart"/>
      <w:r w:rsidRPr="0007779D">
        <w:rPr>
          <w:rFonts w:ascii="Calibri" w:eastAsia="MS Mincho" w:hAnsi="Calibri" w:cs="Calibri"/>
          <w:kern w:val="0"/>
          <w:sz w:val="22"/>
          <w:szCs w:val="22"/>
          <w:lang w:val="en-GB" w:eastAsia="ja-JP"/>
          <w14:ligatures w14:val="none"/>
        </w:rPr>
        <w:t>the  Contract</w:t>
      </w:r>
      <w:proofErr w:type="gramEnd"/>
      <w:r w:rsidRPr="0007779D">
        <w:rPr>
          <w:rFonts w:ascii="Calibri" w:eastAsia="MS Mincho" w:hAnsi="Calibri" w:cs="Calibri"/>
          <w:kern w:val="0"/>
          <w:sz w:val="22"/>
          <w:szCs w:val="22"/>
          <w:lang w:val="en-GB" w:eastAsia="ja-JP"/>
          <w14:ligatures w14:val="none"/>
        </w:rPr>
        <w:t xml:space="preserve"> Management Module. A copy of the amended agreement should be uploaded to Unity/UNALL for the GSSC to process the amendment. All hardcopies of amendments should be stored and centrally filed by COs/UNDP Units.   </w:t>
      </w:r>
    </w:p>
    <w:p w14:paraId="2F2D78CD" w14:textId="77777777" w:rsidR="0007779D" w:rsidRPr="0007779D" w:rsidRDefault="0007779D" w:rsidP="0007779D">
      <w:pPr>
        <w:numPr>
          <w:ilvl w:val="0"/>
          <w:numId w:val="10"/>
        </w:numPr>
        <w:shd w:val="clear" w:color="auto" w:fill="FFFFFF"/>
        <w:spacing w:after="0" w:line="240" w:lineRule="auto"/>
        <w:ind w:left="851" w:hanging="284"/>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UNDP Offices should submit the updated changes to Unity/UNALL to inform GSSC staff and provide relevant information on a timely basis on the following:   </w:t>
      </w:r>
    </w:p>
    <w:p w14:paraId="7E802A3C" w14:textId="77777777" w:rsidR="0007779D" w:rsidRPr="0007779D" w:rsidRDefault="0007779D" w:rsidP="0007779D">
      <w:pPr>
        <w:numPr>
          <w:ilvl w:val="0"/>
          <w:numId w:val="11"/>
        </w:numPr>
        <w:spacing w:line="259" w:lineRule="auto"/>
        <w:ind w:left="1843"/>
        <w:contextualSpacing/>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Amendments, including increase or decrease in contribution amounts</w:t>
      </w:r>
    </w:p>
    <w:p w14:paraId="15E130DE" w14:textId="77777777" w:rsidR="0007779D" w:rsidRPr="0007779D" w:rsidRDefault="0007779D" w:rsidP="0007779D">
      <w:pPr>
        <w:numPr>
          <w:ilvl w:val="0"/>
          <w:numId w:val="11"/>
        </w:numPr>
        <w:spacing w:line="259" w:lineRule="auto"/>
        <w:ind w:left="1843"/>
        <w:contextualSpacing/>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Reversals   </w:t>
      </w:r>
    </w:p>
    <w:p w14:paraId="7B1C6BDE" w14:textId="77777777" w:rsidR="0007779D" w:rsidRPr="0007779D" w:rsidRDefault="0007779D" w:rsidP="0007779D">
      <w:pPr>
        <w:numPr>
          <w:ilvl w:val="0"/>
          <w:numId w:val="11"/>
        </w:numPr>
        <w:spacing w:line="259" w:lineRule="auto"/>
        <w:ind w:left="1843"/>
        <w:contextualSpacing/>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Change of chart of accounts    </w:t>
      </w:r>
    </w:p>
    <w:p w14:paraId="0C631ED6" w14:textId="77777777" w:rsidR="0007779D" w:rsidRPr="0007779D" w:rsidRDefault="0007779D" w:rsidP="0007779D">
      <w:pPr>
        <w:numPr>
          <w:ilvl w:val="0"/>
          <w:numId w:val="11"/>
        </w:numPr>
        <w:spacing w:line="259" w:lineRule="auto"/>
        <w:ind w:left="1843"/>
        <w:contextualSpacing/>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Re-allocation of funds   </w:t>
      </w:r>
    </w:p>
    <w:p w14:paraId="51A29C88" w14:textId="77777777" w:rsidR="0007779D" w:rsidRPr="0007779D" w:rsidRDefault="0007779D" w:rsidP="0007779D">
      <w:pPr>
        <w:numPr>
          <w:ilvl w:val="0"/>
          <w:numId w:val="11"/>
        </w:numPr>
        <w:spacing w:line="259" w:lineRule="auto"/>
        <w:ind w:left="1843"/>
        <w:contextualSpacing/>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Revision of schedule of payments   </w:t>
      </w:r>
    </w:p>
    <w:p w14:paraId="665BEE5D" w14:textId="77777777" w:rsidR="0007779D" w:rsidRPr="0007779D" w:rsidRDefault="0007779D" w:rsidP="0007779D">
      <w:pPr>
        <w:numPr>
          <w:ilvl w:val="0"/>
          <w:numId w:val="10"/>
        </w:numPr>
        <w:shd w:val="clear" w:color="auto" w:fill="FFFFFF"/>
        <w:spacing w:after="0" w:line="240" w:lineRule="auto"/>
        <w:ind w:left="900"/>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In </w:t>
      </w:r>
      <w:proofErr w:type="gramStart"/>
      <w:r w:rsidRPr="0007779D">
        <w:rPr>
          <w:rFonts w:ascii="Calibri" w:eastAsia="MS Mincho" w:hAnsi="Calibri" w:cs="Calibri"/>
          <w:kern w:val="0"/>
          <w:sz w:val="22"/>
          <w:szCs w:val="22"/>
          <w:lang w:val="en-GB" w:eastAsia="ja-JP"/>
          <w14:ligatures w14:val="none"/>
        </w:rPr>
        <w:t>all of</w:t>
      </w:r>
      <w:proofErr w:type="gramEnd"/>
      <w:r w:rsidRPr="0007779D">
        <w:rPr>
          <w:rFonts w:ascii="Calibri" w:eastAsia="MS Mincho" w:hAnsi="Calibri" w:cs="Calibri"/>
          <w:kern w:val="0"/>
          <w:sz w:val="22"/>
          <w:szCs w:val="22"/>
          <w:lang w:val="en-GB" w:eastAsia="ja-JP"/>
          <w14:ligatures w14:val="none"/>
        </w:rPr>
        <w:t xml:space="preserve"> these cases, the original agreement should be accessed and the amendment information, including the relevant supporting documents e.g. signed amendment/communication from the donor, entered/uploaded in Unity/UNALL. The addition of the details of the amendment will trigger a notification to the GSSC staff to process the update </w:t>
      </w:r>
      <w:proofErr w:type="gramStart"/>
      <w:r w:rsidRPr="0007779D">
        <w:rPr>
          <w:rFonts w:ascii="Calibri" w:eastAsia="MS Mincho" w:hAnsi="Calibri" w:cs="Calibri"/>
          <w:kern w:val="0"/>
          <w:sz w:val="22"/>
          <w:szCs w:val="22"/>
          <w:lang w:val="en-GB" w:eastAsia="ja-JP"/>
          <w14:ligatures w14:val="none"/>
        </w:rPr>
        <w:t>and,</w:t>
      </w:r>
      <w:proofErr w:type="gramEnd"/>
      <w:r w:rsidRPr="0007779D">
        <w:rPr>
          <w:rFonts w:ascii="Calibri" w:eastAsia="MS Mincho" w:hAnsi="Calibri" w:cs="Calibri"/>
          <w:kern w:val="0"/>
          <w:sz w:val="22"/>
          <w:szCs w:val="22"/>
          <w:lang w:val="en-GB" w:eastAsia="ja-JP"/>
          <w14:ligatures w14:val="none"/>
        </w:rPr>
        <w:t xml:space="preserve"> once completed, a notification to the requestor that the activity is complete.   </w:t>
      </w:r>
    </w:p>
    <w:p w14:paraId="6FD44145" w14:textId="77777777" w:rsidR="0007779D" w:rsidRPr="0007779D" w:rsidRDefault="0007779D" w:rsidP="0007779D">
      <w:pPr>
        <w:shd w:val="clear" w:color="auto" w:fill="FFFFFF"/>
        <w:spacing w:after="0" w:line="240" w:lineRule="auto"/>
        <w:ind w:left="1080"/>
        <w:contextualSpacing/>
        <w:jc w:val="both"/>
        <w:textAlignment w:val="top"/>
        <w:rPr>
          <w:rFonts w:ascii="Calibri" w:eastAsia="MS Mincho" w:hAnsi="Calibri" w:cs="Calibri"/>
          <w:kern w:val="0"/>
          <w:sz w:val="22"/>
          <w:szCs w:val="22"/>
          <w:lang w:val="en-GB" w:eastAsia="ja-JP"/>
          <w14:ligatures w14:val="none"/>
        </w:rPr>
      </w:pPr>
    </w:p>
    <w:p w14:paraId="3CD8EBF4"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Monitoring of Pending and Past Due Events:    </w:t>
      </w:r>
    </w:p>
    <w:p w14:paraId="68E0BB17" w14:textId="77777777" w:rsidR="0007779D" w:rsidRPr="0007779D" w:rsidRDefault="0007779D" w:rsidP="0007779D">
      <w:pPr>
        <w:numPr>
          <w:ilvl w:val="0"/>
          <w:numId w:val="12"/>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UNDP Offices have access to the report of contracts with pending and past due events and should regularly review this report and proactively follow up with donors on events with expired due dates. GSSC will also access the Report of contracts with pending and past due events to review these events for which the due dates have expired and, where an issue is identified, will notify the respective UNDP Office.    </w:t>
      </w:r>
    </w:p>
    <w:p w14:paraId="10765E30" w14:textId="77777777" w:rsidR="0007779D" w:rsidRPr="0007779D" w:rsidRDefault="0007779D" w:rsidP="0007779D">
      <w:pPr>
        <w:shd w:val="clear" w:color="auto" w:fill="FFFFFF"/>
        <w:spacing w:after="0" w:line="240" w:lineRule="auto"/>
        <w:jc w:val="both"/>
        <w:textAlignment w:val="top"/>
        <w:rPr>
          <w:rFonts w:ascii="Calibri" w:eastAsia="Times New Roman" w:hAnsi="Calibri" w:cs="Calibri"/>
          <w:color w:val="333333"/>
          <w:kern w:val="0"/>
          <w:sz w:val="22"/>
          <w:szCs w:val="22"/>
          <w:lang w:val="en-GB" w:eastAsia="ja-JP"/>
          <w14:ligatures w14:val="none"/>
        </w:rPr>
      </w:pPr>
    </w:p>
    <w:p w14:paraId="28082271"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Accounts receivable and unapplied receipts:</w:t>
      </w:r>
    </w:p>
    <w:p w14:paraId="5B1E1C12" w14:textId="77777777" w:rsidR="0007779D" w:rsidRPr="0007779D" w:rsidRDefault="0007779D" w:rsidP="0007779D">
      <w:pPr>
        <w:numPr>
          <w:ilvl w:val="0"/>
          <w:numId w:val="13"/>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UNDP Offices must perform the following tasks on a regular basis:</w:t>
      </w:r>
    </w:p>
    <w:p w14:paraId="2D27C245" w14:textId="77777777" w:rsidR="0007779D" w:rsidRPr="0007779D" w:rsidRDefault="0007779D" w:rsidP="0007779D">
      <w:pPr>
        <w:numPr>
          <w:ilvl w:val="0"/>
          <w:numId w:val="6"/>
        </w:numPr>
        <w:spacing w:after="99" w:line="257" w:lineRule="auto"/>
        <w:ind w:left="1843" w:hanging="425"/>
        <w:contextualSpacing/>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Follow up on outstanding contributions receivable;</w:t>
      </w:r>
    </w:p>
    <w:p w14:paraId="6954A1D6" w14:textId="77777777" w:rsidR="0007779D" w:rsidRPr="0007779D" w:rsidRDefault="0007779D" w:rsidP="0007779D">
      <w:pPr>
        <w:numPr>
          <w:ilvl w:val="0"/>
          <w:numId w:val="6"/>
        </w:numPr>
        <w:spacing w:after="99" w:line="257" w:lineRule="auto"/>
        <w:ind w:left="1843" w:hanging="425"/>
        <w:contextualSpacing/>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Follow up on past due events;</w:t>
      </w:r>
    </w:p>
    <w:p w14:paraId="6ED18799" w14:textId="77777777" w:rsidR="0007779D" w:rsidRPr="0007779D" w:rsidRDefault="0007779D" w:rsidP="0007779D">
      <w:pPr>
        <w:numPr>
          <w:ilvl w:val="0"/>
          <w:numId w:val="6"/>
        </w:numPr>
        <w:spacing w:after="99" w:line="257" w:lineRule="auto"/>
        <w:ind w:left="1843" w:hanging="425"/>
        <w:contextualSpacing/>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Clean up unapplied receipts;</w:t>
      </w:r>
    </w:p>
    <w:p w14:paraId="774BF842" w14:textId="77777777" w:rsidR="0007779D" w:rsidRPr="0007779D" w:rsidRDefault="0007779D" w:rsidP="0007779D">
      <w:pPr>
        <w:numPr>
          <w:ilvl w:val="0"/>
          <w:numId w:val="13"/>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GSSC regularly monitors unapplied receipts, past due events and open accounts receivable. </w:t>
      </w:r>
    </w:p>
    <w:p w14:paraId="387FE999" w14:textId="77777777" w:rsidR="0007779D" w:rsidRPr="0007779D" w:rsidRDefault="0007779D" w:rsidP="0007779D">
      <w:pPr>
        <w:numPr>
          <w:ilvl w:val="0"/>
          <w:numId w:val="13"/>
        </w:numPr>
        <w:spacing w:line="259" w:lineRule="auto"/>
        <w:contextualSpacing/>
        <w:jc w:val="both"/>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Billed accounts receivable are those receivables where the payment milestone is reached and payment is due from the donor, whereas unbilled or future accounts receivable includes receivables where payment is not yet due from the donor. </w:t>
      </w:r>
    </w:p>
    <w:p w14:paraId="1E316288" w14:textId="77777777" w:rsidR="0007779D" w:rsidRPr="0007779D" w:rsidRDefault="0007779D" w:rsidP="0007779D">
      <w:pPr>
        <w:shd w:val="clear" w:color="auto" w:fill="FFFFFF"/>
        <w:spacing w:after="0" w:line="240" w:lineRule="auto"/>
        <w:jc w:val="both"/>
        <w:textAlignment w:val="top"/>
        <w:rPr>
          <w:rFonts w:ascii="Calibri" w:eastAsia="MS Mincho" w:hAnsi="Calibri" w:cs="Calibri"/>
          <w:kern w:val="0"/>
          <w:sz w:val="22"/>
          <w:szCs w:val="22"/>
          <w:lang w:val="en-GB" w:eastAsia="ja-JP"/>
          <w14:ligatures w14:val="none"/>
        </w:rPr>
      </w:pPr>
    </w:p>
    <w:p w14:paraId="679DCDFA" w14:textId="77777777" w:rsidR="0007779D" w:rsidRPr="0007779D" w:rsidRDefault="0007779D" w:rsidP="0007779D">
      <w:pPr>
        <w:numPr>
          <w:ilvl w:val="0"/>
          <w:numId w:val="19"/>
        </w:numPr>
        <w:spacing w:before="120" w:after="0" w:line="360" w:lineRule="auto"/>
        <w:ind w:left="567" w:hanging="567"/>
        <w:contextualSpacing/>
        <w:rPr>
          <w:rFonts w:ascii="Calibri" w:eastAsia="MS Mincho" w:hAnsi="Calibri" w:cs="Calibri"/>
          <w:kern w:val="0"/>
          <w:sz w:val="22"/>
          <w:szCs w:val="22"/>
          <w:lang w:eastAsia="ja-JP"/>
          <w14:ligatures w14:val="none"/>
        </w:rPr>
      </w:pPr>
      <w:r w:rsidRPr="0007779D">
        <w:rPr>
          <w:rFonts w:ascii="Calibri" w:eastAsia="MS Mincho" w:hAnsi="Calibri" w:cs="Calibri"/>
          <w:kern w:val="0"/>
          <w:sz w:val="22"/>
          <w:szCs w:val="22"/>
          <w:lang w:eastAsia="ja-JP"/>
          <w14:ligatures w14:val="none"/>
        </w:rPr>
        <w:t xml:space="preserve">Financial year-end closing requirements:  </w:t>
      </w:r>
    </w:p>
    <w:p w14:paraId="2BF3D01B" w14:textId="77777777" w:rsidR="0007779D" w:rsidRPr="0007779D" w:rsidRDefault="0007779D" w:rsidP="0007779D">
      <w:pPr>
        <w:numPr>
          <w:ilvl w:val="1"/>
          <w:numId w:val="19"/>
        </w:numPr>
        <w:shd w:val="clear" w:color="auto" w:fill="FFFFFF"/>
        <w:spacing w:after="0" w:line="240" w:lineRule="auto"/>
        <w:ind w:left="851" w:hanging="284"/>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It is important that the Bureau of External Relations (BERA) promptly submits to GSSC </w:t>
      </w:r>
      <w:proofErr w:type="gramStart"/>
      <w:r w:rsidRPr="0007779D">
        <w:rPr>
          <w:rFonts w:ascii="Calibri" w:eastAsia="MS Mincho" w:hAnsi="Calibri" w:cs="Calibri"/>
          <w:kern w:val="0"/>
          <w:sz w:val="22"/>
          <w:szCs w:val="22"/>
          <w:lang w:val="en-GB" w:eastAsia="ja-JP"/>
          <w14:ligatures w14:val="none"/>
        </w:rPr>
        <w:t>via  Unity</w:t>
      </w:r>
      <w:proofErr w:type="gramEnd"/>
      <w:r w:rsidRPr="0007779D">
        <w:rPr>
          <w:rFonts w:ascii="Calibri" w:eastAsia="MS Mincho" w:hAnsi="Calibri" w:cs="Calibri"/>
          <w:kern w:val="0"/>
          <w:sz w:val="22"/>
          <w:szCs w:val="22"/>
          <w:lang w:val="en-GB" w:eastAsia="ja-JP"/>
          <w14:ligatures w14:val="none"/>
        </w:rPr>
        <w:t xml:space="preserve">/UNALL by financial year end, all signed contribution agreements or completion of events conditions, to ensure that revenue and accounts receivable are accurately and completely </w:t>
      </w:r>
      <w:r w:rsidRPr="0007779D">
        <w:rPr>
          <w:rFonts w:ascii="Calibri" w:eastAsia="MS Mincho" w:hAnsi="Calibri" w:cs="Calibri"/>
          <w:kern w:val="0"/>
          <w:sz w:val="22"/>
          <w:szCs w:val="22"/>
          <w:lang w:val="en-GB" w:eastAsia="ja-JP"/>
          <w14:ligatures w14:val="none"/>
        </w:rPr>
        <w:lastRenderedPageBreak/>
        <w:t xml:space="preserve">recorded in UNDP’s financial statements. This will ensure that any notification is logged and timely action is taken by the GSSC.   </w:t>
      </w:r>
    </w:p>
    <w:p w14:paraId="43835EF2" w14:textId="77777777" w:rsidR="0007779D" w:rsidRPr="0007779D" w:rsidRDefault="0007779D" w:rsidP="0007779D">
      <w:pPr>
        <w:numPr>
          <w:ilvl w:val="1"/>
          <w:numId w:val="19"/>
        </w:numPr>
        <w:shd w:val="clear" w:color="auto" w:fill="FFFFFF"/>
        <w:spacing w:after="0" w:line="240" w:lineRule="auto"/>
        <w:ind w:left="851" w:hanging="284"/>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At year-end, BERA should review the report of contracts with pending events and, if an issue is identified, communicate to the GSSC </w:t>
      </w:r>
      <w:proofErr w:type="gramStart"/>
      <w:r w:rsidRPr="0007779D">
        <w:rPr>
          <w:rFonts w:ascii="Calibri" w:eastAsia="MS Mincho" w:hAnsi="Calibri" w:cs="Calibri"/>
          <w:kern w:val="0"/>
          <w:sz w:val="22"/>
          <w:szCs w:val="22"/>
          <w:lang w:val="en-GB" w:eastAsia="ja-JP"/>
          <w14:ligatures w14:val="none"/>
        </w:rPr>
        <w:t>via  Unity</w:t>
      </w:r>
      <w:proofErr w:type="gramEnd"/>
      <w:r w:rsidRPr="0007779D">
        <w:rPr>
          <w:rFonts w:ascii="Calibri" w:eastAsia="MS Mincho" w:hAnsi="Calibri" w:cs="Calibri"/>
          <w:kern w:val="0"/>
          <w:sz w:val="22"/>
          <w:szCs w:val="22"/>
          <w:lang w:val="en-GB" w:eastAsia="ja-JP"/>
          <w14:ligatures w14:val="none"/>
        </w:rPr>
        <w:t xml:space="preserve">/UNALL any events that have been completed.   </w:t>
      </w:r>
    </w:p>
    <w:p w14:paraId="21DE3A2A" w14:textId="77777777" w:rsidR="0007779D" w:rsidRPr="0007779D" w:rsidRDefault="0007779D" w:rsidP="0007779D">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eastAsia="ja-JP"/>
          <w14:ligatures w14:val="none"/>
        </w:rPr>
      </w:pPr>
    </w:p>
    <w:p w14:paraId="656A2556"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Important year-end steps:  </w:t>
      </w:r>
    </w:p>
    <w:p w14:paraId="34274A68" w14:textId="77777777" w:rsidR="0007779D" w:rsidRPr="0007779D" w:rsidRDefault="0007779D" w:rsidP="0007779D">
      <w:pPr>
        <w:numPr>
          <w:ilvl w:val="0"/>
          <w:numId w:val="14"/>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Completeness of agreements – all agreements and amendments to agreements should be uploaded to Unity/UNALL.   </w:t>
      </w:r>
    </w:p>
    <w:p w14:paraId="625E3C6A" w14:textId="77777777" w:rsidR="0007779D" w:rsidRPr="0007779D" w:rsidRDefault="0007779D" w:rsidP="0007779D">
      <w:pPr>
        <w:numPr>
          <w:ilvl w:val="0"/>
          <w:numId w:val="14"/>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Review of past due events – follow-up on events that should have been completed by year-end, e.g. submission and approval of progress/final reports.</w:t>
      </w:r>
    </w:p>
    <w:p w14:paraId="54409708" w14:textId="77777777" w:rsidR="0007779D" w:rsidRPr="0007779D" w:rsidRDefault="0007779D" w:rsidP="0007779D">
      <w:pPr>
        <w:numPr>
          <w:ilvl w:val="0"/>
          <w:numId w:val="14"/>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Accounts receivable – follow-up with donors on outstanding amounts (see POPP content on Accounts Receivable).</w:t>
      </w:r>
    </w:p>
    <w:p w14:paraId="4CEEF6A8" w14:textId="77777777" w:rsidR="0007779D" w:rsidRPr="0007779D" w:rsidRDefault="0007779D" w:rsidP="0007779D">
      <w:pPr>
        <w:numPr>
          <w:ilvl w:val="0"/>
          <w:numId w:val="14"/>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Unapplied receipts – ensure timely application of all unapplied receipts at year-end.   </w:t>
      </w:r>
    </w:p>
    <w:p w14:paraId="06796254" w14:textId="77777777" w:rsidR="0007779D" w:rsidRPr="0007779D" w:rsidRDefault="0007779D" w:rsidP="0007779D">
      <w:pPr>
        <w:numPr>
          <w:ilvl w:val="0"/>
          <w:numId w:val="14"/>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Funds received in advance – review funds received in advance account and verify accuracy and completeness.   </w:t>
      </w:r>
    </w:p>
    <w:p w14:paraId="79BDD514" w14:textId="77777777" w:rsidR="0007779D" w:rsidRPr="0007779D" w:rsidRDefault="0007779D" w:rsidP="0007779D">
      <w:pPr>
        <w:numPr>
          <w:ilvl w:val="0"/>
          <w:numId w:val="14"/>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Reports should be generated and signed as evidence of review.   </w:t>
      </w:r>
    </w:p>
    <w:p w14:paraId="02A452AF" w14:textId="77777777" w:rsidR="0007779D" w:rsidRPr="0007779D" w:rsidRDefault="0007779D" w:rsidP="0007779D">
      <w:pPr>
        <w:shd w:val="clear" w:color="auto" w:fill="FFFFFF"/>
        <w:spacing w:after="0" w:line="240" w:lineRule="auto"/>
        <w:ind w:left="720"/>
        <w:contextualSpacing/>
        <w:jc w:val="both"/>
        <w:textAlignment w:val="top"/>
        <w:rPr>
          <w:rFonts w:ascii="Calibri" w:eastAsia="Times New Roman" w:hAnsi="Calibri" w:cs="Calibri"/>
          <w:color w:val="333333"/>
          <w:kern w:val="0"/>
          <w:sz w:val="22"/>
          <w:szCs w:val="22"/>
          <w:lang w:val="en-GB" w:eastAsia="ja-JP"/>
          <w14:ligatures w14:val="none"/>
        </w:rPr>
      </w:pPr>
    </w:p>
    <w:p w14:paraId="7504C522" w14:textId="77777777" w:rsidR="0007779D" w:rsidRPr="0007779D" w:rsidRDefault="0007779D" w:rsidP="0007779D">
      <w:pPr>
        <w:numPr>
          <w:ilvl w:val="0"/>
          <w:numId w:val="19"/>
        </w:numPr>
        <w:shd w:val="clear" w:color="auto" w:fill="FFFFFF"/>
        <w:spacing w:after="0" w:line="240" w:lineRule="auto"/>
        <w:ind w:left="567" w:hanging="567"/>
        <w:contextualSpacing/>
        <w:jc w:val="both"/>
        <w:textAlignment w:val="top"/>
        <w:rPr>
          <w:rFonts w:ascii="Calibri" w:eastAsia="Times New Roman" w:hAnsi="Calibri" w:cs="Calibri"/>
          <w:color w:val="333333"/>
          <w:kern w:val="0"/>
          <w:sz w:val="22"/>
          <w:szCs w:val="22"/>
          <w:lang w:val="en-GB" w:eastAsia="ja-JP"/>
          <w14:ligatures w14:val="none"/>
        </w:rPr>
      </w:pPr>
      <w:r w:rsidRPr="0007779D">
        <w:rPr>
          <w:rFonts w:ascii="Calibri" w:eastAsia="Times New Roman" w:hAnsi="Calibri" w:cs="Calibri"/>
          <w:color w:val="333333"/>
          <w:kern w:val="0"/>
          <w:sz w:val="22"/>
          <w:szCs w:val="22"/>
          <w:lang w:val="en-GB" w:eastAsia="ja-JP"/>
          <w14:ligatures w14:val="none"/>
        </w:rPr>
        <w:t xml:space="preserve">Reconciliation of accounts receivable to the general ledger   </w:t>
      </w:r>
    </w:p>
    <w:p w14:paraId="530BA715" w14:textId="77777777" w:rsidR="0007779D" w:rsidRPr="0007779D" w:rsidRDefault="0007779D" w:rsidP="0007779D">
      <w:pPr>
        <w:numPr>
          <w:ilvl w:val="0"/>
          <w:numId w:val="15"/>
        </w:numPr>
        <w:shd w:val="clear" w:color="auto" w:fill="FFFFFF"/>
        <w:spacing w:after="0" w:line="240" w:lineRule="auto"/>
        <w:contextualSpacing/>
        <w:jc w:val="both"/>
        <w:textAlignment w:val="top"/>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On a quarterly basis, GSSC will perform a reconciliation of the Accounts Receivable for Contributions sub-ledger to the General Ledger and follow-up on differences with UNDP Offices, Business Units and the GSSC where necessary.   </w:t>
      </w:r>
    </w:p>
    <w:p w14:paraId="0115B99C" w14:textId="77777777" w:rsidR="0007779D" w:rsidRPr="0007779D" w:rsidRDefault="0007779D" w:rsidP="0007779D">
      <w:pPr>
        <w:shd w:val="clear" w:color="auto" w:fill="FFFFFF"/>
        <w:spacing w:after="0" w:line="240" w:lineRule="auto"/>
        <w:jc w:val="both"/>
        <w:rPr>
          <w:rFonts w:ascii="Calibri" w:eastAsia="MS Mincho" w:hAnsi="Calibri" w:cs="Calibri"/>
          <w:kern w:val="0"/>
          <w:sz w:val="22"/>
          <w:szCs w:val="22"/>
          <w:lang w:val="en-GB" w:eastAsia="ja-JP"/>
          <w14:ligatures w14:val="none"/>
        </w:rPr>
      </w:pPr>
    </w:p>
    <w:p w14:paraId="397E3524" w14:textId="77777777" w:rsidR="0007779D" w:rsidRPr="0007779D" w:rsidRDefault="0007779D" w:rsidP="0007779D">
      <w:pPr>
        <w:numPr>
          <w:ilvl w:val="0"/>
          <w:numId w:val="19"/>
        </w:numPr>
        <w:spacing w:before="120" w:after="0" w:line="360" w:lineRule="auto"/>
        <w:ind w:left="567" w:hanging="567"/>
        <w:contextualSpacing/>
        <w:rPr>
          <w:rFonts w:ascii="Calibri" w:eastAsia="MS Mincho" w:hAnsi="Calibri" w:cs="Calibri"/>
          <w:kern w:val="0"/>
          <w:sz w:val="22"/>
          <w:szCs w:val="22"/>
          <w:lang w:eastAsia="ja-JP"/>
          <w14:ligatures w14:val="none"/>
        </w:rPr>
      </w:pPr>
      <w:r w:rsidRPr="0007779D">
        <w:rPr>
          <w:rFonts w:ascii="Calibri" w:eastAsia="MS Mincho" w:hAnsi="Calibri" w:cs="Calibri"/>
          <w:kern w:val="0"/>
          <w:sz w:val="22"/>
          <w:szCs w:val="22"/>
          <w:lang w:eastAsia="ja-JP"/>
          <w14:ligatures w14:val="none"/>
        </w:rPr>
        <w:t xml:space="preserve">Reports:    </w:t>
      </w:r>
    </w:p>
    <w:p w14:paraId="39C98B02" w14:textId="77777777" w:rsidR="0007779D" w:rsidRPr="0007779D" w:rsidRDefault="0007779D" w:rsidP="0007779D">
      <w:pPr>
        <w:numPr>
          <w:ilvl w:val="0"/>
          <w:numId w:val="16"/>
        </w:numPr>
        <w:spacing w:line="259" w:lineRule="auto"/>
        <w:ind w:left="993" w:hanging="426"/>
        <w:contextualSpacing/>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Listing of all contracts </w:t>
      </w:r>
      <w:proofErr w:type="gramStart"/>
      <w:r w:rsidRPr="0007779D">
        <w:rPr>
          <w:rFonts w:ascii="Calibri" w:eastAsia="MS Mincho" w:hAnsi="Calibri" w:cs="Calibri"/>
          <w:kern w:val="0"/>
          <w:sz w:val="22"/>
          <w:szCs w:val="22"/>
          <w:lang w:val="en-GB" w:eastAsia="ja-JP"/>
          <w14:ligatures w14:val="none"/>
        </w:rPr>
        <w:t>created,</w:t>
      </w:r>
      <w:proofErr w:type="gramEnd"/>
      <w:r w:rsidRPr="0007779D">
        <w:rPr>
          <w:rFonts w:ascii="Calibri" w:eastAsia="MS Mincho" w:hAnsi="Calibri" w:cs="Calibri"/>
          <w:kern w:val="0"/>
          <w:sz w:val="22"/>
          <w:szCs w:val="22"/>
          <w:lang w:val="en-GB" w:eastAsia="ja-JP"/>
          <w14:ligatures w14:val="none"/>
        </w:rPr>
        <w:t xml:space="preserve"> status and overview per operating unit</w:t>
      </w:r>
    </w:p>
    <w:p w14:paraId="03E6A45F" w14:textId="77777777" w:rsidR="0007779D" w:rsidRPr="0007779D" w:rsidRDefault="0007779D" w:rsidP="0007779D">
      <w:pPr>
        <w:numPr>
          <w:ilvl w:val="0"/>
          <w:numId w:val="16"/>
        </w:numPr>
        <w:spacing w:line="259" w:lineRule="auto"/>
        <w:ind w:left="993" w:hanging="426"/>
        <w:contextualSpacing/>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Report of contracts with pending events</w:t>
      </w:r>
    </w:p>
    <w:p w14:paraId="423C7F6B" w14:textId="77777777" w:rsidR="0007779D" w:rsidRPr="0007779D" w:rsidRDefault="0007779D" w:rsidP="0007779D">
      <w:pPr>
        <w:numPr>
          <w:ilvl w:val="0"/>
          <w:numId w:val="16"/>
        </w:numPr>
        <w:spacing w:line="259" w:lineRule="auto"/>
        <w:ind w:left="993" w:hanging="426"/>
        <w:contextualSpacing/>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Monitoring of events with past due events</w:t>
      </w:r>
    </w:p>
    <w:p w14:paraId="25F0FA79" w14:textId="77777777" w:rsidR="0007779D" w:rsidRPr="0007779D" w:rsidRDefault="0007779D" w:rsidP="0007779D">
      <w:pPr>
        <w:numPr>
          <w:ilvl w:val="0"/>
          <w:numId w:val="16"/>
        </w:numPr>
        <w:spacing w:line="259" w:lineRule="auto"/>
        <w:ind w:left="993" w:hanging="426"/>
        <w:contextualSpacing/>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Monitoring of upcoming events (within 45 days) </w:t>
      </w:r>
    </w:p>
    <w:p w14:paraId="28C5BC31" w14:textId="77777777" w:rsidR="0007779D" w:rsidRPr="0007779D" w:rsidRDefault="0007779D" w:rsidP="0007779D">
      <w:pPr>
        <w:numPr>
          <w:ilvl w:val="0"/>
          <w:numId w:val="16"/>
        </w:numPr>
        <w:spacing w:line="259" w:lineRule="auto"/>
        <w:ind w:left="993" w:hanging="426"/>
        <w:contextualSpacing/>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 xml:space="preserve">Customer contract overview report- Overview of contracts and amendments   </w:t>
      </w:r>
    </w:p>
    <w:p w14:paraId="44D15B2C" w14:textId="77777777" w:rsidR="0007779D" w:rsidRPr="0007779D" w:rsidRDefault="0007779D" w:rsidP="0007779D">
      <w:pPr>
        <w:numPr>
          <w:ilvl w:val="0"/>
          <w:numId w:val="16"/>
        </w:numPr>
        <w:spacing w:line="259" w:lineRule="auto"/>
        <w:ind w:left="993" w:hanging="426"/>
        <w:contextualSpacing/>
        <w:rPr>
          <w:rFonts w:ascii="Calibri" w:eastAsia="MS Mincho" w:hAnsi="Calibri" w:cs="Calibri"/>
          <w:kern w:val="0"/>
          <w:sz w:val="22"/>
          <w:szCs w:val="22"/>
          <w:lang w:val="en-GB" w:eastAsia="ja-JP"/>
          <w14:ligatures w14:val="none"/>
        </w:rPr>
      </w:pPr>
      <w:r w:rsidRPr="0007779D">
        <w:rPr>
          <w:rFonts w:ascii="Calibri" w:eastAsia="MS Mincho" w:hAnsi="Calibri" w:cs="Calibri"/>
          <w:kern w:val="0"/>
          <w:sz w:val="22"/>
          <w:szCs w:val="22"/>
          <w:lang w:val="en-GB" w:eastAsia="ja-JP"/>
          <w14:ligatures w14:val="none"/>
        </w:rPr>
        <w:t>Report of unapplied receipts</w:t>
      </w:r>
    </w:p>
    <w:p w14:paraId="2EA389BE" w14:textId="77777777" w:rsidR="0007779D" w:rsidRPr="0007779D" w:rsidRDefault="0007779D" w:rsidP="0007779D">
      <w:pPr>
        <w:keepNext/>
        <w:keepLines/>
        <w:spacing w:line="259" w:lineRule="auto"/>
        <w:outlineLvl w:val="0"/>
        <w:rPr>
          <w:rFonts w:ascii="Calibri" w:eastAsia="Calibri" w:hAnsi="Calibri" w:cs="Calibri"/>
          <w:b/>
          <w:color w:val="000000"/>
          <w:kern w:val="0"/>
          <w:sz w:val="22"/>
          <w:szCs w:val="22"/>
          <w14:ligatures w14:val="none"/>
        </w:rPr>
      </w:pPr>
    </w:p>
    <w:p w14:paraId="52E800EF" w14:textId="77777777" w:rsidR="0007779D" w:rsidRPr="0007779D" w:rsidRDefault="0007779D" w:rsidP="0007779D">
      <w:pPr>
        <w:spacing w:line="259" w:lineRule="auto"/>
        <w:rPr>
          <w:rFonts w:ascii="Calibri" w:eastAsia="Calibri" w:hAnsi="Calibri" w:cs="Calibri"/>
          <w:b/>
          <w:color w:val="000000"/>
          <w:kern w:val="0"/>
          <w:sz w:val="22"/>
          <w:szCs w:val="22"/>
          <w:lang w:val="en-GB"/>
          <w14:ligatures w14:val="none"/>
        </w:rPr>
      </w:pPr>
      <w:r w:rsidRPr="0007779D">
        <w:rPr>
          <w:rFonts w:ascii="Calibri" w:eastAsia="MS Mincho" w:hAnsi="Calibri" w:cs="Calibri"/>
          <w:kern w:val="0"/>
          <w:sz w:val="22"/>
          <w:szCs w:val="22"/>
          <w:lang w:val="en-GB" w:eastAsia="ja-JP"/>
          <w14:ligatures w14:val="none"/>
        </w:rPr>
        <w:br w:type="page"/>
      </w:r>
    </w:p>
    <w:p w14:paraId="2978B288" w14:textId="77777777" w:rsidR="0007779D" w:rsidRPr="0007779D" w:rsidRDefault="0007779D" w:rsidP="0007779D">
      <w:pPr>
        <w:keepNext/>
        <w:keepLines/>
        <w:spacing w:line="259" w:lineRule="auto"/>
        <w:outlineLvl w:val="0"/>
        <w:rPr>
          <w:rFonts w:ascii="Calibri" w:eastAsia="Calibri" w:hAnsi="Calibri" w:cs="Calibri"/>
          <w:b/>
          <w:color w:val="000000"/>
          <w:kern w:val="0"/>
          <w:sz w:val="22"/>
          <w:szCs w:val="22"/>
          <w:lang w:val="en-GB"/>
          <w14:ligatures w14:val="none"/>
        </w:rPr>
      </w:pPr>
      <w:r w:rsidRPr="0007779D">
        <w:rPr>
          <w:rFonts w:ascii="Calibri" w:eastAsia="Calibri" w:hAnsi="Calibri" w:cs="Calibri"/>
          <w:b/>
          <w:color w:val="000000"/>
          <w:kern w:val="0"/>
          <w:sz w:val="22"/>
          <w:szCs w:val="22"/>
          <w:lang w:val="en-GB"/>
          <w14:ligatures w14:val="none"/>
        </w:rPr>
        <w:lastRenderedPageBreak/>
        <w:t xml:space="preserve">Annex 1 - ICF Roles   </w:t>
      </w:r>
    </w:p>
    <w:tbl>
      <w:tblPr>
        <w:tblStyle w:val="TableGrid0"/>
        <w:tblW w:w="9575" w:type="dxa"/>
        <w:tblLook w:val="04A0" w:firstRow="1" w:lastRow="0" w:firstColumn="1" w:lastColumn="0" w:noHBand="0" w:noVBand="1"/>
      </w:tblPr>
      <w:tblGrid>
        <w:gridCol w:w="5002"/>
        <w:gridCol w:w="4573"/>
      </w:tblGrid>
      <w:tr w:rsidR="0007779D" w:rsidRPr="0007779D" w14:paraId="67484635" w14:textId="77777777" w:rsidTr="004C49CC">
        <w:trPr>
          <w:trHeight w:val="288"/>
        </w:trPr>
        <w:tc>
          <w:tcPr>
            <w:tcW w:w="5002" w:type="dxa"/>
          </w:tcPr>
          <w:p w14:paraId="1665DFDA" w14:textId="77777777" w:rsidR="0007779D" w:rsidRPr="0007779D" w:rsidRDefault="0007779D" w:rsidP="0007779D">
            <w:pPr>
              <w:rPr>
                <w:rFonts w:ascii="Calibri" w:hAnsi="Calibri" w:cs="Calibri"/>
                <w:b/>
                <w:bCs/>
                <w:sz w:val="20"/>
                <w:szCs w:val="20"/>
                <w:lang w:val="en-GB"/>
              </w:rPr>
            </w:pPr>
            <w:r w:rsidRPr="0007779D">
              <w:rPr>
                <w:rFonts w:ascii="Calibri" w:hAnsi="Calibri" w:cs="Calibri"/>
                <w:b/>
                <w:bCs/>
                <w:sz w:val="20"/>
                <w:szCs w:val="20"/>
                <w:lang w:val="en-GB"/>
              </w:rPr>
              <w:t>Procedure Step</w:t>
            </w:r>
          </w:p>
        </w:tc>
        <w:tc>
          <w:tcPr>
            <w:tcW w:w="4573" w:type="dxa"/>
          </w:tcPr>
          <w:p w14:paraId="5D497CDE" w14:textId="77777777" w:rsidR="0007779D" w:rsidRPr="0007779D" w:rsidRDefault="0007779D" w:rsidP="0007779D">
            <w:pPr>
              <w:rPr>
                <w:rFonts w:ascii="Calibri" w:hAnsi="Calibri" w:cs="Calibri"/>
                <w:b/>
                <w:bCs/>
                <w:sz w:val="20"/>
                <w:szCs w:val="20"/>
                <w:lang w:val="en-GB"/>
              </w:rPr>
            </w:pPr>
            <w:r w:rsidRPr="0007779D">
              <w:rPr>
                <w:rFonts w:ascii="Calibri" w:hAnsi="Calibri" w:cs="Calibri"/>
                <w:b/>
                <w:bCs/>
                <w:sz w:val="20"/>
                <w:szCs w:val="20"/>
                <w:lang w:val="en-GB"/>
              </w:rPr>
              <w:t>Responsible Party</w:t>
            </w:r>
          </w:p>
        </w:tc>
      </w:tr>
      <w:tr w:rsidR="0007779D" w:rsidRPr="0007779D" w14:paraId="611AA310" w14:textId="77777777" w:rsidTr="004C49CC">
        <w:trPr>
          <w:trHeight w:val="288"/>
        </w:trPr>
        <w:tc>
          <w:tcPr>
            <w:tcW w:w="5002" w:type="dxa"/>
          </w:tcPr>
          <w:p w14:paraId="5ABA5F3B"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Sign Contribution Agreements</w:t>
            </w:r>
          </w:p>
        </w:tc>
        <w:tc>
          <w:tcPr>
            <w:tcW w:w="4573" w:type="dxa"/>
          </w:tcPr>
          <w:p w14:paraId="3AE43D90"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Head of Office</w:t>
            </w:r>
          </w:p>
        </w:tc>
      </w:tr>
      <w:tr w:rsidR="0007779D" w:rsidRPr="0007779D" w14:paraId="77537799" w14:textId="77777777" w:rsidTr="004C49CC">
        <w:trPr>
          <w:trHeight w:val="288"/>
        </w:trPr>
        <w:tc>
          <w:tcPr>
            <w:tcW w:w="5002" w:type="dxa"/>
          </w:tcPr>
          <w:p w14:paraId="55EE9047"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Entry into Unity/UNALL</w:t>
            </w:r>
          </w:p>
        </w:tc>
        <w:tc>
          <w:tcPr>
            <w:tcW w:w="4573" w:type="dxa"/>
          </w:tcPr>
          <w:p w14:paraId="3C21CA1C"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UNDP Office staff assigned by the Head of Office/Unit</w:t>
            </w:r>
          </w:p>
        </w:tc>
      </w:tr>
      <w:tr w:rsidR="0007779D" w:rsidRPr="0007779D" w14:paraId="4F67935B" w14:textId="77777777" w:rsidTr="004C49CC">
        <w:trPr>
          <w:trHeight w:val="288"/>
        </w:trPr>
        <w:tc>
          <w:tcPr>
            <w:tcW w:w="5002" w:type="dxa"/>
          </w:tcPr>
          <w:p w14:paraId="58202A35"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Review and follow-up of accounts receivable    </w:t>
            </w:r>
          </w:p>
        </w:tc>
        <w:tc>
          <w:tcPr>
            <w:tcW w:w="4573" w:type="dxa"/>
          </w:tcPr>
          <w:p w14:paraId="65001662"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First authority (Project Manager)</w:t>
            </w:r>
          </w:p>
        </w:tc>
      </w:tr>
      <w:tr w:rsidR="0007779D" w:rsidRPr="0007779D" w14:paraId="3F8BF90C" w14:textId="77777777" w:rsidTr="004C49CC">
        <w:trPr>
          <w:trHeight w:val="288"/>
        </w:trPr>
        <w:tc>
          <w:tcPr>
            <w:tcW w:w="5002" w:type="dxa"/>
          </w:tcPr>
          <w:p w14:paraId="538CD729"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Sign off as evidence of review of accounts receivable    </w:t>
            </w:r>
          </w:p>
        </w:tc>
        <w:tc>
          <w:tcPr>
            <w:tcW w:w="4573" w:type="dxa"/>
          </w:tcPr>
          <w:p w14:paraId="5D271636"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Approving Manager or Program Manager   </w:t>
            </w:r>
          </w:p>
        </w:tc>
      </w:tr>
      <w:tr w:rsidR="0007779D" w:rsidRPr="0007779D" w14:paraId="66936AEA" w14:textId="77777777" w:rsidTr="004C49CC">
        <w:trPr>
          <w:trHeight w:val="288"/>
        </w:trPr>
        <w:tc>
          <w:tcPr>
            <w:tcW w:w="5002" w:type="dxa"/>
          </w:tcPr>
          <w:p w14:paraId="77DE1C9E" w14:textId="77777777" w:rsidR="0007779D" w:rsidRPr="0007779D" w:rsidRDefault="0007779D" w:rsidP="0007779D">
            <w:pPr>
              <w:spacing w:line="259" w:lineRule="auto"/>
              <w:rPr>
                <w:rFonts w:ascii="Calibri" w:hAnsi="Calibri" w:cs="Calibri"/>
                <w:sz w:val="20"/>
                <w:szCs w:val="20"/>
              </w:rPr>
            </w:pPr>
            <w:r w:rsidRPr="0007779D">
              <w:rPr>
                <w:rFonts w:ascii="Calibri" w:hAnsi="Calibri" w:cs="Calibri"/>
                <w:sz w:val="20"/>
                <w:szCs w:val="20"/>
                <w:lang w:val="en-GB"/>
              </w:rPr>
              <w:t xml:space="preserve">Recommend write-off or doubtful debts provision with the appropriate justification    </w:t>
            </w:r>
          </w:p>
        </w:tc>
        <w:tc>
          <w:tcPr>
            <w:tcW w:w="4573" w:type="dxa"/>
          </w:tcPr>
          <w:p w14:paraId="1EFCE2BF"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Head of Office </w:t>
            </w:r>
          </w:p>
        </w:tc>
      </w:tr>
      <w:tr w:rsidR="0007779D" w:rsidRPr="0007779D" w14:paraId="45473A88" w14:textId="77777777" w:rsidTr="004C49CC">
        <w:trPr>
          <w:trHeight w:val="288"/>
        </w:trPr>
        <w:tc>
          <w:tcPr>
            <w:tcW w:w="5002" w:type="dxa"/>
          </w:tcPr>
          <w:p w14:paraId="40796F52" w14:textId="77777777" w:rsidR="0007779D" w:rsidRPr="0007779D" w:rsidRDefault="0007779D" w:rsidP="0007779D">
            <w:pPr>
              <w:rPr>
                <w:rFonts w:ascii="Calibri" w:eastAsia="Times New Roman" w:hAnsi="Calibri" w:cs="Calibri"/>
                <w:sz w:val="20"/>
                <w:szCs w:val="20"/>
                <w:lang w:val="en-MY" w:eastAsia="en-MY"/>
              </w:rPr>
            </w:pPr>
            <w:r w:rsidRPr="0007779D">
              <w:rPr>
                <w:rFonts w:ascii="Calibri" w:hAnsi="Calibri" w:cs="Calibri"/>
                <w:sz w:val="20"/>
                <w:szCs w:val="20"/>
                <w:lang w:val="en-GB"/>
              </w:rPr>
              <w:t>Approve provision for write-off</w:t>
            </w:r>
            <w:r w:rsidRPr="0007779D">
              <w:rPr>
                <w:rFonts w:ascii="Calibri" w:hAnsi="Calibri" w:cs="Calibri"/>
                <w:sz w:val="20"/>
                <w:szCs w:val="20"/>
                <w:vertAlign w:val="superscript"/>
              </w:rPr>
              <w:footnoteReference w:id="1"/>
            </w:r>
            <w:r w:rsidRPr="0007779D">
              <w:rPr>
                <w:rFonts w:ascii="Calibri" w:hAnsi="Calibri" w:cs="Calibri"/>
                <w:sz w:val="20"/>
                <w:szCs w:val="20"/>
                <w:lang w:val="en-MY" w:eastAsia="en-MY"/>
              </w:rPr>
              <w:t xml:space="preserve"> </w:t>
            </w:r>
          </w:p>
          <w:p w14:paraId="0DB06E3D" w14:textId="77777777" w:rsidR="0007779D" w:rsidRPr="0007779D" w:rsidRDefault="0007779D" w:rsidP="0007779D">
            <w:pPr>
              <w:spacing w:line="259" w:lineRule="auto"/>
              <w:rPr>
                <w:rFonts w:ascii="Calibri" w:hAnsi="Calibri" w:cs="Calibri"/>
                <w:sz w:val="20"/>
                <w:szCs w:val="20"/>
                <w:lang w:val="en-GB"/>
              </w:rPr>
            </w:pPr>
          </w:p>
        </w:tc>
        <w:tc>
          <w:tcPr>
            <w:tcW w:w="4573" w:type="dxa"/>
          </w:tcPr>
          <w:p w14:paraId="4481DEA5"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Chief FPMR/OFM</w:t>
            </w:r>
          </w:p>
        </w:tc>
      </w:tr>
      <w:tr w:rsidR="0007779D" w:rsidRPr="0007779D" w14:paraId="77025CAA" w14:textId="77777777" w:rsidTr="004C49CC">
        <w:trPr>
          <w:trHeight w:val="288"/>
        </w:trPr>
        <w:tc>
          <w:tcPr>
            <w:tcW w:w="5002" w:type="dxa"/>
          </w:tcPr>
          <w:p w14:paraId="589D3E09"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Approve write-off   </w:t>
            </w:r>
          </w:p>
        </w:tc>
        <w:tc>
          <w:tcPr>
            <w:tcW w:w="4573" w:type="dxa"/>
          </w:tcPr>
          <w:p w14:paraId="2361B5D0"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Assistant Administrator BMS or Administrator based on thresholds established in the UNDP FR&amp;R</w:t>
            </w:r>
          </w:p>
          <w:p w14:paraId="7688BE88"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Write-off request is routed through to OFM/ FPMR/CFRA and the CFO</w:t>
            </w:r>
          </w:p>
        </w:tc>
      </w:tr>
      <w:tr w:rsidR="0007779D" w:rsidRPr="0007779D" w14:paraId="4C528F47" w14:textId="77777777" w:rsidTr="004C49CC">
        <w:trPr>
          <w:trHeight w:val="288"/>
        </w:trPr>
        <w:tc>
          <w:tcPr>
            <w:tcW w:w="5002" w:type="dxa"/>
          </w:tcPr>
          <w:p w14:paraId="30A9F04D"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Monitor unapplied receipts</w:t>
            </w:r>
          </w:p>
        </w:tc>
        <w:tc>
          <w:tcPr>
            <w:tcW w:w="4573" w:type="dxa"/>
          </w:tcPr>
          <w:p w14:paraId="02748E45"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GSSC Treasury and GSSC Deposits (GSSC Finance Function)</w:t>
            </w:r>
          </w:p>
          <w:p w14:paraId="4C82ADCE" w14:textId="77777777" w:rsidR="0007779D" w:rsidRPr="0007779D" w:rsidDel="00194454" w:rsidRDefault="0007779D" w:rsidP="0007779D">
            <w:pPr>
              <w:spacing w:line="259" w:lineRule="auto"/>
              <w:rPr>
                <w:rFonts w:ascii="Calibri" w:hAnsi="Calibri" w:cs="Calibri"/>
                <w:sz w:val="20"/>
                <w:szCs w:val="20"/>
                <w:lang w:val="en-GB"/>
              </w:rPr>
            </w:pPr>
          </w:p>
        </w:tc>
      </w:tr>
      <w:tr w:rsidR="0007779D" w:rsidRPr="0007779D" w14:paraId="581731EC" w14:textId="77777777" w:rsidTr="004C49CC">
        <w:trPr>
          <w:trHeight w:val="288"/>
        </w:trPr>
        <w:tc>
          <w:tcPr>
            <w:tcW w:w="5002" w:type="dxa"/>
          </w:tcPr>
          <w:p w14:paraId="164F86AA"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Entry into Contract Management Module and activate contract</w:t>
            </w:r>
          </w:p>
        </w:tc>
        <w:tc>
          <w:tcPr>
            <w:tcW w:w="4573" w:type="dxa"/>
          </w:tcPr>
          <w:p w14:paraId="03EDE281"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Revenue Specialist (GSSC Finance Function)  </w:t>
            </w:r>
          </w:p>
        </w:tc>
      </w:tr>
      <w:tr w:rsidR="0007779D" w:rsidRPr="0007779D" w14:paraId="312B097A" w14:textId="77777777" w:rsidTr="004C49CC">
        <w:trPr>
          <w:trHeight w:val="288"/>
        </w:trPr>
        <w:tc>
          <w:tcPr>
            <w:tcW w:w="5002" w:type="dxa"/>
          </w:tcPr>
          <w:p w14:paraId="0CE31A62"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Review contract in Contract Management Module</w:t>
            </w:r>
          </w:p>
        </w:tc>
        <w:tc>
          <w:tcPr>
            <w:tcW w:w="4573" w:type="dxa"/>
          </w:tcPr>
          <w:p w14:paraId="7F77C770"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GSSC Manager (GSSC Approving Manager)  </w:t>
            </w:r>
          </w:p>
        </w:tc>
      </w:tr>
      <w:tr w:rsidR="0007779D" w:rsidRPr="0007779D" w14:paraId="2A60E40B" w14:textId="77777777" w:rsidTr="004C49CC">
        <w:trPr>
          <w:trHeight w:val="288"/>
        </w:trPr>
        <w:tc>
          <w:tcPr>
            <w:tcW w:w="5002" w:type="dxa"/>
          </w:tcPr>
          <w:p w14:paraId="5B17557A"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Record receipt of Contributions</w:t>
            </w:r>
          </w:p>
        </w:tc>
        <w:tc>
          <w:tcPr>
            <w:tcW w:w="4573" w:type="dxa"/>
          </w:tcPr>
          <w:p w14:paraId="29370017"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GSSC Treasury and GSSC Deposits (GSSC Finance Function)</w:t>
            </w:r>
          </w:p>
          <w:p w14:paraId="3E0B32DF"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Record the receipt of contributions against the invoice number, provided that the following documents are available:</w:t>
            </w:r>
          </w:p>
          <w:p w14:paraId="4EAB578C"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Notification of receipt into UNDP bank account from the bank; or</w:t>
            </w:r>
          </w:p>
          <w:p w14:paraId="1E4A7B17"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Receipt of a cheque.</w:t>
            </w:r>
          </w:p>
        </w:tc>
      </w:tr>
      <w:tr w:rsidR="0007779D" w:rsidRPr="0007779D" w14:paraId="556A64EC" w14:textId="77777777" w:rsidTr="004C49CC">
        <w:trPr>
          <w:trHeight w:val="288"/>
        </w:trPr>
        <w:tc>
          <w:tcPr>
            <w:tcW w:w="5002" w:type="dxa"/>
          </w:tcPr>
          <w:p w14:paraId="621946CC"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Application of funds    </w:t>
            </w:r>
          </w:p>
        </w:tc>
        <w:tc>
          <w:tcPr>
            <w:tcW w:w="4573" w:type="dxa"/>
          </w:tcPr>
          <w:p w14:paraId="7EBDE0EA"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Revenue Specialist (GSSC Finance Function)  </w:t>
            </w:r>
          </w:p>
        </w:tc>
      </w:tr>
      <w:tr w:rsidR="0007779D" w:rsidRPr="0007779D" w14:paraId="5298AA71" w14:textId="77777777" w:rsidTr="004C49CC">
        <w:trPr>
          <w:trHeight w:val="288"/>
        </w:trPr>
        <w:tc>
          <w:tcPr>
            <w:tcW w:w="5002" w:type="dxa"/>
          </w:tcPr>
          <w:p w14:paraId="6DAE8B92"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Approval of invoice adjustment</w:t>
            </w:r>
          </w:p>
        </w:tc>
        <w:tc>
          <w:tcPr>
            <w:tcW w:w="4573" w:type="dxa"/>
          </w:tcPr>
          <w:p w14:paraId="5C2D5813" w14:textId="77777777" w:rsidR="0007779D" w:rsidRPr="0007779D" w:rsidRDefault="0007779D" w:rsidP="0007779D">
            <w:pPr>
              <w:spacing w:line="259" w:lineRule="auto"/>
              <w:rPr>
                <w:rFonts w:ascii="Calibri" w:hAnsi="Calibri" w:cs="Calibri"/>
                <w:sz w:val="20"/>
                <w:szCs w:val="20"/>
                <w:lang w:val="en-GB"/>
              </w:rPr>
            </w:pPr>
            <w:r w:rsidRPr="0007779D">
              <w:rPr>
                <w:rFonts w:ascii="Calibri" w:hAnsi="Calibri" w:cs="Calibri"/>
                <w:sz w:val="20"/>
                <w:szCs w:val="20"/>
                <w:lang w:val="en-GB"/>
              </w:rPr>
              <w:t xml:space="preserve">GSSC Manager (GSSC Approving Manager)  </w:t>
            </w:r>
          </w:p>
        </w:tc>
      </w:tr>
    </w:tbl>
    <w:p w14:paraId="45CF8D36" w14:textId="77777777" w:rsidR="0007779D" w:rsidRPr="0007779D" w:rsidRDefault="0007779D" w:rsidP="0007779D">
      <w:pPr>
        <w:spacing w:line="259" w:lineRule="auto"/>
        <w:rPr>
          <w:rFonts w:ascii="Calibri" w:eastAsia="MS Mincho" w:hAnsi="Calibri" w:cs="Calibri"/>
          <w:b/>
          <w:bCs/>
          <w:kern w:val="0"/>
          <w:sz w:val="22"/>
          <w:szCs w:val="22"/>
          <w:lang w:val="en-GB" w:eastAsia="ja-JP"/>
          <w14:ligatures w14:val="none"/>
        </w:rPr>
      </w:pPr>
    </w:p>
    <w:p w14:paraId="46693A7E" w14:textId="77777777" w:rsidR="0007779D" w:rsidRDefault="0007779D" w:rsidP="0007779D">
      <w:pPr>
        <w:spacing w:line="259" w:lineRule="auto"/>
        <w:rPr>
          <w:rFonts w:ascii="Calibri" w:eastAsia="MS Mincho" w:hAnsi="Calibri" w:cs="Calibri"/>
          <w:b/>
          <w:bCs/>
          <w:kern w:val="0"/>
          <w:sz w:val="22"/>
          <w:szCs w:val="22"/>
          <w:lang w:val="en-GB" w:eastAsia="ja-JP"/>
          <w14:ligatures w14:val="none"/>
        </w:rPr>
      </w:pPr>
    </w:p>
    <w:p w14:paraId="133ADD94" w14:textId="77777777" w:rsidR="0007779D" w:rsidRDefault="0007779D" w:rsidP="0007779D">
      <w:pPr>
        <w:spacing w:line="259" w:lineRule="auto"/>
        <w:rPr>
          <w:rFonts w:ascii="Calibri" w:eastAsia="MS Mincho" w:hAnsi="Calibri" w:cs="Calibri"/>
          <w:b/>
          <w:bCs/>
          <w:kern w:val="0"/>
          <w:sz w:val="22"/>
          <w:szCs w:val="22"/>
          <w:lang w:val="en-GB" w:eastAsia="ja-JP"/>
          <w14:ligatures w14:val="none"/>
        </w:rPr>
      </w:pPr>
    </w:p>
    <w:p w14:paraId="170F4C9C" w14:textId="77777777" w:rsidR="0007779D" w:rsidRDefault="0007779D" w:rsidP="0007779D">
      <w:pPr>
        <w:spacing w:line="259" w:lineRule="auto"/>
        <w:rPr>
          <w:rFonts w:ascii="Calibri" w:eastAsia="MS Mincho" w:hAnsi="Calibri" w:cs="Calibri"/>
          <w:b/>
          <w:bCs/>
          <w:kern w:val="0"/>
          <w:sz w:val="22"/>
          <w:szCs w:val="22"/>
          <w:lang w:val="en-GB" w:eastAsia="ja-JP"/>
          <w14:ligatures w14:val="none"/>
        </w:rPr>
      </w:pPr>
    </w:p>
    <w:p w14:paraId="6E721A63" w14:textId="77777777" w:rsidR="0007779D" w:rsidRDefault="0007779D" w:rsidP="0007779D">
      <w:pPr>
        <w:spacing w:line="259" w:lineRule="auto"/>
        <w:rPr>
          <w:rFonts w:ascii="Calibri" w:eastAsia="MS Mincho" w:hAnsi="Calibri" w:cs="Calibri"/>
          <w:b/>
          <w:bCs/>
          <w:kern w:val="0"/>
          <w:sz w:val="22"/>
          <w:szCs w:val="22"/>
          <w:lang w:val="en-GB" w:eastAsia="ja-JP"/>
          <w14:ligatures w14:val="none"/>
        </w:rPr>
      </w:pPr>
    </w:p>
    <w:p w14:paraId="6BD723C0" w14:textId="77777777" w:rsidR="0007779D" w:rsidRDefault="0007779D" w:rsidP="0007779D">
      <w:pPr>
        <w:spacing w:line="259" w:lineRule="auto"/>
        <w:rPr>
          <w:rFonts w:ascii="Calibri" w:eastAsia="MS Mincho" w:hAnsi="Calibri" w:cs="Calibri"/>
          <w:b/>
          <w:bCs/>
          <w:kern w:val="0"/>
          <w:sz w:val="22"/>
          <w:szCs w:val="22"/>
          <w:lang w:val="en-GB" w:eastAsia="ja-JP"/>
          <w14:ligatures w14:val="none"/>
        </w:rPr>
      </w:pPr>
    </w:p>
    <w:p w14:paraId="4A660E13" w14:textId="77777777" w:rsidR="0007779D" w:rsidRPr="0007779D" w:rsidRDefault="0007779D" w:rsidP="0007779D">
      <w:pPr>
        <w:spacing w:line="259" w:lineRule="auto"/>
        <w:rPr>
          <w:rFonts w:ascii="Calibri" w:eastAsia="MS Mincho" w:hAnsi="Calibri" w:cs="Calibri"/>
          <w:b/>
          <w:bCs/>
          <w:kern w:val="0"/>
          <w:sz w:val="22"/>
          <w:szCs w:val="22"/>
          <w:lang w:val="en-GB" w:eastAsia="ja-JP"/>
          <w14:ligatures w14:val="none"/>
        </w:rPr>
      </w:pPr>
    </w:p>
    <w:p w14:paraId="4DF5C080" w14:textId="77777777" w:rsidR="0007779D" w:rsidRPr="0007779D" w:rsidRDefault="0007779D" w:rsidP="0007779D">
      <w:pPr>
        <w:spacing w:line="259" w:lineRule="auto"/>
        <w:rPr>
          <w:rFonts w:ascii="Calibri" w:eastAsia="MS Mincho" w:hAnsi="Calibri" w:cs="Calibri"/>
          <w:b/>
          <w:bCs/>
          <w:kern w:val="0"/>
          <w:sz w:val="22"/>
          <w:szCs w:val="22"/>
          <w:lang w:val="en-GB" w:eastAsia="ja-JP"/>
          <w14:ligatures w14:val="none"/>
        </w:rPr>
      </w:pPr>
    </w:p>
    <w:p w14:paraId="67E6C856" w14:textId="77777777" w:rsidR="0007779D" w:rsidRPr="0007779D" w:rsidRDefault="0007779D" w:rsidP="0007779D">
      <w:pPr>
        <w:spacing w:line="259" w:lineRule="auto"/>
        <w:rPr>
          <w:rFonts w:ascii="Calibri" w:eastAsia="MS Mincho" w:hAnsi="Calibri" w:cs="Calibri"/>
          <w:b/>
          <w:bCs/>
          <w:kern w:val="0"/>
          <w:sz w:val="22"/>
          <w:szCs w:val="22"/>
          <w:lang w:val="en-GB" w:eastAsia="ja-JP"/>
          <w14:ligatures w14:val="none"/>
        </w:rPr>
      </w:pPr>
      <w:r w:rsidRPr="0007779D">
        <w:rPr>
          <w:rFonts w:ascii="Calibri" w:eastAsia="MS Mincho" w:hAnsi="Calibri" w:cs="Calibri"/>
          <w:b/>
          <w:bCs/>
          <w:kern w:val="0"/>
          <w:sz w:val="22"/>
          <w:szCs w:val="22"/>
          <w:lang w:val="en-GB" w:eastAsia="ja-JP"/>
          <w14:ligatures w14:val="none"/>
        </w:rPr>
        <w:lastRenderedPageBreak/>
        <w:t>Annex 2 - Revenue Management Process</w:t>
      </w:r>
    </w:p>
    <w:tbl>
      <w:tblPr>
        <w:tblW w:w="9452" w:type="dxa"/>
        <w:tblInd w:w="-5" w:type="dxa"/>
        <w:tblLayout w:type="fixed"/>
        <w:tblLook w:val="04A0" w:firstRow="1" w:lastRow="0" w:firstColumn="1" w:lastColumn="0" w:noHBand="0" w:noVBand="1"/>
      </w:tblPr>
      <w:tblGrid>
        <w:gridCol w:w="3150"/>
        <w:gridCol w:w="1150"/>
        <w:gridCol w:w="1008"/>
        <w:gridCol w:w="865"/>
        <w:gridCol w:w="1007"/>
        <w:gridCol w:w="1293"/>
        <w:gridCol w:w="979"/>
      </w:tblGrid>
      <w:tr w:rsidR="0007779D" w:rsidRPr="0007779D" w14:paraId="2E772B24" w14:textId="77777777" w:rsidTr="004C49CC">
        <w:trPr>
          <w:trHeight w:val="288"/>
        </w:trPr>
        <w:tc>
          <w:tcPr>
            <w:tcW w:w="3150" w:type="dxa"/>
            <w:tcBorders>
              <w:top w:val="single" w:sz="4" w:space="0" w:color="auto"/>
              <w:left w:val="single" w:sz="4" w:space="0" w:color="auto"/>
              <w:bottom w:val="single" w:sz="4" w:space="0" w:color="auto"/>
              <w:right w:val="single" w:sz="4" w:space="0" w:color="auto"/>
            </w:tcBorders>
            <w:vAlign w:val="center"/>
            <w:hideMark/>
          </w:tcPr>
          <w:p w14:paraId="1BA08348" w14:textId="77777777" w:rsidR="0007779D" w:rsidRPr="0007779D" w:rsidRDefault="0007779D" w:rsidP="0007779D">
            <w:pPr>
              <w:spacing w:after="0" w:line="240" w:lineRule="auto"/>
              <w:jc w:val="center"/>
              <w:rPr>
                <w:rFonts w:ascii="Calibri" w:eastAsia="Times New Roman" w:hAnsi="Calibri" w:cs="Calibri"/>
                <w:b/>
                <w:bCs/>
                <w:kern w:val="0"/>
                <w:sz w:val="20"/>
                <w:szCs w:val="20"/>
                <w:lang w:val="en-GB" w:eastAsia="ja-JP"/>
                <w14:ligatures w14:val="none"/>
              </w:rPr>
            </w:pPr>
            <w:r w:rsidRPr="0007779D">
              <w:rPr>
                <w:rFonts w:ascii="Calibri" w:eastAsia="Times New Roman" w:hAnsi="Calibri" w:cs="Calibri"/>
                <w:b/>
                <w:bCs/>
                <w:kern w:val="0"/>
                <w:sz w:val="20"/>
                <w:szCs w:val="20"/>
                <w:lang w:val="en-GB" w:eastAsia="ja-JP"/>
                <w14:ligatures w14:val="none"/>
              </w:rPr>
              <w:t>Revenue Management Process</w:t>
            </w:r>
          </w:p>
        </w:tc>
        <w:tc>
          <w:tcPr>
            <w:tcW w:w="1150" w:type="dxa"/>
            <w:tcBorders>
              <w:top w:val="single" w:sz="4" w:space="0" w:color="auto"/>
              <w:left w:val="nil"/>
              <w:bottom w:val="single" w:sz="4" w:space="0" w:color="auto"/>
              <w:right w:val="single" w:sz="4" w:space="0" w:color="auto"/>
            </w:tcBorders>
            <w:vAlign w:val="center"/>
            <w:hideMark/>
          </w:tcPr>
          <w:p w14:paraId="77D9142E" w14:textId="77777777" w:rsidR="0007779D" w:rsidRPr="0007779D" w:rsidRDefault="0007779D" w:rsidP="0007779D">
            <w:pPr>
              <w:spacing w:after="0" w:line="240" w:lineRule="auto"/>
              <w:jc w:val="center"/>
              <w:rPr>
                <w:rFonts w:ascii="Calibri" w:eastAsia="Times New Roman" w:hAnsi="Calibri" w:cs="Calibri"/>
                <w:b/>
                <w:bCs/>
                <w:kern w:val="0"/>
                <w:sz w:val="20"/>
                <w:szCs w:val="20"/>
                <w:lang w:val="en-GB" w:eastAsia="ja-JP"/>
                <w14:ligatures w14:val="none"/>
              </w:rPr>
            </w:pPr>
            <w:r w:rsidRPr="0007779D">
              <w:rPr>
                <w:rFonts w:ascii="Calibri" w:eastAsia="Times New Roman" w:hAnsi="Calibri" w:cs="Calibri"/>
                <w:b/>
                <w:bCs/>
                <w:kern w:val="0"/>
                <w:sz w:val="20"/>
                <w:szCs w:val="20"/>
                <w:lang w:val="en-GB" w:eastAsia="ja-JP"/>
                <w14:ligatures w14:val="none"/>
              </w:rPr>
              <w:t>CO/BU</w:t>
            </w:r>
            <w:r w:rsidRPr="0007779D">
              <w:rPr>
                <w:rFonts w:ascii="Calibri" w:eastAsia="Times New Roman" w:hAnsi="Calibri" w:cs="Calibri"/>
                <w:b/>
                <w:bCs/>
                <w:kern w:val="0"/>
                <w:sz w:val="20"/>
                <w:szCs w:val="20"/>
                <w:lang w:val="en-GB" w:eastAsia="ja-JP"/>
                <w14:ligatures w14:val="none"/>
              </w:rPr>
              <w:br/>
              <w:t>Programme</w:t>
            </w:r>
          </w:p>
        </w:tc>
        <w:tc>
          <w:tcPr>
            <w:tcW w:w="1008" w:type="dxa"/>
            <w:tcBorders>
              <w:top w:val="single" w:sz="4" w:space="0" w:color="auto"/>
              <w:left w:val="nil"/>
              <w:bottom w:val="single" w:sz="4" w:space="0" w:color="auto"/>
              <w:right w:val="single" w:sz="4" w:space="0" w:color="auto"/>
            </w:tcBorders>
            <w:vAlign w:val="center"/>
            <w:hideMark/>
          </w:tcPr>
          <w:p w14:paraId="5DE81D4C" w14:textId="77777777" w:rsidR="0007779D" w:rsidRPr="0007779D" w:rsidRDefault="0007779D" w:rsidP="0007779D">
            <w:pPr>
              <w:spacing w:after="0" w:line="240" w:lineRule="auto"/>
              <w:jc w:val="center"/>
              <w:rPr>
                <w:rFonts w:ascii="Calibri" w:eastAsia="Times New Roman" w:hAnsi="Calibri" w:cs="Calibri"/>
                <w:b/>
                <w:bCs/>
                <w:kern w:val="0"/>
                <w:sz w:val="20"/>
                <w:szCs w:val="20"/>
                <w:lang w:val="en-GB" w:eastAsia="ja-JP"/>
                <w14:ligatures w14:val="none"/>
              </w:rPr>
            </w:pPr>
            <w:r w:rsidRPr="0007779D">
              <w:rPr>
                <w:rFonts w:ascii="Calibri" w:eastAsia="Times New Roman" w:hAnsi="Calibri" w:cs="Calibri"/>
                <w:b/>
                <w:bCs/>
                <w:kern w:val="0"/>
                <w:sz w:val="20"/>
                <w:szCs w:val="20"/>
                <w:lang w:val="en-GB" w:eastAsia="ja-JP"/>
                <w14:ligatures w14:val="none"/>
              </w:rPr>
              <w:t>RR/BU</w:t>
            </w:r>
            <w:r w:rsidRPr="0007779D">
              <w:rPr>
                <w:rFonts w:ascii="Calibri" w:eastAsia="Times New Roman" w:hAnsi="Calibri" w:cs="Calibri"/>
                <w:b/>
                <w:bCs/>
                <w:kern w:val="0"/>
                <w:sz w:val="20"/>
                <w:szCs w:val="20"/>
                <w:lang w:val="en-GB" w:eastAsia="ja-JP"/>
                <w14:ligatures w14:val="none"/>
              </w:rPr>
              <w:br/>
              <w:t>Approval</w:t>
            </w:r>
          </w:p>
        </w:tc>
        <w:tc>
          <w:tcPr>
            <w:tcW w:w="865" w:type="dxa"/>
            <w:tcBorders>
              <w:top w:val="single" w:sz="4" w:space="0" w:color="auto"/>
              <w:left w:val="nil"/>
              <w:bottom w:val="single" w:sz="4" w:space="0" w:color="auto"/>
              <w:right w:val="single" w:sz="4" w:space="0" w:color="auto"/>
            </w:tcBorders>
            <w:noWrap/>
            <w:vAlign w:val="center"/>
            <w:hideMark/>
          </w:tcPr>
          <w:p w14:paraId="2CB8DEBA" w14:textId="77777777" w:rsidR="0007779D" w:rsidRPr="0007779D" w:rsidRDefault="0007779D" w:rsidP="0007779D">
            <w:pPr>
              <w:spacing w:after="0" w:line="240" w:lineRule="auto"/>
              <w:jc w:val="center"/>
              <w:rPr>
                <w:rFonts w:ascii="Calibri" w:eastAsia="Times New Roman" w:hAnsi="Calibri" w:cs="Calibri"/>
                <w:b/>
                <w:bCs/>
                <w:kern w:val="0"/>
                <w:sz w:val="20"/>
                <w:szCs w:val="20"/>
                <w:lang w:val="en-GB" w:eastAsia="ja-JP"/>
                <w14:ligatures w14:val="none"/>
              </w:rPr>
            </w:pPr>
            <w:r w:rsidRPr="0007779D">
              <w:rPr>
                <w:rFonts w:ascii="Calibri" w:eastAsia="Times New Roman" w:hAnsi="Calibri" w:cs="Calibri"/>
                <w:b/>
                <w:bCs/>
                <w:kern w:val="0"/>
                <w:sz w:val="20"/>
                <w:szCs w:val="20"/>
                <w:lang w:val="en-GB" w:eastAsia="ja-JP"/>
                <w14:ligatures w14:val="none"/>
              </w:rPr>
              <w:t>LO/BMS</w:t>
            </w:r>
          </w:p>
        </w:tc>
        <w:tc>
          <w:tcPr>
            <w:tcW w:w="1007" w:type="dxa"/>
            <w:tcBorders>
              <w:top w:val="single" w:sz="4" w:space="0" w:color="auto"/>
              <w:left w:val="nil"/>
              <w:bottom w:val="single" w:sz="4" w:space="0" w:color="auto"/>
              <w:right w:val="single" w:sz="4" w:space="0" w:color="auto"/>
            </w:tcBorders>
            <w:vAlign w:val="center"/>
            <w:hideMark/>
          </w:tcPr>
          <w:p w14:paraId="4B45518C" w14:textId="77777777" w:rsidR="0007779D" w:rsidRPr="0007779D" w:rsidRDefault="0007779D" w:rsidP="0007779D">
            <w:pPr>
              <w:spacing w:after="0" w:line="240" w:lineRule="auto"/>
              <w:jc w:val="center"/>
              <w:rPr>
                <w:rFonts w:ascii="Calibri" w:eastAsia="Times New Roman" w:hAnsi="Calibri" w:cs="Calibri"/>
                <w:b/>
                <w:bCs/>
                <w:kern w:val="0"/>
                <w:sz w:val="20"/>
                <w:szCs w:val="20"/>
                <w:lang w:val="en-GB" w:eastAsia="ja-JP"/>
                <w14:ligatures w14:val="none"/>
              </w:rPr>
            </w:pPr>
            <w:r w:rsidRPr="0007779D">
              <w:rPr>
                <w:rFonts w:ascii="Calibri" w:eastAsia="Times New Roman" w:hAnsi="Calibri" w:cs="Calibri"/>
                <w:b/>
                <w:bCs/>
                <w:kern w:val="0"/>
                <w:sz w:val="20"/>
                <w:szCs w:val="20"/>
                <w:lang w:val="en-GB" w:eastAsia="ja-JP"/>
                <w14:ligatures w14:val="none"/>
              </w:rPr>
              <w:t>BU/CO</w:t>
            </w:r>
            <w:r w:rsidRPr="0007779D">
              <w:rPr>
                <w:rFonts w:ascii="Calibri" w:eastAsia="Times New Roman" w:hAnsi="Calibri" w:cs="Calibri"/>
                <w:b/>
                <w:bCs/>
                <w:kern w:val="0"/>
                <w:sz w:val="20"/>
                <w:szCs w:val="20"/>
                <w:lang w:val="en-GB" w:eastAsia="ja-JP"/>
                <w14:ligatures w14:val="none"/>
              </w:rPr>
              <w:br/>
              <w:t>Finance</w:t>
            </w:r>
          </w:p>
        </w:tc>
        <w:tc>
          <w:tcPr>
            <w:tcW w:w="1293" w:type="dxa"/>
            <w:tcBorders>
              <w:top w:val="single" w:sz="4" w:space="0" w:color="auto"/>
              <w:left w:val="nil"/>
              <w:bottom w:val="single" w:sz="4" w:space="0" w:color="auto"/>
              <w:right w:val="single" w:sz="4" w:space="0" w:color="auto"/>
            </w:tcBorders>
            <w:vAlign w:val="center"/>
            <w:hideMark/>
          </w:tcPr>
          <w:p w14:paraId="3D5648BE" w14:textId="77777777" w:rsidR="0007779D" w:rsidRPr="0007779D" w:rsidRDefault="0007779D" w:rsidP="0007779D">
            <w:pPr>
              <w:spacing w:after="0" w:line="240" w:lineRule="auto"/>
              <w:jc w:val="center"/>
              <w:rPr>
                <w:rFonts w:ascii="Calibri" w:eastAsia="Times New Roman" w:hAnsi="Calibri" w:cs="Calibri"/>
                <w:b/>
                <w:bCs/>
                <w:kern w:val="0"/>
                <w:sz w:val="20"/>
                <w:szCs w:val="20"/>
                <w:lang w:val="en-GB" w:eastAsia="ja-JP"/>
                <w14:ligatures w14:val="none"/>
              </w:rPr>
            </w:pPr>
            <w:r w:rsidRPr="0007779D">
              <w:rPr>
                <w:rFonts w:ascii="Calibri" w:eastAsia="Times New Roman" w:hAnsi="Calibri" w:cs="Calibri"/>
                <w:b/>
                <w:bCs/>
                <w:kern w:val="0"/>
                <w:sz w:val="20"/>
                <w:szCs w:val="20"/>
                <w:lang w:val="en-GB" w:eastAsia="ja-JP"/>
                <w14:ligatures w14:val="none"/>
              </w:rPr>
              <w:t>GSSC</w:t>
            </w:r>
            <w:r w:rsidRPr="0007779D">
              <w:rPr>
                <w:rFonts w:ascii="Calibri" w:eastAsia="Times New Roman" w:hAnsi="Calibri" w:cs="Calibri"/>
                <w:b/>
                <w:bCs/>
                <w:kern w:val="0"/>
                <w:sz w:val="20"/>
                <w:szCs w:val="20"/>
                <w:lang w:val="en-GB" w:eastAsia="ja-JP"/>
                <w14:ligatures w14:val="none"/>
              </w:rPr>
              <w:br/>
              <w:t>Rev Specialist</w:t>
            </w:r>
          </w:p>
        </w:tc>
        <w:tc>
          <w:tcPr>
            <w:tcW w:w="979" w:type="dxa"/>
            <w:tcBorders>
              <w:top w:val="single" w:sz="4" w:space="0" w:color="auto"/>
              <w:left w:val="nil"/>
              <w:bottom w:val="single" w:sz="4" w:space="0" w:color="auto"/>
              <w:right w:val="single" w:sz="4" w:space="0" w:color="auto"/>
            </w:tcBorders>
            <w:vAlign w:val="center"/>
          </w:tcPr>
          <w:p w14:paraId="3231758B" w14:textId="77777777" w:rsidR="0007779D" w:rsidRPr="0007779D" w:rsidRDefault="0007779D" w:rsidP="0007779D">
            <w:pPr>
              <w:spacing w:after="0" w:line="240" w:lineRule="auto"/>
              <w:jc w:val="center"/>
              <w:rPr>
                <w:rFonts w:ascii="Calibri" w:eastAsia="Times New Roman" w:hAnsi="Calibri" w:cs="Calibri"/>
                <w:b/>
                <w:bCs/>
                <w:kern w:val="0"/>
                <w:sz w:val="20"/>
                <w:szCs w:val="20"/>
                <w:lang w:val="en-GB" w:eastAsia="ja-JP"/>
                <w14:ligatures w14:val="none"/>
              </w:rPr>
            </w:pPr>
            <w:r w:rsidRPr="0007779D">
              <w:rPr>
                <w:rFonts w:ascii="Calibri" w:eastAsia="MS Mincho" w:hAnsi="Calibri" w:cs="Calibri"/>
                <w:b/>
                <w:bCs/>
                <w:kern w:val="0"/>
                <w:sz w:val="20"/>
                <w:szCs w:val="20"/>
                <w:lang w:val="en-GB" w:eastAsia="ja-JP"/>
                <w14:ligatures w14:val="none"/>
              </w:rPr>
              <w:t>GSSC</w:t>
            </w:r>
            <w:r w:rsidRPr="0007779D">
              <w:rPr>
                <w:rFonts w:ascii="Calibri" w:eastAsia="MS Mincho" w:hAnsi="Calibri" w:cs="Calibri"/>
                <w:b/>
                <w:bCs/>
                <w:kern w:val="0"/>
                <w:sz w:val="20"/>
                <w:szCs w:val="20"/>
                <w:lang w:val="en-GB" w:eastAsia="ja-JP"/>
                <w14:ligatures w14:val="none"/>
              </w:rPr>
              <w:br/>
              <w:t>Manager</w:t>
            </w:r>
          </w:p>
        </w:tc>
      </w:tr>
      <w:tr w:rsidR="0007779D" w:rsidRPr="0007779D" w14:paraId="4183D4D5"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2CBECF28"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Negotiate agreements/amendments</w:t>
            </w:r>
          </w:p>
        </w:tc>
        <w:tc>
          <w:tcPr>
            <w:tcW w:w="1150" w:type="dxa"/>
            <w:tcBorders>
              <w:top w:val="nil"/>
              <w:left w:val="nil"/>
              <w:bottom w:val="single" w:sz="4" w:space="0" w:color="auto"/>
              <w:right w:val="single" w:sz="4" w:space="0" w:color="auto"/>
            </w:tcBorders>
            <w:noWrap/>
            <w:vAlign w:val="center"/>
            <w:hideMark/>
          </w:tcPr>
          <w:p w14:paraId="2F1E0B86"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008" w:type="dxa"/>
            <w:tcBorders>
              <w:top w:val="nil"/>
              <w:left w:val="nil"/>
              <w:bottom w:val="single" w:sz="4" w:space="0" w:color="auto"/>
              <w:right w:val="single" w:sz="4" w:space="0" w:color="auto"/>
            </w:tcBorders>
            <w:noWrap/>
            <w:vAlign w:val="center"/>
            <w:hideMark/>
          </w:tcPr>
          <w:p w14:paraId="2EACCCED"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865" w:type="dxa"/>
            <w:tcBorders>
              <w:top w:val="nil"/>
              <w:left w:val="nil"/>
              <w:bottom w:val="single" w:sz="4" w:space="0" w:color="auto"/>
              <w:right w:val="single" w:sz="4" w:space="0" w:color="auto"/>
            </w:tcBorders>
            <w:noWrap/>
            <w:vAlign w:val="center"/>
            <w:hideMark/>
          </w:tcPr>
          <w:p w14:paraId="363E713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148B4CDD"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3F107EF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76E4C5C4"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7756930A"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7988C71E"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Clear non-standard agreements/amendments</w:t>
            </w:r>
          </w:p>
        </w:tc>
        <w:tc>
          <w:tcPr>
            <w:tcW w:w="1150" w:type="dxa"/>
            <w:tcBorders>
              <w:top w:val="nil"/>
              <w:left w:val="nil"/>
              <w:bottom w:val="single" w:sz="4" w:space="0" w:color="auto"/>
              <w:right w:val="single" w:sz="4" w:space="0" w:color="auto"/>
            </w:tcBorders>
            <w:noWrap/>
            <w:vAlign w:val="center"/>
            <w:hideMark/>
          </w:tcPr>
          <w:p w14:paraId="0F4BBEA4"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67DD4D0D"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2FE1E3C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007" w:type="dxa"/>
            <w:tcBorders>
              <w:top w:val="nil"/>
              <w:left w:val="nil"/>
              <w:bottom w:val="single" w:sz="4" w:space="0" w:color="auto"/>
              <w:right w:val="single" w:sz="4" w:space="0" w:color="auto"/>
            </w:tcBorders>
            <w:noWrap/>
            <w:vAlign w:val="center"/>
            <w:hideMark/>
          </w:tcPr>
          <w:p w14:paraId="07EB62D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6C3CACD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6EC0D920"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6C4C0C07"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4F53CE8F"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Sign all agreements/amendments</w:t>
            </w:r>
          </w:p>
        </w:tc>
        <w:tc>
          <w:tcPr>
            <w:tcW w:w="1150" w:type="dxa"/>
            <w:tcBorders>
              <w:top w:val="nil"/>
              <w:left w:val="nil"/>
              <w:bottom w:val="single" w:sz="4" w:space="0" w:color="auto"/>
              <w:right w:val="single" w:sz="4" w:space="0" w:color="auto"/>
            </w:tcBorders>
            <w:noWrap/>
            <w:vAlign w:val="center"/>
            <w:hideMark/>
          </w:tcPr>
          <w:p w14:paraId="5D281B64"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66AFA431"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865" w:type="dxa"/>
            <w:tcBorders>
              <w:top w:val="nil"/>
              <w:left w:val="nil"/>
              <w:bottom w:val="single" w:sz="4" w:space="0" w:color="auto"/>
              <w:right w:val="single" w:sz="4" w:space="0" w:color="auto"/>
            </w:tcBorders>
            <w:noWrap/>
            <w:vAlign w:val="center"/>
            <w:hideMark/>
          </w:tcPr>
          <w:p w14:paraId="7B3AD5F9"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1B2F9A0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0C35FAC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0DE3840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1554ACD7"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3C765770"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Set up and finalize project budget</w:t>
            </w:r>
          </w:p>
        </w:tc>
        <w:tc>
          <w:tcPr>
            <w:tcW w:w="1150" w:type="dxa"/>
            <w:tcBorders>
              <w:top w:val="nil"/>
              <w:left w:val="nil"/>
              <w:bottom w:val="single" w:sz="4" w:space="0" w:color="auto"/>
              <w:right w:val="single" w:sz="4" w:space="0" w:color="auto"/>
            </w:tcBorders>
            <w:noWrap/>
            <w:vAlign w:val="center"/>
            <w:hideMark/>
          </w:tcPr>
          <w:p w14:paraId="230536E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008" w:type="dxa"/>
            <w:tcBorders>
              <w:top w:val="nil"/>
              <w:left w:val="nil"/>
              <w:bottom w:val="single" w:sz="4" w:space="0" w:color="auto"/>
              <w:right w:val="single" w:sz="4" w:space="0" w:color="auto"/>
            </w:tcBorders>
            <w:noWrap/>
            <w:vAlign w:val="center"/>
            <w:hideMark/>
          </w:tcPr>
          <w:p w14:paraId="1A194119"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55E3207E"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05625566"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293" w:type="dxa"/>
            <w:tcBorders>
              <w:top w:val="nil"/>
              <w:left w:val="nil"/>
              <w:bottom w:val="single" w:sz="4" w:space="0" w:color="auto"/>
              <w:right w:val="single" w:sz="4" w:space="0" w:color="auto"/>
            </w:tcBorders>
            <w:noWrap/>
            <w:vAlign w:val="center"/>
            <w:hideMark/>
          </w:tcPr>
          <w:p w14:paraId="2872D271"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58000F38"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5B7F0D9D"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6C77713F"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Upload signed agreements/amendments within 1 week</w:t>
            </w:r>
          </w:p>
        </w:tc>
        <w:tc>
          <w:tcPr>
            <w:tcW w:w="1150" w:type="dxa"/>
            <w:tcBorders>
              <w:top w:val="nil"/>
              <w:left w:val="nil"/>
              <w:bottom w:val="single" w:sz="4" w:space="0" w:color="auto"/>
              <w:right w:val="single" w:sz="4" w:space="0" w:color="auto"/>
            </w:tcBorders>
            <w:noWrap/>
            <w:vAlign w:val="center"/>
            <w:hideMark/>
          </w:tcPr>
          <w:p w14:paraId="3D40601E"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69B43DD5"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42B4F38A"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32EFC2D6"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293" w:type="dxa"/>
            <w:tcBorders>
              <w:top w:val="nil"/>
              <w:left w:val="nil"/>
              <w:bottom w:val="single" w:sz="4" w:space="0" w:color="auto"/>
              <w:right w:val="single" w:sz="4" w:space="0" w:color="auto"/>
            </w:tcBorders>
            <w:noWrap/>
            <w:vAlign w:val="center"/>
            <w:hideMark/>
          </w:tcPr>
          <w:p w14:paraId="33124D15"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6023E117"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067CB2F2" w14:textId="77777777" w:rsidTr="004C49CC">
        <w:trPr>
          <w:trHeight w:val="1002"/>
        </w:trPr>
        <w:tc>
          <w:tcPr>
            <w:tcW w:w="3150" w:type="dxa"/>
            <w:tcBorders>
              <w:top w:val="nil"/>
              <w:left w:val="single" w:sz="4" w:space="0" w:color="auto"/>
              <w:bottom w:val="single" w:sz="4" w:space="0" w:color="auto"/>
              <w:right w:val="single" w:sz="4" w:space="0" w:color="auto"/>
            </w:tcBorders>
            <w:vAlign w:val="center"/>
            <w:hideMark/>
          </w:tcPr>
          <w:p w14:paraId="343A2D35"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Enter Agreements/ Process Amendments in Contract Management Module and activate contract</w:t>
            </w:r>
          </w:p>
        </w:tc>
        <w:tc>
          <w:tcPr>
            <w:tcW w:w="1150" w:type="dxa"/>
            <w:tcBorders>
              <w:top w:val="nil"/>
              <w:left w:val="nil"/>
              <w:bottom w:val="single" w:sz="4" w:space="0" w:color="auto"/>
              <w:right w:val="single" w:sz="4" w:space="0" w:color="auto"/>
            </w:tcBorders>
            <w:noWrap/>
            <w:vAlign w:val="center"/>
            <w:hideMark/>
          </w:tcPr>
          <w:p w14:paraId="36E516A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0DA3F58B"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660F9149"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7E459BC5"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4F75D73E"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979" w:type="dxa"/>
            <w:tcBorders>
              <w:top w:val="nil"/>
              <w:left w:val="nil"/>
              <w:bottom w:val="single" w:sz="4" w:space="0" w:color="auto"/>
              <w:right w:val="single" w:sz="4" w:space="0" w:color="auto"/>
            </w:tcBorders>
            <w:vAlign w:val="center"/>
          </w:tcPr>
          <w:p w14:paraId="76CF36F8"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2970E780"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78E9A249"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Review contract and notify BUs of contract activation</w:t>
            </w:r>
          </w:p>
        </w:tc>
        <w:tc>
          <w:tcPr>
            <w:tcW w:w="1150" w:type="dxa"/>
            <w:tcBorders>
              <w:top w:val="nil"/>
              <w:left w:val="nil"/>
              <w:bottom w:val="single" w:sz="4" w:space="0" w:color="auto"/>
              <w:right w:val="single" w:sz="4" w:space="0" w:color="auto"/>
            </w:tcBorders>
            <w:noWrap/>
            <w:vAlign w:val="center"/>
            <w:hideMark/>
          </w:tcPr>
          <w:p w14:paraId="3603C973"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4A540F3A"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15D904BB"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4197398C"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618791DD"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p>
        </w:tc>
        <w:tc>
          <w:tcPr>
            <w:tcW w:w="979" w:type="dxa"/>
            <w:tcBorders>
              <w:top w:val="nil"/>
              <w:left w:val="nil"/>
              <w:bottom w:val="single" w:sz="4" w:space="0" w:color="auto"/>
              <w:right w:val="single" w:sz="4" w:space="0" w:color="auto"/>
            </w:tcBorders>
            <w:vAlign w:val="center"/>
          </w:tcPr>
          <w:p w14:paraId="28F3BB9B"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r w:rsidRPr="0007779D">
              <w:rPr>
                <w:rFonts w:ascii="Calibri" w:eastAsia="Times New Roman" w:hAnsi="Calibri" w:cs="Calibri"/>
                <w:kern w:val="0"/>
                <w:sz w:val="20"/>
                <w:szCs w:val="20"/>
                <w:lang w:val="en-GB" w:eastAsia="ja-JP"/>
                <w14:ligatures w14:val="none"/>
              </w:rPr>
              <w:t>√</w:t>
            </w:r>
          </w:p>
        </w:tc>
      </w:tr>
      <w:tr w:rsidR="0007779D" w:rsidRPr="0007779D" w14:paraId="73B56B4A"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6B6DEA32"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Record Contributions Received in Bank Acct.</w:t>
            </w:r>
          </w:p>
        </w:tc>
        <w:tc>
          <w:tcPr>
            <w:tcW w:w="1150" w:type="dxa"/>
            <w:tcBorders>
              <w:top w:val="nil"/>
              <w:left w:val="nil"/>
              <w:bottom w:val="single" w:sz="4" w:space="0" w:color="auto"/>
              <w:right w:val="single" w:sz="4" w:space="0" w:color="auto"/>
            </w:tcBorders>
            <w:noWrap/>
            <w:vAlign w:val="center"/>
            <w:hideMark/>
          </w:tcPr>
          <w:p w14:paraId="72BE720D"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0F2A6086"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67C5BBA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27BC3695"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7A86A7D9"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979" w:type="dxa"/>
            <w:tcBorders>
              <w:top w:val="nil"/>
              <w:left w:val="nil"/>
              <w:bottom w:val="single" w:sz="4" w:space="0" w:color="auto"/>
              <w:right w:val="single" w:sz="4" w:space="0" w:color="auto"/>
            </w:tcBorders>
            <w:vAlign w:val="center"/>
          </w:tcPr>
          <w:p w14:paraId="1AE2391A"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1C4546E8"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11E1F5B7"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Create and release event (Generate GL Entries)</w:t>
            </w:r>
          </w:p>
        </w:tc>
        <w:tc>
          <w:tcPr>
            <w:tcW w:w="1150" w:type="dxa"/>
            <w:tcBorders>
              <w:top w:val="nil"/>
              <w:left w:val="nil"/>
              <w:bottom w:val="single" w:sz="4" w:space="0" w:color="auto"/>
              <w:right w:val="single" w:sz="4" w:space="0" w:color="auto"/>
            </w:tcBorders>
            <w:noWrap/>
            <w:vAlign w:val="center"/>
            <w:hideMark/>
          </w:tcPr>
          <w:p w14:paraId="249C1C76"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13FCB070"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60097CCC"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67057C38"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587B4F94"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0DA8B570"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r>
      <w:tr w:rsidR="0007779D" w:rsidRPr="0007779D" w14:paraId="59F85DB4"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28BDF51E"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Apply Cash using AR Report to Identify Invoice number</w:t>
            </w:r>
          </w:p>
        </w:tc>
        <w:tc>
          <w:tcPr>
            <w:tcW w:w="1150" w:type="dxa"/>
            <w:tcBorders>
              <w:top w:val="nil"/>
              <w:left w:val="nil"/>
              <w:bottom w:val="single" w:sz="4" w:space="0" w:color="auto"/>
              <w:right w:val="single" w:sz="4" w:space="0" w:color="auto"/>
            </w:tcBorders>
            <w:noWrap/>
            <w:vAlign w:val="center"/>
            <w:hideMark/>
          </w:tcPr>
          <w:p w14:paraId="1A715AA4"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09AEF7C9"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186481F6"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62DA66B9"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6FA3B56D"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7673F7DA"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4E16C6F2"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282FB7CE"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Review Report on Outstanding Receivables</w:t>
            </w:r>
          </w:p>
        </w:tc>
        <w:tc>
          <w:tcPr>
            <w:tcW w:w="1150" w:type="dxa"/>
            <w:tcBorders>
              <w:top w:val="nil"/>
              <w:left w:val="nil"/>
              <w:bottom w:val="single" w:sz="4" w:space="0" w:color="auto"/>
              <w:right w:val="single" w:sz="4" w:space="0" w:color="auto"/>
            </w:tcBorders>
            <w:noWrap/>
            <w:vAlign w:val="center"/>
            <w:hideMark/>
          </w:tcPr>
          <w:p w14:paraId="49AB2583"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008" w:type="dxa"/>
            <w:tcBorders>
              <w:top w:val="nil"/>
              <w:left w:val="nil"/>
              <w:bottom w:val="single" w:sz="4" w:space="0" w:color="auto"/>
              <w:right w:val="single" w:sz="4" w:space="0" w:color="auto"/>
            </w:tcBorders>
            <w:noWrap/>
            <w:vAlign w:val="center"/>
            <w:hideMark/>
          </w:tcPr>
          <w:p w14:paraId="45CAFDF6"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177DAB60"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4B242FA8"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293" w:type="dxa"/>
            <w:tcBorders>
              <w:top w:val="nil"/>
              <w:left w:val="nil"/>
              <w:bottom w:val="single" w:sz="4" w:space="0" w:color="auto"/>
              <w:right w:val="single" w:sz="4" w:space="0" w:color="auto"/>
            </w:tcBorders>
            <w:noWrap/>
            <w:vAlign w:val="center"/>
            <w:hideMark/>
          </w:tcPr>
          <w:p w14:paraId="4645193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979" w:type="dxa"/>
            <w:tcBorders>
              <w:top w:val="nil"/>
              <w:left w:val="nil"/>
              <w:bottom w:val="single" w:sz="4" w:space="0" w:color="auto"/>
              <w:right w:val="single" w:sz="4" w:space="0" w:color="auto"/>
            </w:tcBorders>
            <w:vAlign w:val="center"/>
          </w:tcPr>
          <w:p w14:paraId="63E472D8"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196CBD03"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5ADB2321"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Review Report on Pending/Past Due Event</w:t>
            </w:r>
          </w:p>
        </w:tc>
        <w:tc>
          <w:tcPr>
            <w:tcW w:w="1150" w:type="dxa"/>
            <w:tcBorders>
              <w:top w:val="nil"/>
              <w:left w:val="nil"/>
              <w:bottom w:val="single" w:sz="4" w:space="0" w:color="auto"/>
              <w:right w:val="single" w:sz="4" w:space="0" w:color="auto"/>
            </w:tcBorders>
            <w:noWrap/>
            <w:vAlign w:val="center"/>
            <w:hideMark/>
          </w:tcPr>
          <w:p w14:paraId="23DF9470"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008" w:type="dxa"/>
            <w:tcBorders>
              <w:top w:val="nil"/>
              <w:left w:val="nil"/>
              <w:bottom w:val="single" w:sz="4" w:space="0" w:color="auto"/>
              <w:right w:val="single" w:sz="4" w:space="0" w:color="auto"/>
            </w:tcBorders>
            <w:noWrap/>
            <w:vAlign w:val="center"/>
            <w:hideMark/>
          </w:tcPr>
          <w:p w14:paraId="534E524C"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7EB7FDA1"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738A0963"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293" w:type="dxa"/>
            <w:tcBorders>
              <w:top w:val="nil"/>
              <w:left w:val="nil"/>
              <w:bottom w:val="single" w:sz="4" w:space="0" w:color="auto"/>
              <w:right w:val="single" w:sz="4" w:space="0" w:color="auto"/>
            </w:tcBorders>
            <w:noWrap/>
            <w:vAlign w:val="center"/>
            <w:hideMark/>
          </w:tcPr>
          <w:p w14:paraId="11971D91"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979" w:type="dxa"/>
            <w:tcBorders>
              <w:top w:val="nil"/>
              <w:left w:val="nil"/>
              <w:bottom w:val="single" w:sz="4" w:space="0" w:color="auto"/>
              <w:right w:val="single" w:sz="4" w:space="0" w:color="auto"/>
            </w:tcBorders>
            <w:vAlign w:val="center"/>
          </w:tcPr>
          <w:p w14:paraId="6D560E3A"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18BAAD36"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7B9BCBF7"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Follow Up with Donor on Outstanding Payments</w:t>
            </w:r>
          </w:p>
        </w:tc>
        <w:tc>
          <w:tcPr>
            <w:tcW w:w="1150" w:type="dxa"/>
            <w:tcBorders>
              <w:top w:val="nil"/>
              <w:left w:val="nil"/>
              <w:bottom w:val="single" w:sz="4" w:space="0" w:color="auto"/>
              <w:right w:val="single" w:sz="4" w:space="0" w:color="auto"/>
            </w:tcBorders>
            <w:noWrap/>
            <w:vAlign w:val="center"/>
            <w:hideMark/>
          </w:tcPr>
          <w:p w14:paraId="22ECC58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008" w:type="dxa"/>
            <w:tcBorders>
              <w:top w:val="nil"/>
              <w:left w:val="nil"/>
              <w:bottom w:val="single" w:sz="4" w:space="0" w:color="auto"/>
              <w:right w:val="single" w:sz="4" w:space="0" w:color="auto"/>
            </w:tcBorders>
            <w:noWrap/>
            <w:vAlign w:val="center"/>
            <w:hideMark/>
          </w:tcPr>
          <w:p w14:paraId="7063B81E"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3C9B4771"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2C108D4C"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12096EE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0EEF9884"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4FF9EB62"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4C93BF5E"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Follow Up with Donor on Pending/Past Due Events</w:t>
            </w:r>
          </w:p>
        </w:tc>
        <w:tc>
          <w:tcPr>
            <w:tcW w:w="1150" w:type="dxa"/>
            <w:tcBorders>
              <w:top w:val="nil"/>
              <w:left w:val="nil"/>
              <w:bottom w:val="single" w:sz="4" w:space="0" w:color="auto"/>
              <w:right w:val="single" w:sz="4" w:space="0" w:color="auto"/>
            </w:tcBorders>
            <w:noWrap/>
            <w:vAlign w:val="center"/>
            <w:hideMark/>
          </w:tcPr>
          <w:p w14:paraId="5B214F51"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008" w:type="dxa"/>
            <w:tcBorders>
              <w:top w:val="nil"/>
              <w:left w:val="nil"/>
              <w:bottom w:val="single" w:sz="4" w:space="0" w:color="auto"/>
              <w:right w:val="single" w:sz="4" w:space="0" w:color="auto"/>
            </w:tcBorders>
            <w:noWrap/>
            <w:vAlign w:val="center"/>
            <w:hideMark/>
          </w:tcPr>
          <w:p w14:paraId="27ECABEC"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3D8C39E0"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4795289B"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4043A12B"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7D8AC6C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76DD1DB9"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41C7F5EE"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Access Reports on Financially Closed Projects</w:t>
            </w:r>
          </w:p>
        </w:tc>
        <w:tc>
          <w:tcPr>
            <w:tcW w:w="1150" w:type="dxa"/>
            <w:tcBorders>
              <w:top w:val="nil"/>
              <w:left w:val="nil"/>
              <w:bottom w:val="single" w:sz="4" w:space="0" w:color="auto"/>
              <w:right w:val="single" w:sz="4" w:space="0" w:color="auto"/>
            </w:tcBorders>
            <w:noWrap/>
            <w:vAlign w:val="center"/>
            <w:hideMark/>
          </w:tcPr>
          <w:p w14:paraId="2F32717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3D36EEEB"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7F78724D"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4AC5F85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27D62CDB"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979" w:type="dxa"/>
            <w:tcBorders>
              <w:top w:val="nil"/>
              <w:left w:val="nil"/>
              <w:bottom w:val="single" w:sz="4" w:space="0" w:color="auto"/>
              <w:right w:val="single" w:sz="4" w:space="0" w:color="auto"/>
            </w:tcBorders>
            <w:vAlign w:val="center"/>
          </w:tcPr>
          <w:p w14:paraId="5E8386F4"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4CEBA77F"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1BCA2F4E"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Close Agreements in Contract Management Module</w:t>
            </w:r>
          </w:p>
        </w:tc>
        <w:tc>
          <w:tcPr>
            <w:tcW w:w="1150" w:type="dxa"/>
            <w:tcBorders>
              <w:top w:val="nil"/>
              <w:left w:val="nil"/>
              <w:bottom w:val="single" w:sz="4" w:space="0" w:color="auto"/>
              <w:right w:val="single" w:sz="4" w:space="0" w:color="auto"/>
            </w:tcBorders>
            <w:noWrap/>
            <w:vAlign w:val="center"/>
            <w:hideMark/>
          </w:tcPr>
          <w:p w14:paraId="368588CC"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3BDDBC3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4489ABF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70963E53"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4EE1E71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4B6A6D30"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r>
      <w:tr w:rsidR="0007779D" w:rsidRPr="0007779D" w14:paraId="6E229661"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0785A3E8"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Review Aging of Receivables</w:t>
            </w:r>
          </w:p>
        </w:tc>
        <w:tc>
          <w:tcPr>
            <w:tcW w:w="1150" w:type="dxa"/>
            <w:tcBorders>
              <w:top w:val="nil"/>
              <w:left w:val="nil"/>
              <w:bottom w:val="single" w:sz="4" w:space="0" w:color="auto"/>
              <w:right w:val="single" w:sz="4" w:space="0" w:color="auto"/>
            </w:tcBorders>
            <w:noWrap/>
            <w:vAlign w:val="center"/>
            <w:hideMark/>
          </w:tcPr>
          <w:p w14:paraId="2CEDBCEC"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377561B5"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2D322A88"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78966BB5"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293" w:type="dxa"/>
            <w:tcBorders>
              <w:top w:val="nil"/>
              <w:left w:val="nil"/>
              <w:bottom w:val="single" w:sz="4" w:space="0" w:color="auto"/>
              <w:right w:val="single" w:sz="4" w:space="0" w:color="auto"/>
            </w:tcBorders>
            <w:noWrap/>
            <w:vAlign w:val="center"/>
            <w:hideMark/>
          </w:tcPr>
          <w:p w14:paraId="3DAF09D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979" w:type="dxa"/>
            <w:tcBorders>
              <w:top w:val="nil"/>
              <w:left w:val="nil"/>
              <w:bottom w:val="single" w:sz="4" w:space="0" w:color="auto"/>
              <w:right w:val="single" w:sz="4" w:space="0" w:color="auto"/>
            </w:tcBorders>
            <w:vAlign w:val="center"/>
          </w:tcPr>
          <w:p w14:paraId="7F189BEC"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1C6F9EF5"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3FF00BF0"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Communicate to OFM on Outstanding AR for Doubtful Debt Provision and Write-offs</w:t>
            </w:r>
          </w:p>
        </w:tc>
        <w:tc>
          <w:tcPr>
            <w:tcW w:w="1150" w:type="dxa"/>
            <w:tcBorders>
              <w:top w:val="nil"/>
              <w:left w:val="nil"/>
              <w:bottom w:val="single" w:sz="4" w:space="0" w:color="auto"/>
              <w:right w:val="single" w:sz="4" w:space="0" w:color="auto"/>
            </w:tcBorders>
            <w:noWrap/>
            <w:vAlign w:val="center"/>
            <w:hideMark/>
          </w:tcPr>
          <w:p w14:paraId="7706C409"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008" w:type="dxa"/>
            <w:tcBorders>
              <w:top w:val="nil"/>
              <w:left w:val="nil"/>
              <w:bottom w:val="single" w:sz="4" w:space="0" w:color="auto"/>
              <w:right w:val="single" w:sz="4" w:space="0" w:color="auto"/>
            </w:tcBorders>
            <w:noWrap/>
            <w:vAlign w:val="center"/>
            <w:hideMark/>
          </w:tcPr>
          <w:p w14:paraId="599B82E8"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865" w:type="dxa"/>
            <w:tcBorders>
              <w:top w:val="nil"/>
              <w:left w:val="nil"/>
              <w:bottom w:val="single" w:sz="4" w:space="0" w:color="auto"/>
              <w:right w:val="single" w:sz="4" w:space="0" w:color="auto"/>
            </w:tcBorders>
            <w:noWrap/>
            <w:vAlign w:val="center"/>
            <w:hideMark/>
          </w:tcPr>
          <w:p w14:paraId="3DF9DF04"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35ED6309"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1293" w:type="dxa"/>
            <w:tcBorders>
              <w:top w:val="nil"/>
              <w:left w:val="nil"/>
              <w:bottom w:val="single" w:sz="4" w:space="0" w:color="auto"/>
              <w:right w:val="single" w:sz="4" w:space="0" w:color="auto"/>
            </w:tcBorders>
            <w:noWrap/>
            <w:vAlign w:val="center"/>
            <w:hideMark/>
          </w:tcPr>
          <w:p w14:paraId="6EFD2E27"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979" w:type="dxa"/>
            <w:tcBorders>
              <w:top w:val="nil"/>
              <w:left w:val="nil"/>
              <w:bottom w:val="single" w:sz="4" w:space="0" w:color="auto"/>
              <w:right w:val="single" w:sz="4" w:space="0" w:color="auto"/>
            </w:tcBorders>
            <w:vAlign w:val="center"/>
          </w:tcPr>
          <w:p w14:paraId="01E07EDD"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182BC045"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0131D91A"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Review and Approve Provisions and Write-offs Submission</w:t>
            </w:r>
          </w:p>
        </w:tc>
        <w:tc>
          <w:tcPr>
            <w:tcW w:w="1150" w:type="dxa"/>
            <w:tcBorders>
              <w:top w:val="nil"/>
              <w:left w:val="nil"/>
              <w:bottom w:val="single" w:sz="4" w:space="0" w:color="auto"/>
              <w:right w:val="single" w:sz="4" w:space="0" w:color="auto"/>
            </w:tcBorders>
            <w:noWrap/>
            <w:vAlign w:val="center"/>
            <w:hideMark/>
          </w:tcPr>
          <w:p w14:paraId="7062787C"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0CB5162D"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1A20755F"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6A4379C0"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39A2BC74"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979" w:type="dxa"/>
            <w:tcBorders>
              <w:top w:val="nil"/>
              <w:left w:val="nil"/>
              <w:bottom w:val="single" w:sz="4" w:space="0" w:color="auto"/>
              <w:right w:val="single" w:sz="4" w:space="0" w:color="auto"/>
            </w:tcBorders>
            <w:vAlign w:val="center"/>
          </w:tcPr>
          <w:p w14:paraId="332471BA"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r w:rsidR="0007779D" w:rsidRPr="0007779D" w14:paraId="74BA892F" w14:textId="77777777" w:rsidTr="004C49CC">
        <w:trPr>
          <w:trHeight w:val="288"/>
        </w:trPr>
        <w:tc>
          <w:tcPr>
            <w:tcW w:w="3150" w:type="dxa"/>
            <w:tcBorders>
              <w:top w:val="nil"/>
              <w:left w:val="single" w:sz="4" w:space="0" w:color="auto"/>
              <w:bottom w:val="single" w:sz="4" w:space="0" w:color="auto"/>
              <w:right w:val="single" w:sz="4" w:space="0" w:color="auto"/>
            </w:tcBorders>
            <w:vAlign w:val="center"/>
            <w:hideMark/>
          </w:tcPr>
          <w:p w14:paraId="617BC66B" w14:textId="77777777" w:rsidR="0007779D" w:rsidRPr="0007779D" w:rsidRDefault="0007779D" w:rsidP="0007779D">
            <w:pPr>
              <w:spacing w:after="0" w:line="240" w:lineRule="auto"/>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Reconcile GL to AR and Balance Accounts</w:t>
            </w:r>
          </w:p>
        </w:tc>
        <w:tc>
          <w:tcPr>
            <w:tcW w:w="1150" w:type="dxa"/>
            <w:tcBorders>
              <w:top w:val="nil"/>
              <w:left w:val="nil"/>
              <w:bottom w:val="single" w:sz="4" w:space="0" w:color="auto"/>
              <w:right w:val="single" w:sz="4" w:space="0" w:color="auto"/>
            </w:tcBorders>
            <w:noWrap/>
            <w:vAlign w:val="center"/>
            <w:hideMark/>
          </w:tcPr>
          <w:p w14:paraId="6477EF47"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8" w:type="dxa"/>
            <w:tcBorders>
              <w:top w:val="nil"/>
              <w:left w:val="nil"/>
              <w:bottom w:val="single" w:sz="4" w:space="0" w:color="auto"/>
              <w:right w:val="single" w:sz="4" w:space="0" w:color="auto"/>
            </w:tcBorders>
            <w:noWrap/>
            <w:vAlign w:val="center"/>
            <w:hideMark/>
          </w:tcPr>
          <w:p w14:paraId="68237306"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865" w:type="dxa"/>
            <w:tcBorders>
              <w:top w:val="nil"/>
              <w:left w:val="nil"/>
              <w:bottom w:val="single" w:sz="4" w:space="0" w:color="auto"/>
              <w:right w:val="single" w:sz="4" w:space="0" w:color="auto"/>
            </w:tcBorders>
            <w:noWrap/>
            <w:vAlign w:val="center"/>
            <w:hideMark/>
          </w:tcPr>
          <w:p w14:paraId="33008D2A"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007" w:type="dxa"/>
            <w:tcBorders>
              <w:top w:val="nil"/>
              <w:left w:val="nil"/>
              <w:bottom w:val="single" w:sz="4" w:space="0" w:color="auto"/>
              <w:right w:val="single" w:sz="4" w:space="0" w:color="auto"/>
            </w:tcBorders>
            <w:noWrap/>
            <w:vAlign w:val="center"/>
            <w:hideMark/>
          </w:tcPr>
          <w:p w14:paraId="373451E2"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 </w:t>
            </w:r>
          </w:p>
        </w:tc>
        <w:tc>
          <w:tcPr>
            <w:tcW w:w="1293" w:type="dxa"/>
            <w:tcBorders>
              <w:top w:val="nil"/>
              <w:left w:val="nil"/>
              <w:bottom w:val="single" w:sz="4" w:space="0" w:color="auto"/>
              <w:right w:val="single" w:sz="4" w:space="0" w:color="auto"/>
            </w:tcBorders>
            <w:noWrap/>
            <w:vAlign w:val="center"/>
            <w:hideMark/>
          </w:tcPr>
          <w:p w14:paraId="6D362BD5"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Times New Roman" w:hAnsi="Calibri" w:cs="Calibri"/>
                <w:kern w:val="0"/>
                <w:sz w:val="20"/>
                <w:szCs w:val="20"/>
                <w:lang w:val="en-GB" w:eastAsia="ja-JP"/>
                <w14:ligatures w14:val="none"/>
              </w:rPr>
              <w:t>√</w:t>
            </w:r>
          </w:p>
        </w:tc>
        <w:tc>
          <w:tcPr>
            <w:tcW w:w="979" w:type="dxa"/>
            <w:tcBorders>
              <w:top w:val="nil"/>
              <w:left w:val="nil"/>
              <w:bottom w:val="single" w:sz="4" w:space="0" w:color="auto"/>
              <w:right w:val="single" w:sz="4" w:space="0" w:color="auto"/>
            </w:tcBorders>
            <w:vAlign w:val="center"/>
          </w:tcPr>
          <w:p w14:paraId="523C7753" w14:textId="77777777" w:rsidR="0007779D" w:rsidRPr="0007779D" w:rsidRDefault="0007779D" w:rsidP="0007779D">
            <w:pPr>
              <w:spacing w:after="0" w:line="240" w:lineRule="auto"/>
              <w:jc w:val="center"/>
              <w:rPr>
                <w:rFonts w:ascii="Calibri" w:eastAsia="Times New Roman" w:hAnsi="Calibri" w:cs="Calibri"/>
                <w:kern w:val="0"/>
                <w:sz w:val="20"/>
                <w:szCs w:val="20"/>
                <w:lang w:val="en-GB" w:eastAsia="ja-JP"/>
                <w14:ligatures w14:val="none"/>
              </w:rPr>
            </w:pPr>
            <w:r w:rsidRPr="0007779D">
              <w:rPr>
                <w:rFonts w:ascii="Calibri" w:eastAsia="MS Mincho" w:hAnsi="Calibri" w:cs="Calibri"/>
                <w:kern w:val="0"/>
                <w:sz w:val="20"/>
                <w:szCs w:val="20"/>
                <w:lang w:val="en-GB" w:eastAsia="ja-JP"/>
                <w14:ligatures w14:val="none"/>
              </w:rPr>
              <w:t> </w:t>
            </w:r>
          </w:p>
        </w:tc>
      </w:tr>
    </w:tbl>
    <w:p w14:paraId="332DCEB4" w14:textId="77777777" w:rsidR="0007779D" w:rsidRPr="0007779D" w:rsidRDefault="0007779D" w:rsidP="0007779D">
      <w:pPr>
        <w:keepNext/>
        <w:keepLines/>
        <w:spacing w:line="259" w:lineRule="auto"/>
        <w:outlineLvl w:val="0"/>
        <w:rPr>
          <w:rFonts w:ascii="Calibri" w:eastAsia="Calibri" w:hAnsi="Calibri" w:cs="Calibri"/>
          <w:b/>
          <w:color w:val="000000"/>
          <w:kern w:val="0"/>
          <w:sz w:val="22"/>
          <w:szCs w:val="22"/>
          <w:lang w:val="en-GB"/>
          <w14:ligatures w14:val="none"/>
        </w:rPr>
      </w:pPr>
    </w:p>
    <w:p w14:paraId="7F5FA854" w14:textId="77777777" w:rsidR="0007779D" w:rsidRPr="0007779D" w:rsidRDefault="0007779D" w:rsidP="0007779D">
      <w:pPr>
        <w:keepNext/>
        <w:keepLines/>
        <w:spacing w:line="259" w:lineRule="auto"/>
        <w:outlineLvl w:val="0"/>
        <w:rPr>
          <w:rFonts w:ascii="Calibri" w:eastAsia="Calibri" w:hAnsi="Calibri" w:cs="Calibri"/>
          <w:b/>
          <w:color w:val="000000"/>
          <w:kern w:val="0"/>
          <w:sz w:val="22"/>
          <w:szCs w:val="22"/>
          <w:lang w:val="en-GB"/>
          <w14:ligatures w14:val="none"/>
        </w:rPr>
      </w:pPr>
      <w:r w:rsidRPr="0007779D">
        <w:rPr>
          <w:rFonts w:ascii="Calibri" w:eastAsia="Calibri" w:hAnsi="Calibri" w:cs="Calibri"/>
          <w:b/>
          <w:color w:val="000000"/>
          <w:kern w:val="0"/>
          <w:sz w:val="22"/>
          <w:szCs w:val="22"/>
          <w:lang w:val="en-GB"/>
          <w14:ligatures w14:val="none"/>
        </w:rPr>
        <w:t>UNDP Revenue Recognition policy paper</w:t>
      </w:r>
    </w:p>
    <w:p w14:paraId="13C98FA9" w14:textId="77777777" w:rsidR="0007779D" w:rsidRPr="0007779D" w:rsidRDefault="0007779D" w:rsidP="0007779D">
      <w:pPr>
        <w:numPr>
          <w:ilvl w:val="0"/>
          <w:numId w:val="17"/>
        </w:numPr>
        <w:spacing w:after="99" w:line="257" w:lineRule="auto"/>
        <w:contextualSpacing/>
        <w:jc w:val="both"/>
        <w:rPr>
          <w:rFonts w:ascii="Calibri" w:eastAsia="MS Mincho" w:hAnsi="Calibri" w:cs="Calibri"/>
          <w:kern w:val="0"/>
          <w:sz w:val="22"/>
          <w:szCs w:val="22"/>
          <w:lang w:val="en-GB" w:eastAsia="ja-JP"/>
          <w14:ligatures w14:val="none"/>
        </w:rPr>
      </w:pPr>
      <w:hyperlink r:id="rId7" w:history="1">
        <w:r w:rsidRPr="0007779D">
          <w:rPr>
            <w:rFonts w:ascii="Calibri" w:eastAsia="MS Mincho" w:hAnsi="Calibri" w:cs="Calibri"/>
            <w:color w:val="0563C1"/>
            <w:kern w:val="0"/>
            <w:sz w:val="22"/>
            <w:szCs w:val="22"/>
            <w:u w:val="single"/>
            <w:lang w:val="en-GB" w:eastAsia="ja-JP"/>
            <w14:ligatures w14:val="none"/>
          </w:rPr>
          <w:t>IPSAS 23 Policy paper</w:t>
        </w:r>
      </w:hyperlink>
      <w:r w:rsidRPr="0007779D">
        <w:rPr>
          <w:rFonts w:ascii="Calibri" w:eastAsia="MS Mincho" w:hAnsi="Calibri" w:cs="Calibri"/>
          <w:kern w:val="0"/>
          <w:sz w:val="22"/>
          <w:szCs w:val="22"/>
          <w:lang w:val="en-GB" w:eastAsia="ja-JP"/>
          <w14:ligatures w14:val="none"/>
        </w:rPr>
        <w:t xml:space="preserve"> </w:t>
      </w:r>
    </w:p>
    <w:p w14:paraId="319B3220" w14:textId="77777777" w:rsidR="00DA504D" w:rsidRDefault="00DA504D"/>
    <w:sectPr w:rsidR="00DA504D" w:rsidSect="0007779D">
      <w:headerReference w:type="default" r:id="rId8"/>
      <w:footerReference w:type="default" r:id="rId9"/>
      <w:pgSz w:w="12240" w:h="15840"/>
      <w:pgMar w:top="8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31FE4" w14:textId="77777777" w:rsidR="00111787" w:rsidRDefault="00111787" w:rsidP="0007779D">
      <w:pPr>
        <w:spacing w:after="0" w:line="240" w:lineRule="auto"/>
      </w:pPr>
      <w:r>
        <w:separator/>
      </w:r>
    </w:p>
  </w:endnote>
  <w:endnote w:type="continuationSeparator" w:id="0">
    <w:p w14:paraId="59945CC0" w14:textId="77777777" w:rsidR="00111787" w:rsidRDefault="00111787" w:rsidP="0007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AEFB" w14:textId="77777777" w:rsidR="0007779D" w:rsidRPr="0007779D" w:rsidRDefault="0007779D">
    <w:pPr>
      <w:pStyle w:val="Footer"/>
      <w:rPr>
        <w:rFonts w:ascii="Calibri" w:hAnsi="Calibri" w:cs="Calibri"/>
      </w:rPr>
    </w:pPr>
    <w:r w:rsidRPr="0007779D">
      <w:rPr>
        <w:rFonts w:ascii="Calibri" w:hAnsi="Calibri" w:cs="Calibri"/>
      </w:rPr>
      <w:t xml:space="preserve">Page </w:t>
    </w:r>
    <w:r w:rsidRPr="0007779D">
      <w:rPr>
        <w:rFonts w:ascii="Calibri" w:hAnsi="Calibri" w:cs="Calibri"/>
        <w:b/>
      </w:rPr>
      <w:fldChar w:fldCharType="begin"/>
    </w:r>
    <w:r w:rsidRPr="0007779D">
      <w:rPr>
        <w:rFonts w:ascii="Calibri" w:hAnsi="Calibri" w:cs="Calibri"/>
        <w:b/>
      </w:rPr>
      <w:instrText xml:space="preserve"> PAGE  \* Arabic  \* MERGEFORMAT </w:instrText>
    </w:r>
    <w:r w:rsidRPr="0007779D">
      <w:rPr>
        <w:rFonts w:ascii="Calibri" w:hAnsi="Calibri" w:cs="Calibri"/>
        <w:b/>
      </w:rPr>
      <w:fldChar w:fldCharType="separate"/>
    </w:r>
    <w:r w:rsidRPr="0007779D">
      <w:rPr>
        <w:rFonts w:ascii="Calibri" w:hAnsi="Calibri" w:cs="Calibri"/>
        <w:b/>
        <w:noProof/>
      </w:rPr>
      <w:t>1</w:t>
    </w:r>
    <w:r w:rsidRPr="0007779D">
      <w:rPr>
        <w:rFonts w:ascii="Calibri" w:hAnsi="Calibri" w:cs="Calibri"/>
        <w:b/>
      </w:rPr>
      <w:fldChar w:fldCharType="end"/>
    </w:r>
    <w:r w:rsidRPr="0007779D">
      <w:rPr>
        <w:rFonts w:ascii="Calibri" w:hAnsi="Calibri" w:cs="Calibri"/>
      </w:rPr>
      <w:t xml:space="preserve"> of </w:t>
    </w:r>
    <w:r w:rsidRPr="0007779D">
      <w:rPr>
        <w:rFonts w:ascii="Calibri" w:hAnsi="Calibri" w:cs="Calibri"/>
        <w:b/>
      </w:rPr>
      <w:fldChar w:fldCharType="begin"/>
    </w:r>
    <w:r w:rsidRPr="0007779D">
      <w:rPr>
        <w:rFonts w:ascii="Calibri" w:hAnsi="Calibri" w:cs="Calibri"/>
        <w:b/>
      </w:rPr>
      <w:instrText xml:space="preserve"> NUMPAGES  \* Arabic  \* MERGEFORMAT </w:instrText>
    </w:r>
    <w:r w:rsidRPr="0007779D">
      <w:rPr>
        <w:rFonts w:ascii="Calibri" w:hAnsi="Calibri" w:cs="Calibri"/>
        <w:b/>
      </w:rPr>
      <w:fldChar w:fldCharType="separate"/>
    </w:r>
    <w:r w:rsidRPr="0007779D">
      <w:rPr>
        <w:rFonts w:ascii="Calibri" w:hAnsi="Calibri" w:cs="Calibri"/>
        <w:b/>
        <w:noProof/>
      </w:rPr>
      <w:t>1</w:t>
    </w:r>
    <w:r w:rsidRPr="0007779D">
      <w:rPr>
        <w:rFonts w:ascii="Calibri" w:hAnsi="Calibri" w:cs="Calibri"/>
        <w:b/>
      </w:rPr>
      <w:fldChar w:fldCharType="end"/>
    </w:r>
    <w:r w:rsidRPr="0007779D">
      <w:rPr>
        <w:rFonts w:ascii="Calibri" w:hAnsi="Calibri" w:cs="Calibri"/>
      </w:rPr>
      <w:ptab w:relativeTo="margin" w:alignment="center" w:leader="none"/>
    </w:r>
    <w:r w:rsidRPr="0007779D">
      <w:rPr>
        <w:rFonts w:ascii="Calibri" w:hAnsi="Calibri" w:cs="Calibri"/>
      </w:rPr>
      <w:t>Effective Date: 01/01/2019</w:t>
    </w:r>
    <w:r w:rsidRPr="0007779D">
      <w:rPr>
        <w:rFonts w:ascii="Calibri" w:hAnsi="Calibri" w:cs="Calibri"/>
      </w:rPr>
      <w:ptab w:relativeTo="margin" w:alignment="right" w:leader="none"/>
    </w:r>
    <w:r w:rsidRPr="0007779D">
      <w:rPr>
        <w:rFonts w:ascii="Calibri" w:hAnsi="Calibri" w:cs="Calibri"/>
      </w:rPr>
      <w:t xml:space="preserve">Version #: </w:t>
    </w:r>
    <w:sdt>
      <w:sdtPr>
        <w:rPr>
          <w:rFonts w:ascii="Calibri" w:hAnsi="Calibri" w:cs="Calibri"/>
        </w:rPr>
        <w:alias w:val="POPPRefItemVersion"/>
        <w:tag w:val="UNDP_POPP_REFITEM_VERSION"/>
        <w:id w:val="-109639439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19B156C3-EEE9-4902-9EA8-8FDE96D4B621}"/>
        <w:text/>
      </w:sdtPr>
      <w:sdtContent>
        <w:r w:rsidRPr="0007779D">
          <w:rPr>
            <w:rFonts w:ascii="Calibri" w:hAnsi="Calibri" w:cs="Calibri"/>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BE217" w14:textId="77777777" w:rsidR="00111787" w:rsidRDefault="00111787" w:rsidP="0007779D">
      <w:pPr>
        <w:spacing w:after="0" w:line="240" w:lineRule="auto"/>
      </w:pPr>
      <w:r>
        <w:separator/>
      </w:r>
    </w:p>
  </w:footnote>
  <w:footnote w:type="continuationSeparator" w:id="0">
    <w:p w14:paraId="3C6DCEC7" w14:textId="77777777" w:rsidR="00111787" w:rsidRDefault="00111787" w:rsidP="0007779D">
      <w:pPr>
        <w:spacing w:after="0" w:line="240" w:lineRule="auto"/>
      </w:pPr>
      <w:r>
        <w:continuationSeparator/>
      </w:r>
    </w:p>
  </w:footnote>
  <w:footnote w:id="1">
    <w:p w14:paraId="369904A9" w14:textId="77777777" w:rsidR="0007779D" w:rsidRPr="0007779D" w:rsidRDefault="0007779D" w:rsidP="0007779D">
      <w:pPr>
        <w:pStyle w:val="FootnoteText"/>
        <w:rPr>
          <w:rFonts w:ascii="Calibri" w:hAnsi="Calibri" w:cs="Calibri"/>
        </w:rPr>
      </w:pPr>
      <w:r w:rsidRPr="0007779D">
        <w:rPr>
          <w:rStyle w:val="FootnoteReference"/>
          <w:rFonts w:ascii="Calibri" w:eastAsia="Calibri" w:hAnsi="Calibri" w:cs="Calibri"/>
        </w:rPr>
        <w:footnoteRef/>
      </w:r>
      <w:r w:rsidRPr="0007779D">
        <w:rPr>
          <w:rFonts w:ascii="Calibri" w:hAnsi="Calibri" w:cs="Calibri"/>
        </w:rPr>
        <w:t xml:space="preserve"> This role is not included in the ICF but included in this table as it is considered a necessary step.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9F10" w14:textId="77777777" w:rsidR="0007779D" w:rsidRDefault="0007779D" w:rsidP="003C6355">
    <w:pPr>
      <w:pStyle w:val="Header"/>
      <w:jc w:val="right"/>
    </w:pPr>
    <w:r>
      <w:rPr>
        <w:noProof/>
      </w:rPr>
      <w:drawing>
        <wp:anchor distT="0" distB="0" distL="114300" distR="114300" simplePos="0" relativeHeight="251659264" behindDoc="1" locked="0" layoutInCell="1" allowOverlap="1" wp14:anchorId="2C1A7228" wp14:editId="0D9A2BE5">
          <wp:simplePos x="0" y="0"/>
          <wp:positionH relativeFrom="rightMargin">
            <wp:align>left</wp:align>
          </wp:positionH>
          <wp:positionV relativeFrom="paragraph">
            <wp:posOffset>-259080</wp:posOffset>
          </wp:positionV>
          <wp:extent cx="549910" cy="838200"/>
          <wp:effectExtent l="0" t="0" r="0" b="0"/>
          <wp:wrapSquare wrapText="bothSides"/>
          <wp:docPr id="860526181" name="Picture 86052618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9910" cy="838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549"/>
    <w:multiLevelType w:val="hybridMultilevel"/>
    <w:tmpl w:val="DE52A15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 w15:restartNumberingAfterBreak="0">
    <w:nsid w:val="15064C65"/>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309C9"/>
    <w:multiLevelType w:val="hybridMultilevel"/>
    <w:tmpl w:val="4A5ADE80"/>
    <w:lvl w:ilvl="0" w:tplc="4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71BC4"/>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321ED8"/>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2F6F8B"/>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E4652A"/>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511BCB"/>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C54929"/>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3F0A92"/>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410EB1"/>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9D0014"/>
    <w:multiLevelType w:val="hybridMultilevel"/>
    <w:tmpl w:val="3FB2EF96"/>
    <w:lvl w:ilvl="0" w:tplc="E5CA04C8">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C62170"/>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6D7C18"/>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B82C3A"/>
    <w:multiLevelType w:val="hybridMultilevel"/>
    <w:tmpl w:val="DA7AFA64"/>
    <w:lvl w:ilvl="0" w:tplc="44090001">
      <w:start w:val="1"/>
      <w:numFmt w:val="bullet"/>
      <w:lvlText w:val=""/>
      <w:lvlJc w:val="left"/>
      <w:pPr>
        <w:ind w:left="2753" w:hanging="360"/>
      </w:pPr>
      <w:rPr>
        <w:rFonts w:ascii="Symbol" w:hAnsi="Symbol" w:hint="default"/>
      </w:rPr>
    </w:lvl>
    <w:lvl w:ilvl="1" w:tplc="44090003" w:tentative="1">
      <w:start w:val="1"/>
      <w:numFmt w:val="bullet"/>
      <w:lvlText w:val="o"/>
      <w:lvlJc w:val="left"/>
      <w:pPr>
        <w:ind w:left="3473" w:hanging="360"/>
      </w:pPr>
      <w:rPr>
        <w:rFonts w:ascii="Courier New" w:hAnsi="Courier New" w:cs="Courier New" w:hint="default"/>
      </w:rPr>
    </w:lvl>
    <w:lvl w:ilvl="2" w:tplc="44090005" w:tentative="1">
      <w:start w:val="1"/>
      <w:numFmt w:val="bullet"/>
      <w:lvlText w:val=""/>
      <w:lvlJc w:val="left"/>
      <w:pPr>
        <w:ind w:left="4193" w:hanging="360"/>
      </w:pPr>
      <w:rPr>
        <w:rFonts w:ascii="Wingdings" w:hAnsi="Wingdings" w:hint="default"/>
      </w:rPr>
    </w:lvl>
    <w:lvl w:ilvl="3" w:tplc="44090001" w:tentative="1">
      <w:start w:val="1"/>
      <w:numFmt w:val="bullet"/>
      <w:lvlText w:val=""/>
      <w:lvlJc w:val="left"/>
      <w:pPr>
        <w:ind w:left="4913" w:hanging="360"/>
      </w:pPr>
      <w:rPr>
        <w:rFonts w:ascii="Symbol" w:hAnsi="Symbol" w:hint="default"/>
      </w:rPr>
    </w:lvl>
    <w:lvl w:ilvl="4" w:tplc="44090003" w:tentative="1">
      <w:start w:val="1"/>
      <w:numFmt w:val="bullet"/>
      <w:lvlText w:val="o"/>
      <w:lvlJc w:val="left"/>
      <w:pPr>
        <w:ind w:left="5633" w:hanging="360"/>
      </w:pPr>
      <w:rPr>
        <w:rFonts w:ascii="Courier New" w:hAnsi="Courier New" w:cs="Courier New" w:hint="default"/>
      </w:rPr>
    </w:lvl>
    <w:lvl w:ilvl="5" w:tplc="44090005" w:tentative="1">
      <w:start w:val="1"/>
      <w:numFmt w:val="bullet"/>
      <w:lvlText w:val=""/>
      <w:lvlJc w:val="left"/>
      <w:pPr>
        <w:ind w:left="6353" w:hanging="360"/>
      </w:pPr>
      <w:rPr>
        <w:rFonts w:ascii="Wingdings" w:hAnsi="Wingdings" w:hint="default"/>
      </w:rPr>
    </w:lvl>
    <w:lvl w:ilvl="6" w:tplc="44090001" w:tentative="1">
      <w:start w:val="1"/>
      <w:numFmt w:val="bullet"/>
      <w:lvlText w:val=""/>
      <w:lvlJc w:val="left"/>
      <w:pPr>
        <w:ind w:left="7073" w:hanging="360"/>
      </w:pPr>
      <w:rPr>
        <w:rFonts w:ascii="Symbol" w:hAnsi="Symbol" w:hint="default"/>
      </w:rPr>
    </w:lvl>
    <w:lvl w:ilvl="7" w:tplc="44090003" w:tentative="1">
      <w:start w:val="1"/>
      <w:numFmt w:val="bullet"/>
      <w:lvlText w:val="o"/>
      <w:lvlJc w:val="left"/>
      <w:pPr>
        <w:ind w:left="7793" w:hanging="360"/>
      </w:pPr>
      <w:rPr>
        <w:rFonts w:ascii="Courier New" w:hAnsi="Courier New" w:cs="Courier New" w:hint="default"/>
      </w:rPr>
    </w:lvl>
    <w:lvl w:ilvl="8" w:tplc="44090005" w:tentative="1">
      <w:start w:val="1"/>
      <w:numFmt w:val="bullet"/>
      <w:lvlText w:val=""/>
      <w:lvlJc w:val="left"/>
      <w:pPr>
        <w:ind w:left="8513" w:hanging="360"/>
      </w:pPr>
      <w:rPr>
        <w:rFonts w:ascii="Wingdings" w:hAnsi="Wingdings" w:hint="default"/>
      </w:rPr>
    </w:lvl>
  </w:abstractNum>
  <w:abstractNum w:abstractNumId="15" w15:restartNumberingAfterBreak="0">
    <w:nsid w:val="6CAD66EE"/>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FB1251"/>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0532C5"/>
    <w:multiLevelType w:val="hybridMultilevel"/>
    <w:tmpl w:val="004CA25A"/>
    <w:lvl w:ilvl="0" w:tplc="BDB0C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F1E00B5"/>
    <w:multiLevelType w:val="hybridMultilevel"/>
    <w:tmpl w:val="29785EC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4323798">
    <w:abstractNumId w:val="9"/>
  </w:num>
  <w:num w:numId="2" w16cid:durableId="1615942170">
    <w:abstractNumId w:val="15"/>
  </w:num>
  <w:num w:numId="3" w16cid:durableId="1051342955">
    <w:abstractNumId w:val="13"/>
  </w:num>
  <w:num w:numId="4" w16cid:durableId="163790531">
    <w:abstractNumId w:val="10"/>
  </w:num>
  <w:num w:numId="5" w16cid:durableId="31197518">
    <w:abstractNumId w:val="16"/>
  </w:num>
  <w:num w:numId="6" w16cid:durableId="340471763">
    <w:abstractNumId w:val="14"/>
  </w:num>
  <w:num w:numId="7" w16cid:durableId="733894440">
    <w:abstractNumId w:val="5"/>
  </w:num>
  <w:num w:numId="8" w16cid:durableId="1066223332">
    <w:abstractNumId w:val="7"/>
  </w:num>
  <w:num w:numId="9" w16cid:durableId="53046637">
    <w:abstractNumId w:val="8"/>
  </w:num>
  <w:num w:numId="10" w16cid:durableId="1020861790">
    <w:abstractNumId w:val="3"/>
  </w:num>
  <w:num w:numId="11" w16cid:durableId="289089226">
    <w:abstractNumId w:val="2"/>
  </w:num>
  <w:num w:numId="12" w16cid:durableId="797920286">
    <w:abstractNumId w:val="17"/>
  </w:num>
  <w:num w:numId="13" w16cid:durableId="1985085611">
    <w:abstractNumId w:val="1"/>
  </w:num>
  <w:num w:numId="14" w16cid:durableId="1105156317">
    <w:abstractNumId w:val="12"/>
  </w:num>
  <w:num w:numId="15" w16cid:durableId="1699160802">
    <w:abstractNumId w:val="6"/>
  </w:num>
  <w:num w:numId="16" w16cid:durableId="1822232120">
    <w:abstractNumId w:val="11"/>
  </w:num>
  <w:num w:numId="17" w16cid:durableId="1420105375">
    <w:abstractNumId w:val="0"/>
  </w:num>
  <w:num w:numId="18" w16cid:durableId="1940479043">
    <w:abstractNumId w:val="4"/>
  </w:num>
  <w:num w:numId="19" w16cid:durableId="8526520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9D"/>
    <w:rsid w:val="0007779D"/>
    <w:rsid w:val="00111787"/>
    <w:rsid w:val="00C61B9D"/>
    <w:rsid w:val="00DA504D"/>
    <w:rsid w:val="00E5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A21A"/>
  <w15:chartTrackingRefBased/>
  <w15:docId w15:val="{74AB1132-0AF2-474B-9676-8EB1120E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7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7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7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7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7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7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79D"/>
    <w:rPr>
      <w:rFonts w:eastAsiaTheme="majorEastAsia" w:cstheme="majorBidi"/>
      <w:color w:val="272727" w:themeColor="text1" w:themeTint="D8"/>
    </w:rPr>
  </w:style>
  <w:style w:type="paragraph" w:styleId="Title">
    <w:name w:val="Title"/>
    <w:basedOn w:val="Normal"/>
    <w:next w:val="Normal"/>
    <w:link w:val="TitleChar"/>
    <w:uiPriority w:val="10"/>
    <w:qFormat/>
    <w:rsid w:val="00077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79D"/>
    <w:pPr>
      <w:spacing w:before="160"/>
      <w:jc w:val="center"/>
    </w:pPr>
    <w:rPr>
      <w:i/>
      <w:iCs/>
      <w:color w:val="404040" w:themeColor="text1" w:themeTint="BF"/>
    </w:rPr>
  </w:style>
  <w:style w:type="character" w:customStyle="1" w:styleId="QuoteChar">
    <w:name w:val="Quote Char"/>
    <w:basedOn w:val="DefaultParagraphFont"/>
    <w:link w:val="Quote"/>
    <w:uiPriority w:val="29"/>
    <w:rsid w:val="0007779D"/>
    <w:rPr>
      <w:i/>
      <w:iCs/>
      <w:color w:val="404040" w:themeColor="text1" w:themeTint="BF"/>
    </w:rPr>
  </w:style>
  <w:style w:type="paragraph" w:styleId="ListParagraph">
    <w:name w:val="List Paragraph"/>
    <w:basedOn w:val="Normal"/>
    <w:uiPriority w:val="34"/>
    <w:qFormat/>
    <w:rsid w:val="0007779D"/>
    <w:pPr>
      <w:ind w:left="720"/>
      <w:contextualSpacing/>
    </w:pPr>
  </w:style>
  <w:style w:type="character" w:styleId="IntenseEmphasis">
    <w:name w:val="Intense Emphasis"/>
    <w:basedOn w:val="DefaultParagraphFont"/>
    <w:uiPriority w:val="21"/>
    <w:qFormat/>
    <w:rsid w:val="0007779D"/>
    <w:rPr>
      <w:i/>
      <w:iCs/>
      <w:color w:val="0F4761" w:themeColor="accent1" w:themeShade="BF"/>
    </w:rPr>
  </w:style>
  <w:style w:type="paragraph" w:styleId="IntenseQuote">
    <w:name w:val="Intense Quote"/>
    <w:basedOn w:val="Normal"/>
    <w:next w:val="Normal"/>
    <w:link w:val="IntenseQuoteChar"/>
    <w:uiPriority w:val="30"/>
    <w:qFormat/>
    <w:rsid w:val="00077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79D"/>
    <w:rPr>
      <w:i/>
      <w:iCs/>
      <w:color w:val="0F4761" w:themeColor="accent1" w:themeShade="BF"/>
    </w:rPr>
  </w:style>
  <w:style w:type="character" w:styleId="IntenseReference">
    <w:name w:val="Intense Reference"/>
    <w:basedOn w:val="DefaultParagraphFont"/>
    <w:uiPriority w:val="32"/>
    <w:qFormat/>
    <w:rsid w:val="0007779D"/>
    <w:rPr>
      <w:b/>
      <w:bCs/>
      <w:smallCaps/>
      <w:color w:val="0F4761" w:themeColor="accent1" w:themeShade="BF"/>
      <w:spacing w:val="5"/>
    </w:rPr>
  </w:style>
  <w:style w:type="paragraph" w:styleId="Header">
    <w:name w:val="header"/>
    <w:basedOn w:val="Normal"/>
    <w:link w:val="HeaderChar"/>
    <w:uiPriority w:val="99"/>
    <w:unhideWhenUsed/>
    <w:rsid w:val="0007779D"/>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HeaderChar">
    <w:name w:val="Header Char"/>
    <w:basedOn w:val="DefaultParagraphFont"/>
    <w:link w:val="Header"/>
    <w:uiPriority w:val="99"/>
    <w:rsid w:val="0007779D"/>
    <w:rPr>
      <w:rFonts w:eastAsia="MS Mincho"/>
      <w:kern w:val="0"/>
      <w:sz w:val="22"/>
      <w:szCs w:val="22"/>
      <w:lang w:eastAsia="ja-JP"/>
      <w14:ligatures w14:val="none"/>
    </w:rPr>
  </w:style>
  <w:style w:type="paragraph" w:styleId="Footer">
    <w:name w:val="footer"/>
    <w:basedOn w:val="Normal"/>
    <w:link w:val="FooterChar"/>
    <w:uiPriority w:val="99"/>
    <w:unhideWhenUsed/>
    <w:rsid w:val="0007779D"/>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FooterChar">
    <w:name w:val="Footer Char"/>
    <w:basedOn w:val="DefaultParagraphFont"/>
    <w:link w:val="Footer"/>
    <w:uiPriority w:val="99"/>
    <w:rsid w:val="0007779D"/>
    <w:rPr>
      <w:rFonts w:eastAsia="MS Mincho"/>
      <w:kern w:val="0"/>
      <w:sz w:val="22"/>
      <w:szCs w:val="22"/>
      <w:lang w:eastAsia="ja-JP"/>
      <w14:ligatures w14:val="none"/>
    </w:rPr>
  </w:style>
  <w:style w:type="table" w:customStyle="1" w:styleId="TableGrid0">
    <w:name w:val="Table Grid0"/>
    <w:basedOn w:val="TableNormal"/>
    <w:uiPriority w:val="39"/>
    <w:rsid w:val="0007779D"/>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7779D"/>
    <w:pPr>
      <w:spacing w:after="0" w:line="240" w:lineRule="auto"/>
    </w:pPr>
    <w:rPr>
      <w:rFonts w:ascii="Times New Roman" w:eastAsia="Times New Roman" w:hAnsi="Times New Roman" w:cs="Tahoma"/>
      <w:kern w:val="0"/>
      <w:sz w:val="20"/>
      <w:szCs w:val="20"/>
      <w:lang w:val="en-GB"/>
      <w14:ligatures w14:val="none"/>
    </w:rPr>
  </w:style>
  <w:style w:type="character" w:customStyle="1" w:styleId="FootnoteTextChar">
    <w:name w:val="Footnote Text Char"/>
    <w:basedOn w:val="DefaultParagraphFont"/>
    <w:link w:val="FootnoteText"/>
    <w:semiHidden/>
    <w:rsid w:val="0007779D"/>
    <w:rPr>
      <w:rFonts w:ascii="Times New Roman" w:eastAsia="Times New Roman" w:hAnsi="Times New Roman" w:cs="Tahoma"/>
      <w:kern w:val="0"/>
      <w:sz w:val="20"/>
      <w:szCs w:val="20"/>
      <w:lang w:val="en-GB"/>
      <w14:ligatures w14:val="none"/>
    </w:rPr>
  </w:style>
  <w:style w:type="character" w:styleId="FootnoteReference">
    <w:name w:val="footnote reference"/>
    <w:basedOn w:val="DefaultParagraphFont"/>
    <w:semiHidden/>
    <w:unhideWhenUsed/>
    <w:rsid w:val="00077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p.undp.org/node/29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2371</Words>
  <Characters>13520</Characters>
  <Application>Microsoft Office Word</Application>
  <DocSecurity>0</DocSecurity>
  <Lines>112</Lines>
  <Paragraphs>31</Paragraphs>
  <ScaleCrop>false</ScaleCrop>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2026-05-01T02:29:00Z</dcterms:created>
  <dcterms:modified xsi:type="dcterms:W3CDTF">2026-05-01T02:30:00Z</dcterms:modified>
</cp:coreProperties>
</file>