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A9DB" w14:textId="77777777" w:rsidR="0025391D" w:rsidRPr="0025391D" w:rsidRDefault="0025391D" w:rsidP="0025391D">
      <w:pPr>
        <w:spacing w:after="122" w:line="259" w:lineRule="auto"/>
        <w:rPr>
          <w:rFonts w:ascii="Calibri" w:eastAsia="Times New Roman" w:hAnsi="Calibri" w:cs="Times New Roman"/>
          <w:b/>
          <w:bCs/>
          <w:color w:val="000000"/>
          <w:kern w:val="0"/>
          <w:sz w:val="22"/>
          <w:szCs w:val="22"/>
          <w:lang w:val="en-GB"/>
          <w14:ligatures w14:val="none"/>
        </w:rPr>
      </w:pPr>
    </w:p>
    <w:p w14:paraId="0AF700BE" w14:textId="77777777" w:rsidR="0025391D" w:rsidRPr="0025391D" w:rsidRDefault="0025391D" w:rsidP="0025391D">
      <w:pPr>
        <w:spacing w:after="0" w:line="240" w:lineRule="auto"/>
        <w:rPr>
          <w:rFonts w:ascii="Calibri" w:eastAsia="Times New Roman" w:hAnsi="Calibri" w:cs="Times New Roman"/>
          <w:color w:val="000000"/>
          <w:kern w:val="0"/>
          <w:lang w:val="fr-FR"/>
          <w14:ligatures w14:val="none"/>
        </w:rPr>
      </w:pPr>
      <w:r w:rsidRPr="0025391D">
        <w:rPr>
          <w:rFonts w:ascii="Calibri" w:eastAsia="Times New Roman" w:hAnsi="Calibri" w:cs="Times New Roman"/>
          <w:b/>
          <w:bCs/>
          <w:color w:val="000000"/>
          <w:kern w:val="0"/>
          <w:shd w:val="clear" w:color="auto" w:fill="FFFFFF"/>
          <w:lang w:val="fr-FR"/>
          <w14:ligatures w14:val="none"/>
        </w:rPr>
        <w:t xml:space="preserve">Contributions des gouvernements aux dépenses locales des bureaux extérieurs (GLOC) venant de </w:t>
      </w:r>
      <w:r w:rsidRPr="0025391D">
        <w:rPr>
          <w:rFonts w:ascii="Calibri" w:eastAsia="Times New Roman" w:hAnsi="Calibri" w:cs="Times New Roman"/>
          <w:b/>
          <w:bCs/>
          <w:color w:val="000000"/>
          <w:kern w:val="0"/>
          <w:lang w:val="fr-FR"/>
          <w14:ligatures w14:val="none"/>
        </w:rPr>
        <w:t>pays à faible revenu et pays à revenu intermédiaire (LIC and MIC)</w:t>
      </w:r>
    </w:p>
    <w:p w14:paraId="40E425C2" w14:textId="77777777" w:rsidR="0025391D" w:rsidRPr="0025391D" w:rsidRDefault="0025391D" w:rsidP="0025391D">
      <w:pPr>
        <w:spacing w:after="0" w:line="240" w:lineRule="auto"/>
        <w:rPr>
          <w:rFonts w:ascii="Calibri" w:eastAsia="Times New Roman" w:hAnsi="Calibri" w:cs="Times New Roman"/>
          <w:color w:val="000000"/>
          <w:kern w:val="0"/>
          <w:sz w:val="22"/>
          <w:szCs w:val="22"/>
          <w:lang w:val="fr-FR"/>
          <w14:ligatures w14:val="none"/>
        </w:rPr>
      </w:pPr>
    </w:p>
    <w:p w14:paraId="0B8947D1" w14:textId="77777777" w:rsidR="0025391D" w:rsidRPr="0025391D" w:rsidRDefault="0025391D" w:rsidP="0025391D">
      <w:pPr>
        <w:spacing w:after="0" w:line="240" w:lineRule="auto"/>
        <w:rPr>
          <w:rFonts w:ascii="Calibri" w:eastAsia="Times New Roman" w:hAnsi="Calibri" w:cs="Times New Roman"/>
          <w:b/>
          <w:color w:val="000000"/>
          <w:kern w:val="0"/>
          <w:sz w:val="22"/>
          <w:szCs w:val="22"/>
          <w:lang w:val="en-GB"/>
          <w14:ligatures w14:val="none"/>
        </w:rPr>
      </w:pPr>
      <w:r w:rsidRPr="0025391D">
        <w:rPr>
          <w:rFonts w:ascii="Calibri" w:eastAsia="Times New Roman" w:hAnsi="Calibri" w:cs="Times New Roman"/>
          <w:b/>
          <w:color w:val="000000"/>
          <w:kern w:val="0"/>
          <w:sz w:val="22"/>
          <w:szCs w:val="22"/>
          <w:lang w:val="en-GB"/>
          <w14:ligatures w14:val="none"/>
        </w:rPr>
        <w:t xml:space="preserve">Cadre </w:t>
      </w:r>
      <w:proofErr w:type="spellStart"/>
      <w:r w:rsidRPr="0025391D">
        <w:rPr>
          <w:rFonts w:ascii="Calibri" w:eastAsia="Times New Roman" w:hAnsi="Calibri" w:cs="Times New Roman"/>
          <w:b/>
          <w:color w:val="000000"/>
          <w:kern w:val="0"/>
          <w:sz w:val="22"/>
          <w:szCs w:val="22"/>
          <w:lang w:val="en-GB"/>
          <w14:ligatures w14:val="none"/>
        </w:rPr>
        <w:t>Juridique</w:t>
      </w:r>
      <w:proofErr w:type="spellEnd"/>
      <w:r w:rsidRPr="0025391D">
        <w:rPr>
          <w:rFonts w:ascii="Calibri" w:eastAsia="Times New Roman" w:hAnsi="Calibri" w:cs="Times New Roman"/>
          <w:b/>
          <w:color w:val="000000"/>
          <w:kern w:val="0"/>
          <w:sz w:val="22"/>
          <w:szCs w:val="22"/>
          <w:lang w:val="en-GB"/>
          <w14:ligatures w14:val="none"/>
        </w:rPr>
        <w:t xml:space="preserve"> </w:t>
      </w:r>
    </w:p>
    <w:p w14:paraId="2C94C337"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p>
    <w:p w14:paraId="6211E7D9" w14:textId="77777777" w:rsidR="0025391D" w:rsidRPr="0025391D" w:rsidRDefault="0025391D" w:rsidP="0025391D">
      <w:pPr>
        <w:numPr>
          <w:ilvl w:val="0"/>
          <w:numId w:val="1"/>
        </w:numPr>
        <w:spacing w:after="0" w:line="240" w:lineRule="auto"/>
        <w:ind w:right="159" w:hanging="360"/>
        <w:rPr>
          <w:rFonts w:ascii="Calibri" w:eastAsia="Times New Roman" w:hAnsi="Calibri" w:cs="Times New Roman"/>
          <w:color w:val="000000"/>
          <w:kern w:val="0"/>
          <w:sz w:val="22"/>
          <w:szCs w:val="22"/>
          <w:lang w:val="fr-FR"/>
          <w14:ligatures w14:val="none"/>
        </w:rPr>
      </w:pPr>
      <w:r w:rsidRPr="0025391D">
        <w:rPr>
          <w:rFonts w:ascii="Calibri" w:eastAsia="Times New Roman" w:hAnsi="Calibri" w:cs="Arial"/>
          <w:color w:val="000000"/>
          <w:kern w:val="0"/>
          <w:sz w:val="22"/>
          <w:szCs w:val="22"/>
          <w:lang w:val="fr-FR"/>
          <w14:ligatures w14:val="none"/>
        </w:rPr>
        <w:t>Conformément aux dispositions de SBAA régissant les opérations du PNUD dans les pays de programme, les gouvernements hôtes devraient contribuer aux dépenses locales des Bureaux de pays du PNUD, en application des paragraphes 4 et 5 de l’Article VI du</w:t>
      </w:r>
      <w:hyperlink r:id="rId7" w:history="1">
        <w:r w:rsidRPr="0025391D">
          <w:rPr>
            <w:rFonts w:ascii="Calibri" w:eastAsia="Times New Roman" w:hAnsi="Calibri" w:cs="Arial"/>
            <w:color w:val="0563C1"/>
            <w:kern w:val="0"/>
            <w:sz w:val="22"/>
            <w:szCs w:val="22"/>
            <w:u w:val="single"/>
            <w:lang w:val="fr-FR"/>
            <w14:ligatures w14:val="none"/>
          </w:rPr>
          <w:t xml:space="preserve"> SBAA</w:t>
        </w:r>
      </w:hyperlink>
      <w:r w:rsidRPr="0025391D">
        <w:rPr>
          <w:rFonts w:ascii="Calibri" w:eastAsia="Times New Roman" w:hAnsi="Calibri" w:cs="Arial"/>
          <w:color w:val="000000"/>
          <w:kern w:val="0"/>
          <w:sz w:val="22"/>
          <w:szCs w:val="22"/>
          <w:lang w:val="fr-FR"/>
          <w14:ligatures w14:val="none"/>
        </w:rPr>
        <w:t>: </w:t>
      </w:r>
    </w:p>
    <w:p w14:paraId="63F86BFD" w14:textId="77777777" w:rsidR="0025391D" w:rsidRPr="0025391D" w:rsidRDefault="0025391D" w:rsidP="0025391D">
      <w:pPr>
        <w:spacing w:after="0" w:line="240" w:lineRule="auto"/>
        <w:ind w:right="159"/>
        <w:rPr>
          <w:rFonts w:ascii="Calibri" w:eastAsia="Times New Roman" w:hAnsi="Calibri" w:cs="Times New Roman"/>
          <w:color w:val="000000"/>
          <w:kern w:val="0"/>
          <w:sz w:val="22"/>
          <w:szCs w:val="22"/>
          <w:lang w:val="fr-FR"/>
          <w14:ligatures w14:val="none"/>
        </w:rPr>
      </w:pPr>
    </w:p>
    <w:p w14:paraId="4C53A1ED" w14:textId="77777777" w:rsidR="0025391D" w:rsidRPr="0025391D" w:rsidRDefault="0025391D" w:rsidP="0025391D">
      <w:pPr>
        <w:shd w:val="clear" w:color="auto" w:fill="FFFFFF"/>
        <w:spacing w:after="0" w:line="240" w:lineRule="auto"/>
        <w:ind w:left="720"/>
        <w:jc w:val="both"/>
        <w:textAlignment w:val="baseline"/>
        <w:rPr>
          <w:rFonts w:ascii="Calibri" w:eastAsia="Times New Roman" w:hAnsi="Calibri" w:cs="Arial"/>
          <w:color w:val="000000"/>
          <w:kern w:val="0"/>
          <w:sz w:val="22"/>
          <w:szCs w:val="22"/>
          <w:lang w:val="fr-FR"/>
          <w14:ligatures w14:val="none"/>
        </w:rPr>
      </w:pPr>
      <w:r w:rsidRPr="0025391D">
        <w:rPr>
          <w:rFonts w:ascii="Calibri" w:eastAsia="Times New Roman" w:hAnsi="Calibri" w:cs="Arial"/>
          <w:i/>
          <w:iCs/>
          <w:color w:val="000000"/>
          <w:kern w:val="0"/>
          <w:sz w:val="22"/>
          <w:szCs w:val="22"/>
          <w:lang w:val="fr-FR"/>
          <w14:ligatures w14:val="none"/>
        </w:rPr>
        <w:t>« 4. Le gouvernement devra également contribuer aux dépenses de maintien de la mission du PNUD dans le pays en s’acquittant auprès du PNUD d’un montant forfaitaire convenu de commun accord entre les parties et permettant de couvrir les dépenses suivantes :</w:t>
      </w:r>
      <w:r w:rsidRPr="0025391D">
        <w:rPr>
          <w:rFonts w:ascii="Calibri" w:eastAsia="Times New Roman" w:hAnsi="Calibri" w:cs="Arial"/>
          <w:color w:val="000000"/>
          <w:kern w:val="0"/>
          <w:sz w:val="22"/>
          <w:szCs w:val="22"/>
          <w:lang w:val="fr-FR"/>
          <w14:ligatures w14:val="none"/>
        </w:rPr>
        <w:t> </w:t>
      </w:r>
    </w:p>
    <w:p w14:paraId="3F77D2D8" w14:textId="77777777" w:rsidR="0025391D" w:rsidRPr="0025391D" w:rsidRDefault="0025391D" w:rsidP="0025391D">
      <w:pPr>
        <w:numPr>
          <w:ilvl w:val="0"/>
          <w:numId w:val="4"/>
        </w:numPr>
        <w:shd w:val="clear" w:color="auto" w:fill="FFFFFF"/>
        <w:spacing w:after="0" w:line="240" w:lineRule="auto"/>
        <w:ind w:left="1080"/>
        <w:jc w:val="both"/>
        <w:textAlignment w:val="baseline"/>
        <w:rPr>
          <w:rFonts w:ascii="Calibri" w:eastAsia="Times New Roman" w:hAnsi="Calibri" w:cs="Arial"/>
          <w:color w:val="000000"/>
          <w:kern w:val="0"/>
          <w:sz w:val="22"/>
          <w:szCs w:val="22"/>
          <w:lang w:val="fr-FR"/>
          <w14:ligatures w14:val="none"/>
        </w:rPr>
      </w:pPr>
      <w:r w:rsidRPr="0025391D">
        <w:rPr>
          <w:rFonts w:ascii="Calibri" w:eastAsia="Times New Roman" w:hAnsi="Calibri" w:cs="Arial"/>
          <w:i/>
          <w:iCs/>
          <w:color w:val="000000"/>
          <w:kern w:val="0"/>
          <w:sz w:val="22"/>
          <w:szCs w:val="22"/>
          <w:lang w:val="fr-FR"/>
          <w14:ligatures w14:val="none"/>
        </w:rPr>
        <w:t>Les dépenses de matériel et de fournitures pour un bureau jugé approprié pour servir de Siège local au PNUD dans le pays ;</w:t>
      </w:r>
      <w:r w:rsidRPr="0025391D">
        <w:rPr>
          <w:rFonts w:ascii="Calibri" w:eastAsia="Times New Roman" w:hAnsi="Calibri" w:cs="Arial"/>
          <w:color w:val="000000"/>
          <w:kern w:val="0"/>
          <w:sz w:val="22"/>
          <w:szCs w:val="22"/>
          <w:lang w:val="fr-FR"/>
          <w14:ligatures w14:val="none"/>
        </w:rPr>
        <w:t> </w:t>
      </w:r>
    </w:p>
    <w:p w14:paraId="72E088D3" w14:textId="77777777" w:rsidR="0025391D" w:rsidRPr="0025391D" w:rsidRDefault="0025391D" w:rsidP="0025391D">
      <w:pPr>
        <w:numPr>
          <w:ilvl w:val="0"/>
          <w:numId w:val="5"/>
        </w:numPr>
        <w:shd w:val="clear" w:color="auto" w:fill="FFFFFF"/>
        <w:spacing w:after="0" w:line="240" w:lineRule="auto"/>
        <w:ind w:left="1080"/>
        <w:jc w:val="both"/>
        <w:textAlignment w:val="baseline"/>
        <w:rPr>
          <w:rFonts w:ascii="Calibri" w:eastAsia="Times New Roman" w:hAnsi="Calibri" w:cs="Arial"/>
          <w:color w:val="000000"/>
          <w:kern w:val="0"/>
          <w:sz w:val="22"/>
          <w:szCs w:val="22"/>
          <w:lang w:val="fr-FR"/>
          <w14:ligatures w14:val="none"/>
        </w:rPr>
      </w:pPr>
      <w:r w:rsidRPr="0025391D">
        <w:rPr>
          <w:rFonts w:ascii="Calibri" w:eastAsia="Times New Roman" w:hAnsi="Calibri" w:cs="Arial"/>
          <w:i/>
          <w:iCs/>
          <w:color w:val="000000"/>
          <w:kern w:val="0"/>
          <w:sz w:val="22"/>
          <w:szCs w:val="22"/>
          <w:lang w:val="fr-FR"/>
          <w14:ligatures w14:val="none"/>
        </w:rPr>
        <w:t>Les services locaux de secrétariat et d’appui administratif appropriés,</w:t>
      </w:r>
    </w:p>
    <w:p w14:paraId="2AEDF71F" w14:textId="77777777" w:rsidR="0025391D" w:rsidRPr="0025391D" w:rsidRDefault="0025391D" w:rsidP="0025391D">
      <w:pPr>
        <w:shd w:val="clear" w:color="auto" w:fill="FFFFFF"/>
        <w:spacing w:after="0" w:line="240" w:lineRule="auto"/>
        <w:ind w:left="1080"/>
        <w:jc w:val="both"/>
        <w:textAlignment w:val="baseline"/>
        <w:rPr>
          <w:rFonts w:ascii="Calibri" w:eastAsia="Times New Roman" w:hAnsi="Calibri" w:cs="Arial"/>
          <w:color w:val="000000"/>
          <w:kern w:val="0"/>
          <w:sz w:val="22"/>
          <w:szCs w:val="22"/>
          <w:lang w:val="fr-FR"/>
          <w14:ligatures w14:val="none"/>
        </w:rPr>
      </w:pPr>
      <w:r w:rsidRPr="0025391D">
        <w:rPr>
          <w:rFonts w:ascii="Calibri" w:eastAsia="Times New Roman" w:hAnsi="Calibri" w:cs="Arial"/>
          <w:i/>
          <w:iCs/>
          <w:color w:val="000000"/>
          <w:kern w:val="0"/>
          <w:sz w:val="22"/>
          <w:szCs w:val="22"/>
          <w:lang w:val="fr-FR"/>
          <w14:ligatures w14:val="none"/>
        </w:rPr>
        <w:t xml:space="preserve">      </w:t>
      </w:r>
      <w:proofErr w:type="gramStart"/>
      <w:r w:rsidRPr="0025391D">
        <w:rPr>
          <w:rFonts w:ascii="Calibri" w:eastAsia="Times New Roman" w:hAnsi="Calibri" w:cs="Arial"/>
          <w:i/>
          <w:iCs/>
          <w:color w:val="000000"/>
          <w:kern w:val="0"/>
          <w:sz w:val="22"/>
          <w:szCs w:val="22"/>
          <w:lang w:val="fr-FR"/>
          <w14:ligatures w14:val="none"/>
        </w:rPr>
        <w:t>d’interprétation</w:t>
      </w:r>
      <w:proofErr w:type="gramEnd"/>
      <w:r w:rsidRPr="0025391D">
        <w:rPr>
          <w:rFonts w:ascii="Calibri" w:eastAsia="Times New Roman" w:hAnsi="Calibri" w:cs="Arial"/>
          <w:i/>
          <w:iCs/>
          <w:color w:val="000000"/>
          <w:kern w:val="0"/>
          <w:sz w:val="22"/>
          <w:szCs w:val="22"/>
          <w:lang w:val="fr-FR"/>
          <w14:ligatures w14:val="none"/>
        </w:rPr>
        <w:t xml:space="preserve"> et de traduction, ainsi que les services d’assistance connexes ;</w:t>
      </w:r>
      <w:r w:rsidRPr="0025391D">
        <w:rPr>
          <w:rFonts w:ascii="Calibri" w:eastAsia="Times New Roman" w:hAnsi="Calibri" w:cs="Arial"/>
          <w:color w:val="000000"/>
          <w:kern w:val="0"/>
          <w:sz w:val="22"/>
          <w:szCs w:val="22"/>
          <w:lang w:val="fr-FR"/>
          <w14:ligatures w14:val="none"/>
        </w:rPr>
        <w:t> </w:t>
      </w:r>
    </w:p>
    <w:p w14:paraId="062E2C78" w14:textId="77777777" w:rsidR="0025391D" w:rsidRPr="0025391D" w:rsidRDefault="0025391D" w:rsidP="0025391D">
      <w:pPr>
        <w:numPr>
          <w:ilvl w:val="0"/>
          <w:numId w:val="6"/>
        </w:numPr>
        <w:shd w:val="clear" w:color="auto" w:fill="FFFFFF"/>
        <w:spacing w:after="0" w:line="240" w:lineRule="auto"/>
        <w:ind w:left="1080"/>
        <w:jc w:val="both"/>
        <w:textAlignment w:val="baseline"/>
        <w:rPr>
          <w:rFonts w:ascii="Calibri" w:eastAsia="Times New Roman" w:hAnsi="Calibri" w:cs="Arial"/>
          <w:color w:val="000000"/>
          <w:kern w:val="0"/>
          <w:sz w:val="22"/>
          <w:szCs w:val="22"/>
          <w:lang w:val="fr-FR"/>
          <w14:ligatures w14:val="none"/>
        </w:rPr>
      </w:pPr>
      <w:r w:rsidRPr="0025391D">
        <w:rPr>
          <w:rFonts w:ascii="Calibri" w:eastAsia="Times New Roman" w:hAnsi="Calibri" w:cs="Arial"/>
          <w:i/>
          <w:iCs/>
          <w:color w:val="000000"/>
          <w:kern w:val="0"/>
          <w:sz w:val="22"/>
          <w:szCs w:val="22"/>
          <w:lang w:val="fr-FR"/>
          <w14:ligatures w14:val="none"/>
        </w:rPr>
        <w:t>Les services de transport du Représentant résident et de son personnel à des fins officielles dans le pays ;</w:t>
      </w:r>
      <w:r w:rsidRPr="0025391D">
        <w:rPr>
          <w:rFonts w:ascii="Calibri" w:eastAsia="Times New Roman" w:hAnsi="Calibri" w:cs="Arial"/>
          <w:color w:val="000000"/>
          <w:kern w:val="0"/>
          <w:sz w:val="22"/>
          <w:szCs w:val="22"/>
          <w:lang w:val="fr-FR"/>
          <w14:ligatures w14:val="none"/>
        </w:rPr>
        <w:t> </w:t>
      </w:r>
    </w:p>
    <w:p w14:paraId="346CA0A8" w14:textId="77777777" w:rsidR="0025391D" w:rsidRPr="0025391D" w:rsidRDefault="0025391D" w:rsidP="0025391D">
      <w:pPr>
        <w:numPr>
          <w:ilvl w:val="0"/>
          <w:numId w:val="7"/>
        </w:numPr>
        <w:shd w:val="clear" w:color="auto" w:fill="FFFFFF"/>
        <w:spacing w:after="0" w:line="240" w:lineRule="auto"/>
        <w:ind w:left="1080"/>
        <w:jc w:val="both"/>
        <w:textAlignment w:val="baseline"/>
        <w:rPr>
          <w:rFonts w:ascii="Calibri" w:eastAsia="Times New Roman" w:hAnsi="Calibri" w:cs="Arial"/>
          <w:color w:val="000000"/>
          <w:kern w:val="0"/>
          <w:sz w:val="22"/>
          <w:szCs w:val="22"/>
          <w:lang w:val="fr-FR"/>
          <w14:ligatures w14:val="none"/>
        </w:rPr>
      </w:pPr>
      <w:r w:rsidRPr="0025391D">
        <w:rPr>
          <w:rFonts w:ascii="Calibri" w:eastAsia="Times New Roman" w:hAnsi="Calibri" w:cs="Arial"/>
          <w:i/>
          <w:iCs/>
          <w:color w:val="000000"/>
          <w:kern w:val="0"/>
          <w:sz w:val="22"/>
          <w:szCs w:val="22"/>
          <w:lang w:val="fr-FR"/>
          <w14:ligatures w14:val="none"/>
        </w:rPr>
        <w:t>Les dépenses d’affranchissement et de télécommunications à des fins officielles ; et</w:t>
      </w:r>
      <w:r w:rsidRPr="0025391D">
        <w:rPr>
          <w:rFonts w:ascii="Calibri" w:eastAsia="Times New Roman" w:hAnsi="Calibri" w:cs="Arial"/>
          <w:color w:val="000000"/>
          <w:kern w:val="0"/>
          <w:sz w:val="22"/>
          <w:szCs w:val="22"/>
          <w:lang w:val="fr-FR"/>
          <w14:ligatures w14:val="none"/>
        </w:rPr>
        <w:t> </w:t>
      </w:r>
    </w:p>
    <w:p w14:paraId="465C1530" w14:textId="77777777" w:rsidR="0025391D" w:rsidRPr="0025391D" w:rsidRDefault="0025391D" w:rsidP="0025391D">
      <w:pPr>
        <w:numPr>
          <w:ilvl w:val="0"/>
          <w:numId w:val="8"/>
        </w:numPr>
        <w:shd w:val="clear" w:color="auto" w:fill="FFFFFF"/>
        <w:spacing w:after="0" w:line="240" w:lineRule="auto"/>
        <w:ind w:left="1080"/>
        <w:jc w:val="both"/>
        <w:textAlignment w:val="baseline"/>
        <w:rPr>
          <w:rFonts w:ascii="Calibri" w:eastAsia="Times New Roman" w:hAnsi="Calibri" w:cs="Arial"/>
          <w:color w:val="000000"/>
          <w:kern w:val="0"/>
          <w:sz w:val="22"/>
          <w:szCs w:val="22"/>
          <w:lang w:val="fr-FR"/>
          <w14:ligatures w14:val="none"/>
        </w:rPr>
      </w:pPr>
      <w:proofErr w:type="gramStart"/>
      <w:r w:rsidRPr="0025391D">
        <w:rPr>
          <w:rFonts w:ascii="Calibri" w:eastAsia="Times New Roman" w:hAnsi="Calibri" w:cs="Arial"/>
          <w:i/>
          <w:iCs/>
          <w:color w:val="000000"/>
          <w:kern w:val="0"/>
          <w:sz w:val="22"/>
          <w:szCs w:val="22"/>
          <w:lang w:val="fr-FR"/>
          <w14:ligatures w14:val="none"/>
        </w:rPr>
        <w:t>subsistance</w:t>
      </w:r>
      <w:proofErr w:type="gramEnd"/>
      <w:r w:rsidRPr="0025391D">
        <w:rPr>
          <w:rFonts w:ascii="Calibri" w:eastAsia="Times New Roman" w:hAnsi="Calibri" w:cs="Arial"/>
          <w:i/>
          <w:iCs/>
          <w:color w:val="000000"/>
          <w:kern w:val="0"/>
          <w:sz w:val="22"/>
          <w:szCs w:val="22"/>
          <w:lang w:val="fr-FR"/>
          <w14:ligatures w14:val="none"/>
        </w:rPr>
        <w:t xml:space="preserve"> du Représentant résident et son personnel en voyage autorisé dans le pays. »</w:t>
      </w:r>
      <w:r w:rsidRPr="0025391D">
        <w:rPr>
          <w:rFonts w:ascii="Calibri" w:eastAsia="Times New Roman" w:hAnsi="Calibri" w:cs="Arial"/>
          <w:color w:val="000000"/>
          <w:kern w:val="0"/>
          <w:sz w:val="22"/>
          <w:szCs w:val="22"/>
          <w:lang w:val="fr-FR"/>
          <w14:ligatures w14:val="none"/>
        </w:rPr>
        <w:t> </w:t>
      </w:r>
    </w:p>
    <w:p w14:paraId="55A5A934" w14:textId="77777777" w:rsidR="0025391D" w:rsidRPr="0025391D" w:rsidRDefault="0025391D" w:rsidP="0025391D">
      <w:pPr>
        <w:shd w:val="clear" w:color="auto" w:fill="FFFFFF"/>
        <w:spacing w:after="0" w:line="276" w:lineRule="auto"/>
        <w:ind w:left="730" w:hanging="370"/>
        <w:jc w:val="both"/>
        <w:textAlignment w:val="top"/>
        <w:rPr>
          <w:rFonts w:ascii="Calibri" w:eastAsia="Times New Roman" w:hAnsi="Calibri" w:cs="Arial"/>
          <w:color w:val="000000"/>
          <w:kern w:val="0"/>
          <w:sz w:val="22"/>
          <w:szCs w:val="22"/>
          <w:lang w:val="fr-FR"/>
          <w14:ligatures w14:val="none"/>
        </w:rPr>
      </w:pPr>
    </w:p>
    <w:p w14:paraId="4F5916C4" w14:textId="77777777" w:rsidR="0025391D" w:rsidRPr="0025391D" w:rsidRDefault="0025391D" w:rsidP="0025391D">
      <w:pPr>
        <w:shd w:val="clear" w:color="auto" w:fill="FFFFFF"/>
        <w:spacing w:after="0" w:line="240" w:lineRule="auto"/>
        <w:ind w:left="720"/>
        <w:jc w:val="both"/>
        <w:textAlignment w:val="baseline"/>
        <w:rPr>
          <w:rFonts w:ascii="Calibri" w:eastAsia="Times New Roman" w:hAnsi="Calibri" w:cs="Arial"/>
          <w:color w:val="000000"/>
          <w:kern w:val="0"/>
          <w:sz w:val="22"/>
          <w:szCs w:val="22"/>
          <w:lang w:val="fr-FR"/>
          <w14:ligatures w14:val="none"/>
        </w:rPr>
      </w:pPr>
      <w:r w:rsidRPr="0025391D">
        <w:rPr>
          <w:rFonts w:ascii="Calibri" w:eastAsia="Times New Roman" w:hAnsi="Calibri" w:cs="Arial"/>
          <w:i/>
          <w:iCs/>
          <w:color w:val="000000"/>
          <w:kern w:val="0"/>
          <w:sz w:val="22"/>
          <w:szCs w:val="22"/>
          <w:lang w:val="fr-FR"/>
          <w14:ligatures w14:val="none"/>
        </w:rPr>
        <w:t>« 5. Les gouvernements auront la possibilité de fournir en nature les équipements mentionnés au paragraphe 4 ci-dessus, à l’exception des services b) et e) ».</w:t>
      </w:r>
      <w:r w:rsidRPr="0025391D">
        <w:rPr>
          <w:rFonts w:ascii="Calibri" w:eastAsia="Times New Roman" w:hAnsi="Calibri" w:cs="Arial"/>
          <w:color w:val="000000"/>
          <w:kern w:val="0"/>
          <w:sz w:val="22"/>
          <w:szCs w:val="22"/>
          <w:lang w:val="fr-FR"/>
          <w14:ligatures w14:val="none"/>
        </w:rPr>
        <w:t> </w:t>
      </w:r>
    </w:p>
    <w:p w14:paraId="27CB461B" w14:textId="77777777" w:rsidR="0025391D" w:rsidRPr="0025391D" w:rsidRDefault="0025391D" w:rsidP="0025391D">
      <w:pPr>
        <w:spacing w:after="21" w:line="259" w:lineRule="auto"/>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kern w:val="0"/>
          <w:sz w:val="22"/>
          <w:szCs w:val="22"/>
          <w:lang w:val="fr-FR"/>
          <w14:ligatures w14:val="none"/>
        </w:rPr>
        <w:t xml:space="preserve"> </w:t>
      </w:r>
    </w:p>
    <w:p w14:paraId="3C4D38AD" w14:textId="77777777" w:rsidR="0025391D" w:rsidRPr="0025391D" w:rsidRDefault="0025391D" w:rsidP="0025391D">
      <w:pPr>
        <w:numPr>
          <w:ilvl w:val="0"/>
          <w:numId w:val="1"/>
        </w:numPr>
        <w:spacing w:after="0" w:line="240" w:lineRule="auto"/>
        <w:ind w:right="159" w:hanging="360"/>
        <w:rPr>
          <w:rFonts w:ascii="Calibri" w:eastAsia="Calibri" w:hAnsi="Calibri" w:cs="Calibri"/>
          <w:color w:val="000000"/>
          <w:kern w:val="0"/>
          <w:sz w:val="22"/>
          <w:szCs w:val="22"/>
          <w:lang w:val="fr-FR"/>
          <w14:ligatures w14:val="none"/>
        </w:rPr>
      </w:pPr>
      <w:r w:rsidRPr="0025391D">
        <w:rPr>
          <w:rFonts w:ascii="Calibri" w:eastAsia="Times New Roman" w:hAnsi="Calibri" w:cs="Arial"/>
          <w:color w:val="000000"/>
          <w:kern w:val="0"/>
          <w:sz w:val="22"/>
          <w:szCs w:val="22"/>
          <w:lang w:val="fr-FR"/>
          <w14:ligatures w14:val="none"/>
        </w:rPr>
        <w:t xml:space="preserve">En cas d’absence d’un SBAA (c.-à-d., le Fonds spécial ou les Accords d’assistance technique sont encore utilisés), une annexe </w:t>
      </w:r>
      <w:proofErr w:type="gramStart"/>
      <w:r w:rsidRPr="0025391D">
        <w:rPr>
          <w:rFonts w:ascii="Calibri" w:eastAsia="Times New Roman" w:hAnsi="Calibri" w:cs="Arial"/>
          <w:color w:val="000000"/>
          <w:kern w:val="0"/>
          <w:sz w:val="22"/>
          <w:szCs w:val="22"/>
          <w:lang w:val="fr-FR"/>
          <w14:ligatures w14:val="none"/>
        </w:rPr>
        <w:t>standardisée  (</w:t>
      </w:r>
      <w:proofErr w:type="gramEnd"/>
      <w:r w:rsidRPr="0025391D">
        <w:rPr>
          <w:rFonts w:ascii="Calibri" w:eastAsia="Times New Roman" w:hAnsi="Calibri" w:cs="Arial"/>
          <w:color w:val="000000"/>
          <w:kern w:val="0"/>
          <w:sz w:val="22"/>
          <w:szCs w:val="22"/>
          <w:lang w:val="fr-FR"/>
          <w14:ligatures w14:val="none"/>
        </w:rPr>
        <w:t>dispositions supplémentaires) au document du projet doit être utilisée (</w:t>
      </w:r>
      <w:hyperlink r:id="rId8">
        <w:r w:rsidRPr="0025391D">
          <w:rPr>
            <w:rFonts w:ascii="Calibri" w:eastAsia="Times New Roman" w:hAnsi="Calibri" w:cs="Arial"/>
            <w:color w:val="2E74B5"/>
            <w:kern w:val="0"/>
            <w:sz w:val="22"/>
            <w:szCs w:val="22"/>
            <w:u w:val="single"/>
            <w:lang w:val="fr-FR"/>
            <w14:ligatures w14:val="none"/>
          </w:rPr>
          <w:t>Annexe standardisée au document du projet</w:t>
        </w:r>
      </w:hyperlink>
      <w:r w:rsidRPr="0025391D">
        <w:rPr>
          <w:rFonts w:ascii="Calibri" w:eastAsia="Times New Roman" w:hAnsi="Calibri" w:cs="Arial"/>
          <w:color w:val="2E74B5"/>
          <w:kern w:val="0"/>
          <w:sz w:val="22"/>
          <w:szCs w:val="22"/>
          <w:lang w:val="fr-FR"/>
          <w14:ligatures w14:val="none"/>
        </w:rPr>
        <w:t>). </w:t>
      </w:r>
    </w:p>
    <w:p w14:paraId="79840788" w14:textId="77777777" w:rsidR="0025391D" w:rsidRPr="0025391D" w:rsidRDefault="0025391D" w:rsidP="0025391D">
      <w:pPr>
        <w:spacing w:after="0" w:line="240" w:lineRule="auto"/>
        <w:ind w:left="705" w:right="159"/>
        <w:rPr>
          <w:rFonts w:ascii="Calibri" w:eastAsia="Times New Roman" w:hAnsi="Calibri" w:cs="Times New Roman"/>
          <w:color w:val="000000"/>
          <w:kern w:val="0"/>
          <w:sz w:val="22"/>
          <w:szCs w:val="22"/>
          <w:lang w:val="fr-FR"/>
          <w14:ligatures w14:val="none"/>
        </w:rPr>
      </w:pPr>
    </w:p>
    <w:p w14:paraId="5921DF92" w14:textId="77777777" w:rsidR="0025391D" w:rsidRPr="0025391D" w:rsidRDefault="0025391D" w:rsidP="0025391D">
      <w:pPr>
        <w:numPr>
          <w:ilvl w:val="0"/>
          <w:numId w:val="1"/>
        </w:numPr>
        <w:spacing w:after="0" w:line="240" w:lineRule="auto"/>
        <w:ind w:right="159" w:hanging="360"/>
        <w:rPr>
          <w:rFonts w:ascii="Calibri" w:eastAsia="Times New Roman" w:hAnsi="Calibri" w:cs="Times New Roman"/>
          <w:color w:val="000000"/>
          <w:kern w:val="0"/>
          <w:sz w:val="22"/>
          <w:szCs w:val="22"/>
          <w:lang w:val="fr-FR"/>
          <w14:ligatures w14:val="none"/>
        </w:rPr>
      </w:pPr>
      <w:r w:rsidRPr="0025391D">
        <w:rPr>
          <w:rFonts w:ascii="Calibri" w:eastAsia="Calibri" w:hAnsi="Calibri" w:cs="Calibri"/>
          <w:color w:val="000000"/>
          <w:kern w:val="0"/>
          <w:sz w:val="22"/>
          <w:szCs w:val="22"/>
          <w:lang w:val="fr-FR"/>
          <w14:ligatures w14:val="none"/>
        </w:rPr>
        <w:t xml:space="preserve">Les contributions sont une principale source de financement pour le budget institutionnel de base des bureaux de pays et leur utilisation est soumise à </w:t>
      </w:r>
      <w:hyperlink r:id="rId9">
        <w:r w:rsidRPr="0025391D">
          <w:rPr>
            <w:rFonts w:ascii="Calibri" w:eastAsia="Calibri" w:hAnsi="Calibri" w:cs="Calibri"/>
            <w:color w:val="4472C4"/>
            <w:kern w:val="0"/>
            <w:sz w:val="22"/>
            <w:szCs w:val="22"/>
            <w:u w:val="single"/>
            <w:lang w:val="fr-FR"/>
            <w14:ligatures w14:val="none"/>
          </w:rPr>
          <w:t>règlement financier et règles de gestion financière du PNUD</w:t>
        </w:r>
      </w:hyperlink>
      <w:r w:rsidRPr="0025391D">
        <w:rPr>
          <w:rFonts w:ascii="Calibri" w:eastAsia="Calibri" w:hAnsi="Calibri" w:cs="Calibri"/>
          <w:color w:val="000000"/>
          <w:kern w:val="0"/>
          <w:sz w:val="22"/>
          <w:szCs w:val="22"/>
          <w:lang w:val="fr-FR"/>
          <w14:ligatures w14:val="none"/>
        </w:rPr>
        <w:t xml:space="preserve">. Toutes les contributions du GLOC reçues des gouvernements hôtes sont intégralement restituées au bureau national. Les bureaux nationaux conservent et utilisent les contributions des GLOC collectées pour les dépenses des bureaux locaux. </w:t>
      </w:r>
    </w:p>
    <w:p w14:paraId="038AC4ED" w14:textId="77777777" w:rsidR="0025391D" w:rsidRPr="0025391D" w:rsidRDefault="0025391D" w:rsidP="0025391D">
      <w:pPr>
        <w:spacing w:after="0" w:line="240" w:lineRule="exact"/>
        <w:jc w:val="both"/>
        <w:rPr>
          <w:rFonts w:ascii="Calibri" w:eastAsia="Calibri" w:hAnsi="Calibri" w:cs="Calibri"/>
          <w:color w:val="000000"/>
          <w:kern w:val="0"/>
          <w:sz w:val="22"/>
          <w:szCs w:val="22"/>
          <w:lang w:val="fr-FR"/>
          <w14:ligatures w14:val="none"/>
        </w:rPr>
      </w:pPr>
    </w:p>
    <w:p w14:paraId="7DB16640" w14:textId="77777777" w:rsidR="0025391D" w:rsidRPr="0025391D" w:rsidRDefault="0025391D" w:rsidP="0025391D">
      <w:pPr>
        <w:spacing w:after="0" w:line="240" w:lineRule="auto"/>
        <w:ind w:right="159"/>
        <w:rPr>
          <w:rFonts w:ascii="Calibri" w:eastAsia="Times New Roman" w:hAnsi="Calibri" w:cs="Times New Roman"/>
          <w:color w:val="000000"/>
          <w:kern w:val="0"/>
          <w:sz w:val="22"/>
          <w:szCs w:val="22"/>
          <w:lang w:val="fr-FR"/>
          <w14:ligatures w14:val="none"/>
        </w:rPr>
      </w:pPr>
    </w:p>
    <w:p w14:paraId="19ACA142"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14:ligatures w14:val="none"/>
        </w:rPr>
      </w:pPr>
      <w:proofErr w:type="spellStart"/>
      <w:r w:rsidRPr="0025391D">
        <w:rPr>
          <w:rFonts w:ascii="Calibri" w:eastAsia="Times New Roman" w:hAnsi="Calibri" w:cs="Times New Roman"/>
          <w:b/>
          <w:bCs/>
          <w:color w:val="000000"/>
          <w:kern w:val="0"/>
          <w:sz w:val="22"/>
          <w:szCs w:val="22"/>
          <w14:ligatures w14:val="none"/>
        </w:rPr>
        <w:t>Étendue</w:t>
      </w:r>
      <w:proofErr w:type="spellEnd"/>
    </w:p>
    <w:p w14:paraId="0EB32C22"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14:ligatures w14:val="none"/>
        </w:rPr>
      </w:pPr>
    </w:p>
    <w:p w14:paraId="0AB0CEF3" w14:textId="4641C99B" w:rsidR="0025391D" w:rsidRPr="0025391D" w:rsidRDefault="0025391D" w:rsidP="0025391D">
      <w:pPr>
        <w:numPr>
          <w:ilvl w:val="0"/>
          <w:numId w:val="1"/>
        </w:numPr>
        <w:autoSpaceDE w:val="0"/>
        <w:autoSpaceDN w:val="0"/>
        <w:spacing w:after="0" w:line="240" w:lineRule="auto"/>
        <w:ind w:hanging="345"/>
        <w:contextualSpacing/>
        <w:jc w:val="both"/>
        <w:rPr>
          <w:rFonts w:ascii="Calibri" w:eastAsia="Times New Roman" w:hAnsi="Calibri" w:cs="Arial"/>
          <w:b/>
          <w:bCs/>
          <w:color w:val="000000"/>
          <w:kern w:val="0"/>
          <w:sz w:val="22"/>
          <w:szCs w:val="22"/>
          <w:lang w:val="fr-FR"/>
          <w14:ligatures w14:val="none"/>
        </w:rPr>
      </w:pPr>
      <w:r w:rsidRPr="0025391D">
        <w:rPr>
          <w:rFonts w:ascii="Calibri" w:eastAsia="Times New Roman" w:hAnsi="Calibri" w:cs="Arial"/>
          <w:color w:val="000000"/>
          <w:kern w:val="0"/>
          <w:sz w:val="22"/>
          <w:szCs w:val="22"/>
          <w:lang w:val="fr-FR"/>
          <w14:ligatures w14:val="none"/>
        </w:rPr>
        <w:t xml:space="preserve">Cette politique est uniquement applicable aux pays classés dans les catégories des pays à revenus faibles et </w:t>
      </w:r>
      <w:r w:rsidR="000419C5" w:rsidRPr="0025391D">
        <w:rPr>
          <w:rFonts w:ascii="Calibri" w:eastAsia="Times New Roman" w:hAnsi="Calibri" w:cs="Arial"/>
          <w:color w:val="000000"/>
          <w:kern w:val="0"/>
          <w:sz w:val="22"/>
          <w:szCs w:val="22"/>
          <w:lang w:val="fr-FR"/>
          <w14:ligatures w14:val="none"/>
        </w:rPr>
        <w:t>intermédiaires pour</w:t>
      </w:r>
      <w:r w:rsidRPr="0025391D">
        <w:rPr>
          <w:rFonts w:ascii="Calibri" w:eastAsia="Times New Roman" w:hAnsi="Calibri" w:cs="Arial"/>
          <w:color w:val="000000"/>
          <w:kern w:val="0"/>
          <w:sz w:val="22"/>
          <w:szCs w:val="22"/>
          <w:lang w:val="fr-FR"/>
          <w14:ligatures w14:val="none"/>
        </w:rPr>
        <w:t xml:space="preserve"> une période de </w:t>
      </w:r>
      <w:proofErr w:type="spellStart"/>
      <w:r w:rsidRPr="0025391D">
        <w:rPr>
          <w:rFonts w:ascii="Calibri" w:eastAsia="Times New Roman" w:hAnsi="Calibri" w:cs="Arial"/>
          <w:color w:val="000000"/>
          <w:kern w:val="0"/>
          <w:sz w:val="22"/>
          <w:szCs w:val="22"/>
          <w:lang w:val="fr-FR"/>
          <w14:ligatures w14:val="none"/>
        </w:rPr>
        <w:t>reference</w:t>
      </w:r>
      <w:proofErr w:type="spellEnd"/>
      <w:r w:rsidRPr="0025391D">
        <w:rPr>
          <w:rFonts w:ascii="Calibri" w:eastAsia="Times New Roman" w:hAnsi="Calibri" w:cs="Arial"/>
          <w:color w:val="000000"/>
          <w:kern w:val="0"/>
          <w:sz w:val="22"/>
          <w:szCs w:val="22"/>
          <w:lang w:val="fr-FR"/>
          <w14:ligatures w14:val="none"/>
        </w:rPr>
        <w:t xml:space="preserve"> (“LIC”, “MIC”).  Elle ne s'applique pas aux pays contributeurs nets (PCN) et aux pays à revenu intermédiaire élevé qui sont réglementés conformément à la décision du bureau  exécutif  (</w:t>
      </w:r>
      <w:hyperlink r:id="rId10" w:history="1">
        <w:r w:rsidRPr="0025391D">
          <w:rPr>
            <w:rFonts w:ascii="Calibri" w:eastAsia="Times New Roman" w:hAnsi="Calibri" w:cs="Arial"/>
            <w:color w:val="2E74B5"/>
            <w:kern w:val="0"/>
            <w:sz w:val="22"/>
            <w:szCs w:val="22"/>
            <w:u w:val="single"/>
            <w:lang w:val="fr-FR"/>
            <w14:ligatures w14:val="none"/>
          </w:rPr>
          <w:t>2013/30</w:t>
        </w:r>
      </w:hyperlink>
      <w:r w:rsidRPr="0025391D">
        <w:rPr>
          <w:rFonts w:ascii="Calibri" w:eastAsia="Times New Roman" w:hAnsi="Calibri" w:cs="Arial"/>
          <w:color w:val="2E74B5"/>
          <w:kern w:val="0"/>
          <w:sz w:val="22"/>
          <w:szCs w:val="22"/>
          <w:lang w:val="fr-FR"/>
          <w14:ligatures w14:val="none"/>
        </w:rPr>
        <w:t xml:space="preserve">) </w:t>
      </w:r>
      <w:r w:rsidRPr="0025391D">
        <w:rPr>
          <w:rFonts w:ascii="Calibri" w:eastAsia="Times New Roman" w:hAnsi="Calibri" w:cs="Arial"/>
          <w:color w:val="000000"/>
          <w:kern w:val="0"/>
          <w:sz w:val="22"/>
          <w:szCs w:val="22"/>
          <w:lang w:val="fr-FR"/>
          <w14:ligatures w14:val="none"/>
        </w:rPr>
        <w:t>sur le financement de la présence physique différenciée (</w:t>
      </w:r>
      <w:hyperlink r:id="rId11">
        <w:r w:rsidRPr="0025391D">
          <w:rPr>
            <w:rFonts w:ascii="Calibri" w:eastAsia="Times New Roman" w:hAnsi="Calibri" w:cs="Arial"/>
            <w:color w:val="2E74B5"/>
            <w:kern w:val="0"/>
            <w:sz w:val="22"/>
            <w:szCs w:val="22"/>
            <w:u w:val="single"/>
            <w:lang w:val="fr-FR"/>
            <w14:ligatures w14:val="none"/>
          </w:rPr>
          <w:t>DP/2013/45</w:t>
        </w:r>
      </w:hyperlink>
      <w:r w:rsidRPr="0025391D">
        <w:rPr>
          <w:rFonts w:ascii="Calibri" w:eastAsia="Times New Roman" w:hAnsi="Calibri" w:cs="Arial"/>
          <w:color w:val="2E74B5"/>
          <w:kern w:val="0"/>
          <w:sz w:val="22"/>
          <w:szCs w:val="22"/>
          <w:lang w:val="fr-FR"/>
          <w14:ligatures w14:val="none"/>
        </w:rPr>
        <w:t xml:space="preserve">). </w:t>
      </w:r>
    </w:p>
    <w:p w14:paraId="3BFFF567" w14:textId="77777777" w:rsidR="0025391D" w:rsidRPr="0025391D" w:rsidRDefault="0025391D" w:rsidP="0025391D">
      <w:pPr>
        <w:autoSpaceDE w:val="0"/>
        <w:autoSpaceDN w:val="0"/>
        <w:spacing w:after="0" w:line="240" w:lineRule="auto"/>
        <w:rPr>
          <w:rFonts w:ascii="Calibri" w:eastAsia="Times New Roman" w:hAnsi="Calibri" w:cs="Arial"/>
          <w:b/>
          <w:bCs/>
          <w:color w:val="000000"/>
          <w:kern w:val="0"/>
          <w:sz w:val="22"/>
          <w:szCs w:val="22"/>
          <w:lang w:val="fr-FR"/>
          <w14:ligatures w14:val="none"/>
        </w:rPr>
      </w:pPr>
    </w:p>
    <w:p w14:paraId="657641F0" w14:textId="77777777" w:rsidR="0025391D" w:rsidRPr="0025391D" w:rsidRDefault="0025391D" w:rsidP="0025391D">
      <w:pPr>
        <w:autoSpaceDE w:val="0"/>
        <w:autoSpaceDN w:val="0"/>
        <w:spacing w:after="0" w:line="240" w:lineRule="auto"/>
        <w:rPr>
          <w:rFonts w:ascii="Calibri" w:eastAsia="Times New Roman" w:hAnsi="Calibri" w:cs="Arial"/>
          <w:b/>
          <w:bCs/>
          <w:color w:val="000000"/>
          <w:kern w:val="0"/>
          <w:sz w:val="22"/>
          <w:szCs w:val="22"/>
          <w:lang w:val="en-GB"/>
          <w14:ligatures w14:val="none"/>
        </w:rPr>
      </w:pPr>
      <w:r w:rsidRPr="0025391D">
        <w:rPr>
          <w:rFonts w:ascii="Calibri" w:eastAsia="Times New Roman" w:hAnsi="Calibri" w:cs="Arial"/>
          <w:b/>
          <w:bCs/>
          <w:color w:val="000000"/>
          <w:kern w:val="0"/>
          <w:sz w:val="22"/>
          <w:szCs w:val="22"/>
          <w:lang w:val="en-GB"/>
          <w14:ligatures w14:val="none"/>
        </w:rPr>
        <w:t xml:space="preserve">Le </w:t>
      </w:r>
      <w:proofErr w:type="spellStart"/>
      <w:r w:rsidRPr="0025391D">
        <w:rPr>
          <w:rFonts w:ascii="Calibri" w:eastAsia="Times New Roman" w:hAnsi="Calibri" w:cs="Arial"/>
          <w:b/>
          <w:bCs/>
          <w:color w:val="000000"/>
          <w:kern w:val="0"/>
          <w:sz w:val="22"/>
          <w:szCs w:val="22"/>
          <w:lang w:val="en-GB"/>
          <w14:ligatures w14:val="none"/>
        </w:rPr>
        <w:t>syst</w:t>
      </w:r>
      <w:r w:rsidRPr="0025391D">
        <w:rPr>
          <w:rFonts w:ascii="Calibri" w:eastAsia="Times New Roman" w:hAnsi="Calibri" w:cs="Times New Roman"/>
          <w:b/>
          <w:bCs/>
          <w:color w:val="000000"/>
          <w:kern w:val="0"/>
          <w:sz w:val="22"/>
          <w:szCs w:val="22"/>
          <w:lang w:val="en-GB"/>
          <w14:ligatures w14:val="none"/>
        </w:rPr>
        <w:t>ème</w:t>
      </w:r>
      <w:proofErr w:type="spellEnd"/>
      <w:r w:rsidRPr="0025391D">
        <w:rPr>
          <w:rFonts w:ascii="Calibri" w:eastAsia="Times New Roman" w:hAnsi="Calibri" w:cs="Times New Roman"/>
          <w:b/>
          <w:bCs/>
          <w:color w:val="000000"/>
          <w:kern w:val="0"/>
          <w:sz w:val="22"/>
          <w:szCs w:val="22"/>
          <w:lang w:val="en-GB"/>
          <w14:ligatures w14:val="none"/>
        </w:rPr>
        <w:t xml:space="preserve"> </w:t>
      </w:r>
      <w:proofErr w:type="spellStart"/>
      <w:r w:rsidRPr="0025391D">
        <w:rPr>
          <w:rFonts w:ascii="Calibri" w:eastAsia="Times New Roman" w:hAnsi="Calibri" w:cs="Times New Roman"/>
          <w:b/>
          <w:bCs/>
          <w:color w:val="000000"/>
          <w:kern w:val="0"/>
          <w:sz w:val="22"/>
          <w:szCs w:val="22"/>
          <w:lang w:val="en-GB"/>
          <w14:ligatures w14:val="none"/>
        </w:rPr>
        <w:t>d’exemption</w:t>
      </w:r>
      <w:proofErr w:type="spellEnd"/>
      <w:r w:rsidRPr="0025391D">
        <w:rPr>
          <w:rFonts w:ascii="Calibri" w:eastAsia="Times New Roman" w:hAnsi="Calibri" w:cs="Times New Roman"/>
          <w:b/>
          <w:bCs/>
          <w:color w:val="000000"/>
          <w:kern w:val="0"/>
          <w:sz w:val="22"/>
          <w:szCs w:val="22"/>
          <w:lang w:val="en-GB"/>
          <w14:ligatures w14:val="none"/>
        </w:rPr>
        <w:t xml:space="preserve"> GLOC</w:t>
      </w:r>
      <w:r w:rsidRPr="0025391D">
        <w:rPr>
          <w:rFonts w:ascii="Calibri" w:eastAsia="Times New Roman" w:hAnsi="Calibri" w:cs="Arial"/>
          <w:b/>
          <w:bCs/>
          <w:color w:val="000000"/>
          <w:kern w:val="0"/>
          <w:sz w:val="22"/>
          <w:szCs w:val="22"/>
          <w:lang w:val="en-GB"/>
          <w14:ligatures w14:val="none"/>
        </w:rPr>
        <w:t xml:space="preserve"> </w:t>
      </w:r>
    </w:p>
    <w:p w14:paraId="04CC8602" w14:textId="77777777" w:rsidR="0025391D" w:rsidRPr="0025391D" w:rsidRDefault="0025391D" w:rsidP="0025391D">
      <w:pPr>
        <w:tabs>
          <w:tab w:val="left" w:pos="0"/>
        </w:tabs>
        <w:suppressAutoHyphens/>
        <w:spacing w:after="0" w:line="240" w:lineRule="auto"/>
        <w:ind w:left="720"/>
        <w:contextualSpacing/>
        <w:jc w:val="both"/>
        <w:rPr>
          <w:rFonts w:ascii="Calibri" w:eastAsia="Calibri" w:hAnsi="Calibri" w:cs="Times New Roman"/>
          <w:color w:val="000000"/>
          <w:spacing w:val="-3"/>
          <w:kern w:val="0"/>
          <w:sz w:val="22"/>
          <w:szCs w:val="22"/>
          <w14:ligatures w14:val="none"/>
        </w:rPr>
      </w:pPr>
    </w:p>
    <w:p w14:paraId="353DAAD5" w14:textId="0722B699" w:rsidR="0025391D" w:rsidRPr="0025391D" w:rsidRDefault="0025391D" w:rsidP="0025391D">
      <w:pPr>
        <w:numPr>
          <w:ilvl w:val="0"/>
          <w:numId w:val="1"/>
        </w:numPr>
        <w:tabs>
          <w:tab w:val="left" w:pos="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Times New Roman" w:hAnsi="Calibri" w:cs="Arial"/>
          <w:color w:val="000000"/>
          <w:kern w:val="0"/>
          <w:sz w:val="22"/>
          <w:szCs w:val="22"/>
          <w:lang w:val="fr-FR"/>
          <w14:ligatures w14:val="none"/>
        </w:rPr>
        <w:t xml:space="preserve">Dans sa </w:t>
      </w:r>
      <w:proofErr w:type="spellStart"/>
      <w:r w:rsidRPr="0025391D">
        <w:rPr>
          <w:rFonts w:ascii="Calibri" w:eastAsia="Times New Roman" w:hAnsi="Calibri" w:cs="Arial"/>
          <w:color w:val="000000"/>
          <w:kern w:val="0"/>
          <w:sz w:val="22"/>
          <w:szCs w:val="22"/>
          <w:lang w:val="fr-FR"/>
          <w14:ligatures w14:val="none"/>
        </w:rPr>
        <w:t>decision</w:t>
      </w:r>
      <w:proofErr w:type="spellEnd"/>
      <w:r w:rsidRPr="0025391D">
        <w:rPr>
          <w:rFonts w:ascii="Calibri" w:eastAsia="Times New Roman" w:hAnsi="Calibri" w:cs="Arial"/>
          <w:color w:val="000000"/>
          <w:kern w:val="0"/>
          <w:sz w:val="22"/>
          <w:szCs w:val="22"/>
          <w:lang w:val="fr-FR"/>
          <w14:ligatures w14:val="none"/>
        </w:rPr>
        <w:t xml:space="preserve"> </w:t>
      </w:r>
      <w:hyperlink r:id="rId12">
        <w:r w:rsidRPr="0025391D">
          <w:rPr>
            <w:rFonts w:ascii="Calibri" w:eastAsia="Times New Roman" w:hAnsi="Calibri" w:cs="Arial"/>
            <w:color w:val="2E74B5"/>
            <w:kern w:val="0"/>
            <w:sz w:val="22"/>
            <w:szCs w:val="22"/>
            <w:u w:val="single"/>
            <w:lang w:val="fr-FR"/>
            <w14:ligatures w14:val="none"/>
          </w:rPr>
          <w:t>84/9</w:t>
        </w:r>
      </w:hyperlink>
      <w:r w:rsidRPr="0025391D">
        <w:rPr>
          <w:rFonts w:ascii="Calibri" w:eastAsia="Times New Roman" w:hAnsi="Calibri" w:cs="Arial"/>
          <w:color w:val="000000"/>
          <w:kern w:val="0"/>
          <w:sz w:val="22"/>
          <w:szCs w:val="22"/>
          <w:lang w:val="fr-FR"/>
          <w14:ligatures w14:val="none"/>
        </w:rPr>
        <w:t xml:space="preserve">, le conseil d’administration du PNUD a reconnu que les conditions économiques locales peuvent avoir un impact sur la capacité des pays de programme </w:t>
      </w:r>
      <w:r w:rsidR="000419C5" w:rsidRPr="0025391D">
        <w:rPr>
          <w:rFonts w:ascii="Calibri" w:eastAsia="Times New Roman" w:hAnsi="Calibri" w:cs="Arial"/>
          <w:color w:val="000000"/>
          <w:kern w:val="0"/>
          <w:sz w:val="22"/>
          <w:szCs w:val="22"/>
          <w:lang w:val="fr-FR"/>
          <w14:ligatures w14:val="none"/>
        </w:rPr>
        <w:t>à remplir</w:t>
      </w:r>
      <w:r w:rsidRPr="0025391D">
        <w:rPr>
          <w:rFonts w:ascii="Calibri" w:eastAsia="Times New Roman" w:hAnsi="Calibri" w:cs="Arial"/>
          <w:color w:val="000000"/>
          <w:kern w:val="0"/>
          <w:sz w:val="22"/>
          <w:szCs w:val="22"/>
          <w:lang w:val="fr-FR"/>
          <w14:ligatures w14:val="none"/>
        </w:rPr>
        <w:t xml:space="preserve"> leur obligation de </w:t>
      </w:r>
      <w:r w:rsidRPr="0025391D">
        <w:rPr>
          <w:rFonts w:ascii="Calibri" w:eastAsia="Times New Roman" w:hAnsi="Calibri" w:cs="Arial"/>
          <w:color w:val="000000"/>
          <w:kern w:val="0"/>
          <w:sz w:val="22"/>
          <w:szCs w:val="22"/>
          <w:lang w:val="fr-FR"/>
          <w14:ligatures w14:val="none"/>
        </w:rPr>
        <w:lastRenderedPageBreak/>
        <w:t xml:space="preserve">couvrir les coûts des bureaux locaux. En conséquence, il a autorisé l'Administrateur à renoncer à cette obligation, en partie, lorsque les conditions économiques le justifiaient. À cet égard, un système de dérogations fondé sur le produit national brut par habitant (remplacé par la suite par le revenu national brut (RNB) par habitant) a été mis au point. Le système de dispense est ajusté au cours de chaque cycle de programme en fonction du RNB par habitant de l'année de référence concernée. </w:t>
      </w:r>
    </w:p>
    <w:p w14:paraId="19CF7863" w14:textId="77777777" w:rsidR="0025391D" w:rsidRPr="0025391D" w:rsidRDefault="0025391D" w:rsidP="0025391D">
      <w:pPr>
        <w:spacing w:after="0" w:line="240" w:lineRule="auto"/>
        <w:rPr>
          <w:rFonts w:ascii="Calibri" w:eastAsia="Times New Roman" w:hAnsi="Calibri" w:cs="Arial"/>
          <w:b/>
          <w:bCs/>
          <w:color w:val="000000"/>
          <w:kern w:val="0"/>
          <w:sz w:val="22"/>
          <w:szCs w:val="22"/>
          <w:lang w:val="fr-FR"/>
          <w14:ligatures w14:val="none"/>
        </w:rPr>
      </w:pPr>
    </w:p>
    <w:p w14:paraId="54C2A85B" w14:textId="0AAECA1F" w:rsidR="0025391D" w:rsidRPr="000419C5" w:rsidRDefault="0025391D" w:rsidP="0025391D">
      <w:pPr>
        <w:numPr>
          <w:ilvl w:val="0"/>
          <w:numId w:val="1"/>
        </w:numPr>
        <w:tabs>
          <w:tab w:val="left" w:pos="0"/>
        </w:tabs>
        <w:suppressAutoHyphens/>
        <w:spacing w:after="0" w:line="240" w:lineRule="auto"/>
        <w:ind w:hanging="360"/>
        <w:contextualSpacing/>
        <w:jc w:val="both"/>
        <w:rPr>
          <w:rFonts w:ascii="Calibri" w:eastAsia="Calibri" w:hAnsi="Calibri" w:cs="Times New Roman"/>
          <w:color w:val="000000"/>
          <w:spacing w:val="-3"/>
          <w:kern w:val="0"/>
          <w:sz w:val="22"/>
          <w:szCs w:val="22"/>
          <w:lang w:val="fr-CH"/>
          <w14:ligatures w14:val="none"/>
        </w:rPr>
      </w:pPr>
      <w:r w:rsidRPr="0025391D">
        <w:rPr>
          <w:rFonts w:ascii="Calibri" w:eastAsia="Calibri" w:hAnsi="Calibri" w:cs="Times New Roman"/>
          <w:color w:val="000000"/>
          <w:spacing w:val="-3"/>
          <w:kern w:val="0"/>
          <w:sz w:val="22"/>
          <w:szCs w:val="22"/>
          <w:lang w:val="fr-CH"/>
          <w14:ligatures w14:val="none"/>
        </w:rPr>
        <w:t>Le Conseil d'administration a établi dans la décision 2012/28 qu'il y aurait un système de mises à jour biennales. À cet égard, une approche quadriennale pour le calcul de la moyenne du RNB par habitant sera appliquée, le RNB moyen par habitant des années 2016-2019 étant appliqué aux deux premières années du budget intégré, 2022-2023, et le RNB moyen par habitant des années 2018-2021 étant appliqué aux deux dernières années du budget intégré, 2024-2025. Le système d'exemption pour les calculs de l'objectif GLOC de 2023 est donc basé sur le RNB moyen par habitant de 2016-2019, conformément au Plan de ressources intégré et aux estimations du budget intégré du PNUD pour 2022-2025, annexe I, tableau 4</w:t>
      </w:r>
      <w:r w:rsidR="000419C5" w:rsidRPr="0025391D">
        <w:rPr>
          <w:rFonts w:ascii="Calibri" w:eastAsia="Calibri" w:hAnsi="Calibri" w:cs="Times New Roman"/>
          <w:color w:val="000000"/>
          <w:spacing w:val="-3"/>
          <w:kern w:val="0"/>
          <w:sz w:val="22"/>
          <w:szCs w:val="22"/>
          <w:lang w:val="fr-CH"/>
          <w14:ligatures w14:val="none"/>
        </w:rPr>
        <w:t>c. ii</w:t>
      </w:r>
      <w:r w:rsidRPr="0025391D">
        <w:rPr>
          <w:rFonts w:ascii="Calibri" w:eastAsia="Calibri" w:hAnsi="Calibri" w:cs="Times New Roman"/>
          <w:color w:val="000000"/>
          <w:spacing w:val="-3"/>
          <w:kern w:val="0"/>
          <w:sz w:val="22"/>
          <w:szCs w:val="22"/>
          <w:lang w:val="fr-CH"/>
          <w14:ligatures w14:val="none"/>
        </w:rPr>
        <w:t xml:space="preserve"> - Contributions du gouvernement aux exemptions des coûts des bureaux locaux pour 2022-2023, DP/2021/29).</w:t>
      </w:r>
    </w:p>
    <w:p w14:paraId="4AC18FFD" w14:textId="77777777" w:rsidR="0025391D" w:rsidRPr="0025391D" w:rsidRDefault="0025391D" w:rsidP="0025391D">
      <w:pPr>
        <w:tabs>
          <w:tab w:val="left" w:pos="0"/>
        </w:tabs>
        <w:suppressAutoHyphens/>
        <w:spacing w:after="0" w:line="240" w:lineRule="auto"/>
        <w:ind w:left="1080"/>
        <w:contextualSpacing/>
        <w:jc w:val="both"/>
        <w:rPr>
          <w:rFonts w:ascii="Calibri" w:eastAsia="Calibri" w:hAnsi="Calibri" w:cs="Times New Roman"/>
          <w:i/>
          <w:iCs/>
          <w:color w:val="000000"/>
          <w:spacing w:val="-3"/>
          <w:kern w:val="0"/>
          <w:sz w:val="22"/>
          <w:szCs w:val="22"/>
          <w:lang w:val="fr-FR"/>
          <w14:ligatures w14:val="none"/>
        </w:rPr>
      </w:pPr>
    </w:p>
    <w:tbl>
      <w:tblPr>
        <w:tblW w:w="8761" w:type="dxa"/>
        <w:tblInd w:w="625" w:type="dxa"/>
        <w:tblLayout w:type="fixed"/>
        <w:tblLook w:val="0000" w:firstRow="0" w:lastRow="0" w:firstColumn="0" w:lastColumn="0" w:noHBand="0" w:noVBand="0"/>
      </w:tblPr>
      <w:tblGrid>
        <w:gridCol w:w="4140"/>
        <w:gridCol w:w="1888"/>
        <w:gridCol w:w="2733"/>
      </w:tblGrid>
      <w:tr w:rsidR="0025391D" w:rsidRPr="0025391D" w14:paraId="7989BAF3" w14:textId="77777777" w:rsidTr="00243C50">
        <w:trPr>
          <w:trHeight w:val="531"/>
        </w:trPr>
        <w:tc>
          <w:tcPr>
            <w:tcW w:w="4140" w:type="dxa"/>
            <w:tcBorders>
              <w:top w:val="single" w:sz="4" w:space="0" w:color="auto"/>
              <w:left w:val="single" w:sz="4" w:space="0" w:color="auto"/>
              <w:bottom w:val="single" w:sz="4" w:space="0" w:color="auto"/>
              <w:right w:val="single" w:sz="4" w:space="0" w:color="auto"/>
            </w:tcBorders>
            <w:vAlign w:val="center"/>
          </w:tcPr>
          <w:p w14:paraId="7EBDAA15" w14:textId="77777777" w:rsidR="0025391D" w:rsidRPr="0025391D" w:rsidRDefault="0025391D" w:rsidP="0025391D">
            <w:pPr>
              <w:spacing w:after="0" w:line="240" w:lineRule="auto"/>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spacing w:val="-2"/>
                <w:kern w:val="0"/>
                <w:sz w:val="22"/>
                <w:szCs w:val="22"/>
                <w:lang w:val="fr-FR"/>
                <w14:ligatures w14:val="none"/>
              </w:rPr>
              <w:t xml:space="preserve">2016-2019, </w:t>
            </w:r>
            <w:r w:rsidRPr="0025391D">
              <w:rPr>
                <w:rFonts w:ascii="Calibri" w:eastAsia="Times New Roman" w:hAnsi="Calibri" w:cs="Arial"/>
                <w:b/>
                <w:bCs/>
                <w:color w:val="000000"/>
                <w:kern w:val="0"/>
                <w:sz w:val="22"/>
                <w:szCs w:val="22"/>
                <w:lang w:val="fr-FR"/>
                <w14:ligatures w14:val="none"/>
              </w:rPr>
              <w:t>RNB</w:t>
            </w:r>
            <w:r w:rsidRPr="0025391D">
              <w:rPr>
                <w:rFonts w:ascii="Calibri" w:eastAsia="Times New Roman" w:hAnsi="Calibri" w:cs="Times New Roman"/>
                <w:color w:val="000000"/>
                <w:spacing w:val="-2"/>
                <w:kern w:val="0"/>
                <w:sz w:val="22"/>
                <w:szCs w:val="22"/>
                <w:lang w:val="fr-FR"/>
                <w14:ligatures w14:val="none"/>
              </w:rPr>
              <w:t xml:space="preserve"> moyen par habitant (USD)</w:t>
            </w:r>
          </w:p>
        </w:tc>
        <w:tc>
          <w:tcPr>
            <w:tcW w:w="1888" w:type="dxa"/>
            <w:tcBorders>
              <w:top w:val="single" w:sz="4" w:space="0" w:color="auto"/>
              <w:left w:val="single" w:sz="4" w:space="0" w:color="auto"/>
              <w:bottom w:val="single" w:sz="4" w:space="0" w:color="auto"/>
              <w:right w:val="single" w:sz="4" w:space="0" w:color="auto"/>
            </w:tcBorders>
            <w:vAlign w:val="center"/>
          </w:tcPr>
          <w:p w14:paraId="4D32EB47"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proofErr w:type="spellStart"/>
            <w:r w:rsidRPr="0025391D">
              <w:rPr>
                <w:rFonts w:ascii="Calibri" w:eastAsia="Times New Roman" w:hAnsi="Calibri" w:cs="Times New Roman"/>
                <w:color w:val="000000"/>
                <w:spacing w:val="-2"/>
                <w:kern w:val="0"/>
                <w:sz w:val="22"/>
                <w:szCs w:val="22"/>
                <w14:ligatures w14:val="none"/>
              </w:rPr>
              <w:t>Pourcentage</w:t>
            </w:r>
            <w:proofErr w:type="spellEnd"/>
            <w:r w:rsidRPr="0025391D">
              <w:rPr>
                <w:rFonts w:ascii="Calibri" w:eastAsia="Times New Roman" w:hAnsi="Calibri" w:cs="Times New Roman"/>
                <w:color w:val="000000"/>
                <w:spacing w:val="-2"/>
                <w:kern w:val="0"/>
                <w:sz w:val="22"/>
                <w:szCs w:val="22"/>
                <w14:ligatures w14:val="none"/>
              </w:rPr>
              <w:t xml:space="preserve"> </w:t>
            </w:r>
            <w:proofErr w:type="spellStart"/>
            <w:r w:rsidRPr="0025391D">
              <w:rPr>
                <w:rFonts w:ascii="Calibri" w:eastAsia="Times New Roman" w:hAnsi="Calibri" w:cs="Times New Roman"/>
                <w:color w:val="000000"/>
                <w:spacing w:val="-2"/>
                <w:kern w:val="0"/>
                <w:sz w:val="22"/>
                <w:szCs w:val="22"/>
                <w:lang w:val="en-GB"/>
                <w14:ligatures w14:val="none"/>
              </w:rPr>
              <w:t>d’exemption</w:t>
            </w:r>
            <w:proofErr w:type="spellEnd"/>
          </w:p>
        </w:tc>
        <w:tc>
          <w:tcPr>
            <w:tcW w:w="2733" w:type="dxa"/>
            <w:tcBorders>
              <w:top w:val="single" w:sz="4" w:space="0" w:color="auto"/>
              <w:left w:val="single" w:sz="4" w:space="0" w:color="auto"/>
              <w:bottom w:val="single" w:sz="4" w:space="0" w:color="auto"/>
              <w:right w:val="single" w:sz="4" w:space="0" w:color="auto"/>
            </w:tcBorders>
            <w:vAlign w:val="center"/>
          </w:tcPr>
          <w:p w14:paraId="3578E22D"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proofErr w:type="spellStart"/>
            <w:r w:rsidRPr="0025391D">
              <w:rPr>
                <w:rFonts w:ascii="Calibri" w:eastAsia="Times New Roman" w:hAnsi="Calibri" w:cs="Times New Roman"/>
                <w:color w:val="000000"/>
                <w:kern w:val="0"/>
                <w:sz w:val="22"/>
                <w:szCs w:val="22"/>
                <w14:ligatures w14:val="none"/>
              </w:rPr>
              <w:t>Catégorie</w:t>
            </w:r>
            <w:proofErr w:type="spellEnd"/>
            <w:r w:rsidRPr="0025391D">
              <w:rPr>
                <w:rFonts w:ascii="Calibri" w:eastAsia="Times New Roman" w:hAnsi="Calibri" w:cs="Times New Roman"/>
                <w:color w:val="000000"/>
                <w:kern w:val="0"/>
                <w:sz w:val="22"/>
                <w:szCs w:val="22"/>
                <w14:ligatures w14:val="none"/>
              </w:rPr>
              <w:t xml:space="preserve"> de </w:t>
            </w:r>
            <w:proofErr w:type="spellStart"/>
            <w:r w:rsidRPr="0025391D">
              <w:rPr>
                <w:rFonts w:ascii="Calibri" w:eastAsia="Times New Roman" w:hAnsi="Calibri" w:cs="Times New Roman"/>
                <w:color w:val="000000"/>
                <w:kern w:val="0"/>
                <w:sz w:val="22"/>
                <w:szCs w:val="22"/>
                <w14:ligatures w14:val="none"/>
              </w:rPr>
              <w:t>Revenu</w:t>
            </w:r>
            <w:proofErr w:type="spellEnd"/>
          </w:p>
        </w:tc>
      </w:tr>
      <w:tr w:rsidR="0025391D" w:rsidRPr="0025391D" w14:paraId="1438EFF4" w14:textId="77777777" w:rsidTr="00243C50">
        <w:trPr>
          <w:trHeight w:val="302"/>
        </w:trPr>
        <w:tc>
          <w:tcPr>
            <w:tcW w:w="4140" w:type="dxa"/>
            <w:tcBorders>
              <w:top w:val="single" w:sz="4" w:space="0" w:color="auto"/>
              <w:left w:val="single" w:sz="4" w:space="0" w:color="auto"/>
              <w:bottom w:val="single" w:sz="4" w:space="0" w:color="auto"/>
              <w:right w:val="single" w:sz="4" w:space="0" w:color="auto"/>
            </w:tcBorders>
            <w:vAlign w:val="center"/>
          </w:tcPr>
          <w:p w14:paraId="33D5FDFB"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$1,286 et </w:t>
            </w:r>
            <w:proofErr w:type="spellStart"/>
            <w:r w:rsidRPr="0025391D">
              <w:rPr>
                <w:rFonts w:ascii="Calibri" w:eastAsia="Times New Roman" w:hAnsi="Calibri" w:cs="Times New Roman"/>
                <w:color w:val="000000"/>
                <w:kern w:val="0"/>
                <w:sz w:val="22"/>
                <w:szCs w:val="22"/>
                <w14:ligatures w14:val="none"/>
              </w:rPr>
              <w:t>moins</w:t>
            </w:r>
            <w:proofErr w:type="spellEnd"/>
          </w:p>
        </w:tc>
        <w:tc>
          <w:tcPr>
            <w:tcW w:w="1888" w:type="dxa"/>
            <w:tcBorders>
              <w:top w:val="single" w:sz="4" w:space="0" w:color="auto"/>
              <w:left w:val="single" w:sz="4" w:space="0" w:color="auto"/>
              <w:bottom w:val="single" w:sz="4" w:space="0" w:color="auto"/>
              <w:right w:val="single" w:sz="4" w:space="0" w:color="auto"/>
            </w:tcBorders>
            <w:vAlign w:val="center"/>
          </w:tcPr>
          <w:p w14:paraId="337D49D8"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75%</w:t>
            </w:r>
          </w:p>
        </w:tc>
        <w:tc>
          <w:tcPr>
            <w:tcW w:w="2733" w:type="dxa"/>
            <w:tcBorders>
              <w:top w:val="single" w:sz="4" w:space="0" w:color="auto"/>
              <w:left w:val="single" w:sz="4" w:space="0" w:color="auto"/>
              <w:bottom w:val="single" w:sz="4" w:space="0" w:color="auto"/>
              <w:right w:val="single" w:sz="4" w:space="0" w:color="auto"/>
            </w:tcBorders>
            <w:vAlign w:val="center"/>
          </w:tcPr>
          <w:p w14:paraId="6886BE21"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lang w:val="en-GB"/>
                <w14:ligatures w14:val="none"/>
              </w:rPr>
              <w:t xml:space="preserve">Pays à </w:t>
            </w:r>
            <w:proofErr w:type="spellStart"/>
            <w:r w:rsidRPr="0025391D">
              <w:rPr>
                <w:rFonts w:ascii="Calibri" w:eastAsia="Times New Roman" w:hAnsi="Calibri" w:cs="Times New Roman"/>
                <w:color w:val="000000"/>
                <w:kern w:val="0"/>
                <w:sz w:val="22"/>
                <w:szCs w:val="22"/>
                <w:lang w:val="en-GB"/>
                <w14:ligatures w14:val="none"/>
              </w:rPr>
              <w:t>Faible</w:t>
            </w:r>
            <w:proofErr w:type="spellEnd"/>
            <w:r w:rsidRPr="0025391D">
              <w:rPr>
                <w:rFonts w:ascii="Calibri" w:eastAsia="Times New Roman" w:hAnsi="Calibri" w:cs="Times New Roman"/>
                <w:color w:val="000000"/>
                <w:kern w:val="0"/>
                <w:sz w:val="22"/>
                <w:szCs w:val="22"/>
                <w:lang w:val="en-GB"/>
                <w14:ligatures w14:val="none"/>
              </w:rPr>
              <w:t xml:space="preserve"> </w:t>
            </w:r>
            <w:proofErr w:type="spellStart"/>
            <w:r w:rsidRPr="0025391D">
              <w:rPr>
                <w:rFonts w:ascii="Calibri" w:eastAsia="Times New Roman" w:hAnsi="Calibri" w:cs="Times New Roman"/>
                <w:color w:val="000000"/>
                <w:kern w:val="0"/>
                <w:sz w:val="22"/>
                <w:szCs w:val="22"/>
                <w:lang w:val="en-GB"/>
                <w14:ligatures w14:val="none"/>
              </w:rPr>
              <w:t>Revenu</w:t>
            </w:r>
            <w:proofErr w:type="spellEnd"/>
          </w:p>
        </w:tc>
      </w:tr>
      <w:tr w:rsidR="0025391D" w:rsidRPr="0025391D" w14:paraId="6C361B1C" w14:textId="77777777" w:rsidTr="00243C50">
        <w:trPr>
          <w:trHeight w:val="581"/>
        </w:trPr>
        <w:tc>
          <w:tcPr>
            <w:tcW w:w="4140" w:type="dxa"/>
            <w:tcBorders>
              <w:top w:val="single" w:sz="4" w:space="0" w:color="auto"/>
              <w:left w:val="single" w:sz="4" w:space="0" w:color="auto"/>
              <w:bottom w:val="single" w:sz="4" w:space="0" w:color="auto"/>
              <w:right w:val="single" w:sz="4" w:space="0" w:color="auto"/>
            </w:tcBorders>
            <w:vAlign w:val="center"/>
          </w:tcPr>
          <w:p w14:paraId="675A0FB2"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$1,287 </w:t>
            </w:r>
            <w:r w:rsidRPr="0025391D">
              <w:rPr>
                <w:rFonts w:ascii="Calibri" w:eastAsia="Times New Roman" w:hAnsi="Calibri" w:cs="Arial"/>
                <w:color w:val="000000"/>
                <w:kern w:val="0"/>
                <w:sz w:val="22"/>
                <w:szCs w:val="22"/>
                <w:lang w:val="en-GB"/>
                <w14:ligatures w14:val="none"/>
              </w:rPr>
              <w:t>à</w:t>
            </w:r>
            <w:r w:rsidRPr="0025391D">
              <w:rPr>
                <w:rFonts w:ascii="Calibri" w:eastAsia="Times New Roman" w:hAnsi="Calibri" w:cs="Times New Roman"/>
                <w:color w:val="000000"/>
                <w:kern w:val="0"/>
                <w:sz w:val="22"/>
                <w:szCs w:val="22"/>
                <w14:ligatures w14:val="none"/>
              </w:rPr>
              <w:t xml:space="preserve"> $2,150</w:t>
            </w:r>
          </w:p>
        </w:tc>
        <w:tc>
          <w:tcPr>
            <w:tcW w:w="1888" w:type="dxa"/>
            <w:tcBorders>
              <w:top w:val="single" w:sz="4" w:space="0" w:color="auto"/>
              <w:left w:val="single" w:sz="4" w:space="0" w:color="auto"/>
              <w:bottom w:val="single" w:sz="4" w:space="0" w:color="auto"/>
              <w:right w:val="single" w:sz="4" w:space="0" w:color="auto"/>
            </w:tcBorders>
            <w:vAlign w:val="center"/>
          </w:tcPr>
          <w:p w14:paraId="05191861"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50%</w:t>
            </w:r>
          </w:p>
        </w:tc>
        <w:tc>
          <w:tcPr>
            <w:tcW w:w="2733" w:type="dxa"/>
            <w:tcBorders>
              <w:top w:val="single" w:sz="4" w:space="0" w:color="auto"/>
              <w:left w:val="single" w:sz="4" w:space="0" w:color="auto"/>
              <w:bottom w:val="single" w:sz="4" w:space="0" w:color="auto"/>
              <w:right w:val="single" w:sz="4" w:space="0" w:color="auto"/>
            </w:tcBorders>
            <w:vAlign w:val="center"/>
          </w:tcPr>
          <w:p w14:paraId="2EC8E641"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lang w:val="en-GB"/>
                <w14:ligatures w14:val="none"/>
              </w:rPr>
              <w:t xml:space="preserve">Pays à </w:t>
            </w:r>
            <w:proofErr w:type="spellStart"/>
            <w:r w:rsidRPr="0025391D">
              <w:rPr>
                <w:rFonts w:ascii="Calibri" w:eastAsia="Times New Roman" w:hAnsi="Calibri" w:cs="Times New Roman"/>
                <w:color w:val="000000"/>
                <w:kern w:val="0"/>
                <w:sz w:val="22"/>
                <w:szCs w:val="22"/>
                <w:lang w:val="en-GB"/>
                <w14:ligatures w14:val="none"/>
              </w:rPr>
              <w:t>Revenu</w:t>
            </w:r>
            <w:proofErr w:type="spellEnd"/>
            <w:r w:rsidRPr="0025391D">
              <w:rPr>
                <w:rFonts w:ascii="Calibri" w:eastAsia="Times New Roman" w:hAnsi="Calibri" w:cs="Times New Roman"/>
                <w:color w:val="000000"/>
                <w:kern w:val="0"/>
                <w:sz w:val="22"/>
                <w:szCs w:val="22"/>
                <w:lang w:val="en-GB"/>
                <w14:ligatures w14:val="none"/>
              </w:rPr>
              <w:t xml:space="preserve"> </w:t>
            </w:r>
            <w:proofErr w:type="spellStart"/>
            <w:r w:rsidRPr="0025391D">
              <w:rPr>
                <w:rFonts w:ascii="Calibri" w:eastAsia="Times New Roman" w:hAnsi="Calibri" w:cs="Times New Roman"/>
                <w:color w:val="000000"/>
                <w:kern w:val="0"/>
                <w:sz w:val="22"/>
                <w:szCs w:val="22"/>
                <w:lang w:val="en-GB"/>
                <w14:ligatures w14:val="none"/>
              </w:rPr>
              <w:t>Intermédiaire</w:t>
            </w:r>
            <w:proofErr w:type="spellEnd"/>
          </w:p>
        </w:tc>
      </w:tr>
      <w:tr w:rsidR="0025391D" w:rsidRPr="0025391D" w14:paraId="77695559" w14:textId="77777777" w:rsidTr="00243C50">
        <w:trPr>
          <w:trHeight w:val="265"/>
        </w:trPr>
        <w:tc>
          <w:tcPr>
            <w:tcW w:w="4140" w:type="dxa"/>
            <w:tcBorders>
              <w:top w:val="single" w:sz="4" w:space="0" w:color="auto"/>
              <w:left w:val="single" w:sz="4" w:space="0" w:color="auto"/>
              <w:bottom w:val="single" w:sz="4" w:space="0" w:color="auto"/>
              <w:right w:val="single" w:sz="4" w:space="0" w:color="auto"/>
            </w:tcBorders>
            <w:vAlign w:val="center"/>
          </w:tcPr>
          <w:p w14:paraId="72BAF6A8"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$2,151 </w:t>
            </w:r>
            <w:r w:rsidRPr="0025391D">
              <w:rPr>
                <w:rFonts w:ascii="Calibri" w:eastAsia="Times New Roman" w:hAnsi="Calibri" w:cs="Arial"/>
                <w:color w:val="000000"/>
                <w:kern w:val="0"/>
                <w:sz w:val="22"/>
                <w:szCs w:val="22"/>
                <w:lang w:val="en-GB"/>
                <w14:ligatures w14:val="none"/>
              </w:rPr>
              <w:t>à</w:t>
            </w:r>
            <w:r w:rsidRPr="0025391D">
              <w:rPr>
                <w:rFonts w:ascii="Calibri" w:eastAsia="Times New Roman" w:hAnsi="Calibri" w:cs="Times New Roman"/>
                <w:color w:val="000000"/>
                <w:kern w:val="0"/>
                <w:sz w:val="22"/>
                <w:szCs w:val="22"/>
                <w14:ligatures w14:val="none"/>
              </w:rPr>
              <w:t xml:space="preserve"> $6,692</w:t>
            </w:r>
          </w:p>
        </w:tc>
        <w:tc>
          <w:tcPr>
            <w:tcW w:w="1888" w:type="dxa"/>
            <w:tcBorders>
              <w:top w:val="single" w:sz="4" w:space="0" w:color="auto"/>
              <w:left w:val="single" w:sz="4" w:space="0" w:color="auto"/>
              <w:bottom w:val="single" w:sz="4" w:space="0" w:color="auto"/>
              <w:right w:val="single" w:sz="4" w:space="0" w:color="auto"/>
            </w:tcBorders>
            <w:vAlign w:val="center"/>
          </w:tcPr>
          <w:p w14:paraId="0995840B"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25%</w:t>
            </w:r>
          </w:p>
        </w:tc>
        <w:tc>
          <w:tcPr>
            <w:tcW w:w="2733" w:type="dxa"/>
            <w:tcBorders>
              <w:top w:val="single" w:sz="4" w:space="0" w:color="auto"/>
              <w:left w:val="single" w:sz="4" w:space="0" w:color="auto"/>
              <w:bottom w:val="single" w:sz="4" w:space="0" w:color="auto"/>
              <w:right w:val="single" w:sz="4" w:space="0" w:color="auto"/>
            </w:tcBorders>
            <w:vAlign w:val="center"/>
          </w:tcPr>
          <w:p w14:paraId="47F75AF5" w14:textId="77777777" w:rsidR="0025391D" w:rsidRPr="0025391D" w:rsidRDefault="0025391D" w:rsidP="0025391D">
            <w:pPr>
              <w:spacing w:after="0" w:line="240" w:lineRule="auto"/>
              <w:ind w:left="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lang w:val="en-GB"/>
                <w14:ligatures w14:val="none"/>
              </w:rPr>
              <w:t xml:space="preserve">Pays à </w:t>
            </w:r>
            <w:proofErr w:type="spellStart"/>
            <w:r w:rsidRPr="0025391D">
              <w:rPr>
                <w:rFonts w:ascii="Calibri" w:eastAsia="Times New Roman" w:hAnsi="Calibri" w:cs="Times New Roman"/>
                <w:color w:val="000000"/>
                <w:kern w:val="0"/>
                <w:sz w:val="22"/>
                <w:szCs w:val="22"/>
                <w:lang w:val="en-GB"/>
                <w14:ligatures w14:val="none"/>
              </w:rPr>
              <w:t>Revenu</w:t>
            </w:r>
            <w:proofErr w:type="spellEnd"/>
            <w:r w:rsidRPr="0025391D">
              <w:rPr>
                <w:rFonts w:ascii="Calibri" w:eastAsia="Times New Roman" w:hAnsi="Calibri" w:cs="Times New Roman"/>
                <w:color w:val="000000"/>
                <w:kern w:val="0"/>
                <w:sz w:val="22"/>
                <w:szCs w:val="22"/>
                <w:lang w:val="en-GB"/>
                <w14:ligatures w14:val="none"/>
              </w:rPr>
              <w:t xml:space="preserve"> </w:t>
            </w:r>
            <w:proofErr w:type="spellStart"/>
            <w:r w:rsidRPr="0025391D">
              <w:rPr>
                <w:rFonts w:ascii="Calibri" w:eastAsia="Times New Roman" w:hAnsi="Calibri" w:cs="Times New Roman"/>
                <w:color w:val="000000"/>
                <w:kern w:val="0"/>
                <w:sz w:val="22"/>
                <w:szCs w:val="22"/>
                <w:lang w:val="en-GB"/>
                <w14:ligatures w14:val="none"/>
              </w:rPr>
              <w:t>Intermédiaire</w:t>
            </w:r>
            <w:proofErr w:type="spellEnd"/>
          </w:p>
        </w:tc>
      </w:tr>
    </w:tbl>
    <w:p w14:paraId="1EFC2A33" w14:textId="77777777" w:rsidR="0025391D" w:rsidRPr="0025391D" w:rsidRDefault="0025391D" w:rsidP="0025391D">
      <w:pPr>
        <w:tabs>
          <w:tab w:val="left" w:pos="0"/>
        </w:tabs>
        <w:suppressAutoHyphens/>
        <w:spacing w:after="0" w:line="240" w:lineRule="auto"/>
        <w:contextualSpacing/>
        <w:jc w:val="both"/>
        <w:rPr>
          <w:rFonts w:ascii="Calibri" w:eastAsia="Calibri" w:hAnsi="Calibri" w:cs="Times New Roman"/>
          <w:color w:val="000000"/>
          <w:spacing w:val="-3"/>
          <w:kern w:val="0"/>
          <w:sz w:val="22"/>
          <w:szCs w:val="22"/>
          <w14:ligatures w14:val="none"/>
        </w:rPr>
      </w:pPr>
    </w:p>
    <w:p w14:paraId="4AEBAB89" w14:textId="77777777" w:rsidR="0025391D" w:rsidRPr="0025391D" w:rsidRDefault="0025391D" w:rsidP="0025391D">
      <w:pPr>
        <w:tabs>
          <w:tab w:val="left" w:pos="0"/>
        </w:tabs>
        <w:suppressAutoHyphens/>
        <w:spacing w:after="0" w:line="240" w:lineRule="auto"/>
        <w:contextualSpacing/>
        <w:jc w:val="both"/>
        <w:rPr>
          <w:rFonts w:ascii="Calibri" w:eastAsia="Calibri" w:hAnsi="Calibri" w:cs="Times New Roman"/>
          <w:color w:val="000000"/>
          <w:spacing w:val="-3"/>
          <w:kern w:val="0"/>
          <w:sz w:val="22"/>
          <w:szCs w:val="22"/>
          <w14:ligatures w14:val="none"/>
        </w:rPr>
      </w:pPr>
    </w:p>
    <w:p w14:paraId="4E208BC6" w14:textId="77777777" w:rsidR="0025391D" w:rsidRPr="0025391D" w:rsidRDefault="0025391D" w:rsidP="0025391D">
      <w:pPr>
        <w:tabs>
          <w:tab w:val="left" w:pos="0"/>
        </w:tabs>
        <w:suppressAutoHyphens/>
        <w:spacing w:after="0" w:line="240" w:lineRule="auto"/>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Times New Roman" w:hAnsi="Calibri" w:cs="Arial"/>
          <w:color w:val="000000"/>
          <w:kern w:val="0"/>
          <w:sz w:val="22"/>
          <w:szCs w:val="22"/>
          <w:lang w:val="fr-FR"/>
          <w14:ligatures w14:val="none"/>
        </w:rPr>
        <w:t xml:space="preserve">La mise à jour biennale de la catégorisation des revenus du gouvernement hôte, qui coïncide avec l'examen à mi-parcours du budget intégré du PNUD, peut entraîner des changements dans les pourcentages de dérogation applicables.  Le pourcentage de dérogation du GLOC appliqué à l'obligation de chaque gouvernement d'accueil est indiqué dans l'objectif annuel de </w:t>
      </w:r>
      <w:proofErr w:type="spellStart"/>
      <w:r w:rsidRPr="0025391D">
        <w:rPr>
          <w:rFonts w:ascii="Calibri" w:eastAsia="Times New Roman" w:hAnsi="Calibri" w:cs="Arial"/>
          <w:color w:val="000000"/>
          <w:kern w:val="0"/>
          <w:sz w:val="22"/>
          <w:szCs w:val="22"/>
          <w:lang w:val="fr-FR"/>
          <w14:ligatures w14:val="none"/>
        </w:rPr>
        <w:t>derogation</w:t>
      </w:r>
      <w:proofErr w:type="spellEnd"/>
      <w:r w:rsidRPr="0025391D">
        <w:rPr>
          <w:rFonts w:ascii="Calibri" w:eastAsia="Times New Roman" w:hAnsi="Calibri" w:cs="Arial"/>
          <w:color w:val="000000"/>
          <w:kern w:val="0"/>
          <w:sz w:val="22"/>
          <w:szCs w:val="22"/>
          <w:lang w:val="fr-FR"/>
          <w14:ligatures w14:val="none"/>
        </w:rPr>
        <w:t xml:space="preserve"> du GLOC. Les changements du GNI moyen pourraient entraîner une modification de la dérogation au GLOC pour les pays d'accueil appartenant aux catégories de revenus </w:t>
      </w:r>
      <w:proofErr w:type="spellStart"/>
      <w:r w:rsidRPr="0025391D">
        <w:rPr>
          <w:rFonts w:ascii="Calibri" w:eastAsia="Times New Roman" w:hAnsi="Calibri" w:cs="Arial"/>
          <w:color w:val="000000"/>
          <w:kern w:val="0"/>
          <w:sz w:val="22"/>
          <w:szCs w:val="22"/>
          <w:lang w:val="fr-FR"/>
          <w14:ligatures w14:val="none"/>
        </w:rPr>
        <w:t>intermediaires</w:t>
      </w:r>
      <w:proofErr w:type="spellEnd"/>
      <w:r w:rsidRPr="0025391D">
        <w:rPr>
          <w:rFonts w:ascii="Calibri" w:eastAsia="Times New Roman" w:hAnsi="Calibri" w:cs="Arial"/>
          <w:color w:val="000000"/>
          <w:kern w:val="0"/>
          <w:sz w:val="22"/>
          <w:szCs w:val="22"/>
          <w:lang w:val="fr-FR"/>
          <w14:ligatures w14:val="none"/>
        </w:rPr>
        <w:t>.</w:t>
      </w:r>
    </w:p>
    <w:p w14:paraId="519EFF13" w14:textId="77777777" w:rsidR="0025391D" w:rsidRPr="0025391D" w:rsidRDefault="0025391D" w:rsidP="0025391D">
      <w:pPr>
        <w:spacing w:after="0" w:line="240" w:lineRule="auto"/>
        <w:jc w:val="both"/>
        <w:rPr>
          <w:rFonts w:ascii="Calibri" w:eastAsia="Times New Roman" w:hAnsi="Calibri" w:cs="Arial"/>
          <w:b/>
          <w:bCs/>
          <w:color w:val="000000"/>
          <w:kern w:val="0"/>
          <w:sz w:val="22"/>
          <w:szCs w:val="22"/>
          <w:lang w:val="fr-FR"/>
          <w14:ligatures w14:val="none"/>
        </w:rPr>
      </w:pPr>
    </w:p>
    <w:p w14:paraId="5BAC5511" w14:textId="77777777" w:rsidR="0025391D" w:rsidRPr="0025391D" w:rsidRDefault="0025391D" w:rsidP="0025391D">
      <w:pPr>
        <w:spacing w:after="0" w:line="240" w:lineRule="auto"/>
        <w:rPr>
          <w:rFonts w:ascii="Calibri" w:eastAsia="Times New Roman" w:hAnsi="Calibri" w:cs="Arial"/>
          <w:b/>
          <w:bCs/>
          <w:color w:val="000000"/>
          <w:kern w:val="0"/>
          <w:sz w:val="22"/>
          <w:szCs w:val="22"/>
          <w:lang w:val="fr-FR"/>
          <w14:ligatures w14:val="none"/>
        </w:rPr>
      </w:pPr>
      <w:r w:rsidRPr="0025391D">
        <w:rPr>
          <w:rFonts w:ascii="Calibri" w:eastAsia="Times New Roman" w:hAnsi="Calibri" w:cs="Arial"/>
          <w:b/>
          <w:bCs/>
          <w:color w:val="000000"/>
          <w:kern w:val="0"/>
          <w:sz w:val="22"/>
          <w:szCs w:val="22"/>
          <w:lang w:val="fr-FR"/>
          <w14:ligatures w14:val="none"/>
        </w:rPr>
        <w:t>Fixation d'objectifs et Mécanisme de Paiement</w:t>
      </w:r>
    </w:p>
    <w:p w14:paraId="7D484CDB" w14:textId="77777777" w:rsidR="0025391D" w:rsidRPr="0025391D" w:rsidRDefault="0025391D" w:rsidP="0025391D">
      <w:pPr>
        <w:spacing w:after="0" w:line="240" w:lineRule="auto"/>
        <w:rPr>
          <w:rFonts w:ascii="Calibri" w:eastAsia="Times New Roman" w:hAnsi="Calibri" w:cs="Arial"/>
          <w:color w:val="000000"/>
          <w:kern w:val="0"/>
          <w:sz w:val="22"/>
          <w:szCs w:val="22"/>
          <w:lang w:val="fr-FR"/>
          <w14:ligatures w14:val="none"/>
        </w:rPr>
      </w:pPr>
    </w:p>
    <w:p w14:paraId="59B96C09" w14:textId="41223C75"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Les objectifs annuels de trésorerie des GLOC pour les pays à faible et revenu intermédiaire sont calculés chaque année par BMS/OFM sur la base des coûts annuels des bureaux locaux financés par le budget institutionnel de base, comme </w:t>
      </w:r>
      <w:r w:rsidR="000419C5" w:rsidRPr="0025391D">
        <w:rPr>
          <w:rFonts w:ascii="Calibri" w:eastAsia="Calibri" w:hAnsi="Calibri" w:cs="Times New Roman"/>
          <w:color w:val="000000"/>
          <w:spacing w:val="-3"/>
          <w:kern w:val="0"/>
          <w:sz w:val="22"/>
          <w:szCs w:val="22"/>
          <w:lang w:val="fr-FR"/>
          <w14:ligatures w14:val="none"/>
        </w:rPr>
        <w:t>suit :</w:t>
      </w:r>
    </w:p>
    <w:p w14:paraId="3972867D" w14:textId="77777777" w:rsidR="0025391D" w:rsidRPr="0025391D" w:rsidRDefault="0025391D" w:rsidP="0025391D">
      <w:pPr>
        <w:tabs>
          <w:tab w:val="left" w:pos="-720"/>
        </w:tabs>
        <w:suppressAutoHyphens/>
        <w:spacing w:after="0" w:line="240" w:lineRule="auto"/>
        <w:jc w:val="both"/>
        <w:rPr>
          <w:rFonts w:ascii="Calibri" w:eastAsia="Times New Roman" w:hAnsi="Calibri" w:cs="Times New Roman"/>
          <w:color w:val="000000"/>
          <w:spacing w:val="-3"/>
          <w:kern w:val="0"/>
          <w:sz w:val="22"/>
          <w:szCs w:val="22"/>
          <w:lang w:val="fr-FR"/>
          <w14:ligatures w14:val="none"/>
        </w:rPr>
      </w:pPr>
    </w:p>
    <w:p w14:paraId="799E2E7E" w14:textId="77777777" w:rsidR="0025391D" w:rsidRPr="0025391D" w:rsidRDefault="0025391D" w:rsidP="0025391D">
      <w:pPr>
        <w:numPr>
          <w:ilvl w:val="1"/>
          <w:numId w:val="2"/>
        </w:numPr>
        <w:tabs>
          <w:tab w:val="left" w:pos="-720"/>
        </w:tabs>
        <w:suppressAutoHyphens/>
        <w:spacing w:after="0" w:line="240" w:lineRule="auto"/>
        <w:ind w:right="72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u w:val="single"/>
          <w:lang w:val="fr-FR"/>
          <w14:ligatures w14:val="none"/>
        </w:rPr>
        <w:t>Coûts du personnel local</w:t>
      </w:r>
      <w:r w:rsidRPr="0025391D">
        <w:rPr>
          <w:rFonts w:ascii="Calibri" w:eastAsia="Calibri" w:hAnsi="Calibri" w:cs="Times New Roman"/>
          <w:color w:val="000000"/>
          <w:spacing w:val="-3"/>
          <w:kern w:val="0"/>
          <w:sz w:val="22"/>
          <w:szCs w:val="22"/>
          <w:lang w:val="fr-FR"/>
          <w14:ligatures w14:val="none"/>
        </w:rPr>
        <w:t xml:space="preserve"> – Coûts annuels réels estimées du personnel local (recruté localement ou national). </w:t>
      </w:r>
    </w:p>
    <w:p w14:paraId="446A83BF" w14:textId="77777777" w:rsidR="0025391D" w:rsidRPr="0025391D" w:rsidRDefault="0025391D" w:rsidP="0025391D">
      <w:pPr>
        <w:numPr>
          <w:ilvl w:val="1"/>
          <w:numId w:val="2"/>
        </w:numPr>
        <w:tabs>
          <w:tab w:val="left" w:pos="-720"/>
        </w:tabs>
        <w:suppressAutoHyphens/>
        <w:spacing w:after="0" w:line="240" w:lineRule="auto"/>
        <w:ind w:right="72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u w:val="single"/>
          <w:lang w:val="fr-FR"/>
          <w14:ligatures w14:val="none"/>
        </w:rPr>
        <w:t>Frais généraux de fonctionnement</w:t>
      </w:r>
      <w:r w:rsidRPr="0025391D">
        <w:rPr>
          <w:rFonts w:ascii="Calibri" w:eastAsia="Calibri" w:hAnsi="Calibri" w:cs="Times New Roman"/>
          <w:color w:val="000000"/>
          <w:spacing w:val="-3"/>
          <w:kern w:val="0"/>
          <w:sz w:val="22"/>
          <w:szCs w:val="22"/>
          <w:lang w:val="fr-FR"/>
          <w14:ligatures w14:val="none"/>
        </w:rPr>
        <w:t xml:space="preserve"> – Coûts annuels </w:t>
      </w:r>
      <w:proofErr w:type="spellStart"/>
      <w:r w:rsidRPr="0025391D">
        <w:rPr>
          <w:rFonts w:ascii="Calibri" w:eastAsia="Calibri" w:hAnsi="Calibri" w:cs="Times New Roman"/>
          <w:color w:val="000000"/>
          <w:spacing w:val="-3"/>
          <w:kern w:val="0"/>
          <w:sz w:val="22"/>
          <w:szCs w:val="22"/>
          <w:lang w:val="fr-FR"/>
          <w14:ligatures w14:val="none"/>
        </w:rPr>
        <w:t>reels</w:t>
      </w:r>
      <w:proofErr w:type="spellEnd"/>
      <w:r w:rsidRPr="0025391D">
        <w:rPr>
          <w:rFonts w:ascii="Calibri" w:eastAsia="Calibri" w:hAnsi="Calibri" w:cs="Times New Roman"/>
          <w:color w:val="000000"/>
          <w:spacing w:val="-3"/>
          <w:kern w:val="0"/>
          <w:sz w:val="22"/>
          <w:szCs w:val="22"/>
          <w:lang w:val="fr-FR"/>
          <w14:ligatures w14:val="none"/>
        </w:rPr>
        <w:t xml:space="preserve"> estimées encourus pour les 12 mois. </w:t>
      </w:r>
    </w:p>
    <w:p w14:paraId="454D067C" w14:textId="77777777" w:rsidR="0025391D" w:rsidRPr="0025391D" w:rsidRDefault="0025391D" w:rsidP="0025391D">
      <w:pPr>
        <w:tabs>
          <w:tab w:val="left" w:pos="-720"/>
        </w:tabs>
        <w:suppressAutoHyphens/>
        <w:spacing w:after="0" w:line="240" w:lineRule="auto"/>
        <w:ind w:left="1440" w:right="720"/>
        <w:contextualSpacing/>
        <w:jc w:val="both"/>
        <w:rPr>
          <w:rFonts w:ascii="Calibri" w:eastAsia="Calibri" w:hAnsi="Calibri" w:cs="Times New Roman"/>
          <w:color w:val="000000"/>
          <w:spacing w:val="-3"/>
          <w:kern w:val="0"/>
          <w:sz w:val="22"/>
          <w:szCs w:val="22"/>
          <w:lang w:val="fr-FR"/>
          <w14:ligatures w14:val="none"/>
        </w:rPr>
      </w:pPr>
    </w:p>
    <w:p w14:paraId="36FEA38E" w14:textId="77777777"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Alternativement, les bureaux nationaux sont encouragés à négocier d'objectifs pluriannuels en matière de GLOC avec le gouvernement hôte, en intégrant ces engagements dans le dialogue national de planification pluriannuelle (voir le paragraphe 15 ci-dessous). Plutôt que d'être basés uniquement sur les coûts passés des bureaux locaux financés par le budget institutionnel de base, les objectifs des GLOC </w:t>
      </w:r>
      <w:r w:rsidRPr="0025391D">
        <w:rPr>
          <w:rFonts w:ascii="Calibri" w:eastAsia="Calibri" w:hAnsi="Calibri" w:cs="Times New Roman"/>
          <w:color w:val="000000"/>
          <w:spacing w:val="-3"/>
          <w:kern w:val="0"/>
          <w:sz w:val="22"/>
          <w:szCs w:val="22"/>
          <w:lang w:val="fr-FR"/>
          <w14:ligatures w14:val="none"/>
        </w:rPr>
        <w:lastRenderedPageBreak/>
        <w:t>peuvent être ajustés à la hausse au-delà des objectifs de trésorerie des GLOC, si cela est convenu avec les gouvernements hôtes afin de répondre à leurs aspirations en matière de développement.</w:t>
      </w:r>
    </w:p>
    <w:p w14:paraId="61D556A0" w14:textId="77777777" w:rsidR="0025391D" w:rsidRPr="0025391D" w:rsidRDefault="0025391D" w:rsidP="0025391D">
      <w:pPr>
        <w:tabs>
          <w:tab w:val="left" w:pos="-720"/>
        </w:tabs>
        <w:suppressAutoHyphens/>
        <w:spacing w:after="0" w:line="240" w:lineRule="auto"/>
        <w:ind w:left="705"/>
        <w:contextualSpacing/>
        <w:jc w:val="both"/>
        <w:rPr>
          <w:rFonts w:ascii="Calibri" w:eastAsia="Calibri" w:hAnsi="Calibri" w:cs="Times New Roman"/>
          <w:color w:val="000000"/>
          <w:spacing w:val="-3"/>
          <w:kern w:val="0"/>
          <w:sz w:val="22"/>
          <w:szCs w:val="22"/>
          <w:lang w:val="fr-FR"/>
          <w14:ligatures w14:val="none"/>
        </w:rPr>
      </w:pPr>
    </w:p>
    <w:p w14:paraId="5069225F" w14:textId="77777777"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Les objectifs des GLOC n'incluent pas les dépenses liées au personnel international ni les dépenses financées par les revenus du recouvrement des coûts ou les fonds du programme.  Les objectifs des GLOC établis chaque année par le BMS/OFM sont basés sur les dépenses réelles du personnel local et les dépenses de fonctionnement, par conséquent, les objectifs annuels reflètent les changements dans le financement du bureau local et ses dépenses.  Toute augmentation de l'allocation et des dépenses pour le personnel local et les dépenses de fonctionnement entraînera une augmentation des objectifs annuels du GLOC. De même, s'il y a eu une réduction de l'allocation et des dépenses du budget institutionnel de base pour le personnel local et les dépenses de fonctionnement, les objectifs annuels seront réduits.</w:t>
      </w:r>
    </w:p>
    <w:p w14:paraId="6C588614" w14:textId="77777777" w:rsidR="0025391D" w:rsidRPr="0025391D" w:rsidRDefault="0025391D" w:rsidP="0025391D">
      <w:pPr>
        <w:tabs>
          <w:tab w:val="left" w:pos="-720"/>
        </w:tabs>
        <w:suppressAutoHyphens/>
        <w:spacing w:after="0" w:line="240" w:lineRule="auto"/>
        <w:ind w:left="705"/>
        <w:contextualSpacing/>
        <w:jc w:val="both"/>
        <w:rPr>
          <w:rFonts w:ascii="Calibri" w:eastAsia="Calibri" w:hAnsi="Calibri" w:cs="Times New Roman"/>
          <w:color w:val="000000"/>
          <w:spacing w:val="-3"/>
          <w:kern w:val="0"/>
          <w:sz w:val="22"/>
          <w:szCs w:val="22"/>
          <w:lang w:val="fr-FR"/>
          <w14:ligatures w14:val="none"/>
        </w:rPr>
      </w:pPr>
    </w:p>
    <w:p w14:paraId="1B1C98DD" w14:textId="77777777"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Les contributions en nature du gouvernement sont considérées comme faisant partie du coût total du bureau local.  La valeur des contributions en nature pour l'établissement des objectifs des GLOC est basée sur la valeur locative annuelle des locaux fournis par le gouvernement, telle que certifiée et déclarée par les bureaux de pays à la fin d'un exercice financier et figurant dans les états financiers du PNUD. Ces valeurs sont basées sur la juste valeur locative du marché de locaux comparables. Toute variation de la valeur des locaux donnés, qu'elle soit due à des changements dans l'espace de bureau utilisable ou à son prix de marché, doit être signalée par le biais de la certification annuelle de fin d'année. La part des contributions en nature utilisée par d'autres unités de financement telles que le personnel de projet du PNUD, les agences des Nations unies, les services communs et le personnel financé par des fonds extrabudgétaires est exclue du total des contributions en nature appliquées pour les objectifs des GLOC. Pour plus d'informations, </w:t>
      </w:r>
      <w:proofErr w:type="spellStart"/>
      <w:r w:rsidRPr="0025391D">
        <w:rPr>
          <w:rFonts w:ascii="Calibri" w:eastAsia="Calibri" w:hAnsi="Calibri" w:cs="Times New Roman"/>
          <w:color w:val="000000"/>
          <w:spacing w:val="-3"/>
          <w:kern w:val="0"/>
          <w:sz w:val="22"/>
          <w:szCs w:val="22"/>
          <w:lang w:val="fr-FR"/>
          <w14:ligatures w14:val="none"/>
        </w:rPr>
        <w:t>veuillez vous</w:t>
      </w:r>
      <w:proofErr w:type="spellEnd"/>
      <w:r w:rsidRPr="0025391D">
        <w:rPr>
          <w:rFonts w:ascii="Calibri" w:eastAsia="Calibri" w:hAnsi="Calibri" w:cs="Times New Roman"/>
          <w:color w:val="000000"/>
          <w:spacing w:val="-3"/>
          <w:kern w:val="0"/>
          <w:sz w:val="22"/>
          <w:szCs w:val="22"/>
          <w:lang w:val="fr-FR"/>
          <w14:ligatures w14:val="none"/>
        </w:rPr>
        <w:t xml:space="preserve"> référer à </w:t>
      </w:r>
      <w:r w:rsidRPr="0025391D">
        <w:rPr>
          <w:rFonts w:ascii="Calibri" w:eastAsia="Calibri" w:hAnsi="Calibri" w:cs="Times New Roman"/>
          <w:color w:val="000000"/>
          <w:spacing w:val="-3"/>
          <w:kern w:val="0"/>
          <w:sz w:val="22"/>
          <w:szCs w:val="22"/>
          <w14:ligatures w14:val="none"/>
        </w:rPr>
        <w:fldChar w:fldCharType="begin"/>
      </w:r>
      <w:r w:rsidRPr="0025391D">
        <w:rPr>
          <w:rFonts w:ascii="Calibri" w:eastAsia="Calibri" w:hAnsi="Calibri" w:cs="Times New Roman"/>
          <w:color w:val="000000"/>
          <w:spacing w:val="-3"/>
          <w:kern w:val="0"/>
          <w:sz w:val="22"/>
          <w:szCs w:val="22"/>
          <w:lang w:val="fr-FR"/>
          <w14:ligatures w14:val="none"/>
        </w:rPr>
        <w:instrText xml:space="preserve"> HYPERLINK "https://popp.undp.org/node/2981" </w:instrText>
      </w:r>
      <w:r w:rsidRPr="0025391D">
        <w:rPr>
          <w:rFonts w:ascii="Calibri" w:eastAsia="Calibri" w:hAnsi="Calibri" w:cs="Times New Roman"/>
          <w:color w:val="000000"/>
          <w:spacing w:val="-3"/>
          <w:kern w:val="0"/>
          <w:sz w:val="22"/>
          <w:szCs w:val="22"/>
          <w14:ligatures w14:val="none"/>
        </w:rPr>
      </w:r>
      <w:r w:rsidRPr="0025391D">
        <w:rPr>
          <w:rFonts w:ascii="Calibri" w:eastAsia="Calibri" w:hAnsi="Calibri" w:cs="Times New Roman"/>
          <w:color w:val="000000"/>
          <w:spacing w:val="-3"/>
          <w:kern w:val="0"/>
          <w:sz w:val="22"/>
          <w:szCs w:val="22"/>
          <w14:ligatures w14:val="none"/>
        </w:rPr>
        <w:fldChar w:fldCharType="separate"/>
      </w:r>
      <w:r w:rsidRPr="0025391D">
        <w:rPr>
          <w:rFonts w:ascii="Calibri" w:eastAsia="Calibri" w:hAnsi="Calibri" w:cs="Times New Roman"/>
          <w:color w:val="5B9BD5"/>
          <w:spacing w:val="-3"/>
          <w:kern w:val="0"/>
          <w:sz w:val="22"/>
          <w:szCs w:val="22"/>
          <w:u w:val="single"/>
          <w:lang w:val="fr-FR"/>
          <w14:ligatures w14:val="none"/>
        </w:rPr>
        <w:t>l'évaluation des coûts des bureaux locaux du gouvernement POPP (GLOC) de la contribution en nature du gouvernement hôte.</w:t>
      </w:r>
    </w:p>
    <w:p w14:paraId="332129D5" w14:textId="77777777" w:rsidR="0025391D" w:rsidRPr="0025391D" w:rsidRDefault="0025391D" w:rsidP="0025391D">
      <w:pPr>
        <w:tabs>
          <w:tab w:val="left" w:pos="-720"/>
        </w:tabs>
        <w:suppressAutoHyphens/>
        <w:spacing w:after="0" w:line="240" w:lineRule="auto"/>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kern w:val="0"/>
          <w:sz w:val="22"/>
          <w:szCs w:val="22"/>
          <w14:ligatures w14:val="none"/>
        </w:rPr>
        <w:fldChar w:fldCharType="end"/>
      </w:r>
    </w:p>
    <w:p w14:paraId="1A4E982A" w14:textId="77777777"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Les pourcentages de dérogation pour chaque gouvernement d'accueil sont appliqués au total des coûts annuels des bureaux locaux pour calculer l'objectif annuel du GLOC.  L'objectif en espèces est le montant net restant après que les contributions en nature du GLOC ont été prises en compte dans les calculs.</w:t>
      </w:r>
    </w:p>
    <w:p w14:paraId="5430372F" w14:textId="77777777" w:rsidR="0025391D" w:rsidRPr="0025391D" w:rsidRDefault="0025391D" w:rsidP="0025391D">
      <w:pPr>
        <w:tabs>
          <w:tab w:val="left" w:pos="-720"/>
        </w:tabs>
        <w:suppressAutoHyphens/>
        <w:spacing w:after="0" w:line="240" w:lineRule="auto"/>
        <w:contextualSpacing/>
        <w:jc w:val="both"/>
        <w:rPr>
          <w:rFonts w:ascii="Calibri" w:eastAsia="Calibri" w:hAnsi="Calibri" w:cs="Times New Roman"/>
          <w:color w:val="000000"/>
          <w:spacing w:val="-3"/>
          <w:kern w:val="0"/>
          <w:sz w:val="22"/>
          <w:szCs w:val="22"/>
          <w:lang w:val="fr-FR"/>
          <w14:ligatures w14:val="none"/>
        </w:rPr>
      </w:pPr>
    </w:p>
    <w:p w14:paraId="58C1DB31" w14:textId="77777777"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Les objectifs annuels de trésorerie des GLOC sont calculés comme suit et expliqués dans la méthode de calcul des GLOC annuels.</w:t>
      </w:r>
    </w:p>
    <w:p w14:paraId="2002CDD4" w14:textId="77777777" w:rsidR="0025391D" w:rsidRPr="0025391D" w:rsidRDefault="0025391D" w:rsidP="0025391D">
      <w:pPr>
        <w:tabs>
          <w:tab w:val="left" w:pos="-720"/>
        </w:tabs>
        <w:suppressAutoHyphens/>
        <w:spacing w:after="0" w:line="240" w:lineRule="auto"/>
        <w:rPr>
          <w:rFonts w:ascii="Calibri" w:eastAsia="Times New Roman" w:hAnsi="Calibri" w:cs="Times New Roman"/>
          <w:color w:val="000000"/>
          <w:spacing w:val="-3"/>
          <w:kern w:val="0"/>
          <w:sz w:val="22"/>
          <w:szCs w:val="22"/>
          <w:lang w:val="fr-FR"/>
          <w14:ligatures w14:val="none"/>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2"/>
        <w:gridCol w:w="4497"/>
      </w:tblGrid>
      <w:tr w:rsidR="0025391D" w:rsidRPr="0025391D" w14:paraId="3329A188" w14:textId="77777777" w:rsidTr="00243C50">
        <w:trPr>
          <w:trHeight w:val="635"/>
          <w:jc w:val="center"/>
        </w:trPr>
        <w:tc>
          <w:tcPr>
            <w:tcW w:w="3872" w:type="dxa"/>
            <w:vAlign w:val="center"/>
          </w:tcPr>
          <w:p w14:paraId="269F0E7E" w14:textId="77777777" w:rsidR="0025391D" w:rsidRPr="0025391D" w:rsidRDefault="0025391D" w:rsidP="0025391D">
            <w:pPr>
              <w:spacing w:after="0" w:line="240" w:lineRule="auto"/>
              <w:ind w:left="720" w:hanging="360"/>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kern w:val="0"/>
                <w:sz w:val="22"/>
                <w:szCs w:val="22"/>
                <w:lang w:val="fr-FR"/>
                <w14:ligatures w14:val="none"/>
              </w:rPr>
              <w:t>A.   Estimation des coûts des bureaux locaux</w:t>
            </w:r>
          </w:p>
        </w:tc>
        <w:tc>
          <w:tcPr>
            <w:tcW w:w="4497" w:type="dxa"/>
          </w:tcPr>
          <w:p w14:paraId="3EFBAE66" w14:textId="77777777" w:rsidR="0025391D" w:rsidRPr="0025391D" w:rsidRDefault="0025391D" w:rsidP="0025391D">
            <w:pPr>
              <w:spacing w:after="0" w:line="240" w:lineRule="auto"/>
              <w:ind w:left="370"/>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kern w:val="0"/>
                <w:sz w:val="22"/>
                <w:szCs w:val="22"/>
                <w:lang w:val="fr-FR"/>
                <w14:ligatures w14:val="none"/>
              </w:rPr>
              <w:t>Basé sur le personnel local uniquement et les coûts du GOE dans les codes de fonds du budget institutionnel de base tels que 02300/02301/02550/02551/02990</w:t>
            </w:r>
          </w:p>
          <w:p w14:paraId="585E427D" w14:textId="77777777" w:rsidR="0025391D" w:rsidRPr="0025391D" w:rsidRDefault="0025391D" w:rsidP="0025391D">
            <w:pPr>
              <w:spacing w:after="0" w:line="240" w:lineRule="auto"/>
              <w:ind w:left="370"/>
              <w:rPr>
                <w:rFonts w:ascii="Calibri" w:eastAsia="Times New Roman" w:hAnsi="Calibri" w:cs="Times New Roman"/>
                <w:color w:val="000000"/>
                <w:kern w:val="0"/>
                <w:sz w:val="22"/>
                <w:szCs w:val="22"/>
                <w:lang w:val="fr-FR"/>
                <w14:ligatures w14:val="none"/>
              </w:rPr>
            </w:pPr>
          </w:p>
        </w:tc>
      </w:tr>
      <w:tr w:rsidR="0025391D" w:rsidRPr="0025391D" w14:paraId="04637954" w14:textId="77777777" w:rsidTr="00243C50">
        <w:trPr>
          <w:trHeight w:val="572"/>
          <w:jc w:val="center"/>
        </w:trPr>
        <w:tc>
          <w:tcPr>
            <w:tcW w:w="3872" w:type="dxa"/>
            <w:vAlign w:val="center"/>
          </w:tcPr>
          <w:p w14:paraId="5F26BC5D" w14:textId="77777777" w:rsidR="0025391D" w:rsidRPr="0025391D" w:rsidRDefault="0025391D" w:rsidP="0025391D">
            <w:pPr>
              <w:spacing w:after="0" w:line="240" w:lineRule="auto"/>
              <w:ind w:left="720" w:hanging="360"/>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B.   Contribution </w:t>
            </w:r>
            <w:proofErr w:type="spellStart"/>
            <w:r w:rsidRPr="0025391D">
              <w:rPr>
                <w:rFonts w:ascii="Calibri" w:eastAsia="Times New Roman" w:hAnsi="Calibri" w:cs="Times New Roman"/>
                <w:color w:val="000000"/>
                <w:kern w:val="0"/>
                <w:sz w:val="22"/>
                <w:szCs w:val="22"/>
                <w14:ligatures w14:val="none"/>
              </w:rPr>
              <w:t>en</w:t>
            </w:r>
            <w:proofErr w:type="spellEnd"/>
            <w:r w:rsidRPr="0025391D">
              <w:rPr>
                <w:rFonts w:ascii="Calibri" w:eastAsia="Times New Roman" w:hAnsi="Calibri" w:cs="Times New Roman"/>
                <w:color w:val="000000"/>
                <w:kern w:val="0"/>
                <w:sz w:val="22"/>
                <w:szCs w:val="22"/>
                <w14:ligatures w14:val="none"/>
              </w:rPr>
              <w:t xml:space="preserve"> nature</w:t>
            </w:r>
          </w:p>
        </w:tc>
        <w:tc>
          <w:tcPr>
            <w:tcW w:w="4497" w:type="dxa"/>
          </w:tcPr>
          <w:p w14:paraId="6C153371" w14:textId="77777777" w:rsidR="0025391D" w:rsidRPr="0025391D" w:rsidRDefault="0025391D" w:rsidP="0025391D">
            <w:pPr>
              <w:spacing w:after="0" w:line="240" w:lineRule="auto"/>
              <w:rPr>
                <w:rFonts w:ascii="Calibri" w:eastAsia="Times New Roman" w:hAnsi="Calibri" w:cs="Times New Roman"/>
                <w:bCs/>
                <w:color w:val="000000"/>
                <w:kern w:val="0"/>
                <w:sz w:val="22"/>
                <w:szCs w:val="22"/>
                <w:lang w:val="fr-FR"/>
                <w14:ligatures w14:val="none"/>
              </w:rPr>
            </w:pPr>
            <w:r w:rsidRPr="0025391D">
              <w:rPr>
                <w:rFonts w:ascii="Calibri" w:eastAsia="Times New Roman" w:hAnsi="Calibri" w:cs="Times New Roman"/>
                <w:bCs/>
                <w:color w:val="000000"/>
                <w:kern w:val="0"/>
                <w:sz w:val="22"/>
                <w:szCs w:val="22"/>
                <w:lang w:val="fr-FR"/>
                <w14:ligatures w14:val="none"/>
              </w:rPr>
              <w:t>Sur la base d'une certification annuelle des droits d'utilisation des locaux donnés</w:t>
            </w:r>
          </w:p>
        </w:tc>
      </w:tr>
      <w:tr w:rsidR="0025391D" w:rsidRPr="0025391D" w14:paraId="2B4D2B56" w14:textId="77777777" w:rsidTr="00243C50">
        <w:trPr>
          <w:trHeight w:val="196"/>
          <w:jc w:val="center"/>
        </w:trPr>
        <w:tc>
          <w:tcPr>
            <w:tcW w:w="3872" w:type="dxa"/>
            <w:vAlign w:val="bottom"/>
          </w:tcPr>
          <w:p w14:paraId="773247FB" w14:textId="77777777" w:rsidR="0025391D" w:rsidRPr="0025391D" w:rsidRDefault="0025391D" w:rsidP="0025391D">
            <w:pPr>
              <w:spacing w:after="0" w:line="240" w:lineRule="auto"/>
              <w:ind w:left="720" w:hanging="360"/>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kern w:val="0"/>
                <w:sz w:val="22"/>
                <w:szCs w:val="22"/>
                <w:lang w:val="fr-FR"/>
                <w14:ligatures w14:val="none"/>
              </w:rPr>
              <w:t>C.   Coût total du bureau local (C=A+B)</w:t>
            </w:r>
          </w:p>
        </w:tc>
        <w:tc>
          <w:tcPr>
            <w:tcW w:w="4497" w:type="dxa"/>
          </w:tcPr>
          <w:p w14:paraId="5F00586D" w14:textId="77777777" w:rsidR="0025391D" w:rsidRPr="0025391D" w:rsidRDefault="0025391D" w:rsidP="0025391D">
            <w:pPr>
              <w:spacing w:after="0" w:line="240" w:lineRule="auto"/>
              <w:ind w:left="720" w:hanging="360"/>
              <w:rPr>
                <w:rFonts w:ascii="Calibri" w:eastAsia="Times New Roman" w:hAnsi="Calibri" w:cs="Times New Roman"/>
                <w:bCs/>
                <w:color w:val="000000"/>
                <w:kern w:val="0"/>
                <w:sz w:val="22"/>
                <w:szCs w:val="22"/>
                <w:lang w:val="fr-FR"/>
                <w14:ligatures w14:val="none"/>
              </w:rPr>
            </w:pPr>
          </w:p>
        </w:tc>
      </w:tr>
      <w:tr w:rsidR="0025391D" w:rsidRPr="0025391D" w14:paraId="624ECB54" w14:textId="77777777" w:rsidTr="00243C50">
        <w:trPr>
          <w:trHeight w:val="196"/>
          <w:jc w:val="center"/>
        </w:trPr>
        <w:tc>
          <w:tcPr>
            <w:tcW w:w="3872" w:type="dxa"/>
            <w:vAlign w:val="bottom"/>
          </w:tcPr>
          <w:p w14:paraId="4A843EA2" w14:textId="77777777" w:rsidR="0025391D" w:rsidRPr="0025391D" w:rsidRDefault="0025391D" w:rsidP="0025391D">
            <w:pPr>
              <w:numPr>
                <w:ilvl w:val="0"/>
                <w:numId w:val="3"/>
              </w:numPr>
              <w:spacing w:after="0" w:line="259" w:lineRule="auto"/>
              <w:contextualSpacing/>
              <w:jc w:val="both"/>
              <w:rPr>
                <w:rFonts w:ascii="Calibri" w:eastAsia="Calibri" w:hAnsi="Calibri" w:cs="Arial"/>
                <w:color w:val="000000"/>
                <w:kern w:val="0"/>
                <w:sz w:val="22"/>
                <w:szCs w:val="22"/>
                <w14:ligatures w14:val="none"/>
              </w:rPr>
            </w:pPr>
            <w:r w:rsidRPr="0025391D">
              <w:rPr>
                <w:rFonts w:ascii="Calibri" w:eastAsia="Calibri" w:hAnsi="Calibri" w:cs="Arial"/>
                <w:color w:val="000000"/>
                <w:kern w:val="0"/>
                <w:sz w:val="22"/>
                <w:szCs w:val="22"/>
                <w14:ligatures w14:val="none"/>
              </w:rPr>
              <w:t>Exemption % (100% - % Exemption)</w:t>
            </w:r>
          </w:p>
        </w:tc>
        <w:tc>
          <w:tcPr>
            <w:tcW w:w="4497" w:type="dxa"/>
          </w:tcPr>
          <w:p w14:paraId="4E63B620" w14:textId="77777777" w:rsidR="0025391D" w:rsidRPr="0025391D" w:rsidRDefault="0025391D" w:rsidP="0025391D">
            <w:pPr>
              <w:spacing w:after="0" w:line="240" w:lineRule="auto"/>
              <w:ind w:left="370"/>
              <w:rPr>
                <w:rFonts w:ascii="Calibri" w:eastAsia="Times New Roman" w:hAnsi="Calibri" w:cs="Times New Roman"/>
                <w:bCs/>
                <w:color w:val="000000"/>
                <w:kern w:val="0"/>
                <w:sz w:val="22"/>
                <w:szCs w:val="22"/>
                <w:lang w:val="fr-FR"/>
                <w14:ligatures w14:val="none"/>
              </w:rPr>
            </w:pPr>
            <w:r w:rsidRPr="0025391D">
              <w:rPr>
                <w:rFonts w:ascii="Calibri" w:eastAsia="Times New Roman" w:hAnsi="Calibri" w:cs="Times New Roman"/>
                <w:bCs/>
                <w:color w:val="000000"/>
                <w:kern w:val="0"/>
                <w:sz w:val="22"/>
                <w:szCs w:val="22"/>
                <w:lang w:val="fr-FR"/>
                <w14:ligatures w14:val="none"/>
              </w:rPr>
              <w:t>Basé sur le système de dérogation tel qu'approuvé par le Conseil européen et sa mise à jour biennale</w:t>
            </w:r>
          </w:p>
        </w:tc>
      </w:tr>
      <w:tr w:rsidR="0025391D" w:rsidRPr="0025391D" w14:paraId="53CDEA37" w14:textId="77777777" w:rsidTr="00243C50">
        <w:trPr>
          <w:trHeight w:val="635"/>
          <w:jc w:val="center"/>
        </w:trPr>
        <w:tc>
          <w:tcPr>
            <w:tcW w:w="3872" w:type="dxa"/>
            <w:vAlign w:val="bottom"/>
          </w:tcPr>
          <w:p w14:paraId="03DB5054" w14:textId="77777777" w:rsidR="0025391D" w:rsidRPr="0025391D" w:rsidRDefault="0025391D" w:rsidP="0025391D">
            <w:pPr>
              <w:numPr>
                <w:ilvl w:val="0"/>
                <w:numId w:val="3"/>
              </w:numPr>
              <w:spacing w:after="0" w:line="259" w:lineRule="auto"/>
              <w:contextualSpacing/>
              <w:jc w:val="both"/>
              <w:rPr>
                <w:rFonts w:ascii="Calibri" w:eastAsia="Calibri" w:hAnsi="Calibri" w:cs="Arial"/>
                <w:color w:val="000000"/>
                <w:kern w:val="0"/>
                <w:sz w:val="22"/>
                <w:szCs w:val="22"/>
                <w:lang w:val="fr-FR"/>
                <w14:ligatures w14:val="none"/>
              </w:rPr>
            </w:pPr>
            <w:r w:rsidRPr="0025391D">
              <w:rPr>
                <w:rFonts w:ascii="Calibri" w:eastAsia="Calibri" w:hAnsi="Calibri" w:cs="Arial"/>
                <w:color w:val="000000"/>
                <w:kern w:val="0"/>
                <w:sz w:val="22"/>
                <w:szCs w:val="22"/>
                <w:lang w:val="fr-FR"/>
                <w14:ligatures w14:val="none"/>
              </w:rPr>
              <w:t>Objectif total des GLOC (E = C x D)</w:t>
            </w:r>
          </w:p>
        </w:tc>
        <w:tc>
          <w:tcPr>
            <w:tcW w:w="4497" w:type="dxa"/>
          </w:tcPr>
          <w:p w14:paraId="0FA54ED5" w14:textId="77777777" w:rsidR="0025391D" w:rsidRPr="0025391D" w:rsidRDefault="0025391D" w:rsidP="0025391D">
            <w:pPr>
              <w:spacing w:after="0" w:line="240" w:lineRule="auto"/>
              <w:ind w:left="720" w:hanging="360"/>
              <w:rPr>
                <w:rFonts w:ascii="Calibri" w:eastAsia="Times New Roman" w:hAnsi="Calibri" w:cs="Times New Roman"/>
                <w:b/>
                <w:bCs/>
                <w:color w:val="000000"/>
                <w:kern w:val="0"/>
                <w:sz w:val="22"/>
                <w:szCs w:val="22"/>
                <w:lang w:val="fr-FR"/>
                <w14:ligatures w14:val="none"/>
              </w:rPr>
            </w:pPr>
          </w:p>
        </w:tc>
      </w:tr>
      <w:tr w:rsidR="0025391D" w:rsidRPr="0025391D" w14:paraId="4CA5DC3E" w14:textId="77777777" w:rsidTr="00243C50">
        <w:trPr>
          <w:trHeight w:val="653"/>
          <w:jc w:val="center"/>
        </w:trPr>
        <w:tc>
          <w:tcPr>
            <w:tcW w:w="3872" w:type="dxa"/>
            <w:vAlign w:val="bottom"/>
          </w:tcPr>
          <w:p w14:paraId="1D9F1999" w14:textId="77777777" w:rsidR="0025391D" w:rsidRPr="0025391D" w:rsidRDefault="0025391D" w:rsidP="0025391D">
            <w:pPr>
              <w:numPr>
                <w:ilvl w:val="0"/>
                <w:numId w:val="3"/>
              </w:numPr>
              <w:spacing w:after="0" w:line="259" w:lineRule="auto"/>
              <w:contextualSpacing/>
              <w:jc w:val="both"/>
              <w:rPr>
                <w:rFonts w:ascii="Calibri" w:eastAsia="Calibri" w:hAnsi="Calibri" w:cs="Arial"/>
                <w:color w:val="000000"/>
                <w:kern w:val="0"/>
                <w:sz w:val="22"/>
                <w:szCs w:val="22"/>
                <w:lang w:val="fr-FR"/>
                <w14:ligatures w14:val="none"/>
              </w:rPr>
            </w:pPr>
            <w:r w:rsidRPr="0025391D">
              <w:rPr>
                <w:rFonts w:ascii="Calibri" w:eastAsia="Calibri" w:hAnsi="Calibri" w:cs="Arial"/>
                <w:color w:val="000000"/>
                <w:kern w:val="0"/>
                <w:sz w:val="22"/>
                <w:szCs w:val="22"/>
                <w:lang w:val="fr-FR"/>
                <w14:ligatures w14:val="none"/>
              </w:rPr>
              <w:t>Contribution en nature (F = B)</w:t>
            </w:r>
          </w:p>
          <w:p w14:paraId="7BA5BF58" w14:textId="77777777" w:rsidR="0025391D" w:rsidRPr="0025391D" w:rsidRDefault="0025391D" w:rsidP="0025391D">
            <w:pPr>
              <w:spacing w:after="0" w:line="259" w:lineRule="auto"/>
              <w:ind w:left="720"/>
              <w:contextualSpacing/>
              <w:jc w:val="both"/>
              <w:rPr>
                <w:rFonts w:ascii="Calibri" w:eastAsia="Calibri" w:hAnsi="Calibri" w:cs="Arial"/>
                <w:color w:val="000000"/>
                <w:kern w:val="0"/>
                <w:sz w:val="22"/>
                <w:szCs w:val="22"/>
                <w:lang w:val="fr-FR"/>
                <w14:ligatures w14:val="none"/>
              </w:rPr>
            </w:pPr>
          </w:p>
        </w:tc>
        <w:tc>
          <w:tcPr>
            <w:tcW w:w="4497" w:type="dxa"/>
          </w:tcPr>
          <w:p w14:paraId="20AA9F16" w14:textId="77777777" w:rsidR="0025391D" w:rsidRPr="0025391D" w:rsidRDefault="0025391D" w:rsidP="0025391D">
            <w:pPr>
              <w:spacing w:after="0" w:line="240" w:lineRule="auto"/>
              <w:ind w:left="720" w:hanging="360"/>
              <w:rPr>
                <w:rFonts w:ascii="Calibri" w:eastAsia="Times New Roman" w:hAnsi="Calibri" w:cs="Times New Roman"/>
                <w:b/>
                <w:bCs/>
                <w:color w:val="000000"/>
                <w:kern w:val="0"/>
                <w:sz w:val="22"/>
                <w:szCs w:val="22"/>
                <w:lang w:val="fr-FR"/>
                <w14:ligatures w14:val="none"/>
              </w:rPr>
            </w:pPr>
          </w:p>
        </w:tc>
      </w:tr>
      <w:tr w:rsidR="0025391D" w:rsidRPr="0025391D" w14:paraId="1807C19B" w14:textId="77777777" w:rsidTr="00243C50">
        <w:trPr>
          <w:trHeight w:val="176"/>
          <w:jc w:val="center"/>
        </w:trPr>
        <w:tc>
          <w:tcPr>
            <w:tcW w:w="3872" w:type="dxa"/>
            <w:vAlign w:val="bottom"/>
          </w:tcPr>
          <w:p w14:paraId="11FF1AC8" w14:textId="77777777" w:rsidR="0025391D" w:rsidRPr="0025391D" w:rsidRDefault="0025391D" w:rsidP="0025391D">
            <w:pPr>
              <w:numPr>
                <w:ilvl w:val="0"/>
                <w:numId w:val="3"/>
              </w:numPr>
              <w:spacing w:after="0" w:line="259" w:lineRule="auto"/>
              <w:contextualSpacing/>
              <w:jc w:val="both"/>
              <w:rPr>
                <w:rFonts w:ascii="Calibri" w:eastAsia="Calibri" w:hAnsi="Calibri" w:cs="Arial"/>
                <w:color w:val="000000"/>
                <w:kern w:val="0"/>
                <w:sz w:val="22"/>
                <w:szCs w:val="22"/>
                <w:lang w:val="fr-FR"/>
                <w14:ligatures w14:val="none"/>
              </w:rPr>
            </w:pPr>
            <w:r w:rsidRPr="0025391D">
              <w:rPr>
                <w:rFonts w:ascii="Calibri" w:eastAsia="Calibri" w:hAnsi="Calibri" w:cs="Arial"/>
                <w:color w:val="000000"/>
                <w:kern w:val="0"/>
                <w:sz w:val="22"/>
                <w:szCs w:val="22"/>
                <w:lang w:val="fr-FR"/>
                <w14:ligatures w14:val="none"/>
              </w:rPr>
              <w:lastRenderedPageBreak/>
              <w:t>Objectif de trésorerie du GLOC (E - F)</w:t>
            </w:r>
          </w:p>
          <w:p w14:paraId="02B31F7C" w14:textId="77777777" w:rsidR="0025391D" w:rsidRPr="0025391D" w:rsidRDefault="0025391D" w:rsidP="0025391D">
            <w:pPr>
              <w:spacing w:after="0" w:line="259" w:lineRule="auto"/>
              <w:ind w:left="720"/>
              <w:contextualSpacing/>
              <w:jc w:val="both"/>
              <w:rPr>
                <w:rFonts w:ascii="Calibri" w:eastAsia="Calibri" w:hAnsi="Calibri" w:cs="Arial"/>
                <w:color w:val="000000"/>
                <w:kern w:val="0"/>
                <w:sz w:val="22"/>
                <w:szCs w:val="22"/>
                <w:lang w:val="fr-FR"/>
                <w14:ligatures w14:val="none"/>
              </w:rPr>
            </w:pPr>
          </w:p>
        </w:tc>
        <w:tc>
          <w:tcPr>
            <w:tcW w:w="4497" w:type="dxa"/>
          </w:tcPr>
          <w:p w14:paraId="2CCB8DB2" w14:textId="77777777" w:rsidR="0025391D" w:rsidRPr="0025391D" w:rsidRDefault="0025391D" w:rsidP="0025391D">
            <w:pPr>
              <w:spacing w:after="0" w:line="240" w:lineRule="auto"/>
              <w:ind w:left="720" w:hanging="360"/>
              <w:rPr>
                <w:rFonts w:ascii="Calibri" w:eastAsia="Times New Roman" w:hAnsi="Calibri" w:cs="Times New Roman"/>
                <w:b/>
                <w:bCs/>
                <w:color w:val="000000"/>
                <w:kern w:val="0"/>
                <w:sz w:val="22"/>
                <w:szCs w:val="22"/>
                <w:lang w:val="fr-FR"/>
                <w14:ligatures w14:val="none"/>
              </w:rPr>
            </w:pPr>
          </w:p>
        </w:tc>
      </w:tr>
    </w:tbl>
    <w:p w14:paraId="7C9B1CEA" w14:textId="77777777" w:rsidR="0025391D" w:rsidRPr="0025391D" w:rsidRDefault="0025391D" w:rsidP="0025391D">
      <w:pPr>
        <w:tabs>
          <w:tab w:val="left" w:pos="-720"/>
        </w:tabs>
        <w:suppressAutoHyphens/>
        <w:spacing w:after="0" w:line="240" w:lineRule="auto"/>
        <w:ind w:left="705"/>
        <w:contextualSpacing/>
        <w:jc w:val="both"/>
        <w:rPr>
          <w:rFonts w:ascii="Calibri" w:eastAsia="Calibri" w:hAnsi="Calibri" w:cs="Times New Roman"/>
          <w:color w:val="000000"/>
          <w:spacing w:val="-3"/>
          <w:kern w:val="0"/>
          <w:sz w:val="22"/>
          <w:szCs w:val="22"/>
          <w:lang w:val="fr-FR"/>
          <w14:ligatures w14:val="none"/>
        </w:rPr>
      </w:pPr>
    </w:p>
    <w:p w14:paraId="65B13364" w14:textId="77777777" w:rsidR="0025391D" w:rsidRPr="0025391D" w:rsidRDefault="0025391D" w:rsidP="0025391D">
      <w:pPr>
        <w:numPr>
          <w:ilvl w:val="0"/>
          <w:numId w:val="1"/>
        </w:numPr>
        <w:tabs>
          <w:tab w:val="left" w:pos="-720"/>
        </w:tabs>
        <w:suppressAutoHyphens/>
        <w:spacing w:after="0" w:line="240" w:lineRule="auto"/>
        <w:ind w:hanging="346"/>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Le calcul des objectifs de trésorerie du GLOC pour les bureaux </w:t>
      </w:r>
      <w:proofErr w:type="spellStart"/>
      <w:r w:rsidRPr="0025391D">
        <w:rPr>
          <w:rFonts w:ascii="Calibri" w:eastAsia="Calibri" w:hAnsi="Calibri" w:cs="Times New Roman"/>
          <w:color w:val="000000"/>
          <w:spacing w:val="-3"/>
          <w:kern w:val="0"/>
          <w:sz w:val="22"/>
          <w:szCs w:val="22"/>
          <w:lang w:val="fr-FR"/>
          <w14:ligatures w14:val="none"/>
        </w:rPr>
        <w:t>multipays</w:t>
      </w:r>
      <w:proofErr w:type="spellEnd"/>
      <w:r w:rsidRPr="0025391D">
        <w:rPr>
          <w:rFonts w:ascii="Calibri" w:eastAsia="Calibri" w:hAnsi="Calibri" w:cs="Times New Roman"/>
          <w:color w:val="000000"/>
          <w:spacing w:val="-3"/>
          <w:kern w:val="0"/>
          <w:sz w:val="22"/>
          <w:szCs w:val="22"/>
          <w:lang w:val="fr-FR"/>
          <w14:ligatures w14:val="none"/>
        </w:rPr>
        <w:t xml:space="preserve"> suit la formule ci-dessus, </w:t>
      </w:r>
      <w:proofErr w:type="gramStart"/>
      <w:r w:rsidRPr="0025391D">
        <w:rPr>
          <w:rFonts w:ascii="Calibri" w:eastAsia="Calibri" w:hAnsi="Calibri" w:cs="Times New Roman"/>
          <w:color w:val="000000"/>
          <w:spacing w:val="-3"/>
          <w:kern w:val="0"/>
          <w:sz w:val="22"/>
          <w:szCs w:val="22"/>
          <w:lang w:val="fr-FR"/>
          <w14:ligatures w14:val="none"/>
        </w:rPr>
        <w:t>sauf que</w:t>
      </w:r>
      <w:proofErr w:type="gramEnd"/>
      <w:r w:rsidRPr="0025391D">
        <w:rPr>
          <w:rFonts w:ascii="Calibri" w:eastAsia="Calibri" w:hAnsi="Calibri" w:cs="Times New Roman"/>
          <w:color w:val="000000"/>
          <w:spacing w:val="-3"/>
          <w:kern w:val="0"/>
          <w:sz w:val="22"/>
          <w:szCs w:val="22"/>
          <w:lang w:val="fr-FR"/>
          <w14:ligatures w14:val="none"/>
        </w:rPr>
        <w:t xml:space="preserve"> le coût local total du bureau est évalué individuellement pour chaque pays couvert par le GLOC.  À cet égard, 25 % du coût local total est appliqué au pays hôte, les 75 % restants étant répartis entre tous les pays (y compris le pays hôte) sur la base des parts des TRAC de chaque pays par rapport au total des TRAC revenant aux pays couverts par le bureau </w:t>
      </w:r>
      <w:proofErr w:type="spellStart"/>
      <w:r w:rsidRPr="0025391D">
        <w:rPr>
          <w:rFonts w:ascii="Calibri" w:eastAsia="Calibri" w:hAnsi="Calibri" w:cs="Times New Roman"/>
          <w:color w:val="000000"/>
          <w:spacing w:val="-3"/>
          <w:kern w:val="0"/>
          <w:sz w:val="22"/>
          <w:szCs w:val="22"/>
          <w:lang w:val="fr-FR"/>
          <w14:ligatures w14:val="none"/>
        </w:rPr>
        <w:t>multipays</w:t>
      </w:r>
      <w:proofErr w:type="spellEnd"/>
      <w:r w:rsidRPr="0025391D">
        <w:rPr>
          <w:rFonts w:ascii="Calibri" w:eastAsia="Calibri" w:hAnsi="Calibri" w:cs="Times New Roman"/>
          <w:color w:val="000000"/>
          <w:spacing w:val="-3"/>
          <w:kern w:val="0"/>
          <w:sz w:val="22"/>
          <w:szCs w:val="22"/>
          <w:lang w:val="fr-FR"/>
          <w14:ligatures w14:val="none"/>
        </w:rPr>
        <w:t>.   Par exemple, si un MCO couvre quatre pays supplémentaires et qu'il a engagé 250 000 dollars pour le personnel local dans les cinq pays et les frais de fonctionnement connexes, aucune contribution en nature n'est fournie par les gouvernements hôtes, les objectifs en espèces pour chaque pays seront calculés comme suit :</w:t>
      </w:r>
    </w:p>
    <w:p w14:paraId="5A0D833B" w14:textId="77777777" w:rsidR="0025391D" w:rsidRPr="0025391D" w:rsidRDefault="0025391D" w:rsidP="0025391D">
      <w:pPr>
        <w:tabs>
          <w:tab w:val="left" w:pos="-720"/>
        </w:tabs>
        <w:suppressAutoHyphens/>
        <w:spacing w:after="0" w:line="240" w:lineRule="auto"/>
        <w:contextualSpacing/>
        <w:jc w:val="both"/>
        <w:rPr>
          <w:rFonts w:ascii="Calibri" w:eastAsia="Calibri" w:hAnsi="Calibri" w:cs="Times New Roman"/>
          <w:color w:val="000000"/>
          <w:spacing w:val="-3"/>
          <w:kern w:val="0"/>
          <w:sz w:val="22"/>
          <w:szCs w:val="22"/>
          <w:lang w:val="fr-FR"/>
          <w14:ligatures w14:val="none"/>
        </w:rPr>
      </w:pPr>
    </w:p>
    <w:p w14:paraId="53704A98" w14:textId="77777777" w:rsidR="0025391D" w:rsidRPr="0025391D" w:rsidRDefault="0025391D" w:rsidP="0025391D">
      <w:pPr>
        <w:tabs>
          <w:tab w:val="left" w:pos="-720"/>
        </w:tabs>
        <w:suppressAutoHyphens/>
        <w:spacing w:after="0" w:line="240" w:lineRule="auto"/>
        <w:rPr>
          <w:rFonts w:ascii="Calibri" w:eastAsia="Times New Roman" w:hAnsi="Calibri" w:cs="Times New Roman"/>
          <w:color w:val="000000"/>
          <w:spacing w:val="-3"/>
          <w:kern w:val="0"/>
          <w:sz w:val="22"/>
          <w:szCs w:val="22"/>
          <w:lang w:val="fr-FR"/>
          <w14:ligatures w14:val="none"/>
        </w:rPr>
      </w:pPr>
    </w:p>
    <w:tbl>
      <w:tblPr>
        <w:tblW w:w="10400" w:type="dxa"/>
        <w:tblInd w:w="-978" w:type="dxa"/>
        <w:tblLook w:val="04A0" w:firstRow="1" w:lastRow="0" w:firstColumn="1" w:lastColumn="0" w:noHBand="0" w:noVBand="1"/>
      </w:tblPr>
      <w:tblGrid>
        <w:gridCol w:w="1717"/>
        <w:gridCol w:w="1186"/>
        <w:gridCol w:w="993"/>
        <w:gridCol w:w="1563"/>
        <w:gridCol w:w="1333"/>
        <w:gridCol w:w="1179"/>
        <w:gridCol w:w="1309"/>
        <w:gridCol w:w="1120"/>
      </w:tblGrid>
      <w:tr w:rsidR="0025391D" w:rsidRPr="0025391D" w14:paraId="5F8AD3C2" w14:textId="77777777" w:rsidTr="00243C50">
        <w:trPr>
          <w:trHeight w:val="971"/>
        </w:trPr>
        <w:tc>
          <w:tcPr>
            <w:tcW w:w="171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5EA9318"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r w:rsidRPr="0025391D">
              <w:rPr>
                <w:rFonts w:ascii="Calibri" w:eastAsia="Times New Roman" w:hAnsi="Calibri" w:cs="Times New Roman"/>
                <w:b/>
                <w:bCs/>
                <w:color w:val="000000"/>
                <w:kern w:val="0"/>
                <w:sz w:val="22"/>
                <w:szCs w:val="22"/>
                <w:lang w:val="fr-FR"/>
                <w14:ligatures w14:val="none"/>
              </w:rPr>
              <w:t> </w:t>
            </w:r>
          </w:p>
        </w:tc>
        <w:tc>
          <w:tcPr>
            <w:tcW w:w="1186" w:type="dxa"/>
            <w:tcBorders>
              <w:top w:val="single" w:sz="4" w:space="0" w:color="auto"/>
              <w:left w:val="nil"/>
              <w:bottom w:val="single" w:sz="4" w:space="0" w:color="auto"/>
              <w:right w:val="single" w:sz="4" w:space="0" w:color="auto"/>
            </w:tcBorders>
            <w:shd w:val="clear" w:color="auto" w:fill="DDEBF7"/>
            <w:vAlign w:val="center"/>
            <w:hideMark/>
          </w:tcPr>
          <w:p w14:paraId="6319CC72"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lang w:val="fr-FR"/>
                <w14:ligatures w14:val="none"/>
              </w:rPr>
            </w:pPr>
          </w:p>
          <w:p w14:paraId="6FC50B40"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r w:rsidRPr="0025391D">
              <w:rPr>
                <w:rFonts w:ascii="Calibri" w:eastAsia="Times New Roman" w:hAnsi="Calibri" w:cs="Times New Roman"/>
                <w:b/>
                <w:bCs/>
                <w:color w:val="000000"/>
                <w:kern w:val="0"/>
                <w:sz w:val="22"/>
                <w:szCs w:val="22"/>
                <w:lang w:val="fr-FR"/>
                <w14:ligatures w14:val="none"/>
              </w:rPr>
              <w:t>Plan de ressources sur quatre ans</w:t>
            </w:r>
          </w:p>
        </w:tc>
        <w:tc>
          <w:tcPr>
            <w:tcW w:w="993" w:type="dxa"/>
            <w:tcBorders>
              <w:top w:val="single" w:sz="4" w:space="0" w:color="auto"/>
              <w:left w:val="nil"/>
              <w:bottom w:val="single" w:sz="4" w:space="0" w:color="auto"/>
              <w:right w:val="single" w:sz="4" w:space="0" w:color="auto"/>
            </w:tcBorders>
            <w:shd w:val="clear" w:color="auto" w:fill="DDEBF7"/>
            <w:vAlign w:val="center"/>
            <w:hideMark/>
          </w:tcPr>
          <w:p w14:paraId="754D8E48"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TRAC (%)</w:t>
            </w:r>
          </w:p>
        </w:tc>
        <w:tc>
          <w:tcPr>
            <w:tcW w:w="1563" w:type="dxa"/>
            <w:tcBorders>
              <w:top w:val="single" w:sz="4" w:space="0" w:color="auto"/>
              <w:left w:val="nil"/>
              <w:bottom w:val="single" w:sz="4" w:space="0" w:color="auto"/>
              <w:right w:val="single" w:sz="4" w:space="0" w:color="auto"/>
            </w:tcBorders>
            <w:shd w:val="clear" w:color="auto" w:fill="DDEBF7"/>
            <w:vAlign w:val="center"/>
            <w:hideMark/>
          </w:tcPr>
          <w:p w14:paraId="3B58600F"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r w:rsidRPr="0025391D">
              <w:rPr>
                <w:rFonts w:ascii="Calibri" w:eastAsia="Times New Roman" w:hAnsi="Calibri" w:cs="Times New Roman"/>
                <w:b/>
                <w:bCs/>
                <w:color w:val="000000"/>
                <w:kern w:val="0"/>
                <w:sz w:val="22"/>
                <w:szCs w:val="22"/>
                <w:lang w:val="fr-FR"/>
                <w14:ligatures w14:val="none"/>
              </w:rPr>
              <w:t>Formules pour la part du gouvernement</w:t>
            </w:r>
          </w:p>
        </w:tc>
        <w:tc>
          <w:tcPr>
            <w:tcW w:w="1333" w:type="dxa"/>
            <w:tcBorders>
              <w:top w:val="single" w:sz="4" w:space="0" w:color="auto"/>
              <w:left w:val="nil"/>
              <w:bottom w:val="single" w:sz="4" w:space="0" w:color="auto"/>
              <w:right w:val="single" w:sz="4" w:space="0" w:color="auto"/>
            </w:tcBorders>
            <w:shd w:val="clear" w:color="auto" w:fill="DDEBF7"/>
            <w:vAlign w:val="center"/>
            <w:hideMark/>
          </w:tcPr>
          <w:p w14:paraId="4869FBB0"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r w:rsidRPr="0025391D">
              <w:rPr>
                <w:rFonts w:ascii="Calibri" w:eastAsia="Times New Roman" w:hAnsi="Calibri" w:cs="Times New Roman"/>
                <w:b/>
                <w:bCs/>
                <w:color w:val="000000"/>
                <w:kern w:val="0"/>
                <w:sz w:val="22"/>
                <w:szCs w:val="22"/>
                <w:lang w:val="fr-FR"/>
                <w14:ligatures w14:val="none"/>
              </w:rPr>
              <w:t>Part du coût du bureau régional</w:t>
            </w:r>
          </w:p>
        </w:tc>
        <w:tc>
          <w:tcPr>
            <w:tcW w:w="1179" w:type="dxa"/>
            <w:tcBorders>
              <w:top w:val="single" w:sz="4" w:space="0" w:color="auto"/>
              <w:left w:val="nil"/>
              <w:bottom w:val="single" w:sz="4" w:space="0" w:color="auto"/>
              <w:right w:val="single" w:sz="4" w:space="0" w:color="auto"/>
            </w:tcBorders>
            <w:shd w:val="clear" w:color="auto" w:fill="DDEBF7"/>
            <w:vAlign w:val="center"/>
            <w:hideMark/>
          </w:tcPr>
          <w:p w14:paraId="24E9596B"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p>
          <w:p w14:paraId="2718267A"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r w:rsidRPr="0025391D">
              <w:rPr>
                <w:rFonts w:ascii="Calibri" w:eastAsia="Times New Roman" w:hAnsi="Calibri" w:cs="Times New Roman"/>
                <w:b/>
                <w:bCs/>
                <w:color w:val="000000"/>
                <w:kern w:val="0"/>
                <w:sz w:val="22"/>
                <w:szCs w:val="22"/>
                <w:lang w:val="fr-FR"/>
                <w14:ligatures w14:val="none"/>
              </w:rPr>
              <w:t>Les coûts des bureau locaux</w:t>
            </w:r>
          </w:p>
        </w:tc>
        <w:tc>
          <w:tcPr>
            <w:tcW w:w="1309" w:type="dxa"/>
            <w:tcBorders>
              <w:top w:val="single" w:sz="4" w:space="0" w:color="auto"/>
              <w:left w:val="nil"/>
              <w:bottom w:val="single" w:sz="4" w:space="0" w:color="auto"/>
              <w:right w:val="single" w:sz="4" w:space="0" w:color="auto"/>
            </w:tcBorders>
            <w:shd w:val="clear" w:color="auto" w:fill="DDEBF7"/>
            <w:vAlign w:val="center"/>
            <w:hideMark/>
          </w:tcPr>
          <w:p w14:paraId="6488F088"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p>
          <w:p w14:paraId="748085EB"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proofErr w:type="gramStart"/>
            <w:r w:rsidRPr="0025391D">
              <w:rPr>
                <w:rFonts w:ascii="Calibri" w:eastAsia="Times New Roman" w:hAnsi="Calibri" w:cs="Times New Roman"/>
                <w:b/>
                <w:bCs/>
                <w:color w:val="000000"/>
                <w:kern w:val="0"/>
                <w:sz w:val="22"/>
                <w:szCs w:val="22"/>
                <w:lang w:val="fr-FR"/>
                <w14:ligatures w14:val="none"/>
              </w:rPr>
              <w:t>dérogations</w:t>
            </w:r>
            <w:proofErr w:type="gramEnd"/>
            <w:r w:rsidRPr="0025391D">
              <w:rPr>
                <w:rFonts w:ascii="Calibri" w:eastAsia="Times New Roman" w:hAnsi="Calibri" w:cs="Times New Roman"/>
                <w:b/>
                <w:bCs/>
                <w:color w:val="000000"/>
                <w:kern w:val="0"/>
                <w:sz w:val="22"/>
                <w:szCs w:val="22"/>
                <w:lang w:val="fr-FR"/>
                <w14:ligatures w14:val="none"/>
              </w:rPr>
              <w:t xml:space="preserve"> du GLOC selon la catégorie RNB</w:t>
            </w:r>
          </w:p>
        </w:tc>
        <w:tc>
          <w:tcPr>
            <w:tcW w:w="1120" w:type="dxa"/>
            <w:tcBorders>
              <w:top w:val="single" w:sz="4" w:space="0" w:color="auto"/>
              <w:left w:val="nil"/>
              <w:bottom w:val="single" w:sz="4" w:space="0" w:color="auto"/>
              <w:right w:val="single" w:sz="4" w:space="0" w:color="auto"/>
            </w:tcBorders>
            <w:shd w:val="clear" w:color="auto" w:fill="DDEBF7"/>
            <w:vAlign w:val="center"/>
            <w:hideMark/>
          </w:tcPr>
          <w:p w14:paraId="019E7386"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proofErr w:type="gramStart"/>
            <w:r w:rsidRPr="0025391D">
              <w:rPr>
                <w:rFonts w:ascii="Calibri" w:eastAsia="Times New Roman" w:hAnsi="Calibri" w:cs="Times New Roman"/>
                <w:b/>
                <w:bCs/>
                <w:color w:val="000000"/>
                <w:kern w:val="0"/>
                <w:sz w:val="22"/>
                <w:szCs w:val="22"/>
                <w:lang w:val="fr-FR"/>
                <w14:ligatures w14:val="none"/>
              </w:rPr>
              <w:t>objectifs</w:t>
            </w:r>
            <w:proofErr w:type="gramEnd"/>
            <w:r w:rsidRPr="0025391D">
              <w:rPr>
                <w:rFonts w:ascii="Calibri" w:eastAsia="Times New Roman" w:hAnsi="Calibri" w:cs="Times New Roman"/>
                <w:b/>
                <w:bCs/>
                <w:color w:val="000000"/>
                <w:kern w:val="0"/>
                <w:sz w:val="22"/>
                <w:szCs w:val="22"/>
                <w:lang w:val="fr-FR"/>
                <w14:ligatures w14:val="none"/>
              </w:rPr>
              <w:t xml:space="preserve"> de trésorerie</w:t>
            </w:r>
          </w:p>
          <w:p w14:paraId="36C28591"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lang w:val="fr-FR"/>
                <w14:ligatures w14:val="none"/>
              </w:rPr>
            </w:pPr>
            <w:proofErr w:type="gramStart"/>
            <w:r w:rsidRPr="0025391D">
              <w:rPr>
                <w:rFonts w:ascii="Calibri" w:eastAsia="Times New Roman" w:hAnsi="Calibri" w:cs="Times New Roman"/>
                <w:b/>
                <w:bCs/>
                <w:color w:val="000000"/>
                <w:kern w:val="0"/>
                <w:sz w:val="22"/>
                <w:szCs w:val="22"/>
                <w:lang w:val="fr-FR"/>
                <w14:ligatures w14:val="none"/>
              </w:rPr>
              <w:t>du</w:t>
            </w:r>
            <w:proofErr w:type="gramEnd"/>
            <w:r w:rsidRPr="0025391D">
              <w:rPr>
                <w:rFonts w:ascii="Calibri" w:eastAsia="Times New Roman" w:hAnsi="Calibri" w:cs="Times New Roman"/>
                <w:b/>
                <w:bCs/>
                <w:color w:val="000000"/>
                <w:kern w:val="0"/>
                <w:sz w:val="22"/>
                <w:szCs w:val="22"/>
                <w:lang w:val="fr-FR"/>
                <w14:ligatures w14:val="none"/>
              </w:rPr>
              <w:t xml:space="preserve"> GLOC</w:t>
            </w:r>
          </w:p>
        </w:tc>
      </w:tr>
      <w:tr w:rsidR="0025391D" w:rsidRPr="0025391D" w14:paraId="090090AF" w14:textId="77777777" w:rsidTr="00243C50">
        <w:trPr>
          <w:trHeight w:val="294"/>
        </w:trPr>
        <w:tc>
          <w:tcPr>
            <w:tcW w:w="1717" w:type="dxa"/>
            <w:tcBorders>
              <w:top w:val="nil"/>
              <w:left w:val="single" w:sz="4" w:space="0" w:color="auto"/>
              <w:bottom w:val="single" w:sz="4" w:space="0" w:color="auto"/>
              <w:right w:val="single" w:sz="4" w:space="0" w:color="auto"/>
            </w:tcBorders>
            <w:noWrap/>
            <w:vAlign w:val="bottom"/>
            <w:hideMark/>
          </w:tcPr>
          <w:p w14:paraId="6BEA94BD" w14:textId="77777777" w:rsidR="0025391D" w:rsidRPr="0025391D" w:rsidRDefault="0025391D" w:rsidP="0025391D">
            <w:pPr>
              <w:spacing w:after="0" w:line="240" w:lineRule="auto"/>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kern w:val="0"/>
                <w:sz w:val="22"/>
                <w:szCs w:val="22"/>
                <w:lang w:val="fr-FR"/>
                <w14:ligatures w14:val="none"/>
              </w:rPr>
              <w:t> </w:t>
            </w:r>
          </w:p>
        </w:tc>
        <w:tc>
          <w:tcPr>
            <w:tcW w:w="1186" w:type="dxa"/>
            <w:tcBorders>
              <w:top w:val="nil"/>
              <w:left w:val="nil"/>
              <w:bottom w:val="single" w:sz="4" w:space="0" w:color="auto"/>
              <w:right w:val="single" w:sz="4" w:space="0" w:color="auto"/>
            </w:tcBorders>
            <w:noWrap/>
            <w:vAlign w:val="bottom"/>
            <w:hideMark/>
          </w:tcPr>
          <w:p w14:paraId="2158F9A5"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A</w:t>
            </w:r>
          </w:p>
        </w:tc>
        <w:tc>
          <w:tcPr>
            <w:tcW w:w="993" w:type="dxa"/>
            <w:tcBorders>
              <w:top w:val="nil"/>
              <w:left w:val="nil"/>
              <w:bottom w:val="single" w:sz="4" w:space="0" w:color="auto"/>
              <w:right w:val="single" w:sz="4" w:space="0" w:color="auto"/>
            </w:tcBorders>
            <w:noWrap/>
            <w:vAlign w:val="bottom"/>
            <w:hideMark/>
          </w:tcPr>
          <w:p w14:paraId="6D6DE077"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b</w:t>
            </w:r>
          </w:p>
        </w:tc>
        <w:tc>
          <w:tcPr>
            <w:tcW w:w="1563" w:type="dxa"/>
            <w:tcBorders>
              <w:top w:val="nil"/>
              <w:left w:val="nil"/>
              <w:bottom w:val="single" w:sz="4" w:space="0" w:color="auto"/>
              <w:right w:val="single" w:sz="4" w:space="0" w:color="auto"/>
            </w:tcBorders>
            <w:noWrap/>
            <w:vAlign w:val="bottom"/>
            <w:hideMark/>
          </w:tcPr>
          <w:p w14:paraId="2B4937E8"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C</w:t>
            </w:r>
          </w:p>
        </w:tc>
        <w:tc>
          <w:tcPr>
            <w:tcW w:w="1333" w:type="dxa"/>
            <w:tcBorders>
              <w:top w:val="nil"/>
              <w:left w:val="nil"/>
              <w:bottom w:val="single" w:sz="4" w:space="0" w:color="auto"/>
              <w:right w:val="single" w:sz="4" w:space="0" w:color="auto"/>
            </w:tcBorders>
            <w:noWrap/>
            <w:vAlign w:val="bottom"/>
            <w:hideMark/>
          </w:tcPr>
          <w:p w14:paraId="32F290BB"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 xml:space="preserve"> </w:t>
            </w:r>
          </w:p>
        </w:tc>
        <w:tc>
          <w:tcPr>
            <w:tcW w:w="1179" w:type="dxa"/>
            <w:tcBorders>
              <w:top w:val="nil"/>
              <w:left w:val="nil"/>
              <w:bottom w:val="single" w:sz="4" w:space="0" w:color="auto"/>
              <w:right w:val="single" w:sz="4" w:space="0" w:color="auto"/>
            </w:tcBorders>
            <w:noWrap/>
            <w:vAlign w:val="bottom"/>
            <w:hideMark/>
          </w:tcPr>
          <w:p w14:paraId="1EA71A6C"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d</w:t>
            </w:r>
          </w:p>
        </w:tc>
        <w:tc>
          <w:tcPr>
            <w:tcW w:w="1309" w:type="dxa"/>
            <w:tcBorders>
              <w:top w:val="nil"/>
              <w:left w:val="nil"/>
              <w:bottom w:val="single" w:sz="4" w:space="0" w:color="auto"/>
              <w:right w:val="single" w:sz="4" w:space="0" w:color="auto"/>
            </w:tcBorders>
            <w:noWrap/>
            <w:vAlign w:val="bottom"/>
            <w:hideMark/>
          </w:tcPr>
          <w:p w14:paraId="0BAD5577"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E</w:t>
            </w:r>
          </w:p>
        </w:tc>
        <w:tc>
          <w:tcPr>
            <w:tcW w:w="1120" w:type="dxa"/>
            <w:tcBorders>
              <w:top w:val="nil"/>
              <w:left w:val="nil"/>
              <w:bottom w:val="single" w:sz="4" w:space="0" w:color="auto"/>
              <w:right w:val="single" w:sz="4" w:space="0" w:color="auto"/>
            </w:tcBorders>
            <w:noWrap/>
            <w:vAlign w:val="bottom"/>
            <w:hideMark/>
          </w:tcPr>
          <w:p w14:paraId="13B45A80" w14:textId="77777777" w:rsidR="0025391D" w:rsidRPr="0025391D" w:rsidRDefault="0025391D" w:rsidP="0025391D">
            <w:pPr>
              <w:spacing w:after="0" w:line="240" w:lineRule="auto"/>
              <w:jc w:val="center"/>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f=d x c x(100%-e)</w:t>
            </w:r>
          </w:p>
        </w:tc>
      </w:tr>
      <w:tr w:rsidR="0025391D" w:rsidRPr="0025391D" w14:paraId="4120B100" w14:textId="77777777" w:rsidTr="00243C50">
        <w:trPr>
          <w:trHeight w:val="294"/>
        </w:trPr>
        <w:tc>
          <w:tcPr>
            <w:tcW w:w="1717" w:type="dxa"/>
            <w:tcBorders>
              <w:top w:val="nil"/>
              <w:left w:val="single" w:sz="4" w:space="0" w:color="auto"/>
              <w:bottom w:val="single" w:sz="4" w:space="0" w:color="auto"/>
              <w:right w:val="single" w:sz="4" w:space="0" w:color="auto"/>
            </w:tcBorders>
            <w:noWrap/>
            <w:vAlign w:val="bottom"/>
            <w:hideMark/>
          </w:tcPr>
          <w:p w14:paraId="75BB352E"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Pays A </w:t>
            </w:r>
            <w:proofErr w:type="gramStart"/>
            <w:r w:rsidRPr="0025391D">
              <w:rPr>
                <w:rFonts w:ascii="Calibri" w:eastAsia="Times New Roman" w:hAnsi="Calibri" w:cs="Times New Roman"/>
                <w:color w:val="000000"/>
                <w:kern w:val="0"/>
                <w:sz w:val="22"/>
                <w:szCs w:val="22"/>
                <w14:ligatures w14:val="none"/>
              </w:rPr>
              <w:t>-  Bureau</w:t>
            </w:r>
            <w:proofErr w:type="gramEnd"/>
            <w:r w:rsidRPr="0025391D">
              <w:rPr>
                <w:rFonts w:ascii="Calibri" w:eastAsia="Times New Roman" w:hAnsi="Calibri" w:cs="Times New Roman"/>
                <w:color w:val="000000"/>
                <w:kern w:val="0"/>
                <w:sz w:val="22"/>
                <w:szCs w:val="22"/>
                <w14:ligatures w14:val="none"/>
              </w:rPr>
              <w:t xml:space="preserve"> Principal</w:t>
            </w:r>
          </w:p>
        </w:tc>
        <w:tc>
          <w:tcPr>
            <w:tcW w:w="1186" w:type="dxa"/>
            <w:tcBorders>
              <w:top w:val="nil"/>
              <w:left w:val="nil"/>
              <w:bottom w:val="single" w:sz="4" w:space="0" w:color="auto"/>
              <w:right w:val="single" w:sz="4" w:space="0" w:color="auto"/>
            </w:tcBorders>
            <w:noWrap/>
            <w:vAlign w:val="bottom"/>
            <w:hideMark/>
          </w:tcPr>
          <w:p w14:paraId="29F41AFA"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350,000 </w:t>
            </w:r>
          </w:p>
        </w:tc>
        <w:tc>
          <w:tcPr>
            <w:tcW w:w="993" w:type="dxa"/>
            <w:tcBorders>
              <w:top w:val="nil"/>
              <w:left w:val="nil"/>
              <w:bottom w:val="single" w:sz="4" w:space="0" w:color="auto"/>
              <w:right w:val="single" w:sz="4" w:space="0" w:color="auto"/>
            </w:tcBorders>
            <w:noWrap/>
            <w:vAlign w:val="bottom"/>
            <w:hideMark/>
          </w:tcPr>
          <w:p w14:paraId="14BBA6A4"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14.00%</w:t>
            </w:r>
          </w:p>
        </w:tc>
        <w:tc>
          <w:tcPr>
            <w:tcW w:w="1563" w:type="dxa"/>
            <w:tcBorders>
              <w:top w:val="nil"/>
              <w:left w:val="nil"/>
              <w:bottom w:val="single" w:sz="4" w:space="0" w:color="auto"/>
              <w:right w:val="single" w:sz="4" w:space="0" w:color="auto"/>
            </w:tcBorders>
            <w:noWrap/>
            <w:vAlign w:val="bottom"/>
            <w:hideMark/>
          </w:tcPr>
          <w:p w14:paraId="7DF48F6E"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=25%+ b x75%</w:t>
            </w:r>
          </w:p>
        </w:tc>
        <w:tc>
          <w:tcPr>
            <w:tcW w:w="1333" w:type="dxa"/>
            <w:tcBorders>
              <w:top w:val="nil"/>
              <w:left w:val="nil"/>
              <w:bottom w:val="single" w:sz="4" w:space="0" w:color="auto"/>
              <w:right w:val="single" w:sz="4" w:space="0" w:color="auto"/>
            </w:tcBorders>
            <w:noWrap/>
            <w:vAlign w:val="bottom"/>
            <w:hideMark/>
          </w:tcPr>
          <w:p w14:paraId="2A2F7575"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35.50%</w:t>
            </w:r>
          </w:p>
        </w:tc>
        <w:tc>
          <w:tcPr>
            <w:tcW w:w="1179" w:type="dxa"/>
            <w:tcBorders>
              <w:top w:val="nil"/>
              <w:left w:val="nil"/>
              <w:bottom w:val="single" w:sz="4" w:space="0" w:color="auto"/>
              <w:right w:val="single" w:sz="4" w:space="0" w:color="auto"/>
            </w:tcBorders>
            <w:noWrap/>
            <w:vAlign w:val="bottom"/>
            <w:hideMark/>
          </w:tcPr>
          <w:p w14:paraId="79B9E523"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88,750 </w:t>
            </w:r>
          </w:p>
        </w:tc>
        <w:tc>
          <w:tcPr>
            <w:tcW w:w="1309" w:type="dxa"/>
            <w:tcBorders>
              <w:top w:val="nil"/>
              <w:left w:val="nil"/>
              <w:bottom w:val="single" w:sz="4" w:space="0" w:color="auto"/>
              <w:right w:val="single" w:sz="4" w:space="0" w:color="auto"/>
            </w:tcBorders>
            <w:noWrap/>
            <w:vAlign w:val="bottom"/>
            <w:hideMark/>
          </w:tcPr>
          <w:p w14:paraId="6B987589"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25%</w:t>
            </w:r>
          </w:p>
        </w:tc>
        <w:tc>
          <w:tcPr>
            <w:tcW w:w="1120" w:type="dxa"/>
            <w:tcBorders>
              <w:top w:val="nil"/>
              <w:left w:val="nil"/>
              <w:bottom w:val="single" w:sz="4" w:space="0" w:color="auto"/>
              <w:right w:val="single" w:sz="4" w:space="0" w:color="auto"/>
            </w:tcBorders>
            <w:noWrap/>
            <w:vAlign w:val="bottom"/>
            <w:hideMark/>
          </w:tcPr>
          <w:p w14:paraId="52E1F27E"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23,630 </w:t>
            </w:r>
          </w:p>
        </w:tc>
      </w:tr>
      <w:tr w:rsidR="0025391D" w:rsidRPr="0025391D" w14:paraId="7705A9F7" w14:textId="77777777" w:rsidTr="00243C50">
        <w:trPr>
          <w:trHeight w:val="294"/>
        </w:trPr>
        <w:tc>
          <w:tcPr>
            <w:tcW w:w="1717" w:type="dxa"/>
            <w:tcBorders>
              <w:top w:val="nil"/>
              <w:left w:val="single" w:sz="4" w:space="0" w:color="auto"/>
              <w:bottom w:val="single" w:sz="4" w:space="0" w:color="auto"/>
              <w:right w:val="single" w:sz="4" w:space="0" w:color="auto"/>
            </w:tcBorders>
            <w:noWrap/>
            <w:vAlign w:val="bottom"/>
            <w:hideMark/>
          </w:tcPr>
          <w:p w14:paraId="1E33360D"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Pays B</w:t>
            </w:r>
          </w:p>
        </w:tc>
        <w:tc>
          <w:tcPr>
            <w:tcW w:w="1186" w:type="dxa"/>
            <w:tcBorders>
              <w:top w:val="nil"/>
              <w:left w:val="nil"/>
              <w:bottom w:val="single" w:sz="4" w:space="0" w:color="auto"/>
              <w:right w:val="single" w:sz="4" w:space="0" w:color="auto"/>
            </w:tcBorders>
            <w:noWrap/>
            <w:vAlign w:val="bottom"/>
            <w:hideMark/>
          </w:tcPr>
          <w:p w14:paraId="2DAD5D87"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500,000 </w:t>
            </w:r>
          </w:p>
        </w:tc>
        <w:tc>
          <w:tcPr>
            <w:tcW w:w="993" w:type="dxa"/>
            <w:tcBorders>
              <w:top w:val="nil"/>
              <w:left w:val="nil"/>
              <w:bottom w:val="single" w:sz="4" w:space="0" w:color="auto"/>
              <w:right w:val="single" w:sz="4" w:space="0" w:color="auto"/>
            </w:tcBorders>
            <w:noWrap/>
            <w:vAlign w:val="bottom"/>
            <w:hideMark/>
          </w:tcPr>
          <w:p w14:paraId="6EE9BE7C"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20.00%</w:t>
            </w:r>
          </w:p>
        </w:tc>
        <w:tc>
          <w:tcPr>
            <w:tcW w:w="1563" w:type="dxa"/>
            <w:tcBorders>
              <w:top w:val="nil"/>
              <w:left w:val="nil"/>
              <w:bottom w:val="single" w:sz="4" w:space="0" w:color="auto"/>
              <w:right w:val="single" w:sz="4" w:space="0" w:color="auto"/>
            </w:tcBorders>
            <w:noWrap/>
            <w:vAlign w:val="bottom"/>
            <w:hideMark/>
          </w:tcPr>
          <w:p w14:paraId="183D8EF7"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b x 75%</w:t>
            </w:r>
          </w:p>
        </w:tc>
        <w:tc>
          <w:tcPr>
            <w:tcW w:w="1333" w:type="dxa"/>
            <w:tcBorders>
              <w:top w:val="nil"/>
              <w:left w:val="nil"/>
              <w:bottom w:val="single" w:sz="4" w:space="0" w:color="auto"/>
              <w:right w:val="single" w:sz="4" w:space="0" w:color="auto"/>
            </w:tcBorders>
            <w:noWrap/>
            <w:vAlign w:val="bottom"/>
            <w:hideMark/>
          </w:tcPr>
          <w:p w14:paraId="0CA24D36"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15.00%</w:t>
            </w:r>
          </w:p>
        </w:tc>
        <w:tc>
          <w:tcPr>
            <w:tcW w:w="1179" w:type="dxa"/>
            <w:tcBorders>
              <w:top w:val="nil"/>
              <w:left w:val="nil"/>
              <w:bottom w:val="single" w:sz="4" w:space="0" w:color="auto"/>
              <w:right w:val="single" w:sz="4" w:space="0" w:color="auto"/>
            </w:tcBorders>
            <w:noWrap/>
            <w:vAlign w:val="bottom"/>
            <w:hideMark/>
          </w:tcPr>
          <w:p w14:paraId="4978BBED"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37,500 </w:t>
            </w:r>
          </w:p>
        </w:tc>
        <w:tc>
          <w:tcPr>
            <w:tcW w:w="1309" w:type="dxa"/>
            <w:tcBorders>
              <w:top w:val="nil"/>
              <w:left w:val="nil"/>
              <w:bottom w:val="single" w:sz="4" w:space="0" w:color="auto"/>
              <w:right w:val="single" w:sz="4" w:space="0" w:color="auto"/>
            </w:tcBorders>
            <w:noWrap/>
            <w:vAlign w:val="bottom"/>
            <w:hideMark/>
          </w:tcPr>
          <w:p w14:paraId="37CE4C7D"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25%</w:t>
            </w:r>
          </w:p>
        </w:tc>
        <w:tc>
          <w:tcPr>
            <w:tcW w:w="1120" w:type="dxa"/>
            <w:tcBorders>
              <w:top w:val="nil"/>
              <w:left w:val="nil"/>
              <w:bottom w:val="single" w:sz="4" w:space="0" w:color="auto"/>
              <w:right w:val="single" w:sz="4" w:space="0" w:color="auto"/>
            </w:tcBorders>
            <w:noWrap/>
            <w:vAlign w:val="bottom"/>
            <w:hideMark/>
          </w:tcPr>
          <w:p w14:paraId="005925A4"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4,219 </w:t>
            </w:r>
          </w:p>
        </w:tc>
      </w:tr>
      <w:tr w:rsidR="0025391D" w:rsidRPr="0025391D" w14:paraId="38A30B5F" w14:textId="77777777" w:rsidTr="00243C50">
        <w:trPr>
          <w:trHeight w:val="294"/>
        </w:trPr>
        <w:tc>
          <w:tcPr>
            <w:tcW w:w="1717" w:type="dxa"/>
            <w:tcBorders>
              <w:top w:val="nil"/>
              <w:left w:val="single" w:sz="4" w:space="0" w:color="auto"/>
              <w:bottom w:val="single" w:sz="4" w:space="0" w:color="auto"/>
              <w:right w:val="single" w:sz="4" w:space="0" w:color="auto"/>
            </w:tcBorders>
            <w:noWrap/>
            <w:vAlign w:val="bottom"/>
            <w:hideMark/>
          </w:tcPr>
          <w:p w14:paraId="2F565B13"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Pays C</w:t>
            </w:r>
          </w:p>
        </w:tc>
        <w:tc>
          <w:tcPr>
            <w:tcW w:w="1186" w:type="dxa"/>
            <w:tcBorders>
              <w:top w:val="nil"/>
              <w:left w:val="nil"/>
              <w:bottom w:val="single" w:sz="4" w:space="0" w:color="auto"/>
              <w:right w:val="single" w:sz="4" w:space="0" w:color="auto"/>
            </w:tcBorders>
            <w:noWrap/>
            <w:vAlign w:val="bottom"/>
            <w:hideMark/>
          </w:tcPr>
          <w:p w14:paraId="1EF0B0CF"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630,000 </w:t>
            </w:r>
          </w:p>
        </w:tc>
        <w:tc>
          <w:tcPr>
            <w:tcW w:w="993" w:type="dxa"/>
            <w:tcBorders>
              <w:top w:val="nil"/>
              <w:left w:val="nil"/>
              <w:bottom w:val="single" w:sz="4" w:space="0" w:color="auto"/>
              <w:right w:val="single" w:sz="4" w:space="0" w:color="auto"/>
            </w:tcBorders>
            <w:noWrap/>
            <w:vAlign w:val="bottom"/>
            <w:hideMark/>
          </w:tcPr>
          <w:p w14:paraId="12BBC4ED"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25.20%</w:t>
            </w:r>
          </w:p>
        </w:tc>
        <w:tc>
          <w:tcPr>
            <w:tcW w:w="1563" w:type="dxa"/>
            <w:tcBorders>
              <w:top w:val="nil"/>
              <w:left w:val="nil"/>
              <w:bottom w:val="single" w:sz="4" w:space="0" w:color="auto"/>
              <w:right w:val="single" w:sz="4" w:space="0" w:color="auto"/>
            </w:tcBorders>
            <w:noWrap/>
            <w:vAlign w:val="bottom"/>
            <w:hideMark/>
          </w:tcPr>
          <w:p w14:paraId="487E75C3"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b x75%</w:t>
            </w:r>
          </w:p>
        </w:tc>
        <w:tc>
          <w:tcPr>
            <w:tcW w:w="1333" w:type="dxa"/>
            <w:tcBorders>
              <w:top w:val="nil"/>
              <w:left w:val="nil"/>
              <w:bottom w:val="single" w:sz="4" w:space="0" w:color="auto"/>
              <w:right w:val="single" w:sz="4" w:space="0" w:color="auto"/>
            </w:tcBorders>
            <w:noWrap/>
            <w:vAlign w:val="bottom"/>
            <w:hideMark/>
          </w:tcPr>
          <w:p w14:paraId="3678A67D"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18.90%</w:t>
            </w:r>
          </w:p>
        </w:tc>
        <w:tc>
          <w:tcPr>
            <w:tcW w:w="1179" w:type="dxa"/>
            <w:tcBorders>
              <w:top w:val="nil"/>
              <w:left w:val="nil"/>
              <w:bottom w:val="single" w:sz="4" w:space="0" w:color="auto"/>
              <w:right w:val="single" w:sz="4" w:space="0" w:color="auto"/>
            </w:tcBorders>
            <w:noWrap/>
            <w:vAlign w:val="bottom"/>
            <w:hideMark/>
          </w:tcPr>
          <w:p w14:paraId="4D97CB6C"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47,250 </w:t>
            </w:r>
          </w:p>
        </w:tc>
        <w:tc>
          <w:tcPr>
            <w:tcW w:w="1309" w:type="dxa"/>
            <w:tcBorders>
              <w:top w:val="nil"/>
              <w:left w:val="nil"/>
              <w:bottom w:val="single" w:sz="4" w:space="0" w:color="auto"/>
              <w:right w:val="single" w:sz="4" w:space="0" w:color="auto"/>
            </w:tcBorders>
            <w:noWrap/>
            <w:vAlign w:val="bottom"/>
            <w:hideMark/>
          </w:tcPr>
          <w:p w14:paraId="5363C90C"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25%</w:t>
            </w:r>
          </w:p>
        </w:tc>
        <w:tc>
          <w:tcPr>
            <w:tcW w:w="1120" w:type="dxa"/>
            <w:tcBorders>
              <w:top w:val="nil"/>
              <w:left w:val="nil"/>
              <w:bottom w:val="single" w:sz="4" w:space="0" w:color="auto"/>
              <w:right w:val="single" w:sz="4" w:space="0" w:color="auto"/>
            </w:tcBorders>
            <w:noWrap/>
            <w:vAlign w:val="bottom"/>
            <w:hideMark/>
          </w:tcPr>
          <w:p w14:paraId="3624B0E5"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6,698 </w:t>
            </w:r>
          </w:p>
        </w:tc>
      </w:tr>
      <w:tr w:rsidR="0025391D" w:rsidRPr="0025391D" w14:paraId="1EB55839" w14:textId="77777777" w:rsidTr="00243C50">
        <w:trPr>
          <w:trHeight w:val="347"/>
        </w:trPr>
        <w:tc>
          <w:tcPr>
            <w:tcW w:w="1717" w:type="dxa"/>
            <w:tcBorders>
              <w:top w:val="nil"/>
              <w:left w:val="single" w:sz="4" w:space="0" w:color="auto"/>
              <w:bottom w:val="single" w:sz="4" w:space="0" w:color="auto"/>
              <w:right w:val="single" w:sz="4" w:space="0" w:color="auto"/>
            </w:tcBorders>
            <w:noWrap/>
            <w:vAlign w:val="bottom"/>
            <w:hideMark/>
          </w:tcPr>
          <w:p w14:paraId="61F80E9B"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Pays D</w:t>
            </w:r>
          </w:p>
        </w:tc>
        <w:tc>
          <w:tcPr>
            <w:tcW w:w="1186" w:type="dxa"/>
            <w:tcBorders>
              <w:top w:val="nil"/>
              <w:left w:val="nil"/>
              <w:bottom w:val="single" w:sz="4" w:space="0" w:color="auto"/>
              <w:right w:val="single" w:sz="4" w:space="0" w:color="auto"/>
            </w:tcBorders>
            <w:noWrap/>
            <w:vAlign w:val="bottom"/>
            <w:hideMark/>
          </w:tcPr>
          <w:p w14:paraId="04553B03"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500,000 </w:t>
            </w:r>
          </w:p>
        </w:tc>
        <w:tc>
          <w:tcPr>
            <w:tcW w:w="993" w:type="dxa"/>
            <w:tcBorders>
              <w:top w:val="nil"/>
              <w:left w:val="nil"/>
              <w:bottom w:val="single" w:sz="4" w:space="0" w:color="auto"/>
              <w:right w:val="single" w:sz="4" w:space="0" w:color="auto"/>
            </w:tcBorders>
            <w:noWrap/>
            <w:vAlign w:val="bottom"/>
            <w:hideMark/>
          </w:tcPr>
          <w:p w14:paraId="54C58861"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20.00%</w:t>
            </w:r>
          </w:p>
        </w:tc>
        <w:tc>
          <w:tcPr>
            <w:tcW w:w="1563" w:type="dxa"/>
            <w:tcBorders>
              <w:top w:val="nil"/>
              <w:left w:val="nil"/>
              <w:bottom w:val="single" w:sz="4" w:space="0" w:color="auto"/>
              <w:right w:val="single" w:sz="4" w:space="0" w:color="auto"/>
            </w:tcBorders>
            <w:noWrap/>
            <w:vAlign w:val="bottom"/>
            <w:hideMark/>
          </w:tcPr>
          <w:p w14:paraId="390DC41C"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b x 75%</w:t>
            </w:r>
          </w:p>
        </w:tc>
        <w:tc>
          <w:tcPr>
            <w:tcW w:w="1333" w:type="dxa"/>
            <w:tcBorders>
              <w:top w:val="nil"/>
              <w:left w:val="nil"/>
              <w:bottom w:val="single" w:sz="4" w:space="0" w:color="auto"/>
              <w:right w:val="single" w:sz="4" w:space="0" w:color="auto"/>
            </w:tcBorders>
            <w:noWrap/>
            <w:vAlign w:val="bottom"/>
            <w:hideMark/>
          </w:tcPr>
          <w:p w14:paraId="60293BF7"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15.00%</w:t>
            </w:r>
          </w:p>
        </w:tc>
        <w:tc>
          <w:tcPr>
            <w:tcW w:w="1179" w:type="dxa"/>
            <w:tcBorders>
              <w:top w:val="nil"/>
              <w:left w:val="nil"/>
              <w:bottom w:val="single" w:sz="4" w:space="0" w:color="auto"/>
              <w:right w:val="single" w:sz="4" w:space="0" w:color="auto"/>
            </w:tcBorders>
            <w:noWrap/>
            <w:vAlign w:val="bottom"/>
            <w:hideMark/>
          </w:tcPr>
          <w:p w14:paraId="28EE4BBF"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37,500 </w:t>
            </w:r>
          </w:p>
        </w:tc>
        <w:tc>
          <w:tcPr>
            <w:tcW w:w="1309" w:type="dxa"/>
            <w:tcBorders>
              <w:top w:val="nil"/>
              <w:left w:val="nil"/>
              <w:bottom w:val="single" w:sz="4" w:space="0" w:color="auto"/>
              <w:right w:val="single" w:sz="4" w:space="0" w:color="auto"/>
            </w:tcBorders>
            <w:noWrap/>
            <w:vAlign w:val="bottom"/>
            <w:hideMark/>
          </w:tcPr>
          <w:p w14:paraId="58DCB022"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25%</w:t>
            </w:r>
          </w:p>
        </w:tc>
        <w:tc>
          <w:tcPr>
            <w:tcW w:w="1120" w:type="dxa"/>
            <w:tcBorders>
              <w:top w:val="nil"/>
              <w:left w:val="nil"/>
              <w:bottom w:val="single" w:sz="4" w:space="0" w:color="auto"/>
              <w:right w:val="single" w:sz="4" w:space="0" w:color="auto"/>
            </w:tcBorders>
            <w:noWrap/>
            <w:vAlign w:val="bottom"/>
            <w:hideMark/>
          </w:tcPr>
          <w:p w14:paraId="255DE8B6"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4,219 </w:t>
            </w:r>
          </w:p>
        </w:tc>
      </w:tr>
      <w:tr w:rsidR="0025391D" w:rsidRPr="0025391D" w14:paraId="62AB3D82" w14:textId="77777777" w:rsidTr="00243C50">
        <w:trPr>
          <w:trHeight w:val="294"/>
        </w:trPr>
        <w:tc>
          <w:tcPr>
            <w:tcW w:w="1717" w:type="dxa"/>
            <w:tcBorders>
              <w:top w:val="nil"/>
              <w:left w:val="single" w:sz="4" w:space="0" w:color="auto"/>
              <w:bottom w:val="single" w:sz="4" w:space="0" w:color="auto"/>
              <w:right w:val="single" w:sz="4" w:space="0" w:color="auto"/>
            </w:tcBorders>
            <w:noWrap/>
            <w:vAlign w:val="bottom"/>
            <w:hideMark/>
          </w:tcPr>
          <w:p w14:paraId="2E064ED6"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Pays E</w:t>
            </w:r>
          </w:p>
        </w:tc>
        <w:tc>
          <w:tcPr>
            <w:tcW w:w="1186" w:type="dxa"/>
            <w:tcBorders>
              <w:top w:val="nil"/>
              <w:left w:val="nil"/>
              <w:bottom w:val="single" w:sz="4" w:space="0" w:color="auto"/>
              <w:right w:val="single" w:sz="4" w:space="0" w:color="auto"/>
            </w:tcBorders>
            <w:noWrap/>
            <w:vAlign w:val="bottom"/>
            <w:hideMark/>
          </w:tcPr>
          <w:p w14:paraId="430B3033"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520,000 </w:t>
            </w:r>
          </w:p>
        </w:tc>
        <w:tc>
          <w:tcPr>
            <w:tcW w:w="993" w:type="dxa"/>
            <w:tcBorders>
              <w:top w:val="nil"/>
              <w:left w:val="nil"/>
              <w:bottom w:val="single" w:sz="4" w:space="0" w:color="auto"/>
              <w:right w:val="single" w:sz="4" w:space="0" w:color="auto"/>
            </w:tcBorders>
            <w:noWrap/>
            <w:vAlign w:val="bottom"/>
            <w:hideMark/>
          </w:tcPr>
          <w:p w14:paraId="1F44E0CF"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20.80%</w:t>
            </w:r>
          </w:p>
        </w:tc>
        <w:tc>
          <w:tcPr>
            <w:tcW w:w="1563" w:type="dxa"/>
            <w:tcBorders>
              <w:top w:val="nil"/>
              <w:left w:val="nil"/>
              <w:bottom w:val="single" w:sz="4" w:space="0" w:color="auto"/>
              <w:right w:val="single" w:sz="4" w:space="0" w:color="auto"/>
            </w:tcBorders>
            <w:noWrap/>
            <w:vAlign w:val="bottom"/>
            <w:hideMark/>
          </w:tcPr>
          <w:p w14:paraId="3071153B"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b x 75%</w:t>
            </w:r>
          </w:p>
        </w:tc>
        <w:tc>
          <w:tcPr>
            <w:tcW w:w="1333" w:type="dxa"/>
            <w:tcBorders>
              <w:top w:val="nil"/>
              <w:left w:val="nil"/>
              <w:bottom w:val="single" w:sz="4" w:space="0" w:color="auto"/>
              <w:right w:val="single" w:sz="4" w:space="0" w:color="auto"/>
            </w:tcBorders>
            <w:noWrap/>
            <w:vAlign w:val="bottom"/>
            <w:hideMark/>
          </w:tcPr>
          <w:p w14:paraId="7D483C77"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15.60%</w:t>
            </w:r>
          </w:p>
        </w:tc>
        <w:tc>
          <w:tcPr>
            <w:tcW w:w="1179" w:type="dxa"/>
            <w:tcBorders>
              <w:top w:val="nil"/>
              <w:left w:val="nil"/>
              <w:bottom w:val="single" w:sz="4" w:space="0" w:color="auto"/>
              <w:right w:val="single" w:sz="4" w:space="0" w:color="auto"/>
            </w:tcBorders>
            <w:noWrap/>
            <w:vAlign w:val="bottom"/>
            <w:hideMark/>
          </w:tcPr>
          <w:p w14:paraId="57449EBC"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39,000 </w:t>
            </w:r>
          </w:p>
        </w:tc>
        <w:tc>
          <w:tcPr>
            <w:tcW w:w="1309" w:type="dxa"/>
            <w:tcBorders>
              <w:top w:val="nil"/>
              <w:left w:val="nil"/>
              <w:bottom w:val="single" w:sz="4" w:space="0" w:color="auto"/>
              <w:right w:val="single" w:sz="4" w:space="0" w:color="auto"/>
            </w:tcBorders>
            <w:noWrap/>
            <w:vAlign w:val="bottom"/>
            <w:hideMark/>
          </w:tcPr>
          <w:p w14:paraId="7E8A75B9" w14:textId="77777777" w:rsidR="0025391D" w:rsidRPr="0025391D" w:rsidRDefault="0025391D" w:rsidP="0025391D">
            <w:pPr>
              <w:spacing w:after="0" w:line="240" w:lineRule="auto"/>
              <w:jc w:val="right"/>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50%</w:t>
            </w:r>
          </w:p>
        </w:tc>
        <w:tc>
          <w:tcPr>
            <w:tcW w:w="1120" w:type="dxa"/>
            <w:tcBorders>
              <w:top w:val="nil"/>
              <w:left w:val="nil"/>
              <w:bottom w:val="single" w:sz="4" w:space="0" w:color="auto"/>
              <w:right w:val="single" w:sz="4" w:space="0" w:color="auto"/>
            </w:tcBorders>
            <w:noWrap/>
            <w:vAlign w:val="bottom"/>
            <w:hideMark/>
          </w:tcPr>
          <w:p w14:paraId="20D33BD6"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xml:space="preserve"> $             3,042 </w:t>
            </w:r>
          </w:p>
        </w:tc>
      </w:tr>
      <w:tr w:rsidR="0025391D" w:rsidRPr="0025391D" w14:paraId="41971EF8" w14:textId="77777777" w:rsidTr="00243C50">
        <w:trPr>
          <w:trHeight w:val="55"/>
        </w:trPr>
        <w:tc>
          <w:tcPr>
            <w:tcW w:w="1717" w:type="dxa"/>
            <w:tcBorders>
              <w:top w:val="nil"/>
              <w:left w:val="single" w:sz="4" w:space="0" w:color="auto"/>
              <w:bottom w:val="single" w:sz="4" w:space="0" w:color="auto"/>
              <w:right w:val="single" w:sz="4" w:space="0" w:color="auto"/>
            </w:tcBorders>
            <w:shd w:val="clear" w:color="auto" w:fill="DDEBF7"/>
            <w:noWrap/>
            <w:vAlign w:val="bottom"/>
            <w:hideMark/>
          </w:tcPr>
          <w:p w14:paraId="5E6389FA" w14:textId="77777777" w:rsidR="0025391D" w:rsidRPr="0025391D" w:rsidRDefault="0025391D" w:rsidP="0025391D">
            <w:pPr>
              <w:spacing w:after="0" w:line="240" w:lineRule="auto"/>
              <w:rPr>
                <w:rFonts w:ascii="Calibri" w:eastAsia="Times New Roman" w:hAnsi="Calibri" w:cs="Times New Roman"/>
                <w:color w:val="000000"/>
                <w:kern w:val="0"/>
                <w:sz w:val="22"/>
                <w:szCs w:val="22"/>
                <w14:ligatures w14:val="none"/>
              </w:rPr>
            </w:pPr>
            <w:r w:rsidRPr="0025391D">
              <w:rPr>
                <w:rFonts w:ascii="Calibri" w:eastAsia="Times New Roman" w:hAnsi="Calibri" w:cs="Times New Roman"/>
                <w:color w:val="000000"/>
                <w:kern w:val="0"/>
                <w:sz w:val="22"/>
                <w:szCs w:val="22"/>
                <w14:ligatures w14:val="none"/>
              </w:rPr>
              <w:t> </w:t>
            </w:r>
          </w:p>
        </w:tc>
        <w:tc>
          <w:tcPr>
            <w:tcW w:w="1186" w:type="dxa"/>
            <w:tcBorders>
              <w:top w:val="nil"/>
              <w:left w:val="nil"/>
              <w:bottom w:val="single" w:sz="4" w:space="0" w:color="auto"/>
              <w:right w:val="single" w:sz="4" w:space="0" w:color="auto"/>
            </w:tcBorders>
            <w:shd w:val="clear" w:color="auto" w:fill="DDEBF7"/>
            <w:noWrap/>
            <w:vAlign w:val="bottom"/>
            <w:hideMark/>
          </w:tcPr>
          <w:p w14:paraId="2BB12F49"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 xml:space="preserve"> $   2,500,000 </w:t>
            </w:r>
          </w:p>
        </w:tc>
        <w:tc>
          <w:tcPr>
            <w:tcW w:w="993" w:type="dxa"/>
            <w:tcBorders>
              <w:top w:val="nil"/>
              <w:left w:val="nil"/>
              <w:bottom w:val="single" w:sz="4" w:space="0" w:color="auto"/>
              <w:right w:val="single" w:sz="4" w:space="0" w:color="auto"/>
            </w:tcBorders>
            <w:shd w:val="clear" w:color="auto" w:fill="DDEBF7"/>
            <w:noWrap/>
            <w:vAlign w:val="bottom"/>
            <w:hideMark/>
          </w:tcPr>
          <w:p w14:paraId="476FD9D6" w14:textId="77777777" w:rsidR="0025391D" w:rsidRPr="0025391D" w:rsidRDefault="0025391D" w:rsidP="0025391D">
            <w:pPr>
              <w:spacing w:after="0" w:line="240" w:lineRule="auto"/>
              <w:jc w:val="right"/>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100.00%</w:t>
            </w:r>
          </w:p>
        </w:tc>
        <w:tc>
          <w:tcPr>
            <w:tcW w:w="1563" w:type="dxa"/>
            <w:tcBorders>
              <w:top w:val="nil"/>
              <w:left w:val="nil"/>
              <w:bottom w:val="single" w:sz="4" w:space="0" w:color="auto"/>
              <w:right w:val="single" w:sz="4" w:space="0" w:color="auto"/>
            </w:tcBorders>
            <w:shd w:val="clear" w:color="auto" w:fill="DDEBF7"/>
            <w:noWrap/>
            <w:vAlign w:val="bottom"/>
            <w:hideMark/>
          </w:tcPr>
          <w:p w14:paraId="2904CA2C"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 </w:t>
            </w:r>
          </w:p>
        </w:tc>
        <w:tc>
          <w:tcPr>
            <w:tcW w:w="1333" w:type="dxa"/>
            <w:tcBorders>
              <w:top w:val="nil"/>
              <w:left w:val="nil"/>
              <w:bottom w:val="single" w:sz="4" w:space="0" w:color="auto"/>
              <w:right w:val="single" w:sz="4" w:space="0" w:color="auto"/>
            </w:tcBorders>
            <w:shd w:val="clear" w:color="auto" w:fill="DDEBF7"/>
            <w:noWrap/>
            <w:vAlign w:val="bottom"/>
            <w:hideMark/>
          </w:tcPr>
          <w:p w14:paraId="37CCD53F" w14:textId="77777777" w:rsidR="0025391D" w:rsidRPr="0025391D" w:rsidRDefault="0025391D" w:rsidP="0025391D">
            <w:pPr>
              <w:spacing w:after="0" w:line="240" w:lineRule="auto"/>
              <w:jc w:val="right"/>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100.00%</w:t>
            </w:r>
          </w:p>
        </w:tc>
        <w:tc>
          <w:tcPr>
            <w:tcW w:w="1179" w:type="dxa"/>
            <w:tcBorders>
              <w:top w:val="nil"/>
              <w:left w:val="nil"/>
              <w:bottom w:val="single" w:sz="4" w:space="0" w:color="auto"/>
              <w:right w:val="single" w:sz="4" w:space="0" w:color="auto"/>
            </w:tcBorders>
            <w:shd w:val="clear" w:color="auto" w:fill="DDEBF7"/>
            <w:noWrap/>
            <w:vAlign w:val="bottom"/>
            <w:hideMark/>
          </w:tcPr>
          <w:p w14:paraId="481DB4DE"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 xml:space="preserve"> $        250,000 </w:t>
            </w:r>
          </w:p>
        </w:tc>
        <w:tc>
          <w:tcPr>
            <w:tcW w:w="1309" w:type="dxa"/>
            <w:tcBorders>
              <w:top w:val="nil"/>
              <w:left w:val="nil"/>
              <w:bottom w:val="single" w:sz="4" w:space="0" w:color="auto"/>
              <w:right w:val="single" w:sz="4" w:space="0" w:color="auto"/>
            </w:tcBorders>
            <w:shd w:val="clear" w:color="auto" w:fill="DDEBF7"/>
            <w:noWrap/>
            <w:vAlign w:val="bottom"/>
            <w:hideMark/>
          </w:tcPr>
          <w:p w14:paraId="36B08077"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 </w:t>
            </w:r>
          </w:p>
        </w:tc>
        <w:tc>
          <w:tcPr>
            <w:tcW w:w="1120" w:type="dxa"/>
            <w:tcBorders>
              <w:top w:val="nil"/>
              <w:left w:val="nil"/>
              <w:bottom w:val="single" w:sz="4" w:space="0" w:color="auto"/>
              <w:right w:val="single" w:sz="4" w:space="0" w:color="auto"/>
            </w:tcBorders>
            <w:shd w:val="clear" w:color="auto" w:fill="DDEBF7"/>
            <w:noWrap/>
            <w:vAlign w:val="bottom"/>
            <w:hideMark/>
          </w:tcPr>
          <w:p w14:paraId="2C3D2A93" w14:textId="77777777" w:rsidR="0025391D" w:rsidRPr="0025391D" w:rsidRDefault="0025391D" w:rsidP="0025391D">
            <w:pPr>
              <w:spacing w:after="0" w:line="240" w:lineRule="auto"/>
              <w:rPr>
                <w:rFonts w:ascii="Calibri" w:eastAsia="Times New Roman" w:hAnsi="Calibri" w:cs="Times New Roman"/>
                <w:b/>
                <w:bCs/>
                <w:color w:val="000000"/>
                <w:kern w:val="0"/>
                <w:sz w:val="22"/>
                <w:szCs w:val="22"/>
                <w14:ligatures w14:val="none"/>
              </w:rPr>
            </w:pPr>
            <w:r w:rsidRPr="0025391D">
              <w:rPr>
                <w:rFonts w:ascii="Calibri" w:eastAsia="Times New Roman" w:hAnsi="Calibri" w:cs="Times New Roman"/>
                <w:b/>
                <w:bCs/>
                <w:color w:val="000000"/>
                <w:kern w:val="0"/>
                <w:sz w:val="22"/>
                <w:szCs w:val="22"/>
                <w14:ligatures w14:val="none"/>
              </w:rPr>
              <w:t> </w:t>
            </w:r>
          </w:p>
        </w:tc>
      </w:tr>
    </w:tbl>
    <w:p w14:paraId="5D8BFA91" w14:textId="77777777" w:rsidR="0025391D" w:rsidRPr="0025391D" w:rsidRDefault="0025391D" w:rsidP="0025391D">
      <w:pPr>
        <w:spacing w:after="0" w:line="240" w:lineRule="auto"/>
        <w:contextualSpacing/>
        <w:jc w:val="both"/>
        <w:rPr>
          <w:rFonts w:ascii="Calibri" w:eastAsia="Times New Roman" w:hAnsi="Calibri" w:cs="Times New Roman"/>
          <w:color w:val="000000"/>
          <w:kern w:val="0"/>
          <w:sz w:val="22"/>
          <w:szCs w:val="22"/>
          <w14:ligatures w14:val="none"/>
        </w:rPr>
      </w:pPr>
    </w:p>
    <w:p w14:paraId="5E186AC9" w14:textId="77777777" w:rsidR="0025391D" w:rsidRPr="0025391D" w:rsidRDefault="0025391D" w:rsidP="0025391D">
      <w:pPr>
        <w:numPr>
          <w:ilvl w:val="0"/>
          <w:numId w:val="1"/>
        </w:numPr>
        <w:spacing w:after="0" w:line="240" w:lineRule="auto"/>
        <w:ind w:left="346" w:right="-346" w:hanging="346"/>
        <w:contextualSpacing/>
        <w:jc w:val="both"/>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kern w:val="0"/>
          <w:sz w:val="22"/>
          <w:szCs w:val="22"/>
          <w:lang w:val="fr-FR"/>
          <w14:ligatures w14:val="none"/>
        </w:rPr>
        <w:t xml:space="preserve">Au lieu de se fier uniquement aux objectifs annuels des GLOC calculés par l'entreprise, les bureaux nationaux </w:t>
      </w:r>
      <w:r w:rsidRPr="0025391D">
        <w:rPr>
          <w:rFonts w:ascii="Calibri" w:eastAsia="Calibri" w:hAnsi="Calibri" w:cs="Times New Roman"/>
          <w:color w:val="000000"/>
          <w:spacing w:val="-3"/>
          <w:kern w:val="0"/>
          <w:sz w:val="22"/>
          <w:szCs w:val="22"/>
          <w:lang w:val="fr-FR"/>
          <w14:ligatures w14:val="none"/>
        </w:rPr>
        <w:t>sont encouragés à négocier</w:t>
      </w:r>
      <w:r w:rsidRPr="0025391D">
        <w:rPr>
          <w:rFonts w:ascii="Calibri" w:eastAsia="Times New Roman" w:hAnsi="Calibri" w:cs="Times New Roman"/>
          <w:color w:val="000000"/>
          <w:kern w:val="0"/>
          <w:sz w:val="22"/>
          <w:szCs w:val="22"/>
          <w:lang w:val="fr-FR"/>
          <w14:ligatures w14:val="none"/>
        </w:rPr>
        <w:t xml:space="preserve"> d'objectifs pluriannuels avec les gouvernements hôtes, en intégrant ces engagements dans le dialogue national de planification pluriannuelle. Ces objectifs peuvent être plus élevés que les objectifs de trésorerie de base calculés par l'entreprise, si les gouvernements hôtes en conviennent afin de répondre à leurs aspirations en matière de développement et de couvrir suffisamment les dépenses prévues des bureaux locaux. </w:t>
      </w:r>
    </w:p>
    <w:p w14:paraId="69C58040" w14:textId="77777777" w:rsidR="0025391D" w:rsidRPr="0025391D" w:rsidRDefault="0025391D" w:rsidP="0025391D">
      <w:pPr>
        <w:spacing w:after="0" w:line="240" w:lineRule="auto"/>
        <w:ind w:right="-346"/>
        <w:jc w:val="both"/>
        <w:rPr>
          <w:rFonts w:ascii="Calibri" w:eastAsia="Times New Roman" w:hAnsi="Calibri" w:cs="Times New Roman"/>
          <w:color w:val="000000"/>
          <w:kern w:val="0"/>
          <w:sz w:val="22"/>
          <w:szCs w:val="22"/>
          <w:lang w:val="fr-FR"/>
          <w14:ligatures w14:val="none"/>
        </w:rPr>
      </w:pPr>
    </w:p>
    <w:p w14:paraId="58D61248" w14:textId="6645234C" w:rsidR="0025391D" w:rsidRPr="0025391D" w:rsidRDefault="0025391D" w:rsidP="0025391D">
      <w:pPr>
        <w:numPr>
          <w:ilvl w:val="0"/>
          <w:numId w:val="1"/>
        </w:numPr>
        <w:spacing w:after="0" w:line="240" w:lineRule="auto"/>
        <w:ind w:left="346" w:right="-346" w:hanging="346"/>
        <w:contextualSpacing/>
        <w:jc w:val="both"/>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color w:val="000000"/>
          <w:kern w:val="0"/>
          <w:sz w:val="22"/>
          <w:szCs w:val="22"/>
          <w:lang w:val="fr-FR"/>
          <w14:ligatures w14:val="none"/>
        </w:rPr>
        <w:t xml:space="preserve">Les objectifs pluriannuels en matière de liquidités des GLOC pourraient être négociées avec les gouvernements hôtes pourraient être basés sur les éléments </w:t>
      </w:r>
      <w:r w:rsidR="000419C5" w:rsidRPr="0025391D">
        <w:rPr>
          <w:rFonts w:ascii="Calibri" w:eastAsia="Times New Roman" w:hAnsi="Calibri" w:cs="Times New Roman"/>
          <w:color w:val="000000"/>
          <w:kern w:val="0"/>
          <w:sz w:val="22"/>
          <w:szCs w:val="22"/>
          <w:lang w:val="fr-FR"/>
          <w14:ligatures w14:val="none"/>
        </w:rPr>
        <w:t>suivants :</w:t>
      </w:r>
    </w:p>
    <w:p w14:paraId="278837BD" w14:textId="77777777" w:rsidR="0025391D" w:rsidRPr="0025391D" w:rsidRDefault="0025391D" w:rsidP="0025391D">
      <w:pPr>
        <w:spacing w:after="0" w:line="240" w:lineRule="auto"/>
        <w:jc w:val="both"/>
        <w:rPr>
          <w:rFonts w:ascii="Calibri" w:eastAsia="Times New Roman" w:hAnsi="Calibri" w:cs="Times New Roman"/>
          <w:color w:val="000000"/>
          <w:spacing w:val="-3"/>
          <w:kern w:val="0"/>
          <w:sz w:val="22"/>
          <w:szCs w:val="22"/>
          <w:lang w:val="fr-FR"/>
          <w14:ligatures w14:val="none"/>
        </w:rPr>
      </w:pPr>
    </w:p>
    <w:p w14:paraId="2FCF107F" w14:textId="77777777" w:rsidR="0025391D" w:rsidRPr="0025391D" w:rsidRDefault="0025391D" w:rsidP="0025391D">
      <w:pPr>
        <w:numPr>
          <w:ilvl w:val="1"/>
          <w:numId w:val="1"/>
        </w:numPr>
        <w:spacing w:after="0" w:line="240" w:lineRule="auto"/>
        <w:ind w:left="630" w:hanging="360"/>
        <w:contextualSpacing/>
        <w:jc w:val="both"/>
        <w:rPr>
          <w:rFonts w:ascii="Calibri" w:eastAsia="Times New Roman" w:hAnsi="Calibri" w:cs="Times New Roman"/>
          <w:color w:val="000000"/>
          <w:kern w:val="0"/>
          <w:sz w:val="22"/>
          <w:szCs w:val="22"/>
          <w:lang w:val="fr-FR"/>
          <w14:ligatures w14:val="none"/>
        </w:rPr>
      </w:pPr>
      <w:r w:rsidRPr="0025391D">
        <w:rPr>
          <w:rFonts w:ascii="Calibri" w:eastAsia="Times New Roman" w:hAnsi="Calibri" w:cs="Times New Roman"/>
          <w:b/>
          <w:bCs/>
          <w:color w:val="000000"/>
          <w:kern w:val="0"/>
          <w:sz w:val="22"/>
          <w:szCs w:val="22"/>
          <w:u w:val="single"/>
          <w:lang w:val="fr-FR"/>
          <w14:ligatures w14:val="none"/>
        </w:rPr>
        <w:t xml:space="preserve">Des objectifs GLOC convenus de commun accord et alignés sur le cycle de la </w:t>
      </w:r>
      <w:proofErr w:type="gramStart"/>
      <w:r w:rsidRPr="0025391D">
        <w:rPr>
          <w:rFonts w:ascii="Calibri" w:eastAsia="Times New Roman" w:hAnsi="Calibri" w:cs="Times New Roman"/>
          <w:b/>
          <w:bCs/>
          <w:color w:val="000000"/>
          <w:kern w:val="0"/>
          <w:sz w:val="22"/>
          <w:szCs w:val="22"/>
          <w:u w:val="single"/>
          <w:lang w:val="fr-FR"/>
          <w14:ligatures w14:val="none"/>
        </w:rPr>
        <w:t>CPD</w:t>
      </w:r>
      <w:r w:rsidRPr="0025391D">
        <w:rPr>
          <w:rFonts w:ascii="Calibri" w:eastAsia="Times New Roman" w:hAnsi="Calibri" w:cs="Times New Roman"/>
          <w:color w:val="000000"/>
          <w:kern w:val="0"/>
          <w:sz w:val="22"/>
          <w:szCs w:val="22"/>
          <w:lang w:val="fr-FR"/>
          <w14:ligatures w14:val="none"/>
        </w:rPr>
        <w:t>:</w:t>
      </w:r>
      <w:proofErr w:type="gramEnd"/>
      <w:r w:rsidRPr="0025391D">
        <w:rPr>
          <w:rFonts w:ascii="Calibri" w:eastAsia="Times New Roman" w:hAnsi="Calibri" w:cs="Times New Roman"/>
          <w:color w:val="000000"/>
          <w:kern w:val="0"/>
          <w:sz w:val="22"/>
          <w:szCs w:val="22"/>
          <w:lang w:val="fr-FR"/>
          <w14:ligatures w14:val="none"/>
        </w:rPr>
        <w:t xml:space="preserve"> Lors de la formulation du document de programme de pays (DPP), les bureaux de pays, conjointement </w:t>
      </w:r>
      <w:r w:rsidRPr="0025391D">
        <w:rPr>
          <w:rFonts w:ascii="Calibri" w:eastAsia="Times New Roman" w:hAnsi="Calibri" w:cs="Times New Roman"/>
          <w:color w:val="000000"/>
          <w:kern w:val="0"/>
          <w:sz w:val="22"/>
          <w:szCs w:val="22"/>
          <w:lang w:val="fr-FR"/>
          <w14:ligatures w14:val="none"/>
        </w:rPr>
        <w:lastRenderedPageBreak/>
        <w:t>avec le gouvernement national, peuvent déterminer les objectifs de trésorerie annuels et pluriannuels en tenant compte de la capacité du bureau de pays requise pour soutenir le gouvernement national pendant la période prévue du DPP.  Les objectifs pluriannuels peuvent être revus chaque année ou faire partie intégrante de l'examen à mi-parcours et de toute autre discussion sur le DPC. Les bureaux de pays peuvent augmenter ou diminuer les objectifs des GLOC, en fonction de la taille proposée de leur bureau, afin de mieux aligner la taille du bureau sur les priorités de développement et le plan de travail pour la période de planification.</w:t>
      </w:r>
    </w:p>
    <w:p w14:paraId="35B8B2E0" w14:textId="77777777" w:rsidR="0025391D" w:rsidRPr="0025391D" w:rsidRDefault="0025391D" w:rsidP="0025391D">
      <w:pPr>
        <w:spacing w:after="0" w:line="240" w:lineRule="auto"/>
        <w:ind w:left="630"/>
        <w:contextualSpacing/>
        <w:jc w:val="both"/>
        <w:rPr>
          <w:rFonts w:ascii="Calibri" w:eastAsia="Times New Roman" w:hAnsi="Calibri" w:cs="Times New Roman"/>
          <w:color w:val="000000"/>
          <w:kern w:val="0"/>
          <w:sz w:val="22"/>
          <w:szCs w:val="22"/>
          <w:lang w:val="fr-FR"/>
          <w14:ligatures w14:val="none"/>
        </w:rPr>
      </w:pPr>
    </w:p>
    <w:p w14:paraId="09B313F2" w14:textId="77777777" w:rsidR="0025391D" w:rsidRPr="0025391D" w:rsidRDefault="0025391D" w:rsidP="0025391D">
      <w:pPr>
        <w:numPr>
          <w:ilvl w:val="1"/>
          <w:numId w:val="1"/>
        </w:numPr>
        <w:spacing w:after="0" w:line="240" w:lineRule="auto"/>
        <w:ind w:left="630" w:hanging="360"/>
        <w:contextualSpacing/>
        <w:jc w:val="both"/>
        <w:rPr>
          <w:rFonts w:ascii="Calibri" w:eastAsia="Times New Roman" w:hAnsi="Calibri" w:cs="Times New Roman"/>
          <w:color w:val="000000"/>
          <w:kern w:val="0"/>
          <w:sz w:val="22"/>
          <w:szCs w:val="22"/>
          <w:u w:val="single"/>
          <w:lang w:val="fr-FR"/>
          <w14:ligatures w14:val="none"/>
        </w:rPr>
      </w:pPr>
      <w:r w:rsidRPr="0025391D">
        <w:rPr>
          <w:rFonts w:ascii="Calibri" w:eastAsia="Times New Roman" w:hAnsi="Calibri" w:cs="Times New Roman"/>
          <w:b/>
          <w:bCs/>
          <w:color w:val="000000"/>
          <w:kern w:val="0"/>
          <w:sz w:val="22"/>
          <w:szCs w:val="22"/>
          <w:u w:val="single"/>
          <w:lang w:val="fr-FR"/>
          <w14:ligatures w14:val="none"/>
        </w:rPr>
        <w:t>Des objectifs GLOC convenus de commun accord, basés sur les dépenses locales passées</w:t>
      </w:r>
      <w:r w:rsidRPr="0025391D">
        <w:rPr>
          <w:rFonts w:ascii="Calibri" w:eastAsia="Times New Roman" w:hAnsi="Calibri" w:cs="Times New Roman"/>
          <w:color w:val="000000"/>
          <w:kern w:val="0"/>
          <w:sz w:val="22"/>
          <w:szCs w:val="22"/>
          <w:lang w:val="fr-FR"/>
          <w14:ligatures w14:val="none"/>
        </w:rPr>
        <w:t xml:space="preserve"> : À titre provisoire, jusqu'à la formulation du prochain DPC, les bureaux nationaux peuvent déterminer conjointement avec les gouvernements nationaux les objectifs annuels et pluriannuels (au moins pour 2 ans). Ces objectifs peuvent être négociés sur la base des dépenses locales moyennes des deux dernières années ou sur la base des coûts locaux estimés pour la période de planification.</w:t>
      </w:r>
    </w:p>
    <w:p w14:paraId="3610D2DA" w14:textId="77777777" w:rsidR="0025391D" w:rsidRPr="0025391D" w:rsidRDefault="0025391D" w:rsidP="0025391D">
      <w:pPr>
        <w:spacing w:after="0" w:line="240" w:lineRule="auto"/>
        <w:jc w:val="both"/>
        <w:rPr>
          <w:rFonts w:ascii="Times New Roman" w:eastAsia="Times New Roman" w:hAnsi="Times New Roman" w:cs="Times New Roman"/>
          <w:color w:val="000000"/>
          <w:spacing w:val="-3"/>
          <w:kern w:val="0"/>
          <w:lang w:val="fr-FR"/>
          <w14:ligatures w14:val="none"/>
        </w:rPr>
      </w:pPr>
      <w:r w:rsidRPr="0025391D" w:rsidDel="00EA4296">
        <w:rPr>
          <w:rFonts w:ascii="Times New Roman" w:eastAsia="Times New Roman" w:hAnsi="Times New Roman" w:cs="Times New Roman"/>
          <w:color w:val="000000"/>
          <w:spacing w:val="-3"/>
          <w:kern w:val="0"/>
          <w:lang w:val="fr-FR"/>
          <w14:ligatures w14:val="none"/>
        </w:rPr>
        <w:t xml:space="preserve"> </w:t>
      </w:r>
    </w:p>
    <w:p w14:paraId="3E75C7EB" w14:textId="77777777" w:rsidR="0025391D" w:rsidRPr="0025391D" w:rsidRDefault="0025391D" w:rsidP="0025391D">
      <w:pPr>
        <w:spacing w:after="0" w:line="240" w:lineRule="auto"/>
        <w:ind w:left="346" w:right="-346"/>
        <w:contextualSpacing/>
        <w:jc w:val="both"/>
        <w:rPr>
          <w:rFonts w:ascii="Calibri" w:eastAsia="Calibri" w:hAnsi="Calibri" w:cs="Times New Roman"/>
          <w:color w:val="000000"/>
          <w:spacing w:val="-3"/>
          <w:kern w:val="0"/>
          <w:sz w:val="22"/>
          <w:szCs w:val="22"/>
          <w:lang w:val="fr-FR"/>
          <w14:ligatures w14:val="none"/>
        </w:rPr>
      </w:pPr>
    </w:p>
    <w:p w14:paraId="47834A3A" w14:textId="77777777" w:rsidR="0025391D" w:rsidRPr="0025391D" w:rsidRDefault="0025391D" w:rsidP="0025391D">
      <w:pPr>
        <w:numPr>
          <w:ilvl w:val="0"/>
          <w:numId w:val="1"/>
        </w:numPr>
        <w:spacing w:after="0" w:line="259" w:lineRule="auto"/>
        <w:ind w:right="-346" w:hanging="346"/>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Les flexibilités susmentionnées sont conformes aux dispositions du </w:t>
      </w:r>
      <w:hyperlink r:id="rId13" w:history="1">
        <w:r w:rsidRPr="0025391D">
          <w:rPr>
            <w:rFonts w:ascii="Calibri" w:eastAsia="Calibri" w:hAnsi="Calibri" w:cs="Times New Roman"/>
            <w:color w:val="0563C1"/>
            <w:spacing w:val="-3"/>
            <w:kern w:val="0"/>
            <w:sz w:val="22"/>
            <w:szCs w:val="22"/>
            <w:u w:val="single"/>
            <w:lang w:val="fr-FR"/>
            <w14:ligatures w14:val="none"/>
          </w:rPr>
          <w:t>Conseil d'administration du PNUD (décision 2020/14 du Conseil d'administration</w:t>
        </w:r>
      </w:hyperlink>
      <w:r w:rsidRPr="0025391D">
        <w:rPr>
          <w:rFonts w:ascii="Calibri" w:eastAsia="Calibri" w:hAnsi="Calibri" w:cs="Times New Roman"/>
          <w:color w:val="000000"/>
          <w:spacing w:val="-3"/>
          <w:kern w:val="0"/>
          <w:sz w:val="22"/>
          <w:szCs w:val="22"/>
          <w:lang w:val="fr-FR"/>
          <w14:ligatures w14:val="none"/>
        </w:rPr>
        <w:t>), qui a reconnu "</w:t>
      </w:r>
      <w:r w:rsidRPr="0025391D">
        <w:rPr>
          <w:rFonts w:ascii="Calibri" w:eastAsia="Calibri" w:hAnsi="Calibri" w:cs="Times New Roman"/>
          <w:i/>
          <w:color w:val="000000"/>
          <w:spacing w:val="-3"/>
          <w:kern w:val="0"/>
          <w:sz w:val="22"/>
          <w:szCs w:val="22"/>
          <w:lang w:val="fr-FR"/>
          <w14:ligatures w14:val="none"/>
        </w:rPr>
        <w:t>l'importance des contributions versées par les gouvernements des pays de programme au PNUD pour couvrir les coûts des bureaux locaux, à la fois en espèces et en nature, et encourage le PNUD à travailler avec les gouvernements respectifs pour convenir, dans la mesure du possible, de contributions annuelles ou pluriannuelles afin de respecter ces engagements, en tenant compte des processus de planification budgétaire nationaux"</w:t>
      </w:r>
      <w:r w:rsidRPr="0025391D">
        <w:rPr>
          <w:rFonts w:ascii="Calibri" w:eastAsia="Calibri" w:hAnsi="Calibri" w:cs="Times New Roman"/>
          <w:color w:val="000000"/>
          <w:spacing w:val="-3"/>
          <w:kern w:val="0"/>
          <w:sz w:val="22"/>
          <w:szCs w:val="22"/>
          <w:lang w:val="fr-FR"/>
          <w14:ligatures w14:val="none"/>
        </w:rPr>
        <w:t>. Il est donc essentiel que les bureaux nationaux engagent activement les gouvernements hôtes dans leur dialogue sur l'obligation du gouvernement hôte de prendre en charge les coûts des bureaux nationaux.</w:t>
      </w:r>
    </w:p>
    <w:p w14:paraId="12C37455" w14:textId="77777777" w:rsidR="0025391D" w:rsidRPr="0025391D" w:rsidRDefault="0025391D" w:rsidP="0025391D">
      <w:pPr>
        <w:spacing w:after="0" w:line="240" w:lineRule="auto"/>
        <w:ind w:right="-346"/>
        <w:contextualSpacing/>
        <w:jc w:val="both"/>
        <w:rPr>
          <w:rFonts w:ascii="Calibri" w:eastAsia="Calibri" w:hAnsi="Calibri" w:cs="Times New Roman"/>
          <w:color w:val="000000"/>
          <w:spacing w:val="-3"/>
          <w:kern w:val="0"/>
          <w:sz w:val="22"/>
          <w:szCs w:val="22"/>
          <w:lang w:val="fr-FR"/>
          <w14:ligatures w14:val="none"/>
        </w:rPr>
      </w:pPr>
    </w:p>
    <w:p w14:paraId="6F528B83" w14:textId="77777777" w:rsidR="0025391D" w:rsidRPr="0025391D" w:rsidRDefault="0025391D" w:rsidP="0025391D">
      <w:pPr>
        <w:numPr>
          <w:ilvl w:val="0"/>
          <w:numId w:val="1"/>
        </w:numPr>
        <w:spacing w:after="0" w:line="240" w:lineRule="auto"/>
        <w:ind w:right="-346" w:hanging="346"/>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Chaque fois que des objectifs pluriannuels </w:t>
      </w:r>
      <w:proofErr w:type="gramStart"/>
      <w:r w:rsidRPr="0025391D">
        <w:rPr>
          <w:rFonts w:ascii="Calibri" w:eastAsia="Calibri" w:hAnsi="Calibri" w:cs="Times New Roman"/>
          <w:color w:val="000000"/>
          <w:spacing w:val="-3"/>
          <w:kern w:val="0"/>
          <w:sz w:val="22"/>
          <w:szCs w:val="22"/>
          <w:lang w:val="fr-FR"/>
          <w14:ligatures w14:val="none"/>
        </w:rPr>
        <w:t>ou  supérieurs</w:t>
      </w:r>
      <w:proofErr w:type="gramEnd"/>
      <w:r w:rsidRPr="0025391D">
        <w:rPr>
          <w:rFonts w:ascii="Calibri" w:eastAsia="Calibri" w:hAnsi="Calibri" w:cs="Times New Roman"/>
          <w:color w:val="000000"/>
          <w:spacing w:val="-3"/>
          <w:kern w:val="0"/>
          <w:sz w:val="22"/>
          <w:szCs w:val="22"/>
          <w:lang w:val="fr-FR"/>
          <w14:ligatures w14:val="none"/>
        </w:rPr>
        <w:t xml:space="preserve"> </w:t>
      </w:r>
      <w:proofErr w:type="gramStart"/>
      <w:r w:rsidRPr="0025391D">
        <w:rPr>
          <w:rFonts w:ascii="Calibri" w:eastAsia="Calibri" w:hAnsi="Calibri" w:cs="Times New Roman"/>
          <w:color w:val="000000"/>
          <w:spacing w:val="-3"/>
          <w:kern w:val="0"/>
          <w:sz w:val="22"/>
          <w:szCs w:val="22"/>
          <w:lang w:val="fr-FR"/>
          <w14:ligatures w14:val="none"/>
        </w:rPr>
        <w:t>à  la</w:t>
      </w:r>
      <w:proofErr w:type="gramEnd"/>
      <w:r w:rsidRPr="0025391D">
        <w:rPr>
          <w:rFonts w:ascii="Calibri" w:eastAsia="Calibri" w:hAnsi="Calibri" w:cs="Times New Roman"/>
          <w:color w:val="000000"/>
          <w:spacing w:val="-3"/>
          <w:kern w:val="0"/>
          <w:sz w:val="22"/>
          <w:szCs w:val="22"/>
          <w:lang w:val="fr-FR"/>
          <w14:ligatures w14:val="none"/>
        </w:rPr>
        <w:t xml:space="preserve"> référence en </w:t>
      </w:r>
      <w:proofErr w:type="gramStart"/>
      <w:r w:rsidRPr="0025391D">
        <w:rPr>
          <w:rFonts w:ascii="Calibri" w:eastAsia="Calibri" w:hAnsi="Calibri" w:cs="Times New Roman"/>
          <w:color w:val="000000"/>
          <w:spacing w:val="-3"/>
          <w:kern w:val="0"/>
          <w:sz w:val="22"/>
          <w:szCs w:val="22"/>
          <w:lang w:val="fr-FR"/>
          <w14:ligatures w14:val="none"/>
        </w:rPr>
        <w:t>matière  de</w:t>
      </w:r>
      <w:proofErr w:type="gramEnd"/>
      <w:r w:rsidRPr="0025391D">
        <w:rPr>
          <w:rFonts w:ascii="Calibri" w:eastAsia="Calibri" w:hAnsi="Calibri" w:cs="Times New Roman"/>
          <w:color w:val="000000"/>
          <w:spacing w:val="-3"/>
          <w:kern w:val="0"/>
          <w:sz w:val="22"/>
          <w:szCs w:val="22"/>
          <w:lang w:val="fr-FR"/>
          <w14:ligatures w14:val="none"/>
        </w:rPr>
        <w:t xml:space="preserve"> </w:t>
      </w:r>
      <w:proofErr w:type="spellStart"/>
      <w:r w:rsidRPr="0025391D">
        <w:rPr>
          <w:rFonts w:ascii="Calibri" w:eastAsia="Calibri" w:hAnsi="Calibri" w:cs="Times New Roman"/>
          <w:color w:val="000000"/>
          <w:spacing w:val="-3"/>
          <w:kern w:val="0"/>
          <w:sz w:val="22"/>
          <w:szCs w:val="22"/>
          <w:lang w:val="fr-FR"/>
          <w14:ligatures w14:val="none"/>
        </w:rPr>
        <w:t>depenses</w:t>
      </w:r>
      <w:proofErr w:type="spellEnd"/>
      <w:r w:rsidRPr="0025391D">
        <w:rPr>
          <w:rFonts w:ascii="Calibri" w:eastAsia="Calibri" w:hAnsi="Calibri" w:cs="Times New Roman"/>
          <w:color w:val="000000"/>
          <w:spacing w:val="-3"/>
          <w:kern w:val="0"/>
          <w:sz w:val="22"/>
          <w:szCs w:val="22"/>
          <w:lang w:val="fr-FR"/>
          <w14:ligatures w14:val="none"/>
        </w:rPr>
        <w:t xml:space="preserve"> annuelles du </w:t>
      </w:r>
      <w:proofErr w:type="gramStart"/>
      <w:r w:rsidRPr="0025391D">
        <w:rPr>
          <w:rFonts w:ascii="Calibri" w:eastAsia="Calibri" w:hAnsi="Calibri" w:cs="Times New Roman"/>
          <w:color w:val="000000"/>
          <w:spacing w:val="-3"/>
          <w:kern w:val="0"/>
          <w:sz w:val="22"/>
          <w:szCs w:val="22"/>
          <w:lang w:val="fr-FR"/>
          <w14:ligatures w14:val="none"/>
        </w:rPr>
        <w:t>GLOC  sont</w:t>
      </w:r>
      <w:proofErr w:type="gramEnd"/>
      <w:r w:rsidRPr="0025391D">
        <w:rPr>
          <w:rFonts w:ascii="Calibri" w:eastAsia="Calibri" w:hAnsi="Calibri" w:cs="Times New Roman"/>
          <w:color w:val="000000"/>
          <w:spacing w:val="-3"/>
          <w:kern w:val="0"/>
          <w:sz w:val="22"/>
          <w:szCs w:val="22"/>
          <w:lang w:val="fr-FR"/>
          <w14:ligatures w14:val="none"/>
        </w:rPr>
        <w:t xml:space="preserve"> convenus avec les gouvernements hôtes, les bureaux nationaux doivent en informer le BMS/OFM et leur bureaux respectifs. Cela permettra de garantir que ces informations seront communiquées dans les futurs rapports des entreprises, y compris à l’EB par le biais de l'examen annuel de la situation financière (ARFS).</w:t>
      </w:r>
    </w:p>
    <w:p w14:paraId="4CBF07FE" w14:textId="77777777" w:rsidR="0025391D" w:rsidRPr="0025391D" w:rsidRDefault="0025391D" w:rsidP="0025391D">
      <w:pPr>
        <w:spacing w:after="0" w:line="240" w:lineRule="auto"/>
        <w:jc w:val="both"/>
        <w:rPr>
          <w:rFonts w:ascii="Calibri" w:eastAsia="Times New Roman" w:hAnsi="Calibri" w:cs="Times New Roman"/>
          <w:color w:val="000000"/>
          <w:spacing w:val="-3"/>
          <w:kern w:val="0"/>
          <w:sz w:val="22"/>
          <w:szCs w:val="22"/>
          <w:lang w:val="fr-FR"/>
          <w14:ligatures w14:val="none"/>
        </w:rPr>
      </w:pPr>
    </w:p>
    <w:p w14:paraId="57A26839" w14:textId="77777777" w:rsidR="0025391D" w:rsidRPr="0025391D" w:rsidRDefault="0025391D" w:rsidP="0025391D">
      <w:pPr>
        <w:spacing w:after="122" w:line="259" w:lineRule="auto"/>
        <w:rPr>
          <w:rFonts w:ascii="Calibri" w:eastAsia="Times New Roman" w:hAnsi="Calibri" w:cs="Times New Roman"/>
          <w:b/>
          <w:bCs/>
          <w:color w:val="000000"/>
          <w:spacing w:val="-3"/>
          <w:kern w:val="0"/>
          <w:sz w:val="22"/>
          <w:szCs w:val="22"/>
          <w:lang w:val="fr-FR"/>
          <w14:ligatures w14:val="none"/>
        </w:rPr>
      </w:pPr>
      <w:r w:rsidRPr="0025391D">
        <w:rPr>
          <w:rFonts w:ascii="Calibri" w:eastAsia="Times New Roman" w:hAnsi="Calibri" w:cs="Times New Roman"/>
          <w:b/>
          <w:bCs/>
          <w:color w:val="000000"/>
          <w:spacing w:val="-3"/>
          <w:kern w:val="0"/>
          <w:sz w:val="22"/>
          <w:szCs w:val="22"/>
          <w:lang w:val="fr-FR"/>
          <w14:ligatures w14:val="none"/>
        </w:rPr>
        <w:t>Communiquer les objectifs des GLOC aux gouvernements hôtes</w:t>
      </w:r>
    </w:p>
    <w:p w14:paraId="0C854174" w14:textId="77777777" w:rsidR="0025391D" w:rsidRPr="0025391D" w:rsidRDefault="0025391D" w:rsidP="0025391D">
      <w:pPr>
        <w:numPr>
          <w:ilvl w:val="0"/>
          <w:numId w:val="1"/>
        </w:numPr>
        <w:tabs>
          <w:tab w:val="left" w:pos="0"/>
        </w:tabs>
        <w:suppressAutoHyphens/>
        <w:spacing w:after="0" w:line="240" w:lineRule="auto"/>
        <w:ind w:hanging="346"/>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 Les objectifs annuels des GLOC sont communiqués par le BMS/ OFM aux bureaux régionaux avant la fin du mois de septembre de chaque année, accompagnés d'un mémorandum commun entre les bureaux (bureau régional et OFM) pour les bureaux nationaux. Les objectifs annuels de trésorerie sont accompagnés de la méthode de calcul des GLOC afin de fournir des précisions et des processus supplémentaires applicables à une année donnée.   Ces objectifs peuvent être révisés pour refléter une certification finale de la contribution en nature pour l'année, début février de chaque année, s'il y a eu un changement significatif dû à un espace ou à la valeur d'un local fourni par un gouvernement hôte.</w:t>
      </w:r>
    </w:p>
    <w:p w14:paraId="6F2CC472" w14:textId="77777777" w:rsidR="0025391D" w:rsidRPr="0025391D" w:rsidRDefault="0025391D" w:rsidP="0025391D">
      <w:pPr>
        <w:tabs>
          <w:tab w:val="left" w:pos="0"/>
        </w:tabs>
        <w:suppressAutoHyphens/>
        <w:spacing w:after="0" w:line="240" w:lineRule="auto"/>
        <w:contextualSpacing/>
        <w:jc w:val="both"/>
        <w:rPr>
          <w:rFonts w:ascii="Calibri" w:eastAsia="Calibri" w:hAnsi="Calibri" w:cs="Times New Roman"/>
          <w:color w:val="000000"/>
          <w:spacing w:val="-3"/>
          <w:kern w:val="0"/>
          <w:sz w:val="22"/>
          <w:szCs w:val="22"/>
          <w:lang w:val="fr-FR"/>
          <w14:ligatures w14:val="none"/>
        </w:rPr>
      </w:pPr>
    </w:p>
    <w:p w14:paraId="23794A4B" w14:textId="77777777" w:rsidR="0025391D" w:rsidRPr="0025391D" w:rsidRDefault="0025391D" w:rsidP="0025391D">
      <w:pPr>
        <w:numPr>
          <w:ilvl w:val="0"/>
          <w:numId w:val="1"/>
        </w:numPr>
        <w:tabs>
          <w:tab w:val="left" w:pos="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Les bureaux nationaux sont chargés d'informer formellement les gouvernements hôtes des objectifs annuels des GLOC et des arriérés de paiement (le cas échéant) et des demandes de paiement.</w:t>
      </w:r>
    </w:p>
    <w:p w14:paraId="7F23E2E7" w14:textId="77777777" w:rsidR="0025391D" w:rsidRPr="0025391D" w:rsidRDefault="0025391D" w:rsidP="0025391D">
      <w:pPr>
        <w:spacing w:after="0" w:line="240" w:lineRule="auto"/>
        <w:rPr>
          <w:rFonts w:ascii="Calibri" w:eastAsia="Times New Roman" w:hAnsi="Calibri" w:cs="Times New Roman"/>
          <w:color w:val="000000"/>
          <w:spacing w:val="-3"/>
          <w:kern w:val="0"/>
          <w:sz w:val="22"/>
          <w:szCs w:val="22"/>
          <w:lang w:val="fr-FR"/>
          <w14:ligatures w14:val="none"/>
        </w:rPr>
      </w:pPr>
    </w:p>
    <w:p w14:paraId="1EC4B8F2" w14:textId="77777777" w:rsidR="0025391D" w:rsidRPr="0025391D" w:rsidRDefault="0025391D" w:rsidP="0025391D">
      <w:pPr>
        <w:numPr>
          <w:ilvl w:val="0"/>
          <w:numId w:val="1"/>
        </w:numPr>
        <w:tabs>
          <w:tab w:val="left" w:pos="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Lors de la discussion des objectifs annuels de trésorerie des GLOC avec les gouvernements hôtes, il est important de soulever la question du paiement en attente des obligations de trésorerie des GLOC des années précédentes.</w:t>
      </w:r>
    </w:p>
    <w:p w14:paraId="7BF7EDA8" w14:textId="77777777" w:rsidR="0025391D" w:rsidRPr="0025391D" w:rsidRDefault="0025391D" w:rsidP="0025391D">
      <w:pPr>
        <w:spacing w:after="0" w:line="240" w:lineRule="auto"/>
        <w:jc w:val="both"/>
        <w:rPr>
          <w:rFonts w:ascii="Calibri" w:eastAsia="Times New Roman" w:hAnsi="Calibri" w:cs="Times New Roman"/>
          <w:noProof/>
          <w:color w:val="000000"/>
          <w:kern w:val="0"/>
          <w:sz w:val="22"/>
          <w:szCs w:val="22"/>
          <w:lang w:val="fr-FR"/>
          <w14:ligatures w14:val="none"/>
        </w:rPr>
      </w:pPr>
    </w:p>
    <w:p w14:paraId="71654CC0" w14:textId="77777777" w:rsidR="0025391D" w:rsidRPr="0025391D" w:rsidRDefault="0025391D" w:rsidP="0025391D">
      <w:pPr>
        <w:numPr>
          <w:ilvl w:val="0"/>
          <w:numId w:val="1"/>
        </w:numPr>
        <w:tabs>
          <w:tab w:val="left" w:pos="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lastRenderedPageBreak/>
        <w:t>En outre, le non-recouvrement des GLOC peut constituer une base pour que les auditeurs signalent des observations défavorables et émettent une note d'audit CO moins que satisfaisante, affectant ainsi la crédibilité des systèmes de responsabilité et financiers de la région. Par conséquent, les bureaux devraient mettre en place un système pour documenter et contrôler leurs efforts de suivi pour collecter les obligations des GLOC en suspens.</w:t>
      </w:r>
    </w:p>
    <w:p w14:paraId="563E525E" w14:textId="77777777" w:rsidR="0025391D" w:rsidRPr="0025391D" w:rsidRDefault="0025391D" w:rsidP="0025391D">
      <w:pPr>
        <w:spacing w:after="0" w:line="240" w:lineRule="auto"/>
        <w:rPr>
          <w:rFonts w:ascii="Calibri" w:eastAsia="Times New Roman" w:hAnsi="Calibri" w:cs="Times New Roman"/>
          <w:color w:val="000000"/>
          <w:spacing w:val="-3"/>
          <w:kern w:val="0"/>
          <w:sz w:val="22"/>
          <w:szCs w:val="22"/>
          <w:lang w:val="fr-FR"/>
          <w14:ligatures w14:val="none"/>
        </w:rPr>
      </w:pPr>
    </w:p>
    <w:p w14:paraId="2FEABA4A" w14:textId="77777777" w:rsidR="0025391D" w:rsidRPr="0025391D" w:rsidRDefault="0025391D" w:rsidP="0025391D">
      <w:pPr>
        <w:numPr>
          <w:ilvl w:val="0"/>
          <w:numId w:val="1"/>
        </w:numPr>
        <w:tabs>
          <w:tab w:val="left" w:pos="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Dès réception de la contribution du GLOC, une bonne pratique recommandée est d'envoyer rapidement une lettre de remerciement du bureau national au gouvernement hôte.  Afin d'apprécier l'importance des paiements des GLOC pour le financement des bureaux locaux et d'encourager les paiements en temps voulu, la haute direction du PNUD envoie depuis 2019 une lettre de remerciement annuelle aux missions permanentes des États membres pour le paiement de ses obligations en matière de GLOC en espèces ou en nature.</w:t>
      </w:r>
    </w:p>
    <w:p w14:paraId="5AF97010" w14:textId="77777777" w:rsidR="0025391D" w:rsidRPr="0025391D" w:rsidRDefault="0025391D" w:rsidP="0025391D">
      <w:pPr>
        <w:tabs>
          <w:tab w:val="left" w:pos="0"/>
        </w:tabs>
        <w:suppressAutoHyphens/>
        <w:spacing w:after="0" w:line="240" w:lineRule="auto"/>
        <w:contextualSpacing/>
        <w:jc w:val="both"/>
        <w:rPr>
          <w:rFonts w:ascii="Calibri" w:eastAsia="Calibri" w:hAnsi="Calibri" w:cs="Times New Roman"/>
          <w:color w:val="000000"/>
          <w:spacing w:val="-3"/>
          <w:kern w:val="0"/>
          <w:sz w:val="22"/>
          <w:szCs w:val="22"/>
          <w:lang w:val="fr-FR"/>
          <w14:ligatures w14:val="none"/>
        </w:rPr>
      </w:pPr>
    </w:p>
    <w:p w14:paraId="2E4D0515" w14:textId="77777777" w:rsidR="0025391D" w:rsidRPr="0025391D" w:rsidRDefault="0025391D" w:rsidP="0025391D">
      <w:pPr>
        <w:tabs>
          <w:tab w:val="left" w:pos="0"/>
        </w:tabs>
        <w:suppressAutoHyphens/>
        <w:spacing w:after="0" w:line="240" w:lineRule="auto"/>
        <w:jc w:val="both"/>
        <w:rPr>
          <w:rFonts w:ascii="Calibri" w:eastAsia="Times New Roman" w:hAnsi="Calibri" w:cs="Times New Roman"/>
          <w:b/>
          <w:bCs/>
          <w:color w:val="000000"/>
          <w:spacing w:val="-3"/>
          <w:kern w:val="0"/>
          <w:sz w:val="22"/>
          <w:szCs w:val="22"/>
          <w:lang w:val="fr-FR"/>
          <w14:ligatures w14:val="none"/>
        </w:rPr>
      </w:pPr>
    </w:p>
    <w:p w14:paraId="5BC8C65A" w14:textId="77777777" w:rsidR="0025391D" w:rsidRPr="0025391D" w:rsidRDefault="0025391D" w:rsidP="0025391D">
      <w:pPr>
        <w:spacing w:after="0" w:line="240" w:lineRule="auto"/>
        <w:rPr>
          <w:rFonts w:ascii="Calibri" w:eastAsia="Times New Roman" w:hAnsi="Calibri" w:cs="Times New Roman"/>
          <w:b/>
          <w:bCs/>
          <w:color w:val="000000"/>
          <w:spacing w:val="-3"/>
          <w:kern w:val="0"/>
          <w:sz w:val="22"/>
          <w:szCs w:val="22"/>
          <w14:ligatures w14:val="none"/>
        </w:rPr>
      </w:pPr>
      <w:proofErr w:type="spellStart"/>
      <w:r w:rsidRPr="0025391D">
        <w:rPr>
          <w:rFonts w:ascii="Calibri" w:eastAsia="Times New Roman" w:hAnsi="Calibri" w:cs="Times New Roman"/>
          <w:b/>
          <w:bCs/>
          <w:color w:val="000000"/>
          <w:spacing w:val="-3"/>
          <w:kern w:val="0"/>
          <w:sz w:val="22"/>
          <w:szCs w:val="22"/>
          <w14:ligatures w14:val="none"/>
        </w:rPr>
        <w:t>Enregistrement</w:t>
      </w:r>
      <w:proofErr w:type="spellEnd"/>
      <w:r w:rsidRPr="0025391D">
        <w:rPr>
          <w:rFonts w:ascii="Calibri" w:eastAsia="Times New Roman" w:hAnsi="Calibri" w:cs="Times New Roman"/>
          <w:b/>
          <w:bCs/>
          <w:color w:val="000000"/>
          <w:spacing w:val="-3"/>
          <w:kern w:val="0"/>
          <w:sz w:val="22"/>
          <w:szCs w:val="22"/>
          <w14:ligatures w14:val="none"/>
        </w:rPr>
        <w:t xml:space="preserve"> des contributions </w:t>
      </w:r>
      <w:proofErr w:type="spellStart"/>
      <w:r w:rsidRPr="0025391D">
        <w:rPr>
          <w:rFonts w:ascii="Calibri" w:eastAsia="Times New Roman" w:hAnsi="Calibri" w:cs="Times New Roman"/>
          <w:b/>
          <w:bCs/>
          <w:color w:val="000000"/>
          <w:spacing w:val="-3"/>
          <w:kern w:val="0"/>
          <w:sz w:val="22"/>
          <w:szCs w:val="22"/>
          <w14:ligatures w14:val="none"/>
        </w:rPr>
        <w:t>en</w:t>
      </w:r>
      <w:proofErr w:type="spellEnd"/>
      <w:r w:rsidRPr="0025391D">
        <w:rPr>
          <w:rFonts w:ascii="Calibri" w:eastAsia="Times New Roman" w:hAnsi="Calibri" w:cs="Times New Roman"/>
          <w:b/>
          <w:bCs/>
          <w:color w:val="000000"/>
          <w:spacing w:val="-3"/>
          <w:kern w:val="0"/>
          <w:sz w:val="22"/>
          <w:szCs w:val="22"/>
          <w14:ligatures w14:val="none"/>
        </w:rPr>
        <w:t xml:space="preserve"> </w:t>
      </w:r>
      <w:proofErr w:type="spellStart"/>
      <w:r w:rsidRPr="0025391D">
        <w:rPr>
          <w:rFonts w:ascii="Calibri" w:eastAsia="Times New Roman" w:hAnsi="Calibri" w:cs="Times New Roman"/>
          <w:b/>
          <w:bCs/>
          <w:color w:val="000000"/>
          <w:spacing w:val="-3"/>
          <w:kern w:val="0"/>
          <w:sz w:val="22"/>
          <w:szCs w:val="22"/>
          <w14:ligatures w14:val="none"/>
        </w:rPr>
        <w:t>espèces</w:t>
      </w:r>
      <w:proofErr w:type="spellEnd"/>
      <w:r w:rsidRPr="0025391D">
        <w:rPr>
          <w:rFonts w:ascii="Calibri" w:eastAsia="Times New Roman" w:hAnsi="Calibri" w:cs="Times New Roman"/>
          <w:b/>
          <w:bCs/>
          <w:color w:val="000000"/>
          <w:spacing w:val="-3"/>
          <w:kern w:val="0"/>
          <w:sz w:val="22"/>
          <w:szCs w:val="22"/>
          <w14:ligatures w14:val="none"/>
        </w:rPr>
        <w:t xml:space="preserve">  </w:t>
      </w:r>
    </w:p>
    <w:p w14:paraId="406E4EBA" w14:textId="77777777" w:rsidR="0025391D" w:rsidRPr="0025391D" w:rsidRDefault="0025391D" w:rsidP="0025391D">
      <w:pPr>
        <w:spacing w:after="122" w:line="259" w:lineRule="auto"/>
        <w:rPr>
          <w:rFonts w:ascii="Calibri" w:eastAsia="Times New Roman" w:hAnsi="Calibri" w:cs="Times New Roman"/>
          <w:b/>
          <w:bCs/>
          <w:color w:val="000000"/>
          <w:spacing w:val="-3"/>
          <w:kern w:val="0"/>
          <w:sz w:val="22"/>
          <w:szCs w:val="22"/>
          <w14:ligatures w14:val="none"/>
        </w:rPr>
      </w:pPr>
    </w:p>
    <w:p w14:paraId="62CEFBDA" w14:textId="77777777"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Les objectifs de trésorerie des GLOC sont fixés en dollars américains. Le gouvernement hôte peut s'acquitter de son obligation soit en USD, soit en monnaie locale en utilisant le taux de change opérationnel le plus récent des Nations unies.  </w:t>
      </w:r>
    </w:p>
    <w:p w14:paraId="39A0C292" w14:textId="77777777" w:rsidR="0025391D" w:rsidRPr="0025391D" w:rsidRDefault="0025391D" w:rsidP="0025391D">
      <w:pPr>
        <w:tabs>
          <w:tab w:val="left" w:pos="-720"/>
        </w:tabs>
        <w:suppressAutoHyphens/>
        <w:spacing w:after="0" w:line="240" w:lineRule="auto"/>
        <w:ind w:left="705"/>
        <w:contextualSpacing/>
        <w:jc w:val="both"/>
        <w:rPr>
          <w:rFonts w:ascii="Calibri" w:eastAsia="Calibri" w:hAnsi="Calibri" w:cs="Times New Roman"/>
          <w:color w:val="000000"/>
          <w:spacing w:val="-3"/>
          <w:kern w:val="0"/>
          <w:sz w:val="22"/>
          <w:szCs w:val="22"/>
          <w:lang w:val="fr-FR"/>
          <w14:ligatures w14:val="none"/>
        </w:rPr>
      </w:pPr>
    </w:p>
    <w:p w14:paraId="675535DA" w14:textId="77777777" w:rsidR="0025391D" w:rsidRPr="0025391D" w:rsidRDefault="0025391D" w:rsidP="0025391D">
      <w:pPr>
        <w:numPr>
          <w:ilvl w:val="0"/>
          <w:numId w:val="1"/>
        </w:numPr>
        <w:tabs>
          <w:tab w:val="left" w:pos="-720"/>
        </w:tabs>
        <w:suppressAutoHyphens/>
        <w:spacing w:after="0" w:line="240"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Lorsqu'un gouvernement hôte fournit des contributions en espèces aux bureaux de pays pour payer spécifiquement le loyer et les services publics (au lieu de locaux et de services publics gratuits), il est conseillé aux bureaux d'inclure ces contributions dans leurs prévisions de paiement annuel des GLOC dans le plan de travail intégré annuel/la planification annuelle des ressources.  Ces contributions seront appliquées comme paiement de GLOC avec tout autre paiement reçu par rapport aux objectifs de trésorerie de GLOC.  </w:t>
      </w:r>
    </w:p>
    <w:p w14:paraId="4AFFCBBB" w14:textId="77777777" w:rsidR="0025391D" w:rsidRPr="0025391D" w:rsidRDefault="0025391D" w:rsidP="0025391D">
      <w:pPr>
        <w:tabs>
          <w:tab w:val="left" w:pos="-720"/>
        </w:tabs>
        <w:suppressAutoHyphens/>
        <w:spacing w:after="0" w:line="240" w:lineRule="auto"/>
        <w:ind w:left="705"/>
        <w:contextualSpacing/>
        <w:jc w:val="both"/>
        <w:rPr>
          <w:rFonts w:ascii="Calibri" w:eastAsia="Calibri" w:hAnsi="Calibri" w:cs="Times New Roman"/>
          <w:color w:val="000000"/>
          <w:spacing w:val="-3"/>
          <w:kern w:val="0"/>
          <w:sz w:val="22"/>
          <w:szCs w:val="22"/>
          <w:lang w:val="fr-FR"/>
          <w14:ligatures w14:val="none"/>
        </w:rPr>
      </w:pPr>
    </w:p>
    <w:p w14:paraId="52378F1D" w14:textId="77777777" w:rsidR="0025391D" w:rsidRPr="0025391D" w:rsidRDefault="0025391D" w:rsidP="0025391D">
      <w:pPr>
        <w:numPr>
          <w:ilvl w:val="0"/>
          <w:numId w:val="1"/>
        </w:numPr>
        <w:spacing w:after="0" w:line="259"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GSSC créera un contrat principal basé sur les objectifs annuels GLOC de l'OFM et les paiements GLOC annuels devront être appliqués via le module QUANTUM </w:t>
      </w:r>
      <w:proofErr w:type="spellStart"/>
      <w:r w:rsidRPr="0025391D">
        <w:rPr>
          <w:rFonts w:ascii="Calibri" w:eastAsia="Calibri" w:hAnsi="Calibri" w:cs="Times New Roman"/>
          <w:color w:val="000000"/>
          <w:spacing w:val="-3"/>
          <w:kern w:val="0"/>
          <w:sz w:val="22"/>
          <w:szCs w:val="22"/>
          <w:lang w:val="fr-FR"/>
          <w14:ligatures w14:val="none"/>
        </w:rPr>
        <w:t>Quantum</w:t>
      </w:r>
      <w:proofErr w:type="spellEnd"/>
      <w:r w:rsidRPr="0025391D">
        <w:rPr>
          <w:rFonts w:ascii="Calibri" w:eastAsia="Calibri" w:hAnsi="Calibri" w:cs="Times New Roman"/>
          <w:color w:val="000000"/>
          <w:spacing w:val="-3"/>
          <w:kern w:val="0"/>
          <w:sz w:val="22"/>
          <w:szCs w:val="22"/>
          <w:lang w:val="fr-FR"/>
          <w14:ligatures w14:val="none"/>
        </w:rPr>
        <w:t xml:space="preserve"> </w:t>
      </w:r>
      <w:proofErr w:type="spellStart"/>
      <w:r w:rsidRPr="0025391D">
        <w:rPr>
          <w:rFonts w:ascii="Calibri" w:eastAsia="Calibri" w:hAnsi="Calibri" w:cs="Times New Roman"/>
          <w:color w:val="000000"/>
          <w:spacing w:val="-3"/>
          <w:kern w:val="0"/>
          <w:sz w:val="22"/>
          <w:szCs w:val="22"/>
          <w:lang w:val="fr-FR"/>
          <w14:ligatures w14:val="none"/>
        </w:rPr>
        <w:t>Accounts</w:t>
      </w:r>
      <w:proofErr w:type="spellEnd"/>
      <w:r w:rsidRPr="0025391D">
        <w:rPr>
          <w:rFonts w:ascii="Calibri" w:eastAsia="Calibri" w:hAnsi="Calibri" w:cs="Times New Roman"/>
          <w:color w:val="000000"/>
          <w:spacing w:val="-3"/>
          <w:kern w:val="0"/>
          <w:sz w:val="22"/>
          <w:szCs w:val="22"/>
          <w:lang w:val="fr-FR"/>
          <w14:ligatures w14:val="none"/>
        </w:rPr>
        <w:t xml:space="preserve"> </w:t>
      </w:r>
      <w:proofErr w:type="spellStart"/>
      <w:r w:rsidRPr="0025391D">
        <w:rPr>
          <w:rFonts w:ascii="Calibri" w:eastAsia="Calibri" w:hAnsi="Calibri" w:cs="Times New Roman"/>
          <w:color w:val="000000"/>
          <w:spacing w:val="-3"/>
          <w:kern w:val="0"/>
          <w:sz w:val="22"/>
          <w:szCs w:val="22"/>
          <w:lang w:val="fr-FR"/>
          <w14:ligatures w14:val="none"/>
        </w:rPr>
        <w:t>Receivable</w:t>
      </w:r>
      <w:proofErr w:type="spellEnd"/>
      <w:r w:rsidRPr="0025391D">
        <w:rPr>
          <w:rFonts w:ascii="Calibri" w:eastAsia="Calibri" w:hAnsi="Calibri" w:cs="Times New Roman"/>
          <w:color w:val="000000"/>
          <w:spacing w:val="-3"/>
          <w:kern w:val="0"/>
          <w:sz w:val="22"/>
          <w:szCs w:val="22"/>
          <w:lang w:val="fr-FR"/>
          <w14:ligatures w14:val="none"/>
        </w:rPr>
        <w:t xml:space="preserve"> (AR). A la réception des paiements GLOC, GSSC reconnaîtra le revenu via l'événement de revenu dans le module Contrats et générera la créance via l'événement de facturation. Le reçu est ensuite appliqué à la créance via le module AR.  Les recettes et les créances sont enregistrées via le module Contrats ; les reçus sont appliqués via le module AR.</w:t>
      </w:r>
    </w:p>
    <w:p w14:paraId="387A1EA2" w14:textId="77777777" w:rsidR="0025391D" w:rsidRPr="0025391D" w:rsidRDefault="0025391D" w:rsidP="0025391D">
      <w:pPr>
        <w:spacing w:line="259" w:lineRule="auto"/>
        <w:contextualSpacing/>
        <w:jc w:val="both"/>
        <w:rPr>
          <w:rFonts w:ascii="Calibri" w:eastAsia="Calibri" w:hAnsi="Calibri" w:cs="Times New Roman"/>
          <w:color w:val="000000"/>
          <w:kern w:val="0"/>
          <w:sz w:val="22"/>
          <w:szCs w:val="22"/>
          <w:lang w:val="fr-FR"/>
          <w14:ligatures w14:val="none"/>
        </w:rPr>
      </w:pPr>
    </w:p>
    <w:p w14:paraId="3FF5F130" w14:textId="77777777" w:rsidR="0025391D" w:rsidRPr="0025391D" w:rsidRDefault="0025391D" w:rsidP="0025391D">
      <w:pPr>
        <w:numPr>
          <w:ilvl w:val="0"/>
          <w:numId w:val="1"/>
        </w:numPr>
        <w:spacing w:after="0" w:line="259" w:lineRule="auto"/>
        <w:ind w:hanging="360"/>
        <w:contextualSpacing/>
        <w:jc w:val="both"/>
        <w:rPr>
          <w:rFonts w:ascii="Calibri" w:eastAsia="Calibri" w:hAnsi="Calibri" w:cs="Times New Roman"/>
          <w:color w:val="000000"/>
          <w:kern w:val="0"/>
          <w:sz w:val="22"/>
          <w:szCs w:val="22"/>
          <w:lang w:val="fr-FR"/>
          <w14:ligatures w14:val="none"/>
        </w:rPr>
      </w:pPr>
      <w:r w:rsidRPr="0025391D">
        <w:rPr>
          <w:rFonts w:ascii="Calibri" w:eastAsia="Calibri" w:hAnsi="Calibri" w:cs="Times New Roman"/>
          <w:color w:val="000000"/>
          <w:kern w:val="0"/>
          <w:sz w:val="22"/>
          <w:szCs w:val="22"/>
          <w:lang w:val="fr-FR"/>
          <w14:ligatures w14:val="none"/>
        </w:rPr>
        <w:t>Conformément au règlement financier et aux règles de gestion financière du PNUD (règle 126.05), "... les contributions en espèces du gouvernement hôte aux coûts des bureaux de pays du PNUD sont créditées comme recettes dans le budget institutionnel brut du PNUD. Si elles sont reçues en monnaie locale, les crédits en dollars des États-Unis seront crédités au taux de change opérationnel des Nations Unies en vigueur à la date du paiement. Les gains ou pertes résultant des ajustements de change liés au paiement des contributions volontaires seront enregistrés séparément en compensation de ces contributions". (</w:t>
      </w:r>
      <w:proofErr w:type="gramStart"/>
      <w:r w:rsidRPr="0025391D">
        <w:rPr>
          <w:rFonts w:ascii="Calibri" w:eastAsia="Calibri" w:hAnsi="Calibri" w:cs="Times New Roman"/>
          <w:color w:val="000000"/>
          <w:kern w:val="0"/>
          <w:sz w:val="22"/>
          <w:szCs w:val="22"/>
          <w:lang w:val="fr-FR"/>
          <w14:ligatures w14:val="none"/>
        </w:rPr>
        <w:t>article</w:t>
      </w:r>
      <w:proofErr w:type="gramEnd"/>
      <w:r w:rsidRPr="0025391D">
        <w:rPr>
          <w:rFonts w:ascii="Calibri" w:eastAsia="Calibri" w:hAnsi="Calibri" w:cs="Times New Roman"/>
          <w:color w:val="000000"/>
          <w:kern w:val="0"/>
          <w:sz w:val="22"/>
          <w:szCs w:val="22"/>
          <w:lang w:val="fr-FR"/>
          <w14:ligatures w14:val="none"/>
        </w:rPr>
        <w:t xml:space="preserve"> 126.06). Par exemple, si un paiement de GLOC a été reçu en monnaie locale le 15 janvier, il sera appliqué aux objectifs de GLOC en utilisant le taux de change opérationnel des Nations Unies en vigueur pour le mois de janvier.</w:t>
      </w:r>
    </w:p>
    <w:p w14:paraId="59328B17" w14:textId="77777777" w:rsidR="0025391D" w:rsidRPr="0025391D" w:rsidRDefault="0025391D" w:rsidP="0025391D">
      <w:pPr>
        <w:spacing w:line="259" w:lineRule="auto"/>
        <w:contextualSpacing/>
        <w:jc w:val="both"/>
        <w:rPr>
          <w:rFonts w:ascii="Calibri" w:eastAsia="Calibri" w:hAnsi="Calibri" w:cs="Times New Roman"/>
          <w:color w:val="000000"/>
          <w:kern w:val="0"/>
          <w:sz w:val="22"/>
          <w:szCs w:val="22"/>
          <w:lang w:val="fr-FR"/>
          <w14:ligatures w14:val="none"/>
        </w:rPr>
      </w:pPr>
    </w:p>
    <w:p w14:paraId="030EC43B" w14:textId="77777777" w:rsidR="0025391D" w:rsidRPr="0025391D" w:rsidRDefault="0025391D" w:rsidP="0025391D">
      <w:pPr>
        <w:spacing w:line="259" w:lineRule="auto"/>
        <w:ind w:left="720"/>
        <w:contextualSpacing/>
        <w:jc w:val="both"/>
        <w:rPr>
          <w:rFonts w:ascii="Calibri" w:eastAsia="Calibri" w:hAnsi="Calibri" w:cs="Times New Roman"/>
          <w:color w:val="000000"/>
          <w:kern w:val="0"/>
          <w:sz w:val="22"/>
          <w:szCs w:val="22"/>
          <w:lang w:val="fr-FR"/>
          <w14:ligatures w14:val="none"/>
        </w:rPr>
      </w:pPr>
    </w:p>
    <w:p w14:paraId="688ABADC" w14:textId="77777777" w:rsidR="0025391D" w:rsidRPr="0025391D" w:rsidRDefault="0025391D" w:rsidP="0025391D">
      <w:pPr>
        <w:numPr>
          <w:ilvl w:val="0"/>
          <w:numId w:val="1"/>
        </w:numPr>
        <w:spacing w:after="0" w:line="259"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lastRenderedPageBreak/>
        <w:t>Les paiements annuels des GLOC doivent être appliqués par le biais du module Quantum des comptes débiteurs en utilisant le COA suivant (voir la section Procédures sur la façon de soumettre des demandes dans le portail de services du PNUD</w:t>
      </w:r>
      <w:proofErr w:type="gramStart"/>
      <w:r w:rsidRPr="0025391D">
        <w:rPr>
          <w:rFonts w:ascii="Calibri" w:eastAsia="Calibri" w:hAnsi="Calibri" w:cs="Times New Roman"/>
          <w:color w:val="000000"/>
          <w:spacing w:val="-3"/>
          <w:kern w:val="0"/>
          <w:sz w:val="22"/>
          <w:szCs w:val="22"/>
          <w:lang w:val="fr-FR"/>
          <w14:ligatures w14:val="none"/>
        </w:rPr>
        <w:t>):</w:t>
      </w:r>
      <w:proofErr w:type="gramEnd"/>
    </w:p>
    <w:p w14:paraId="2D2F894E" w14:textId="77777777" w:rsidR="0025391D" w:rsidRPr="0025391D" w:rsidRDefault="0025391D" w:rsidP="0025391D">
      <w:pPr>
        <w:spacing w:line="259" w:lineRule="auto"/>
        <w:contextualSpacing/>
        <w:jc w:val="both"/>
        <w:rPr>
          <w:rFonts w:ascii="Calibri" w:eastAsia="Calibri" w:hAnsi="Calibri" w:cs="Times New Roman"/>
          <w:color w:val="000000"/>
          <w:spacing w:val="-3"/>
          <w:kern w:val="0"/>
          <w:sz w:val="22"/>
          <w:szCs w:val="22"/>
          <w:lang w:val="fr-FR"/>
          <w14:ligatures w14:val="none"/>
        </w:rPr>
      </w:pPr>
    </w:p>
    <w:p w14:paraId="13B337BA" w14:textId="77777777" w:rsidR="0025391D" w:rsidRPr="0025391D" w:rsidRDefault="0025391D" w:rsidP="0025391D">
      <w:pPr>
        <w:tabs>
          <w:tab w:val="left" w:pos="-720"/>
        </w:tabs>
        <w:suppressAutoHyphens/>
        <w:spacing w:after="0" w:line="240" w:lineRule="auto"/>
        <w:rPr>
          <w:rFonts w:ascii="Calibri" w:eastAsia="Times New Roman" w:hAnsi="Calibri" w:cs="Times New Roman"/>
          <w:color w:val="000000"/>
          <w:spacing w:val="-3"/>
          <w:kern w:val="0"/>
          <w:sz w:val="22"/>
          <w:szCs w:val="22"/>
          <w:u w:val="single"/>
          <w:lang w:val="fr-FR"/>
          <w14:ligatures w14:val="none"/>
        </w:rPr>
      </w:pPr>
      <w:r w:rsidRPr="0025391D">
        <w:rPr>
          <w:rFonts w:ascii="Calibri" w:eastAsia="Times New Roman" w:hAnsi="Calibri" w:cs="Times New Roman"/>
          <w:color w:val="000000"/>
          <w:spacing w:val="-3"/>
          <w:kern w:val="0"/>
          <w:sz w:val="22"/>
          <w:szCs w:val="22"/>
          <w:u w:val="single"/>
          <w:lang w:val="fr-FR"/>
          <w14:ligatures w14:val="none"/>
        </w:rPr>
        <w:t>Type de Contribution</w:t>
      </w:r>
      <w:r w:rsidRPr="0025391D">
        <w:rPr>
          <w:rFonts w:ascii="Calibri" w:eastAsia="Times New Roman" w:hAnsi="Calibri" w:cs="Times New Roman"/>
          <w:color w:val="000000"/>
          <w:spacing w:val="-3"/>
          <w:kern w:val="0"/>
          <w:sz w:val="22"/>
          <w:szCs w:val="22"/>
          <w:lang w:val="fr-FR"/>
          <w14:ligatures w14:val="none"/>
        </w:rPr>
        <w:t xml:space="preserve">   </w:t>
      </w:r>
      <w:r w:rsidRPr="0025391D">
        <w:rPr>
          <w:rFonts w:ascii="Calibri" w:eastAsia="Times New Roman" w:hAnsi="Calibri" w:cs="Times New Roman"/>
          <w:color w:val="000000"/>
          <w:spacing w:val="-3"/>
          <w:kern w:val="0"/>
          <w:sz w:val="22"/>
          <w:szCs w:val="22"/>
          <w:u w:val="single"/>
          <w:lang w:val="fr-FR"/>
          <w14:ligatures w14:val="none"/>
        </w:rPr>
        <w:t>Catégorie de Revenu</w:t>
      </w:r>
      <w:r w:rsidRPr="0025391D">
        <w:rPr>
          <w:rFonts w:ascii="Calibri" w:eastAsia="Times New Roman" w:hAnsi="Calibri" w:cs="Times New Roman"/>
          <w:color w:val="000000"/>
          <w:spacing w:val="-3"/>
          <w:kern w:val="0"/>
          <w:sz w:val="22"/>
          <w:szCs w:val="22"/>
          <w:lang w:val="fr-FR"/>
          <w14:ligatures w14:val="none"/>
        </w:rPr>
        <w:t xml:space="preserve">       </w:t>
      </w:r>
      <w:proofErr w:type="spellStart"/>
      <w:r w:rsidRPr="0025391D">
        <w:rPr>
          <w:rFonts w:ascii="Calibri" w:eastAsia="Times New Roman" w:hAnsi="Calibri" w:cs="Times New Roman"/>
          <w:color w:val="000000"/>
          <w:spacing w:val="-3"/>
          <w:kern w:val="0"/>
          <w:sz w:val="22"/>
          <w:szCs w:val="22"/>
          <w:u w:val="single"/>
          <w:lang w:val="fr-FR"/>
          <w14:ligatures w14:val="none"/>
        </w:rPr>
        <w:t>Year</w:t>
      </w:r>
      <w:proofErr w:type="spellEnd"/>
      <w:r w:rsidRPr="0025391D">
        <w:rPr>
          <w:rFonts w:ascii="Calibri" w:eastAsia="Times New Roman" w:hAnsi="Calibri" w:cs="Times New Roman"/>
          <w:color w:val="000000"/>
          <w:spacing w:val="-3"/>
          <w:kern w:val="0"/>
          <w:sz w:val="22"/>
          <w:szCs w:val="22"/>
          <w:u w:val="single"/>
          <w:lang w:val="fr-FR"/>
          <w14:ligatures w14:val="none"/>
        </w:rPr>
        <w:t xml:space="preserve">    </w:t>
      </w:r>
      <w:r w:rsidRPr="0025391D">
        <w:rPr>
          <w:rFonts w:ascii="Calibri" w:eastAsia="Times New Roman" w:hAnsi="Calibri" w:cs="Times New Roman"/>
          <w:color w:val="000000"/>
          <w:spacing w:val="-3"/>
          <w:kern w:val="0"/>
          <w:sz w:val="22"/>
          <w:szCs w:val="22"/>
          <w:lang w:val="fr-FR"/>
          <w14:ligatures w14:val="none"/>
        </w:rPr>
        <w:t xml:space="preserve">                </w:t>
      </w:r>
      <w:r w:rsidRPr="0025391D">
        <w:rPr>
          <w:rFonts w:ascii="Calibri" w:eastAsia="Times New Roman" w:hAnsi="Calibri" w:cs="Times New Roman"/>
          <w:color w:val="000000"/>
          <w:spacing w:val="-3"/>
          <w:kern w:val="0"/>
          <w:sz w:val="22"/>
          <w:szCs w:val="22"/>
          <w:u w:val="single"/>
          <w:lang w:val="fr-FR"/>
          <w14:ligatures w14:val="none"/>
        </w:rPr>
        <w:t>Fonds</w:t>
      </w:r>
      <w:r w:rsidRPr="0025391D">
        <w:rPr>
          <w:rFonts w:ascii="Calibri" w:eastAsia="Times New Roman" w:hAnsi="Calibri" w:cs="Times New Roman"/>
          <w:color w:val="000000"/>
          <w:spacing w:val="-3"/>
          <w:kern w:val="0"/>
          <w:sz w:val="22"/>
          <w:szCs w:val="22"/>
          <w:lang w:val="fr-FR"/>
          <w14:ligatures w14:val="none"/>
        </w:rPr>
        <w:tab/>
        <w:t xml:space="preserve">    </w:t>
      </w:r>
      <w:proofErr w:type="spellStart"/>
      <w:r w:rsidRPr="0025391D">
        <w:rPr>
          <w:rFonts w:ascii="Calibri" w:eastAsia="Times New Roman" w:hAnsi="Calibri" w:cs="Times New Roman"/>
          <w:color w:val="000000"/>
          <w:spacing w:val="-3"/>
          <w:kern w:val="0"/>
          <w:sz w:val="22"/>
          <w:szCs w:val="22"/>
          <w:u w:val="single"/>
          <w:lang w:val="fr-FR"/>
          <w14:ligatures w14:val="none"/>
        </w:rPr>
        <w:t>Account</w:t>
      </w:r>
      <w:proofErr w:type="spellEnd"/>
    </w:p>
    <w:p w14:paraId="5D6D8B7F" w14:textId="77777777" w:rsidR="0025391D" w:rsidRPr="0025391D" w:rsidRDefault="0025391D" w:rsidP="0025391D">
      <w:pPr>
        <w:tabs>
          <w:tab w:val="left" w:pos="-720"/>
        </w:tabs>
        <w:suppressAutoHyphens/>
        <w:spacing w:after="0" w:line="240" w:lineRule="auto"/>
        <w:ind w:left="720"/>
        <w:rPr>
          <w:rFonts w:ascii="Calibri" w:eastAsia="Times New Roman" w:hAnsi="Calibri" w:cs="Times New Roman"/>
          <w:color w:val="000000"/>
          <w:spacing w:val="-3"/>
          <w:kern w:val="0"/>
          <w:sz w:val="22"/>
          <w:szCs w:val="22"/>
          <w:lang w:val="fr-FR"/>
          <w14:ligatures w14:val="none"/>
        </w:rPr>
      </w:pPr>
    </w:p>
    <w:p w14:paraId="4E8D786D" w14:textId="77777777" w:rsidR="0025391D" w:rsidRPr="0025391D" w:rsidRDefault="0025391D" w:rsidP="0025391D">
      <w:pPr>
        <w:tabs>
          <w:tab w:val="left" w:pos="-720"/>
        </w:tabs>
        <w:suppressAutoHyphens/>
        <w:spacing w:after="0" w:line="240" w:lineRule="auto"/>
        <w:rPr>
          <w:rFonts w:ascii="Calibri" w:eastAsia="Times New Roman" w:hAnsi="Calibri" w:cs="Times New Roman"/>
          <w:color w:val="000000"/>
          <w:spacing w:val="-3"/>
          <w:kern w:val="0"/>
          <w:sz w:val="22"/>
          <w:szCs w:val="22"/>
          <w:lang w:val="fr-FR"/>
          <w14:ligatures w14:val="none"/>
        </w:rPr>
      </w:pPr>
      <w:r w:rsidRPr="0025391D">
        <w:rPr>
          <w:rFonts w:ascii="Calibri" w:eastAsia="Times New Roman" w:hAnsi="Calibri" w:cs="Times New Roman"/>
          <w:color w:val="000000"/>
          <w:spacing w:val="-3"/>
          <w:kern w:val="0"/>
          <w:sz w:val="22"/>
          <w:szCs w:val="22"/>
          <w:lang w:val="fr-FR"/>
          <w14:ligatures w14:val="none"/>
        </w:rPr>
        <w:t xml:space="preserve">  GLOC</w:t>
      </w:r>
      <w:r w:rsidRPr="0025391D">
        <w:rPr>
          <w:rFonts w:ascii="Calibri" w:eastAsia="Times New Roman" w:hAnsi="Calibri" w:cs="Times New Roman"/>
          <w:color w:val="000000"/>
          <w:spacing w:val="-3"/>
          <w:kern w:val="0"/>
          <w:sz w:val="22"/>
          <w:szCs w:val="22"/>
          <w:lang w:val="fr-FR"/>
          <w14:ligatures w14:val="none"/>
        </w:rPr>
        <w:tab/>
        <w:t xml:space="preserve">                                    LIC ou MIC             Courante              00200</w:t>
      </w:r>
      <w:r w:rsidRPr="0025391D">
        <w:rPr>
          <w:rFonts w:ascii="Calibri" w:eastAsia="Times New Roman" w:hAnsi="Calibri" w:cs="Times New Roman"/>
          <w:color w:val="000000"/>
          <w:spacing w:val="-3"/>
          <w:kern w:val="0"/>
          <w:sz w:val="22"/>
          <w:szCs w:val="22"/>
          <w:lang w:val="fr-FR"/>
          <w14:ligatures w14:val="none"/>
        </w:rPr>
        <w:tab/>
        <w:t xml:space="preserve">    51015</w:t>
      </w:r>
    </w:p>
    <w:p w14:paraId="2451E004" w14:textId="77777777" w:rsidR="0025391D" w:rsidRPr="0025391D" w:rsidRDefault="0025391D" w:rsidP="0025391D">
      <w:pPr>
        <w:tabs>
          <w:tab w:val="left" w:pos="-720"/>
        </w:tabs>
        <w:suppressAutoHyphens/>
        <w:spacing w:after="0" w:line="240" w:lineRule="auto"/>
        <w:rPr>
          <w:rFonts w:ascii="Calibri" w:eastAsia="Times New Roman" w:hAnsi="Calibri" w:cs="Times New Roman"/>
          <w:color w:val="000000"/>
          <w:spacing w:val="-3"/>
          <w:kern w:val="0"/>
          <w:sz w:val="22"/>
          <w:szCs w:val="22"/>
          <w:lang w:val="fr-FR"/>
          <w14:ligatures w14:val="none"/>
        </w:rPr>
      </w:pPr>
      <w:r w:rsidRPr="0025391D">
        <w:rPr>
          <w:rFonts w:ascii="Calibri" w:eastAsia="Times New Roman" w:hAnsi="Calibri" w:cs="Times New Roman"/>
          <w:color w:val="000000"/>
          <w:spacing w:val="-3"/>
          <w:kern w:val="0"/>
          <w:sz w:val="22"/>
          <w:szCs w:val="22"/>
          <w:lang w:val="fr-FR"/>
          <w14:ligatures w14:val="none"/>
        </w:rPr>
        <w:t xml:space="preserve">  GLOC                                       LIC ou MIC              Arriérés               00200                 51014</w:t>
      </w:r>
    </w:p>
    <w:p w14:paraId="740BBAF0" w14:textId="77777777" w:rsidR="0025391D" w:rsidRPr="0025391D" w:rsidRDefault="0025391D" w:rsidP="0025391D">
      <w:pPr>
        <w:tabs>
          <w:tab w:val="left" w:pos="0"/>
        </w:tabs>
        <w:suppressAutoHyphens/>
        <w:spacing w:after="0" w:line="240" w:lineRule="auto"/>
        <w:rPr>
          <w:rFonts w:ascii="Calibri" w:eastAsia="Times New Roman" w:hAnsi="Calibri" w:cs="Times New Roman"/>
          <w:b/>
          <w:bCs/>
          <w:color w:val="000000"/>
          <w:spacing w:val="-3"/>
          <w:kern w:val="0"/>
          <w:sz w:val="22"/>
          <w:szCs w:val="22"/>
          <w:lang w:val="fr-FR"/>
          <w14:ligatures w14:val="none"/>
        </w:rPr>
      </w:pPr>
      <w:r w:rsidRPr="0025391D">
        <w:rPr>
          <w:rFonts w:ascii="Calibri" w:eastAsia="Times New Roman" w:hAnsi="Calibri" w:cs="Times New Roman"/>
          <w:b/>
          <w:bCs/>
          <w:color w:val="000000"/>
          <w:spacing w:val="-3"/>
          <w:kern w:val="0"/>
          <w:sz w:val="22"/>
          <w:szCs w:val="22"/>
          <w:lang w:val="fr-FR"/>
          <w14:ligatures w14:val="none"/>
        </w:rPr>
        <w:t xml:space="preserve"> </w:t>
      </w:r>
    </w:p>
    <w:p w14:paraId="010F7FF4" w14:textId="77777777" w:rsidR="0025391D" w:rsidRPr="0025391D" w:rsidRDefault="0025391D" w:rsidP="0025391D">
      <w:pPr>
        <w:numPr>
          <w:ilvl w:val="0"/>
          <w:numId w:val="1"/>
        </w:numPr>
        <w:spacing w:after="0" w:line="259" w:lineRule="auto"/>
        <w:ind w:hanging="360"/>
        <w:contextualSpacing/>
        <w:jc w:val="both"/>
        <w:rPr>
          <w:rFonts w:ascii="Calibri" w:eastAsia="Times New Roman"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Dans certains cas, les gouvernements hôtes peuvent fixer leurs objectifs de trésorerie à l'avance, en particulier lorsqu'un objectif pluriannuel est négocié avec succès. Lorsque les bureaux nationaux reçoivent de tels paiements anticipés pour une ou plusieurs années avant le début d'une année cible de GLOC, ils doivent demander à l'équipe des recettes du GSSC, </w:t>
      </w:r>
      <w:r w:rsidRPr="0025391D">
        <w:rPr>
          <w:rFonts w:ascii="Calibri" w:eastAsia="Calibri" w:hAnsi="Calibri" w:cs="Times New Roman"/>
          <w:b/>
          <w:color w:val="000000"/>
          <w:spacing w:val="-3"/>
          <w:kern w:val="0"/>
          <w:sz w:val="22"/>
          <w:szCs w:val="22"/>
          <w:lang w:val="fr-FR"/>
          <w14:ligatures w14:val="none"/>
        </w:rPr>
        <w:t>dans un d</w:t>
      </w:r>
      <w:r w:rsidRPr="0025391D">
        <w:rPr>
          <w:rFonts w:ascii="Calibri" w:eastAsia="Calibri" w:hAnsi="Calibri" w:cs="Calibri"/>
          <w:b/>
          <w:color w:val="000000"/>
          <w:kern w:val="0"/>
          <w:sz w:val="22"/>
          <w:szCs w:val="22"/>
          <w:lang w:val="fr-FR"/>
          <w14:ligatures w14:val="none"/>
        </w:rPr>
        <w:t xml:space="preserve">élai d’une semaine </w:t>
      </w:r>
      <w:r w:rsidRPr="0025391D">
        <w:rPr>
          <w:rFonts w:ascii="Calibri" w:eastAsia="Calibri" w:hAnsi="Calibri" w:cs="Calibri"/>
          <w:color w:val="000000"/>
          <w:kern w:val="0"/>
          <w:sz w:val="22"/>
          <w:szCs w:val="22"/>
          <w:lang w:val="fr-FR"/>
          <w14:ligatures w14:val="none"/>
        </w:rPr>
        <w:t xml:space="preserve">à compter la </w:t>
      </w:r>
      <w:proofErr w:type="spellStart"/>
      <w:r w:rsidRPr="0025391D">
        <w:rPr>
          <w:rFonts w:ascii="Calibri" w:eastAsia="Calibri" w:hAnsi="Calibri" w:cs="Calibri"/>
          <w:color w:val="000000"/>
          <w:kern w:val="0"/>
          <w:sz w:val="22"/>
          <w:szCs w:val="22"/>
          <w:lang w:val="fr-FR"/>
          <w14:ligatures w14:val="none"/>
        </w:rPr>
        <w:t>reception</w:t>
      </w:r>
      <w:proofErr w:type="spellEnd"/>
      <w:r w:rsidRPr="0025391D">
        <w:rPr>
          <w:rFonts w:ascii="Calibri" w:eastAsia="Calibri" w:hAnsi="Calibri" w:cs="Calibri"/>
          <w:color w:val="000000"/>
          <w:kern w:val="0"/>
          <w:sz w:val="22"/>
          <w:szCs w:val="22"/>
          <w:lang w:val="fr-FR"/>
          <w14:ligatures w14:val="none"/>
        </w:rPr>
        <w:t xml:space="preserve"> de ces paiements, de les </w:t>
      </w:r>
      <w:r w:rsidRPr="0025391D">
        <w:rPr>
          <w:rFonts w:ascii="Calibri" w:eastAsia="Calibri" w:hAnsi="Calibri" w:cs="Times New Roman"/>
          <w:color w:val="000000"/>
          <w:spacing w:val="-3"/>
          <w:kern w:val="0"/>
          <w:sz w:val="22"/>
          <w:szCs w:val="22"/>
          <w:lang w:val="fr-FR"/>
          <w14:ligatures w14:val="none"/>
        </w:rPr>
        <w:t>enregistrer au COA ci-</w:t>
      </w:r>
      <w:proofErr w:type="gramStart"/>
      <w:r w:rsidRPr="0025391D">
        <w:rPr>
          <w:rFonts w:ascii="Calibri" w:eastAsia="Calibri" w:hAnsi="Calibri" w:cs="Times New Roman"/>
          <w:color w:val="000000"/>
          <w:spacing w:val="-3"/>
          <w:kern w:val="0"/>
          <w:sz w:val="22"/>
          <w:szCs w:val="22"/>
          <w:lang w:val="fr-FR"/>
          <w14:ligatures w14:val="none"/>
        </w:rPr>
        <w:t>dessous:</w:t>
      </w:r>
      <w:proofErr w:type="gramEnd"/>
    </w:p>
    <w:p w14:paraId="4AAC635F" w14:textId="77777777" w:rsidR="0025391D" w:rsidRPr="0025391D" w:rsidRDefault="0025391D" w:rsidP="0025391D">
      <w:pPr>
        <w:spacing w:line="259" w:lineRule="auto"/>
        <w:contextualSpacing/>
        <w:jc w:val="both"/>
        <w:rPr>
          <w:rFonts w:ascii="Calibri" w:eastAsia="Calibri" w:hAnsi="Calibri" w:cs="Times New Roman"/>
          <w:color w:val="000000"/>
          <w:spacing w:val="-3"/>
          <w:kern w:val="0"/>
          <w:sz w:val="22"/>
          <w:szCs w:val="22"/>
          <w:lang w:val="fr-FR"/>
          <w14:ligatures w14:val="none"/>
        </w:rPr>
      </w:pPr>
    </w:p>
    <w:p w14:paraId="526D0209" w14:textId="77777777" w:rsidR="0025391D" w:rsidRPr="0025391D" w:rsidRDefault="0025391D" w:rsidP="0025391D">
      <w:pPr>
        <w:tabs>
          <w:tab w:val="left" w:pos="-720"/>
        </w:tabs>
        <w:suppressAutoHyphens/>
        <w:spacing w:after="240" w:line="240" w:lineRule="auto"/>
        <w:rPr>
          <w:rFonts w:ascii="Calibri" w:eastAsia="Times New Roman" w:hAnsi="Calibri" w:cs="Times New Roman"/>
          <w:color w:val="000000"/>
          <w:spacing w:val="-3"/>
          <w:kern w:val="0"/>
          <w:sz w:val="22"/>
          <w:szCs w:val="22"/>
          <w:lang w:val="fr-FR"/>
          <w14:ligatures w14:val="none"/>
        </w:rPr>
      </w:pPr>
      <w:r w:rsidRPr="0025391D">
        <w:rPr>
          <w:rFonts w:ascii="Calibri" w:eastAsia="Times New Roman" w:hAnsi="Calibri" w:cs="Times New Roman"/>
          <w:color w:val="000000"/>
          <w:spacing w:val="-3"/>
          <w:kern w:val="0"/>
          <w:sz w:val="22"/>
          <w:szCs w:val="22"/>
          <w:lang w:val="fr-FR"/>
          <w14:ligatures w14:val="none"/>
        </w:rPr>
        <w:t xml:space="preserve">   </w:t>
      </w:r>
      <w:r w:rsidRPr="0025391D">
        <w:rPr>
          <w:rFonts w:ascii="Calibri" w:eastAsia="Times New Roman" w:hAnsi="Calibri" w:cs="Times New Roman"/>
          <w:color w:val="000000"/>
          <w:spacing w:val="-3"/>
          <w:kern w:val="0"/>
          <w:sz w:val="22"/>
          <w:szCs w:val="22"/>
          <w:u w:val="single"/>
          <w:lang w:val="fr-FR"/>
          <w14:ligatures w14:val="none"/>
        </w:rPr>
        <w:t>Type de Contribution</w:t>
      </w:r>
      <w:r w:rsidRPr="0025391D">
        <w:rPr>
          <w:rFonts w:ascii="Calibri" w:eastAsia="Times New Roman" w:hAnsi="Calibri" w:cs="Times New Roman"/>
          <w:color w:val="000000"/>
          <w:spacing w:val="-3"/>
          <w:kern w:val="0"/>
          <w:sz w:val="22"/>
          <w:szCs w:val="22"/>
          <w:lang w:val="fr-FR"/>
          <w14:ligatures w14:val="none"/>
        </w:rPr>
        <w:t xml:space="preserve">                                    </w:t>
      </w:r>
      <w:r w:rsidRPr="0025391D">
        <w:rPr>
          <w:rFonts w:ascii="Calibri" w:eastAsia="Times New Roman" w:hAnsi="Calibri" w:cs="Times New Roman"/>
          <w:color w:val="000000"/>
          <w:spacing w:val="-3"/>
          <w:kern w:val="0"/>
          <w:sz w:val="22"/>
          <w:szCs w:val="22"/>
          <w:u w:val="single"/>
          <w:lang w:val="fr-FR"/>
          <w14:ligatures w14:val="none"/>
        </w:rPr>
        <w:t xml:space="preserve"> Année</w:t>
      </w:r>
      <w:r w:rsidRPr="0025391D">
        <w:rPr>
          <w:rFonts w:ascii="Calibri" w:eastAsia="Times New Roman" w:hAnsi="Calibri" w:cs="Times New Roman"/>
          <w:color w:val="000000"/>
          <w:spacing w:val="-3"/>
          <w:kern w:val="0"/>
          <w:sz w:val="22"/>
          <w:szCs w:val="22"/>
          <w:lang w:val="fr-FR"/>
          <w14:ligatures w14:val="none"/>
        </w:rPr>
        <w:tab/>
        <w:t xml:space="preserve">                        </w:t>
      </w:r>
      <w:r w:rsidRPr="0025391D">
        <w:rPr>
          <w:rFonts w:ascii="Calibri" w:eastAsia="Times New Roman" w:hAnsi="Calibri" w:cs="Times New Roman"/>
          <w:color w:val="000000"/>
          <w:spacing w:val="-3"/>
          <w:kern w:val="0"/>
          <w:sz w:val="22"/>
          <w:szCs w:val="22"/>
          <w:u w:val="single"/>
          <w:lang w:val="fr-FR"/>
          <w14:ligatures w14:val="none"/>
        </w:rPr>
        <w:t>Fonds</w:t>
      </w:r>
      <w:r w:rsidRPr="0025391D">
        <w:rPr>
          <w:rFonts w:ascii="Calibri" w:eastAsia="Times New Roman" w:hAnsi="Calibri" w:cs="Times New Roman"/>
          <w:color w:val="000000"/>
          <w:spacing w:val="-3"/>
          <w:kern w:val="0"/>
          <w:sz w:val="22"/>
          <w:szCs w:val="22"/>
          <w:lang w:val="fr-FR"/>
          <w14:ligatures w14:val="none"/>
        </w:rPr>
        <w:t xml:space="preserve">                          </w:t>
      </w:r>
      <w:proofErr w:type="spellStart"/>
      <w:r w:rsidRPr="0025391D">
        <w:rPr>
          <w:rFonts w:ascii="Calibri" w:eastAsia="Times New Roman" w:hAnsi="Calibri" w:cs="Times New Roman"/>
          <w:color w:val="000000"/>
          <w:spacing w:val="-3"/>
          <w:kern w:val="0"/>
          <w:sz w:val="22"/>
          <w:szCs w:val="22"/>
          <w:u w:val="single"/>
          <w:lang w:val="fr-FR"/>
          <w14:ligatures w14:val="none"/>
        </w:rPr>
        <w:t>Account</w:t>
      </w:r>
      <w:proofErr w:type="spellEnd"/>
    </w:p>
    <w:p w14:paraId="3AF4065C" w14:textId="77777777" w:rsidR="0025391D" w:rsidRPr="0025391D" w:rsidRDefault="0025391D" w:rsidP="0025391D">
      <w:pPr>
        <w:tabs>
          <w:tab w:val="left" w:pos="-720"/>
        </w:tabs>
        <w:suppressAutoHyphens/>
        <w:spacing w:after="240" w:line="240" w:lineRule="auto"/>
        <w:rPr>
          <w:rFonts w:ascii="Calibri" w:eastAsia="Times New Roman" w:hAnsi="Calibri" w:cs="Times New Roman"/>
          <w:color w:val="000000"/>
          <w:spacing w:val="-3"/>
          <w:kern w:val="0"/>
          <w:sz w:val="22"/>
          <w:szCs w:val="22"/>
          <w14:ligatures w14:val="none"/>
        </w:rPr>
      </w:pPr>
      <w:r w:rsidRPr="0025391D">
        <w:rPr>
          <w:rFonts w:ascii="Calibri" w:eastAsia="Times New Roman" w:hAnsi="Calibri" w:cs="Times New Roman"/>
          <w:color w:val="000000"/>
          <w:spacing w:val="-3"/>
          <w:kern w:val="0"/>
          <w:sz w:val="22"/>
          <w:szCs w:val="22"/>
          <w14:ligatures w14:val="none"/>
        </w:rPr>
        <w:t xml:space="preserve">GLOC – Gov </w:t>
      </w:r>
      <w:proofErr w:type="spellStart"/>
      <w:r w:rsidRPr="0025391D">
        <w:rPr>
          <w:rFonts w:ascii="Calibri" w:eastAsia="Times New Roman" w:hAnsi="Calibri" w:cs="Times New Roman"/>
          <w:color w:val="000000"/>
          <w:spacing w:val="-3"/>
          <w:kern w:val="0"/>
          <w:sz w:val="22"/>
          <w:szCs w:val="22"/>
          <w14:ligatures w14:val="none"/>
        </w:rPr>
        <w:t>contr</w:t>
      </w:r>
      <w:proofErr w:type="spellEnd"/>
      <w:r w:rsidRPr="0025391D">
        <w:rPr>
          <w:rFonts w:ascii="Calibri" w:eastAsia="Times New Roman" w:hAnsi="Calibri" w:cs="Times New Roman"/>
          <w:color w:val="000000"/>
          <w:spacing w:val="-3"/>
          <w:kern w:val="0"/>
          <w:sz w:val="22"/>
          <w:szCs w:val="22"/>
          <w14:ligatures w14:val="none"/>
        </w:rPr>
        <w:t xml:space="preserve"> </w:t>
      </w:r>
      <w:proofErr w:type="spellStart"/>
      <w:r w:rsidRPr="0025391D">
        <w:rPr>
          <w:rFonts w:ascii="Calibri" w:eastAsia="Times New Roman" w:hAnsi="Calibri" w:cs="Times New Roman"/>
          <w:color w:val="000000"/>
          <w:spacing w:val="-3"/>
          <w:kern w:val="0"/>
          <w:sz w:val="22"/>
          <w:szCs w:val="22"/>
          <w14:ligatures w14:val="none"/>
        </w:rPr>
        <w:t>Locl</w:t>
      </w:r>
      <w:proofErr w:type="spellEnd"/>
      <w:r w:rsidRPr="0025391D">
        <w:rPr>
          <w:rFonts w:ascii="Calibri" w:eastAsia="Times New Roman" w:hAnsi="Calibri" w:cs="Times New Roman"/>
          <w:color w:val="000000"/>
          <w:spacing w:val="-3"/>
          <w:kern w:val="0"/>
          <w:sz w:val="22"/>
          <w:szCs w:val="22"/>
          <w14:ligatures w14:val="none"/>
        </w:rPr>
        <w:t xml:space="preserve"> Cost Future                YYYY                            00200                             51017</w:t>
      </w:r>
    </w:p>
    <w:p w14:paraId="3EA4D143" w14:textId="4FAB6DF0" w:rsidR="0025391D" w:rsidRPr="0025391D" w:rsidRDefault="0025391D" w:rsidP="0025391D">
      <w:pPr>
        <w:numPr>
          <w:ilvl w:val="0"/>
          <w:numId w:val="1"/>
        </w:numPr>
        <w:tabs>
          <w:tab w:val="left" w:pos="-720"/>
        </w:tabs>
        <w:suppressAutoHyphens/>
        <w:autoSpaceDE w:val="0"/>
        <w:autoSpaceDN w:val="0"/>
        <w:spacing w:after="240" w:line="240" w:lineRule="auto"/>
        <w:ind w:hanging="360"/>
        <w:rPr>
          <w:rFonts w:ascii="Calibri" w:eastAsia="Times New Roman" w:hAnsi="Calibri" w:cs="Times New Roman"/>
          <w:b/>
          <w:bCs/>
          <w:color w:val="000000"/>
          <w:spacing w:val="-3"/>
          <w:kern w:val="0"/>
          <w:sz w:val="22"/>
          <w:szCs w:val="22"/>
          <w:lang w:val="fr-FR"/>
          <w14:ligatures w14:val="none"/>
        </w:rPr>
      </w:pPr>
      <w:r w:rsidRPr="0025391D">
        <w:rPr>
          <w:rFonts w:ascii="Calibri" w:eastAsia="Times New Roman" w:hAnsi="Calibri" w:cs="Times New Roman"/>
          <w:color w:val="000000"/>
          <w:spacing w:val="-3"/>
          <w:kern w:val="0"/>
          <w:sz w:val="22"/>
          <w:szCs w:val="22"/>
          <w:lang w:val="fr-FR"/>
          <w14:ligatures w14:val="none"/>
        </w:rPr>
        <w:t>Au début de chaque exercice financier, les bureaux du PNUD doivent demander à l'équipe des recettes du GSSC de transférer la partie annuelle de compte 51017</w:t>
      </w:r>
      <w:r w:rsidRPr="0025391D">
        <w:rPr>
          <w:rFonts w:ascii="Times New Roman" w:eastAsia="Times New Roman" w:hAnsi="Times New Roman" w:cs="Times New Roman"/>
          <w:color w:val="000000"/>
          <w:kern w:val="0"/>
          <w:lang w:val="fr-FR"/>
          <w14:ligatures w14:val="none"/>
        </w:rPr>
        <w:t xml:space="preserve"> </w:t>
      </w:r>
      <w:r w:rsidR="000419C5" w:rsidRPr="0025391D">
        <w:rPr>
          <w:rFonts w:ascii="Times New Roman" w:eastAsia="Times New Roman" w:hAnsi="Times New Roman" w:cs="Times New Roman"/>
          <w:color w:val="000000"/>
          <w:kern w:val="0"/>
          <w:lang w:val="fr-FR"/>
          <w14:ligatures w14:val="none"/>
        </w:rPr>
        <w:t>à</w:t>
      </w:r>
      <w:r w:rsidR="000419C5" w:rsidRPr="0025391D">
        <w:rPr>
          <w:rFonts w:ascii="Calibri" w:eastAsia="Times New Roman" w:hAnsi="Calibri" w:cs="Times New Roman"/>
          <w:color w:val="000000"/>
          <w:spacing w:val="-3"/>
          <w:kern w:val="0"/>
          <w:sz w:val="22"/>
          <w:szCs w:val="22"/>
          <w:lang w:val="fr-FR"/>
          <w14:ligatures w14:val="none"/>
        </w:rPr>
        <w:t xml:space="preserve"> </w:t>
      </w:r>
      <w:proofErr w:type="gramStart"/>
      <w:r w:rsidR="000419C5" w:rsidRPr="0025391D">
        <w:rPr>
          <w:rFonts w:ascii="Calibri" w:eastAsia="Times New Roman" w:hAnsi="Calibri" w:cs="Times New Roman"/>
          <w:color w:val="000000"/>
          <w:spacing w:val="-3"/>
          <w:kern w:val="0"/>
          <w:sz w:val="22"/>
          <w:szCs w:val="22"/>
          <w:lang w:val="fr-FR"/>
          <w14:ligatures w14:val="none"/>
        </w:rPr>
        <w:t>paiement</w:t>
      </w:r>
      <w:r w:rsidRPr="0025391D">
        <w:rPr>
          <w:rFonts w:ascii="Calibri" w:eastAsia="Times New Roman" w:hAnsi="Calibri" w:cs="Times New Roman"/>
          <w:color w:val="000000"/>
          <w:spacing w:val="-3"/>
          <w:kern w:val="0"/>
          <w:sz w:val="22"/>
          <w:szCs w:val="22"/>
          <w:lang w:val="fr-FR"/>
          <w14:ligatures w14:val="none"/>
        </w:rPr>
        <w:t xml:space="preserve">  anticipé</w:t>
      </w:r>
      <w:proofErr w:type="gramEnd"/>
      <w:r w:rsidRPr="0025391D">
        <w:rPr>
          <w:rFonts w:ascii="Calibri" w:eastAsia="Times New Roman" w:hAnsi="Calibri" w:cs="Times New Roman"/>
          <w:color w:val="000000"/>
          <w:spacing w:val="-3"/>
          <w:kern w:val="0"/>
          <w:sz w:val="22"/>
          <w:szCs w:val="22"/>
          <w:lang w:val="fr-FR"/>
          <w14:ligatures w14:val="none"/>
        </w:rPr>
        <w:t xml:space="preserve"> d'un revenu différé au compte de paiement GLOC de l'année en cours 51015. Ces transferts doivent être effectués par l'intermédiaire des </w:t>
      </w:r>
      <w:proofErr w:type="spellStart"/>
      <w:r w:rsidRPr="0025391D">
        <w:rPr>
          <w:rFonts w:ascii="Calibri" w:eastAsia="Times New Roman" w:hAnsi="Calibri" w:cs="Times New Roman"/>
          <w:color w:val="000000"/>
          <w:spacing w:val="-3"/>
          <w:kern w:val="0"/>
          <w:sz w:val="22"/>
          <w:szCs w:val="22"/>
          <w:lang w:val="fr-FR"/>
          <w14:ligatures w14:val="none"/>
        </w:rPr>
        <w:t>GLJEs</w:t>
      </w:r>
      <w:proofErr w:type="spellEnd"/>
      <w:r w:rsidRPr="0025391D">
        <w:rPr>
          <w:rFonts w:ascii="Calibri" w:eastAsia="Times New Roman" w:hAnsi="Calibri" w:cs="Times New Roman"/>
          <w:color w:val="000000"/>
          <w:spacing w:val="-3"/>
          <w:kern w:val="0"/>
          <w:sz w:val="22"/>
          <w:szCs w:val="22"/>
          <w:lang w:val="fr-FR"/>
          <w14:ligatures w14:val="none"/>
        </w:rPr>
        <w:t>.</w:t>
      </w:r>
    </w:p>
    <w:p w14:paraId="53FCC903" w14:textId="77777777" w:rsidR="0025391D" w:rsidRPr="0025391D" w:rsidRDefault="0025391D" w:rsidP="0025391D">
      <w:pPr>
        <w:numPr>
          <w:ilvl w:val="0"/>
          <w:numId w:val="1"/>
        </w:numPr>
        <w:spacing w:after="0" w:line="259" w:lineRule="auto"/>
        <w:ind w:hanging="345"/>
        <w:contextualSpacing/>
        <w:jc w:val="both"/>
        <w:rPr>
          <w:rFonts w:ascii="Calibri" w:eastAsia="Calibri" w:hAnsi="Calibri" w:cs="Times New Roman"/>
          <w:color w:val="000000"/>
          <w:kern w:val="0"/>
          <w:sz w:val="22"/>
          <w:szCs w:val="22"/>
          <w:lang w:val="fr-FR"/>
          <w14:ligatures w14:val="none"/>
        </w:rPr>
      </w:pPr>
      <w:r w:rsidRPr="0025391D">
        <w:rPr>
          <w:rFonts w:ascii="Calibri" w:eastAsia="Calibri" w:hAnsi="Calibri" w:cs="Times New Roman"/>
          <w:color w:val="000000"/>
          <w:kern w:val="0"/>
          <w:sz w:val="22"/>
          <w:szCs w:val="22"/>
          <w:lang w:val="fr-FR"/>
          <w14:ligatures w14:val="none"/>
        </w:rPr>
        <w:t>Les contributions des gouvernements hôtes aux GLOC ne doivent pas être appliquées à d'autres fonds ou comptes que ceux prévus ci-dessus sans l'approbation préalable de l'OFM et des bureaux régionaux.</w:t>
      </w:r>
    </w:p>
    <w:p w14:paraId="23B8517B" w14:textId="77777777" w:rsidR="0025391D" w:rsidRPr="0025391D" w:rsidRDefault="0025391D" w:rsidP="0025391D">
      <w:pPr>
        <w:spacing w:line="259" w:lineRule="auto"/>
        <w:contextualSpacing/>
        <w:jc w:val="both"/>
        <w:rPr>
          <w:rFonts w:ascii="Calibri" w:eastAsia="Calibri" w:hAnsi="Calibri" w:cs="Times New Roman"/>
          <w:color w:val="000000"/>
          <w:kern w:val="0"/>
          <w:sz w:val="22"/>
          <w:szCs w:val="22"/>
          <w:lang w:val="fr-FR"/>
          <w14:ligatures w14:val="none"/>
        </w:rPr>
      </w:pPr>
    </w:p>
    <w:p w14:paraId="711AA9E8" w14:textId="01C8DE0E" w:rsidR="0025391D" w:rsidRPr="0025391D" w:rsidRDefault="0025391D" w:rsidP="0025391D">
      <w:pPr>
        <w:numPr>
          <w:ilvl w:val="0"/>
          <w:numId w:val="1"/>
        </w:numPr>
        <w:spacing w:after="0" w:line="259" w:lineRule="auto"/>
        <w:ind w:hanging="345"/>
        <w:contextualSpacing/>
        <w:jc w:val="both"/>
        <w:rPr>
          <w:rFonts w:ascii="Calibri" w:eastAsia="Calibri" w:hAnsi="Calibri" w:cs="Times New Roman"/>
          <w:color w:val="000000"/>
          <w:kern w:val="0"/>
          <w:sz w:val="22"/>
          <w:szCs w:val="22"/>
          <w:lang w:val="fr-FR"/>
          <w14:ligatures w14:val="none"/>
        </w:rPr>
      </w:pPr>
      <w:r w:rsidRPr="0025391D">
        <w:rPr>
          <w:rFonts w:ascii="Calibri" w:eastAsia="Calibri" w:hAnsi="Calibri" w:cs="Times New Roman"/>
          <w:color w:val="000000"/>
          <w:kern w:val="0"/>
          <w:sz w:val="22"/>
          <w:szCs w:val="22"/>
          <w:lang w:val="fr-FR"/>
          <w14:ligatures w14:val="none"/>
        </w:rPr>
        <w:t>À la fin de chaque ann</w:t>
      </w:r>
      <w:r w:rsidRPr="0025391D">
        <w:rPr>
          <w:rFonts w:ascii="Calibri" w:eastAsia="Calibri" w:hAnsi="Calibri" w:cs="Times New Roman"/>
          <w:kern w:val="0"/>
          <w:sz w:val="22"/>
          <w:szCs w:val="22"/>
          <w:lang w:val="fr-FR"/>
          <w14:ligatures w14:val="none"/>
        </w:rPr>
        <w:t xml:space="preserve">ée, le chef de bureau devra certifier dans </w:t>
      </w:r>
      <w:r w:rsidR="000419C5" w:rsidRPr="0025391D">
        <w:rPr>
          <w:rFonts w:ascii="Calibri" w:eastAsia="Calibri" w:hAnsi="Calibri" w:cs="Times New Roman"/>
          <w:kern w:val="0"/>
          <w:sz w:val="22"/>
          <w:szCs w:val="22"/>
          <w:lang w:val="fr-FR"/>
          <w14:ligatures w14:val="none"/>
        </w:rPr>
        <w:t>le document annuel</w:t>
      </w:r>
      <w:r w:rsidRPr="0025391D">
        <w:rPr>
          <w:rFonts w:ascii="Calibri" w:eastAsia="Calibri" w:hAnsi="Calibri" w:cs="Times New Roman"/>
          <w:kern w:val="0"/>
          <w:sz w:val="22"/>
          <w:szCs w:val="22"/>
          <w:lang w:val="fr-FR"/>
          <w14:ligatures w14:val="none"/>
        </w:rPr>
        <w:t xml:space="preserve"> que tous les accords/modifications d’accords signés ont été soumis à le GSSC en temps voulu avant la </w:t>
      </w:r>
      <w:proofErr w:type="spellStart"/>
      <w:r w:rsidRPr="0025391D">
        <w:rPr>
          <w:rFonts w:ascii="Calibri" w:eastAsia="Calibri" w:hAnsi="Calibri" w:cs="Times New Roman"/>
          <w:kern w:val="0"/>
          <w:sz w:val="22"/>
          <w:szCs w:val="22"/>
          <w:lang w:val="fr-FR"/>
          <w14:ligatures w14:val="none"/>
        </w:rPr>
        <w:t>cloture</w:t>
      </w:r>
      <w:proofErr w:type="spellEnd"/>
      <w:r w:rsidRPr="0025391D">
        <w:rPr>
          <w:rFonts w:ascii="Calibri" w:eastAsia="Calibri" w:hAnsi="Calibri" w:cs="Times New Roman"/>
          <w:kern w:val="0"/>
          <w:sz w:val="22"/>
          <w:szCs w:val="22"/>
          <w:lang w:val="fr-FR"/>
          <w14:ligatures w14:val="none"/>
        </w:rPr>
        <w:t xml:space="preserve"> des livres financiers. Cela permettra de s’assurer que les recettes du PNUD sont saisies en temps voulu, car toute soumission tardive de ces documents présente un </w:t>
      </w:r>
      <w:proofErr w:type="spellStart"/>
      <w:r w:rsidRPr="0025391D">
        <w:rPr>
          <w:rFonts w:ascii="Calibri" w:eastAsia="Calibri" w:hAnsi="Calibri" w:cs="Times New Roman"/>
          <w:kern w:val="0"/>
          <w:sz w:val="22"/>
          <w:szCs w:val="22"/>
          <w:lang w:val="fr-FR"/>
          <w14:ligatures w14:val="none"/>
        </w:rPr>
        <w:t>risqué</w:t>
      </w:r>
      <w:proofErr w:type="spellEnd"/>
      <w:r w:rsidRPr="0025391D">
        <w:rPr>
          <w:rFonts w:ascii="Calibri" w:eastAsia="Calibri" w:hAnsi="Calibri" w:cs="Times New Roman"/>
          <w:kern w:val="0"/>
          <w:sz w:val="22"/>
          <w:szCs w:val="22"/>
          <w:lang w:val="fr-FR"/>
          <w14:ligatures w14:val="none"/>
        </w:rPr>
        <w:t xml:space="preserve"> important en </w:t>
      </w:r>
      <w:proofErr w:type="spellStart"/>
      <w:r w:rsidRPr="0025391D">
        <w:rPr>
          <w:rFonts w:ascii="Calibri" w:eastAsia="Calibri" w:hAnsi="Calibri" w:cs="Times New Roman"/>
          <w:kern w:val="0"/>
          <w:sz w:val="22"/>
          <w:szCs w:val="22"/>
          <w:lang w:val="fr-FR"/>
          <w14:ligatures w14:val="none"/>
        </w:rPr>
        <w:t>matère</w:t>
      </w:r>
      <w:proofErr w:type="spellEnd"/>
      <w:r w:rsidRPr="0025391D">
        <w:rPr>
          <w:rFonts w:ascii="Calibri" w:eastAsia="Calibri" w:hAnsi="Calibri" w:cs="Times New Roman"/>
          <w:kern w:val="0"/>
          <w:sz w:val="22"/>
          <w:szCs w:val="22"/>
          <w:lang w:val="fr-FR"/>
          <w14:ligatures w14:val="none"/>
        </w:rPr>
        <w:t xml:space="preserve"> de rapports de gestion et d’audit, car les recettes ne seront pas présentées avec exactitude dans les états financiers du PNUD, y compris les états financiers trimestriels. </w:t>
      </w:r>
    </w:p>
    <w:p w14:paraId="26F51B66" w14:textId="77777777" w:rsidR="0025391D" w:rsidRPr="0025391D" w:rsidRDefault="0025391D" w:rsidP="0025391D">
      <w:pPr>
        <w:spacing w:line="259" w:lineRule="auto"/>
        <w:contextualSpacing/>
        <w:jc w:val="both"/>
        <w:rPr>
          <w:rFonts w:ascii="Calibri" w:eastAsia="Calibri" w:hAnsi="Calibri" w:cs="Times New Roman"/>
          <w:color w:val="000000"/>
          <w:kern w:val="0"/>
          <w:sz w:val="22"/>
          <w:szCs w:val="22"/>
          <w:lang w:val="fr-FR"/>
          <w14:ligatures w14:val="none"/>
        </w:rPr>
      </w:pPr>
    </w:p>
    <w:p w14:paraId="2428E41C" w14:textId="77777777" w:rsidR="0025391D" w:rsidRPr="0025391D" w:rsidRDefault="0025391D" w:rsidP="0025391D">
      <w:pPr>
        <w:spacing w:line="259" w:lineRule="auto"/>
        <w:contextualSpacing/>
        <w:jc w:val="both"/>
        <w:rPr>
          <w:rFonts w:ascii="Calibri" w:eastAsia="Calibri" w:hAnsi="Calibri" w:cs="Times New Roman"/>
          <w:color w:val="000000"/>
          <w:kern w:val="0"/>
          <w:sz w:val="22"/>
          <w:szCs w:val="22"/>
          <w14:ligatures w14:val="none"/>
        </w:rPr>
      </w:pPr>
      <w:r w:rsidRPr="0025391D">
        <w:rPr>
          <w:rFonts w:ascii="Calibri" w:eastAsia="Calibri" w:hAnsi="Calibri" w:cs="Times New Roman"/>
          <w:b/>
          <w:bCs/>
          <w:kern w:val="0"/>
          <w:sz w:val="22"/>
          <w:szCs w:val="22"/>
          <w14:ligatures w14:val="none"/>
        </w:rPr>
        <w:t xml:space="preserve">Lien </w:t>
      </w:r>
      <w:proofErr w:type="spellStart"/>
      <w:r w:rsidRPr="0025391D">
        <w:rPr>
          <w:rFonts w:ascii="Calibri" w:eastAsia="Calibri" w:hAnsi="Calibri" w:cs="Times New Roman"/>
          <w:b/>
          <w:bCs/>
          <w:kern w:val="0"/>
          <w:sz w:val="22"/>
          <w:szCs w:val="22"/>
          <w14:ligatures w14:val="none"/>
        </w:rPr>
        <w:t>comptable</w:t>
      </w:r>
      <w:proofErr w:type="spellEnd"/>
      <w:r w:rsidRPr="0025391D">
        <w:rPr>
          <w:rFonts w:ascii="Calibri" w:eastAsia="Calibri" w:hAnsi="Calibri" w:cs="Times New Roman"/>
          <w:b/>
          <w:bCs/>
          <w:kern w:val="0"/>
          <w:sz w:val="22"/>
          <w:szCs w:val="22"/>
          <w14:ligatures w14:val="none"/>
        </w:rPr>
        <w:t xml:space="preserve"> du GLOC</w:t>
      </w:r>
    </w:p>
    <w:p w14:paraId="4FC3C7A9" w14:textId="77777777" w:rsidR="0025391D" w:rsidRPr="0025391D" w:rsidRDefault="0025391D" w:rsidP="0025391D">
      <w:pPr>
        <w:spacing w:line="259" w:lineRule="auto"/>
        <w:contextualSpacing/>
        <w:jc w:val="both"/>
        <w:rPr>
          <w:rFonts w:ascii="Calibri" w:eastAsia="Calibri" w:hAnsi="Calibri" w:cs="Times New Roman"/>
          <w:color w:val="000000"/>
          <w:kern w:val="0"/>
          <w:sz w:val="22"/>
          <w:szCs w:val="22"/>
          <w14:ligatures w14:val="none"/>
        </w:rPr>
      </w:pPr>
    </w:p>
    <w:p w14:paraId="24CF6ECB" w14:textId="77777777" w:rsidR="0025391D" w:rsidRPr="0025391D" w:rsidRDefault="0025391D" w:rsidP="0025391D">
      <w:pPr>
        <w:numPr>
          <w:ilvl w:val="0"/>
          <w:numId w:val="1"/>
        </w:numPr>
        <w:spacing w:after="0" w:line="259" w:lineRule="auto"/>
        <w:ind w:hanging="345"/>
        <w:contextualSpacing/>
        <w:jc w:val="both"/>
        <w:rPr>
          <w:rFonts w:ascii="Calibri" w:eastAsia="Calibri" w:hAnsi="Calibri" w:cs="Times New Roman"/>
          <w:kern w:val="0"/>
          <w:sz w:val="22"/>
          <w:szCs w:val="22"/>
          <w:lang w:val="fr-FR"/>
          <w14:ligatures w14:val="none"/>
        </w:rPr>
      </w:pPr>
      <w:r w:rsidRPr="0025391D">
        <w:rPr>
          <w:rFonts w:ascii="Calibri" w:eastAsia="Calibri" w:hAnsi="Calibri" w:cs="Times New Roman"/>
          <w:kern w:val="0"/>
          <w:sz w:val="22"/>
          <w:szCs w:val="22"/>
          <w:lang w:val="fr-FR"/>
          <w14:ligatures w14:val="none"/>
        </w:rPr>
        <w:t>À sa trente et unième session en 1984 (84/9), le Conseil d'administration a autorisé "l'Administrateur à établir, à compter du 1er janvier 1985, un lien comptable entre les contributions volontaires, ... ,les contributions aux coûts des programmes volontaires et les contributions aux coûts des bureaux locaux de telle sorte que les contributions soient d'abord comptabilisées au titre des coûts des bureaux locaux" (</w:t>
      </w:r>
      <w:hyperlink r:id="rId14" w:history="1">
        <w:r w:rsidRPr="0025391D">
          <w:rPr>
            <w:rFonts w:ascii="Calibri" w:eastAsia="Calibri" w:hAnsi="Calibri" w:cs="Times New Roman"/>
            <w:color w:val="2E74B5"/>
            <w:spacing w:val="-3"/>
            <w:kern w:val="0"/>
            <w:sz w:val="22"/>
            <w:szCs w:val="22"/>
            <w:u w:val="single"/>
            <w:lang w:val="fr-FR"/>
            <w14:ligatures w14:val="none"/>
          </w:rPr>
          <w:t>voir page 738, paragraphe 8, la décision 84/9 du Conseil d'administration</w:t>
        </w:r>
        <w:r w:rsidRPr="0025391D">
          <w:rPr>
            <w:rFonts w:ascii="Calibri" w:eastAsia="Calibri" w:hAnsi="Calibri" w:cs="Times New Roman"/>
            <w:color w:val="000000"/>
            <w:spacing w:val="-3"/>
            <w:kern w:val="0"/>
            <w:sz w:val="22"/>
            <w:szCs w:val="22"/>
            <w:u w:val="single"/>
            <w:lang w:val="fr-FR"/>
            <w14:ligatures w14:val="none"/>
          </w:rPr>
          <w:t>).</w:t>
        </w:r>
      </w:hyperlink>
    </w:p>
    <w:p w14:paraId="44DA37C4" w14:textId="77777777" w:rsidR="0025391D" w:rsidRPr="0025391D" w:rsidRDefault="0025391D" w:rsidP="0025391D">
      <w:pPr>
        <w:spacing w:line="259" w:lineRule="auto"/>
        <w:contextualSpacing/>
        <w:jc w:val="both"/>
        <w:rPr>
          <w:rFonts w:ascii="Calibri" w:eastAsia="Calibri" w:hAnsi="Calibri" w:cs="Times New Roman"/>
          <w:kern w:val="0"/>
          <w:sz w:val="22"/>
          <w:szCs w:val="22"/>
          <w:lang w:val="fr-FR"/>
          <w14:ligatures w14:val="none"/>
        </w:rPr>
      </w:pPr>
    </w:p>
    <w:p w14:paraId="029A21C4" w14:textId="77777777" w:rsidR="0025391D" w:rsidRPr="0025391D" w:rsidRDefault="0025391D" w:rsidP="0025391D">
      <w:pPr>
        <w:numPr>
          <w:ilvl w:val="0"/>
          <w:numId w:val="1"/>
        </w:numPr>
        <w:spacing w:after="0" w:line="259" w:lineRule="auto"/>
        <w:ind w:hanging="345"/>
        <w:contextualSpacing/>
        <w:jc w:val="both"/>
        <w:rPr>
          <w:rFonts w:ascii="Calibri" w:eastAsia="Calibri" w:hAnsi="Calibri" w:cs="Times New Roman"/>
          <w:kern w:val="0"/>
          <w:sz w:val="22"/>
          <w:szCs w:val="22"/>
          <w:lang w:val="fr-FR"/>
          <w14:ligatures w14:val="none"/>
        </w:rPr>
      </w:pPr>
      <w:r w:rsidRPr="0025391D">
        <w:rPr>
          <w:rFonts w:ascii="Calibri" w:eastAsia="Calibri" w:hAnsi="Calibri" w:cs="Times New Roman"/>
          <w:kern w:val="0"/>
          <w:sz w:val="22"/>
          <w:szCs w:val="22"/>
          <w:lang w:val="fr-FR"/>
          <w14:ligatures w14:val="none"/>
        </w:rPr>
        <w:t xml:space="preserve">À la fin de chaque exercice financier, l'UES et l'OFM examinent tout déficit des contributions des gouvernements hôtes au titre des GLOC. Les contributions volontaires disponibles des gouvernements d'accueil sont transférées au fonds GLOC (fonds 00200 et compte 51025) pour compenser les </w:t>
      </w:r>
      <w:r w:rsidRPr="0025391D">
        <w:rPr>
          <w:rFonts w:ascii="Calibri" w:eastAsia="Calibri" w:hAnsi="Calibri" w:cs="Times New Roman"/>
          <w:kern w:val="0"/>
          <w:sz w:val="22"/>
          <w:szCs w:val="22"/>
          <w:lang w:val="fr-FR"/>
          <w14:ligatures w14:val="none"/>
        </w:rPr>
        <w:lastRenderedPageBreak/>
        <w:t>contributions GLOC en souffrance pour l'année de référence. Ces liens comptables sont présentés séparément dans les rapports annuels sur les performances des GLOC.</w:t>
      </w:r>
    </w:p>
    <w:p w14:paraId="6E0DFB39" w14:textId="77777777" w:rsidR="0025391D" w:rsidRPr="0025391D" w:rsidRDefault="0025391D" w:rsidP="0025391D">
      <w:pPr>
        <w:spacing w:after="122" w:line="259" w:lineRule="auto"/>
        <w:rPr>
          <w:rFonts w:ascii="Calibri" w:eastAsia="Times New Roman" w:hAnsi="Calibri" w:cs="Arial"/>
          <w:b/>
          <w:color w:val="000000"/>
          <w:kern w:val="0"/>
          <w:sz w:val="22"/>
          <w:szCs w:val="22"/>
          <w:lang w:val="fr-FR"/>
          <w14:ligatures w14:val="none"/>
        </w:rPr>
      </w:pPr>
      <w:r w:rsidRPr="0025391D">
        <w:rPr>
          <w:rFonts w:ascii="Calibri" w:eastAsia="Times New Roman" w:hAnsi="Calibri" w:cs="Arial"/>
          <w:b/>
          <w:color w:val="000000"/>
          <w:kern w:val="0"/>
          <w:sz w:val="22"/>
          <w:szCs w:val="22"/>
          <w:lang w:val="fr-FR"/>
          <w14:ligatures w14:val="none"/>
        </w:rPr>
        <w:t>Rapports - Rapports de performance périodiques et annuels (paiements)</w:t>
      </w:r>
    </w:p>
    <w:p w14:paraId="296B9B31" w14:textId="77777777" w:rsidR="0025391D" w:rsidRPr="0025391D" w:rsidRDefault="0025391D" w:rsidP="0025391D">
      <w:pPr>
        <w:numPr>
          <w:ilvl w:val="0"/>
          <w:numId w:val="1"/>
        </w:numPr>
        <w:spacing w:after="0" w:line="259"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Le rapport de performance des GLOC (mis à jour quotidiennement à partir d'Atlas) est disponible pour les bureaux afin de suivre les paiements cibles des GLOC de l'année en cours et les soldes en suspens des GLOC des années précédentes.  Il est conseillé aux bureaux d'examiner ces rapports régulièrement afin d'assurer un suivi avec les gouvernements hôtes pour régler leurs contributions impayées aux coûts des bureaux locaux.</w:t>
      </w:r>
    </w:p>
    <w:p w14:paraId="202D7D58" w14:textId="77777777" w:rsidR="0025391D" w:rsidRPr="0025391D" w:rsidRDefault="0025391D" w:rsidP="0025391D">
      <w:pPr>
        <w:spacing w:line="259" w:lineRule="auto"/>
        <w:ind w:left="705"/>
        <w:contextualSpacing/>
        <w:jc w:val="both"/>
        <w:rPr>
          <w:rFonts w:ascii="Calibri" w:eastAsia="Calibri" w:hAnsi="Calibri" w:cs="Times New Roman"/>
          <w:color w:val="000000"/>
          <w:spacing w:val="-3"/>
          <w:kern w:val="0"/>
          <w:sz w:val="22"/>
          <w:szCs w:val="22"/>
          <w:lang w:val="fr-FR"/>
          <w14:ligatures w14:val="none"/>
        </w:rPr>
      </w:pPr>
    </w:p>
    <w:p w14:paraId="0C2E6AF2" w14:textId="77777777" w:rsidR="0025391D" w:rsidRPr="0025391D" w:rsidRDefault="0025391D" w:rsidP="0025391D">
      <w:pPr>
        <w:numPr>
          <w:ilvl w:val="0"/>
          <w:numId w:val="1"/>
        </w:numPr>
        <w:spacing w:after="0" w:line="259" w:lineRule="auto"/>
        <w:ind w:hanging="360"/>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Le PNUD fait régulièrement rapport au Conseil d'administration sur les progrès réalisés dans le règlement des objectifs des GLOC pour l'année en cours et des arriérés des GLOC dans les documents officiels suivants :</w:t>
      </w:r>
    </w:p>
    <w:p w14:paraId="6BC96E73" w14:textId="77777777" w:rsidR="0025391D" w:rsidRPr="0025391D" w:rsidRDefault="0025391D" w:rsidP="0025391D">
      <w:pPr>
        <w:numPr>
          <w:ilvl w:val="0"/>
          <w:numId w:val="9"/>
        </w:numPr>
        <w:spacing w:after="0" w:line="259" w:lineRule="auto"/>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Rapport financier et états financiers vérifiés du PNUD</w:t>
      </w:r>
    </w:p>
    <w:p w14:paraId="299F15E2" w14:textId="77777777" w:rsidR="0025391D" w:rsidRPr="0025391D" w:rsidRDefault="0025391D" w:rsidP="0025391D">
      <w:pPr>
        <w:numPr>
          <w:ilvl w:val="0"/>
          <w:numId w:val="9"/>
        </w:numPr>
        <w:spacing w:after="0" w:line="259" w:lineRule="auto"/>
        <w:contextualSpacing/>
        <w:jc w:val="both"/>
        <w:rPr>
          <w:rFonts w:ascii="Calibri" w:eastAsia="Calibri" w:hAnsi="Calibri" w:cs="Times New Roman"/>
          <w:color w:val="000000"/>
          <w:spacing w:val="-3"/>
          <w:kern w:val="0"/>
          <w:sz w:val="22"/>
          <w:szCs w:val="22"/>
          <w:lang w:val="fr-FR"/>
          <w14:ligatures w14:val="none"/>
        </w:rPr>
      </w:pPr>
      <w:r w:rsidRPr="0025391D">
        <w:rPr>
          <w:rFonts w:ascii="Calibri" w:eastAsia="Calibri" w:hAnsi="Calibri" w:cs="Times New Roman"/>
          <w:color w:val="000000"/>
          <w:spacing w:val="-3"/>
          <w:kern w:val="0"/>
          <w:sz w:val="22"/>
          <w:szCs w:val="22"/>
          <w:lang w:val="fr-FR"/>
          <w14:ligatures w14:val="none"/>
        </w:rPr>
        <w:t xml:space="preserve">Examen annuel de la situation financière </w:t>
      </w:r>
    </w:p>
    <w:p w14:paraId="57174C5A" w14:textId="77777777" w:rsidR="0025391D" w:rsidRPr="0025391D" w:rsidRDefault="0025391D" w:rsidP="0025391D">
      <w:pPr>
        <w:numPr>
          <w:ilvl w:val="0"/>
          <w:numId w:val="9"/>
        </w:numPr>
        <w:spacing w:after="0" w:line="259" w:lineRule="auto"/>
        <w:contextualSpacing/>
        <w:jc w:val="both"/>
        <w:rPr>
          <w:rFonts w:ascii="Calibri" w:eastAsia="Calibri" w:hAnsi="Calibri" w:cs="Times New Roman"/>
          <w:color w:val="000000"/>
          <w:spacing w:val="-3"/>
          <w:kern w:val="0"/>
          <w:sz w:val="22"/>
          <w:szCs w:val="22"/>
          <w14:ligatures w14:val="none"/>
        </w:rPr>
      </w:pPr>
      <w:r w:rsidRPr="0025391D">
        <w:rPr>
          <w:rFonts w:ascii="Calibri" w:eastAsia="Calibri" w:hAnsi="Calibri" w:cs="Times New Roman"/>
          <w:color w:val="000000"/>
          <w:spacing w:val="-3"/>
          <w:kern w:val="0"/>
          <w:sz w:val="22"/>
          <w:szCs w:val="22"/>
          <w14:ligatures w14:val="none"/>
        </w:rPr>
        <w:t xml:space="preserve">Budget </w:t>
      </w:r>
      <w:proofErr w:type="spellStart"/>
      <w:r w:rsidRPr="0025391D">
        <w:rPr>
          <w:rFonts w:ascii="Calibri" w:eastAsia="Calibri" w:hAnsi="Calibri" w:cs="Times New Roman"/>
          <w:color w:val="000000"/>
          <w:spacing w:val="-3"/>
          <w:kern w:val="0"/>
          <w:sz w:val="22"/>
          <w:szCs w:val="22"/>
          <w14:ligatures w14:val="none"/>
        </w:rPr>
        <w:t>intégré</w:t>
      </w:r>
      <w:proofErr w:type="spellEnd"/>
      <w:r w:rsidRPr="0025391D">
        <w:rPr>
          <w:rFonts w:ascii="Calibri" w:eastAsia="Calibri" w:hAnsi="Calibri" w:cs="Times New Roman"/>
          <w:color w:val="000000"/>
          <w:spacing w:val="-3"/>
          <w:kern w:val="0"/>
          <w:sz w:val="22"/>
          <w:szCs w:val="22"/>
          <w14:ligatures w14:val="none"/>
        </w:rPr>
        <w:t xml:space="preserve"> du PNUD</w:t>
      </w:r>
    </w:p>
    <w:p w14:paraId="24DA6A17" w14:textId="77777777" w:rsidR="0025391D" w:rsidRDefault="0025391D" w:rsidP="0025391D">
      <w:pPr>
        <w:spacing w:after="0" w:line="240" w:lineRule="auto"/>
        <w:jc w:val="both"/>
        <w:rPr>
          <w:rFonts w:ascii="Calibri" w:eastAsia="Times New Roman" w:hAnsi="Calibri" w:cs="Times New Roman"/>
          <w:color w:val="000000"/>
          <w:spacing w:val="-3"/>
          <w:kern w:val="0"/>
          <w:sz w:val="22"/>
          <w:szCs w:val="22"/>
          <w:lang w:val="fr-FR"/>
          <w14:ligatures w14:val="none"/>
        </w:rPr>
      </w:pPr>
    </w:p>
    <w:p w14:paraId="33D8FCF3" w14:textId="25D62F1E" w:rsidR="0025391D" w:rsidRPr="0025391D" w:rsidRDefault="0025391D" w:rsidP="0025391D">
      <w:pPr>
        <w:spacing w:after="0" w:line="240" w:lineRule="auto"/>
        <w:jc w:val="both"/>
        <w:rPr>
          <w:rFonts w:ascii="Calibri" w:eastAsia="Times New Roman" w:hAnsi="Calibri" w:cs="Times New Roman"/>
          <w:color w:val="000000"/>
          <w:spacing w:val="-3"/>
          <w:kern w:val="0"/>
          <w:sz w:val="22"/>
          <w:szCs w:val="22"/>
          <w:lang w:val="fr-FR"/>
          <w14:ligatures w14:val="none"/>
        </w:rPr>
      </w:pPr>
      <w:r w:rsidRPr="0025391D">
        <w:rPr>
          <w:rFonts w:ascii="Calibri" w:eastAsia="Times New Roman" w:hAnsi="Calibri" w:cs="Times New Roman"/>
          <w:color w:val="000000"/>
          <w:spacing w:val="-3"/>
          <w:kern w:val="0"/>
          <w:sz w:val="22"/>
          <w:szCs w:val="22"/>
          <w:lang w:val="fr-FR"/>
          <w14:ligatures w14:val="none"/>
        </w:rPr>
        <w:t>Document de la politique du PNUD sur la reconnaissance des revenus</w:t>
      </w:r>
    </w:p>
    <w:p w14:paraId="266CD178" w14:textId="77777777" w:rsidR="0025391D" w:rsidRPr="0025391D" w:rsidRDefault="0025391D" w:rsidP="0025391D">
      <w:pPr>
        <w:numPr>
          <w:ilvl w:val="0"/>
          <w:numId w:val="10"/>
        </w:numPr>
        <w:spacing w:after="0" w:line="259" w:lineRule="auto"/>
        <w:contextualSpacing/>
        <w:jc w:val="both"/>
        <w:rPr>
          <w:rFonts w:ascii="Calibri" w:eastAsia="Calibri" w:hAnsi="Calibri" w:cs="Times New Roman"/>
          <w:color w:val="4472C4"/>
          <w:spacing w:val="-3"/>
          <w:kern w:val="0"/>
          <w:sz w:val="22"/>
          <w:szCs w:val="22"/>
          <w14:ligatures w14:val="none"/>
        </w:rPr>
      </w:pPr>
      <w:hyperlink r:id="rId15">
        <w:r w:rsidRPr="0025391D">
          <w:rPr>
            <w:rFonts w:ascii="Calibri" w:eastAsia="Calibri" w:hAnsi="Calibri" w:cs="Times New Roman"/>
            <w:color w:val="4472C4"/>
            <w:kern w:val="0"/>
            <w:sz w:val="22"/>
            <w:szCs w:val="22"/>
            <w:u w:val="single"/>
            <w14:ligatures w14:val="none"/>
          </w:rPr>
          <w:t>IPSAS 23 document de la politique</w:t>
        </w:r>
      </w:hyperlink>
    </w:p>
    <w:p w14:paraId="55DCA4E6" w14:textId="77777777" w:rsidR="0025391D" w:rsidRDefault="0025391D" w:rsidP="0025391D">
      <w:pPr>
        <w:spacing w:after="0" w:line="259" w:lineRule="auto"/>
        <w:ind w:right="-84"/>
        <w:rPr>
          <w:rFonts w:ascii="Calibri" w:eastAsia="Times New Roman" w:hAnsi="Calibri" w:cs="Times New Roman"/>
          <w:i/>
          <w:color w:val="4472C4"/>
          <w:spacing w:val="-3"/>
          <w:kern w:val="0"/>
          <w14:ligatures w14:val="none"/>
        </w:rPr>
      </w:pPr>
    </w:p>
    <w:p w14:paraId="2B447525" w14:textId="77777777" w:rsidR="0025391D" w:rsidRDefault="0025391D" w:rsidP="0025391D">
      <w:pPr>
        <w:spacing w:after="0" w:line="259" w:lineRule="auto"/>
        <w:ind w:right="-84"/>
        <w:rPr>
          <w:rFonts w:ascii="Calibri" w:eastAsia="Times New Roman" w:hAnsi="Calibri" w:cs="Times New Roman"/>
          <w:i/>
          <w:color w:val="4472C4"/>
          <w:spacing w:val="-3"/>
          <w:kern w:val="0"/>
          <w14:ligatures w14:val="none"/>
        </w:rPr>
      </w:pPr>
    </w:p>
    <w:p w14:paraId="496FAD20" w14:textId="0CAEDC42" w:rsidR="0025391D" w:rsidRPr="0025391D" w:rsidRDefault="0025391D" w:rsidP="0025391D">
      <w:pPr>
        <w:spacing w:after="0" w:line="259" w:lineRule="auto"/>
        <w:ind w:right="-84"/>
        <w:rPr>
          <w:rFonts w:ascii="Calibri" w:eastAsia="Calibri" w:hAnsi="Calibri" w:cs="Calibri"/>
          <w:i/>
          <w:iCs/>
          <w:color w:val="000000"/>
          <w:kern w:val="0"/>
          <w:sz w:val="22"/>
          <w:szCs w:val="22"/>
          <w:lang w:val="en-GB" w:eastAsia="es-ES" w:bidi="es-ES"/>
          <w14:ligatures w14:val="none"/>
        </w:rPr>
      </w:pPr>
      <w:r w:rsidRPr="0025391D">
        <w:rPr>
          <w:rFonts w:ascii="Calibri" w:eastAsia="Calibri" w:hAnsi="Calibri" w:cs="Calibri"/>
          <w:b/>
          <w:bCs/>
          <w:i/>
          <w:iCs/>
          <w:color w:val="000000"/>
          <w:kern w:val="0"/>
          <w:sz w:val="22"/>
          <w:szCs w:val="22"/>
          <w:lang w:val="en-GB" w:eastAsia="es-ES" w:bidi="es-ES"/>
          <w14:ligatures w14:val="none"/>
        </w:rPr>
        <w:t>Disclaimer:</w:t>
      </w:r>
      <w:r w:rsidRPr="0025391D">
        <w:rPr>
          <w:rFonts w:ascii="Calibri" w:eastAsia="Calibri" w:hAnsi="Calibri" w:cs="Calibri"/>
          <w:i/>
          <w:iCs/>
          <w:color w:val="000000"/>
          <w:kern w:val="0"/>
          <w:sz w:val="22"/>
          <w:szCs w:val="22"/>
          <w:lang w:val="en-GB" w:eastAsia="es-ES" w:bidi="es-ES"/>
          <w14:ligatures w14:val="none"/>
        </w:rPr>
        <w:t xml:space="preserve"> This document was translated from English into French. In the event of any discrepancy between this translation and the original English document, the original English document shall prevail.</w:t>
      </w:r>
    </w:p>
    <w:p w14:paraId="5C517DCA" w14:textId="77777777" w:rsidR="0025391D" w:rsidRPr="0025391D" w:rsidRDefault="0025391D" w:rsidP="0025391D">
      <w:pPr>
        <w:spacing w:after="0" w:line="259" w:lineRule="auto"/>
        <w:ind w:right="-84"/>
        <w:rPr>
          <w:rFonts w:ascii="Calibri" w:eastAsia="Calibri" w:hAnsi="Calibri" w:cs="Calibri"/>
          <w:i/>
          <w:iCs/>
          <w:color w:val="000000"/>
          <w:kern w:val="0"/>
          <w:sz w:val="22"/>
          <w:szCs w:val="22"/>
          <w:lang w:val="en-GB" w:eastAsia="es-ES" w:bidi="es-ES"/>
          <w14:ligatures w14:val="none"/>
        </w:rPr>
      </w:pPr>
    </w:p>
    <w:p w14:paraId="44FC5FD6" w14:textId="396A1F14" w:rsidR="0025391D" w:rsidRPr="0025391D" w:rsidRDefault="0025391D" w:rsidP="0025391D">
      <w:pPr>
        <w:spacing w:after="0" w:line="259" w:lineRule="auto"/>
        <w:ind w:right="-84"/>
        <w:rPr>
          <w:rFonts w:ascii="Calibri" w:eastAsia="Calibri" w:hAnsi="Calibri" w:cs="Calibri"/>
          <w:i/>
          <w:iCs/>
          <w:color w:val="000000"/>
          <w:kern w:val="0"/>
          <w:sz w:val="22"/>
          <w:szCs w:val="22"/>
          <w:lang w:val="fr-FR" w:eastAsia="es-ES" w:bidi="es-ES"/>
          <w14:ligatures w14:val="none"/>
        </w:rPr>
      </w:pPr>
      <w:r w:rsidRPr="0025391D">
        <w:rPr>
          <w:rFonts w:ascii="Calibri" w:eastAsia="Calibri" w:hAnsi="Calibri" w:cs="Calibri"/>
          <w:b/>
          <w:bCs/>
          <w:i/>
          <w:iCs/>
          <w:color w:val="000000"/>
          <w:kern w:val="0"/>
          <w:sz w:val="22"/>
          <w:szCs w:val="22"/>
          <w:lang w:val="fr-FR" w:eastAsia="es-ES" w:bidi="es-ES"/>
          <w14:ligatures w14:val="none"/>
        </w:rPr>
        <w:t>Attention :</w:t>
      </w:r>
      <w:r w:rsidRPr="0025391D">
        <w:rPr>
          <w:rFonts w:ascii="Calibri" w:eastAsia="Calibri" w:hAnsi="Calibri" w:cs="Calibri"/>
          <w:i/>
          <w:iCs/>
          <w:color w:val="000000"/>
          <w:kern w:val="0"/>
          <w:sz w:val="22"/>
          <w:szCs w:val="22"/>
          <w:lang w:val="fr-FR" w:eastAsia="es-ES" w:bidi="es-ES"/>
          <w14:ligatures w14:val="none"/>
        </w:rPr>
        <w:t xml:space="preserve"> Ce document a été traduit de l'anglais vers le français. En cas de divergence entre cette traduction et le document anglais original, le document anglais original prévaudra.</w:t>
      </w:r>
    </w:p>
    <w:p w14:paraId="6A419C9C" w14:textId="77777777" w:rsidR="00DA504D" w:rsidRDefault="00DA504D"/>
    <w:sectPr w:rsidR="00DA504D" w:rsidSect="0025391D">
      <w:headerReference w:type="default" r:id="rId16"/>
      <w:footerReference w:type="even" r:id="rId17"/>
      <w:footerReference w:type="default" r:id="rId18"/>
      <w:footerReference w:type="first" r:id="rId19"/>
      <w:pgSz w:w="11906" w:h="16838"/>
      <w:pgMar w:top="1440" w:right="1440" w:bottom="1440" w:left="144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ED31" w14:textId="77777777" w:rsidR="00A405BA" w:rsidRDefault="00A405BA" w:rsidP="0025391D">
      <w:pPr>
        <w:spacing w:after="0" w:line="240" w:lineRule="auto"/>
      </w:pPr>
      <w:r>
        <w:separator/>
      </w:r>
    </w:p>
  </w:endnote>
  <w:endnote w:type="continuationSeparator" w:id="0">
    <w:p w14:paraId="70DED65D" w14:textId="77777777" w:rsidR="00A405BA" w:rsidRDefault="00A405BA" w:rsidP="0025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DFFE" w14:textId="77777777" w:rsidR="0025391D" w:rsidRDefault="0025391D">
    <w:pPr>
      <w:spacing w:line="259" w:lineRule="auto"/>
      <w:ind w:right="173"/>
      <w:jc w:val="center"/>
    </w:pPr>
    <w:r>
      <w:fldChar w:fldCharType="begin"/>
    </w:r>
    <w:r>
      <w:instrText xml:space="preserve"> PAGE   \* MERGEFORMAT </w:instrText>
    </w:r>
    <w:r>
      <w:fldChar w:fldCharType="separate"/>
    </w:r>
    <w:r>
      <w:t>1</w:t>
    </w:r>
    <w:r>
      <w:fldChar w:fldCharType="end"/>
    </w:r>
    <w:r>
      <w:t xml:space="preserve"> </w:t>
    </w:r>
  </w:p>
  <w:p w14:paraId="0EB9017F" w14:textId="77777777" w:rsidR="0025391D" w:rsidRDefault="0025391D">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A3E8" w14:textId="00DDFCAC" w:rsidR="0025391D" w:rsidRPr="0025391D" w:rsidRDefault="0025391D" w:rsidP="0025391D">
    <w:pPr>
      <w:spacing w:after="0"/>
      <w:rPr>
        <w:rFonts w:ascii="Calibri" w:hAnsi="Calibri" w:cs="Calibri"/>
        <w:sz w:val="22"/>
        <w:szCs w:val="22"/>
      </w:rPr>
    </w:pPr>
    <w:r w:rsidRPr="0025391D">
      <w:rPr>
        <w:rFonts w:ascii="Calibri" w:hAnsi="Calibri" w:cs="Calibri"/>
        <w:sz w:val="22"/>
        <w:szCs w:val="22"/>
      </w:rPr>
      <w:t xml:space="preserve">Page </w:t>
    </w:r>
    <w:r w:rsidRPr="0025391D">
      <w:rPr>
        <w:rFonts w:ascii="Calibri" w:hAnsi="Calibri" w:cs="Calibri"/>
        <w:b/>
        <w:sz w:val="22"/>
        <w:szCs w:val="22"/>
      </w:rPr>
      <w:fldChar w:fldCharType="begin"/>
    </w:r>
    <w:r w:rsidRPr="0025391D">
      <w:rPr>
        <w:rFonts w:ascii="Calibri" w:hAnsi="Calibri" w:cs="Calibri"/>
        <w:b/>
        <w:sz w:val="22"/>
        <w:szCs w:val="22"/>
      </w:rPr>
      <w:instrText xml:space="preserve"> PAGE  \* Arabic  \* MERGEFORMAT </w:instrText>
    </w:r>
    <w:r w:rsidRPr="0025391D">
      <w:rPr>
        <w:rFonts w:ascii="Calibri" w:hAnsi="Calibri" w:cs="Calibri"/>
        <w:b/>
        <w:sz w:val="22"/>
        <w:szCs w:val="22"/>
      </w:rPr>
      <w:fldChar w:fldCharType="separate"/>
    </w:r>
    <w:r w:rsidRPr="0025391D">
      <w:rPr>
        <w:rFonts w:ascii="Calibri" w:hAnsi="Calibri" w:cs="Calibri"/>
        <w:b/>
        <w:sz w:val="22"/>
        <w:szCs w:val="22"/>
      </w:rPr>
      <w:t>5</w:t>
    </w:r>
    <w:r w:rsidRPr="0025391D">
      <w:rPr>
        <w:rFonts w:ascii="Calibri" w:hAnsi="Calibri" w:cs="Calibri"/>
        <w:b/>
        <w:sz w:val="22"/>
        <w:szCs w:val="22"/>
      </w:rPr>
      <w:fldChar w:fldCharType="end"/>
    </w:r>
    <w:r w:rsidRPr="0025391D">
      <w:rPr>
        <w:rFonts w:ascii="Calibri" w:hAnsi="Calibri" w:cs="Calibri"/>
        <w:sz w:val="22"/>
        <w:szCs w:val="22"/>
      </w:rPr>
      <w:t xml:space="preserve"> de </w:t>
    </w:r>
    <w:r w:rsidRPr="0025391D">
      <w:rPr>
        <w:rFonts w:ascii="Calibri" w:hAnsi="Calibri" w:cs="Calibri"/>
        <w:sz w:val="22"/>
        <w:szCs w:val="22"/>
      </w:rPr>
      <w:fldChar w:fldCharType="begin"/>
    </w:r>
    <w:r w:rsidRPr="0025391D">
      <w:rPr>
        <w:rFonts w:ascii="Calibri" w:hAnsi="Calibri" w:cs="Calibri"/>
        <w:sz w:val="22"/>
        <w:szCs w:val="22"/>
      </w:rPr>
      <w:instrText xml:space="preserve"> NUMPAGES  \* Arabic  \* MERGEFORMAT </w:instrText>
    </w:r>
    <w:r w:rsidRPr="0025391D">
      <w:rPr>
        <w:rFonts w:ascii="Calibri" w:hAnsi="Calibri" w:cs="Calibri"/>
        <w:sz w:val="22"/>
        <w:szCs w:val="22"/>
      </w:rPr>
      <w:fldChar w:fldCharType="separate"/>
    </w:r>
    <w:r w:rsidRPr="0025391D">
      <w:rPr>
        <w:rFonts w:ascii="Calibri" w:hAnsi="Calibri" w:cs="Calibri"/>
        <w:sz w:val="22"/>
        <w:szCs w:val="22"/>
      </w:rPr>
      <w:t>5</w:t>
    </w:r>
    <w:r w:rsidRPr="0025391D">
      <w:rPr>
        <w:rFonts w:ascii="Calibri" w:hAnsi="Calibri" w:cs="Calibri"/>
        <w:b/>
        <w:noProof/>
        <w:sz w:val="22"/>
        <w:szCs w:val="22"/>
      </w:rPr>
      <w:fldChar w:fldCharType="end"/>
    </w:r>
    <w:r w:rsidRPr="0025391D">
      <w:rPr>
        <w:rFonts w:ascii="Calibri" w:hAnsi="Calibri" w:cs="Calibri"/>
        <w:sz w:val="22"/>
        <w:szCs w:val="22"/>
      </w:rPr>
      <w:ptab w:relativeTo="margin" w:alignment="center" w:leader="none"/>
    </w:r>
    <w:r w:rsidRPr="0025391D">
      <w:rPr>
        <w:rFonts w:ascii="Calibri" w:hAnsi="Calibri" w:cs="Calibri"/>
        <w:sz w:val="22"/>
        <w:szCs w:val="22"/>
      </w:rPr>
      <w:t xml:space="preserve">Date </w:t>
    </w:r>
    <w:proofErr w:type="spellStart"/>
    <w:r w:rsidRPr="0025391D">
      <w:rPr>
        <w:rFonts w:ascii="Calibri" w:hAnsi="Calibri" w:cs="Calibri"/>
        <w:sz w:val="22"/>
        <w:szCs w:val="22"/>
      </w:rPr>
      <w:t>d’entrée</w:t>
    </w:r>
    <w:proofErr w:type="spellEnd"/>
    <w:r w:rsidRPr="0025391D">
      <w:rPr>
        <w:rFonts w:ascii="Calibri" w:hAnsi="Calibri" w:cs="Calibri"/>
        <w:sz w:val="22"/>
        <w:szCs w:val="22"/>
      </w:rPr>
      <w:t xml:space="preserve"> </w:t>
    </w:r>
    <w:proofErr w:type="spellStart"/>
    <w:r w:rsidRPr="0025391D">
      <w:rPr>
        <w:rFonts w:ascii="Calibri" w:hAnsi="Calibri" w:cs="Calibri"/>
        <w:sz w:val="22"/>
        <w:szCs w:val="22"/>
      </w:rPr>
      <w:t>en</w:t>
    </w:r>
    <w:proofErr w:type="spellEnd"/>
    <w:r w:rsidRPr="0025391D">
      <w:rPr>
        <w:rFonts w:ascii="Calibri" w:hAnsi="Calibri" w:cs="Calibri"/>
        <w:sz w:val="22"/>
        <w:szCs w:val="22"/>
      </w:rPr>
      <w:t xml:space="preserve"> </w:t>
    </w:r>
    <w:proofErr w:type="spellStart"/>
    <w:proofErr w:type="gramStart"/>
    <w:r w:rsidRPr="0025391D">
      <w:rPr>
        <w:rFonts w:ascii="Calibri" w:hAnsi="Calibri" w:cs="Calibri"/>
        <w:sz w:val="22"/>
        <w:szCs w:val="22"/>
      </w:rPr>
      <w:t>vigueur</w:t>
    </w:r>
    <w:proofErr w:type="spellEnd"/>
    <w:r w:rsidRPr="0025391D">
      <w:rPr>
        <w:rFonts w:ascii="Calibri" w:hAnsi="Calibri" w:cs="Calibri"/>
        <w:sz w:val="22"/>
        <w:szCs w:val="22"/>
      </w:rPr>
      <w:t> :</w:t>
    </w:r>
    <w:proofErr w:type="gramEnd"/>
    <w:r w:rsidRPr="0025391D">
      <w:rPr>
        <w:rFonts w:ascii="Calibri" w:hAnsi="Calibri" w:cs="Calibri"/>
        <w:sz w:val="22"/>
        <w:szCs w:val="22"/>
      </w:rPr>
      <w:t xml:space="preserve"> 09/01/2023</w:t>
    </w:r>
    <w:r w:rsidRPr="0025391D">
      <w:rPr>
        <w:rFonts w:ascii="Calibri" w:hAnsi="Calibri" w:cs="Calibri"/>
        <w:sz w:val="22"/>
        <w:szCs w:val="22"/>
      </w:rPr>
      <w:ptab w:relativeTo="margin" w:alignment="right" w:leader="none"/>
    </w:r>
    <w:r w:rsidRPr="0025391D">
      <w:rPr>
        <w:rFonts w:ascii="Calibri" w:hAnsi="Calibri" w:cs="Calibri"/>
        <w:sz w:val="22"/>
        <w:szCs w:val="22"/>
      </w:rPr>
      <w:t xml:space="preserve">Version </w:t>
    </w:r>
    <w:proofErr w:type="gramStart"/>
    <w:r w:rsidRPr="0025391D">
      <w:rPr>
        <w:rFonts w:ascii="Calibri" w:hAnsi="Calibri" w:cs="Calibri"/>
        <w:sz w:val="22"/>
        <w:szCs w:val="22"/>
      </w:rPr>
      <w:t># :</w:t>
    </w:r>
    <w:proofErr w:type="gramEnd"/>
    <w:r w:rsidRPr="0025391D">
      <w:rPr>
        <w:rFonts w:ascii="Calibri" w:hAnsi="Calibri" w:cs="Calibri"/>
        <w:sz w:val="22"/>
        <w:szCs w:val="22"/>
      </w:rPr>
      <w:t xml:space="preserve"> </w:t>
    </w:r>
    <w:r>
      <w:rPr>
        <w:rFonts w:ascii="Calibri" w:hAnsi="Calibri" w:cs="Calibri"/>
        <w:sz w:val="22"/>
        <w:szCs w:val="22"/>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A17" w14:textId="77777777" w:rsidR="0025391D" w:rsidRDefault="0025391D">
    <w:pPr>
      <w:spacing w:line="259" w:lineRule="auto"/>
      <w:ind w:right="173"/>
      <w:jc w:val="center"/>
    </w:pPr>
    <w:r>
      <w:fldChar w:fldCharType="begin"/>
    </w:r>
    <w:r>
      <w:instrText xml:space="preserve"> PAGE   \* MERGEFORMAT </w:instrText>
    </w:r>
    <w:r>
      <w:fldChar w:fldCharType="separate"/>
    </w:r>
    <w:r>
      <w:t>1</w:t>
    </w:r>
    <w:r>
      <w:fldChar w:fldCharType="end"/>
    </w:r>
    <w:r>
      <w:t xml:space="preserve"> </w:t>
    </w:r>
  </w:p>
  <w:p w14:paraId="146F65E0" w14:textId="77777777" w:rsidR="0025391D" w:rsidRDefault="0025391D">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D83C" w14:textId="77777777" w:rsidR="00A405BA" w:rsidRDefault="00A405BA" w:rsidP="0025391D">
      <w:pPr>
        <w:spacing w:after="0" w:line="240" w:lineRule="auto"/>
      </w:pPr>
      <w:r>
        <w:separator/>
      </w:r>
    </w:p>
  </w:footnote>
  <w:footnote w:type="continuationSeparator" w:id="0">
    <w:p w14:paraId="634C2BFE" w14:textId="77777777" w:rsidR="00A405BA" w:rsidRDefault="00A405BA" w:rsidP="0025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11BC" w14:textId="60458F7E" w:rsidR="0025391D" w:rsidRDefault="0025391D" w:rsidP="0059514A">
    <w:pPr>
      <w:pStyle w:val="Header"/>
      <w:jc w:val="right"/>
    </w:pPr>
    <w:r>
      <w:rPr>
        <w:noProof/>
      </w:rPr>
      <w:drawing>
        <wp:inline distT="0" distB="0" distL="0" distR="0" wp14:anchorId="679ECFE1" wp14:editId="5299D549">
          <wp:extent cx="591279" cy="900000"/>
          <wp:effectExtent l="0" t="0" r="0" b="0"/>
          <wp:docPr id="18528855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855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DD6"/>
    <w:multiLevelType w:val="multilevel"/>
    <w:tmpl w:val="BC243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EA6FEB"/>
    <w:multiLevelType w:val="hybridMultilevel"/>
    <w:tmpl w:val="E070D1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E144C1A">
      <w:start w:val="1"/>
      <w:numFmt w:val="decimal"/>
      <w:lvlText w:val="%3."/>
      <w:lvlJc w:val="left"/>
      <w:pPr>
        <w:ind w:left="2340" w:hanging="360"/>
      </w:pPr>
      <w:rPr>
        <w:rFonts w:hint="default"/>
      </w:rPr>
    </w:lvl>
    <w:lvl w:ilvl="3" w:tplc="A1746DC0">
      <w:start w:val="1"/>
      <w:numFmt w:val="upperLetter"/>
      <w:lvlText w:val="%4."/>
      <w:lvlJc w:val="left"/>
      <w:pPr>
        <w:ind w:left="2880" w:hanging="360"/>
      </w:pPr>
      <w:rPr>
        <w:rFonts w:hint="default"/>
      </w:rPr>
    </w:lvl>
    <w:lvl w:ilvl="4" w:tplc="B5BC849C">
      <w:start w:val="1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92B5F"/>
    <w:multiLevelType w:val="hybridMultilevel"/>
    <w:tmpl w:val="4FEEE8BC"/>
    <w:lvl w:ilvl="0" w:tplc="F3DABDFE">
      <w:start w:val="5"/>
      <w:numFmt w:val="lowerLetter"/>
      <w:lvlText w:val="%1."/>
      <w:lvlJc w:val="left"/>
      <w:pPr>
        <w:tabs>
          <w:tab w:val="num" w:pos="720"/>
        </w:tabs>
        <w:ind w:left="720" w:hanging="360"/>
      </w:pPr>
    </w:lvl>
    <w:lvl w:ilvl="1" w:tplc="3C7A63EC" w:tentative="1">
      <w:start w:val="1"/>
      <w:numFmt w:val="lowerLetter"/>
      <w:lvlText w:val="%2."/>
      <w:lvlJc w:val="left"/>
      <w:pPr>
        <w:tabs>
          <w:tab w:val="num" w:pos="1440"/>
        </w:tabs>
        <w:ind w:left="1440" w:hanging="360"/>
      </w:pPr>
    </w:lvl>
    <w:lvl w:ilvl="2" w:tplc="D30C2D00" w:tentative="1">
      <w:start w:val="1"/>
      <w:numFmt w:val="lowerLetter"/>
      <w:lvlText w:val="%3."/>
      <w:lvlJc w:val="left"/>
      <w:pPr>
        <w:tabs>
          <w:tab w:val="num" w:pos="2160"/>
        </w:tabs>
        <w:ind w:left="2160" w:hanging="360"/>
      </w:pPr>
    </w:lvl>
    <w:lvl w:ilvl="3" w:tplc="CADE1AE8" w:tentative="1">
      <w:start w:val="1"/>
      <w:numFmt w:val="lowerLetter"/>
      <w:lvlText w:val="%4."/>
      <w:lvlJc w:val="left"/>
      <w:pPr>
        <w:tabs>
          <w:tab w:val="num" w:pos="2880"/>
        </w:tabs>
        <w:ind w:left="2880" w:hanging="360"/>
      </w:pPr>
    </w:lvl>
    <w:lvl w:ilvl="4" w:tplc="9A705EBA" w:tentative="1">
      <w:start w:val="1"/>
      <w:numFmt w:val="lowerLetter"/>
      <w:lvlText w:val="%5."/>
      <w:lvlJc w:val="left"/>
      <w:pPr>
        <w:tabs>
          <w:tab w:val="num" w:pos="3600"/>
        </w:tabs>
        <w:ind w:left="3600" w:hanging="360"/>
      </w:pPr>
    </w:lvl>
    <w:lvl w:ilvl="5" w:tplc="5A26012C" w:tentative="1">
      <w:start w:val="1"/>
      <w:numFmt w:val="lowerLetter"/>
      <w:lvlText w:val="%6."/>
      <w:lvlJc w:val="left"/>
      <w:pPr>
        <w:tabs>
          <w:tab w:val="num" w:pos="4320"/>
        </w:tabs>
        <w:ind w:left="4320" w:hanging="360"/>
      </w:pPr>
    </w:lvl>
    <w:lvl w:ilvl="6" w:tplc="7296749A" w:tentative="1">
      <w:start w:val="1"/>
      <w:numFmt w:val="lowerLetter"/>
      <w:lvlText w:val="%7."/>
      <w:lvlJc w:val="left"/>
      <w:pPr>
        <w:tabs>
          <w:tab w:val="num" w:pos="5040"/>
        </w:tabs>
        <w:ind w:left="5040" w:hanging="360"/>
      </w:pPr>
    </w:lvl>
    <w:lvl w:ilvl="7" w:tplc="A9CC8CD4" w:tentative="1">
      <w:start w:val="1"/>
      <w:numFmt w:val="lowerLetter"/>
      <w:lvlText w:val="%8."/>
      <w:lvlJc w:val="left"/>
      <w:pPr>
        <w:tabs>
          <w:tab w:val="num" w:pos="5760"/>
        </w:tabs>
        <w:ind w:left="5760" w:hanging="360"/>
      </w:pPr>
    </w:lvl>
    <w:lvl w:ilvl="8" w:tplc="313C1DF8" w:tentative="1">
      <w:start w:val="1"/>
      <w:numFmt w:val="lowerLetter"/>
      <w:lvlText w:val="%9."/>
      <w:lvlJc w:val="left"/>
      <w:pPr>
        <w:tabs>
          <w:tab w:val="num" w:pos="6480"/>
        </w:tabs>
        <w:ind w:left="6480" w:hanging="360"/>
      </w:pPr>
    </w:lvl>
  </w:abstractNum>
  <w:abstractNum w:abstractNumId="3" w15:restartNumberingAfterBreak="0">
    <w:nsid w:val="23355633"/>
    <w:multiLevelType w:val="hybridMultilevel"/>
    <w:tmpl w:val="77B61118"/>
    <w:lvl w:ilvl="0" w:tplc="FFFFFFF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56CEE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3A4ADD"/>
    <w:multiLevelType w:val="hybridMultilevel"/>
    <w:tmpl w:val="757C9A10"/>
    <w:lvl w:ilvl="0" w:tplc="6BAE8BAA">
      <w:start w:val="2"/>
      <w:numFmt w:val="lowerLetter"/>
      <w:lvlText w:val="%1."/>
      <w:lvlJc w:val="left"/>
      <w:pPr>
        <w:tabs>
          <w:tab w:val="num" w:pos="720"/>
        </w:tabs>
        <w:ind w:left="720" w:hanging="360"/>
      </w:pPr>
    </w:lvl>
    <w:lvl w:ilvl="1" w:tplc="9F1EB002" w:tentative="1">
      <w:start w:val="1"/>
      <w:numFmt w:val="lowerLetter"/>
      <w:lvlText w:val="%2."/>
      <w:lvlJc w:val="left"/>
      <w:pPr>
        <w:tabs>
          <w:tab w:val="num" w:pos="1440"/>
        </w:tabs>
        <w:ind w:left="1440" w:hanging="360"/>
      </w:pPr>
    </w:lvl>
    <w:lvl w:ilvl="2" w:tplc="AE5EF466" w:tentative="1">
      <w:start w:val="1"/>
      <w:numFmt w:val="lowerLetter"/>
      <w:lvlText w:val="%3."/>
      <w:lvlJc w:val="left"/>
      <w:pPr>
        <w:tabs>
          <w:tab w:val="num" w:pos="2160"/>
        </w:tabs>
        <w:ind w:left="2160" w:hanging="360"/>
      </w:pPr>
    </w:lvl>
    <w:lvl w:ilvl="3" w:tplc="81E0D1B2" w:tentative="1">
      <w:start w:val="1"/>
      <w:numFmt w:val="lowerLetter"/>
      <w:lvlText w:val="%4."/>
      <w:lvlJc w:val="left"/>
      <w:pPr>
        <w:tabs>
          <w:tab w:val="num" w:pos="2880"/>
        </w:tabs>
        <w:ind w:left="2880" w:hanging="360"/>
      </w:pPr>
    </w:lvl>
    <w:lvl w:ilvl="4" w:tplc="39886CEE" w:tentative="1">
      <w:start w:val="1"/>
      <w:numFmt w:val="lowerLetter"/>
      <w:lvlText w:val="%5."/>
      <w:lvlJc w:val="left"/>
      <w:pPr>
        <w:tabs>
          <w:tab w:val="num" w:pos="3600"/>
        </w:tabs>
        <w:ind w:left="3600" w:hanging="360"/>
      </w:pPr>
    </w:lvl>
    <w:lvl w:ilvl="5" w:tplc="7B3877B2" w:tentative="1">
      <w:start w:val="1"/>
      <w:numFmt w:val="lowerLetter"/>
      <w:lvlText w:val="%6."/>
      <w:lvlJc w:val="left"/>
      <w:pPr>
        <w:tabs>
          <w:tab w:val="num" w:pos="4320"/>
        </w:tabs>
        <w:ind w:left="4320" w:hanging="360"/>
      </w:pPr>
    </w:lvl>
    <w:lvl w:ilvl="6" w:tplc="6D6898F8" w:tentative="1">
      <w:start w:val="1"/>
      <w:numFmt w:val="lowerLetter"/>
      <w:lvlText w:val="%7."/>
      <w:lvlJc w:val="left"/>
      <w:pPr>
        <w:tabs>
          <w:tab w:val="num" w:pos="5040"/>
        </w:tabs>
        <w:ind w:left="5040" w:hanging="360"/>
      </w:pPr>
    </w:lvl>
    <w:lvl w:ilvl="7" w:tplc="E66E97AE" w:tentative="1">
      <w:start w:val="1"/>
      <w:numFmt w:val="lowerLetter"/>
      <w:lvlText w:val="%8."/>
      <w:lvlJc w:val="left"/>
      <w:pPr>
        <w:tabs>
          <w:tab w:val="num" w:pos="5760"/>
        </w:tabs>
        <w:ind w:left="5760" w:hanging="360"/>
      </w:pPr>
    </w:lvl>
    <w:lvl w:ilvl="8" w:tplc="5628A8AA" w:tentative="1">
      <w:start w:val="1"/>
      <w:numFmt w:val="lowerLetter"/>
      <w:lvlText w:val="%9."/>
      <w:lvlJc w:val="left"/>
      <w:pPr>
        <w:tabs>
          <w:tab w:val="num" w:pos="6480"/>
        </w:tabs>
        <w:ind w:left="6480" w:hanging="360"/>
      </w:pPr>
    </w:lvl>
  </w:abstractNum>
  <w:abstractNum w:abstractNumId="5" w15:restartNumberingAfterBreak="0">
    <w:nsid w:val="2BD0049D"/>
    <w:multiLevelType w:val="multilevel"/>
    <w:tmpl w:val="348689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5A320F"/>
    <w:multiLevelType w:val="hybridMultilevel"/>
    <w:tmpl w:val="3796BE4E"/>
    <w:lvl w:ilvl="0" w:tplc="61AC6902">
      <w:start w:val="3"/>
      <w:numFmt w:val="lowerLetter"/>
      <w:lvlText w:val="%1."/>
      <w:lvlJc w:val="left"/>
      <w:pPr>
        <w:tabs>
          <w:tab w:val="num" w:pos="720"/>
        </w:tabs>
        <w:ind w:left="720" w:hanging="360"/>
      </w:pPr>
    </w:lvl>
    <w:lvl w:ilvl="1" w:tplc="F970E5BC" w:tentative="1">
      <w:start w:val="1"/>
      <w:numFmt w:val="lowerLetter"/>
      <w:lvlText w:val="%2."/>
      <w:lvlJc w:val="left"/>
      <w:pPr>
        <w:tabs>
          <w:tab w:val="num" w:pos="1440"/>
        </w:tabs>
        <w:ind w:left="1440" w:hanging="360"/>
      </w:pPr>
    </w:lvl>
    <w:lvl w:ilvl="2" w:tplc="00E83488" w:tentative="1">
      <w:start w:val="1"/>
      <w:numFmt w:val="lowerLetter"/>
      <w:lvlText w:val="%3."/>
      <w:lvlJc w:val="left"/>
      <w:pPr>
        <w:tabs>
          <w:tab w:val="num" w:pos="2160"/>
        </w:tabs>
        <w:ind w:left="2160" w:hanging="360"/>
      </w:pPr>
    </w:lvl>
    <w:lvl w:ilvl="3" w:tplc="B73E436C" w:tentative="1">
      <w:start w:val="1"/>
      <w:numFmt w:val="lowerLetter"/>
      <w:lvlText w:val="%4."/>
      <w:lvlJc w:val="left"/>
      <w:pPr>
        <w:tabs>
          <w:tab w:val="num" w:pos="2880"/>
        </w:tabs>
        <w:ind w:left="2880" w:hanging="360"/>
      </w:pPr>
    </w:lvl>
    <w:lvl w:ilvl="4" w:tplc="05CA6956" w:tentative="1">
      <w:start w:val="1"/>
      <w:numFmt w:val="lowerLetter"/>
      <w:lvlText w:val="%5."/>
      <w:lvlJc w:val="left"/>
      <w:pPr>
        <w:tabs>
          <w:tab w:val="num" w:pos="3600"/>
        </w:tabs>
        <w:ind w:left="3600" w:hanging="360"/>
      </w:pPr>
    </w:lvl>
    <w:lvl w:ilvl="5" w:tplc="A0989460" w:tentative="1">
      <w:start w:val="1"/>
      <w:numFmt w:val="lowerLetter"/>
      <w:lvlText w:val="%6."/>
      <w:lvlJc w:val="left"/>
      <w:pPr>
        <w:tabs>
          <w:tab w:val="num" w:pos="4320"/>
        </w:tabs>
        <w:ind w:left="4320" w:hanging="360"/>
      </w:pPr>
    </w:lvl>
    <w:lvl w:ilvl="6" w:tplc="98FEED3A" w:tentative="1">
      <w:start w:val="1"/>
      <w:numFmt w:val="lowerLetter"/>
      <w:lvlText w:val="%7."/>
      <w:lvlJc w:val="left"/>
      <w:pPr>
        <w:tabs>
          <w:tab w:val="num" w:pos="5040"/>
        </w:tabs>
        <w:ind w:left="5040" w:hanging="360"/>
      </w:pPr>
    </w:lvl>
    <w:lvl w:ilvl="7" w:tplc="88325822" w:tentative="1">
      <w:start w:val="1"/>
      <w:numFmt w:val="lowerLetter"/>
      <w:lvlText w:val="%8."/>
      <w:lvlJc w:val="left"/>
      <w:pPr>
        <w:tabs>
          <w:tab w:val="num" w:pos="5760"/>
        </w:tabs>
        <w:ind w:left="5760" w:hanging="360"/>
      </w:pPr>
    </w:lvl>
    <w:lvl w:ilvl="8" w:tplc="69E4AD52" w:tentative="1">
      <w:start w:val="1"/>
      <w:numFmt w:val="lowerLetter"/>
      <w:lvlText w:val="%9."/>
      <w:lvlJc w:val="left"/>
      <w:pPr>
        <w:tabs>
          <w:tab w:val="num" w:pos="6480"/>
        </w:tabs>
        <w:ind w:left="6480" w:hanging="360"/>
      </w:pPr>
    </w:lvl>
  </w:abstractNum>
  <w:abstractNum w:abstractNumId="7" w15:restartNumberingAfterBreak="0">
    <w:nsid w:val="33B261C1"/>
    <w:multiLevelType w:val="hybridMultilevel"/>
    <w:tmpl w:val="63EA9678"/>
    <w:lvl w:ilvl="0" w:tplc="526A3FD6">
      <w:start w:val="4"/>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642C8"/>
    <w:multiLevelType w:val="hybridMultilevel"/>
    <w:tmpl w:val="71F8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C46D5"/>
    <w:multiLevelType w:val="hybridMultilevel"/>
    <w:tmpl w:val="AEFED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1101541">
    <w:abstractNumId w:val="3"/>
  </w:num>
  <w:num w:numId="2" w16cid:durableId="877468971">
    <w:abstractNumId w:val="1"/>
  </w:num>
  <w:num w:numId="3" w16cid:durableId="1663121521">
    <w:abstractNumId w:val="7"/>
  </w:num>
  <w:num w:numId="4" w16cid:durableId="733167108">
    <w:abstractNumId w:val="0"/>
  </w:num>
  <w:num w:numId="5" w16cid:durableId="649944192">
    <w:abstractNumId w:val="4"/>
  </w:num>
  <w:num w:numId="6" w16cid:durableId="1926841747">
    <w:abstractNumId w:val="6"/>
  </w:num>
  <w:num w:numId="7" w16cid:durableId="1809787217">
    <w:abstractNumId w:val="5"/>
  </w:num>
  <w:num w:numId="8" w16cid:durableId="2117552034">
    <w:abstractNumId w:val="2"/>
  </w:num>
  <w:num w:numId="9" w16cid:durableId="1404983229">
    <w:abstractNumId w:val="9"/>
  </w:num>
  <w:num w:numId="10" w16cid:durableId="1939098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1D"/>
    <w:rsid w:val="000419C5"/>
    <w:rsid w:val="001652FF"/>
    <w:rsid w:val="0025391D"/>
    <w:rsid w:val="00A405BA"/>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4C74"/>
  <w15:chartTrackingRefBased/>
  <w15:docId w15:val="{29078D7A-9CDD-4AFA-B3A6-0C0D68D9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91D"/>
    <w:rPr>
      <w:rFonts w:eastAsiaTheme="majorEastAsia" w:cstheme="majorBidi"/>
      <w:color w:val="272727" w:themeColor="text1" w:themeTint="D8"/>
    </w:rPr>
  </w:style>
  <w:style w:type="paragraph" w:styleId="Title">
    <w:name w:val="Title"/>
    <w:basedOn w:val="Normal"/>
    <w:next w:val="Normal"/>
    <w:link w:val="TitleChar"/>
    <w:uiPriority w:val="10"/>
    <w:qFormat/>
    <w:rsid w:val="0025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91D"/>
    <w:pPr>
      <w:spacing w:before="160"/>
      <w:jc w:val="center"/>
    </w:pPr>
    <w:rPr>
      <w:i/>
      <w:iCs/>
      <w:color w:val="404040" w:themeColor="text1" w:themeTint="BF"/>
    </w:rPr>
  </w:style>
  <w:style w:type="character" w:customStyle="1" w:styleId="QuoteChar">
    <w:name w:val="Quote Char"/>
    <w:basedOn w:val="DefaultParagraphFont"/>
    <w:link w:val="Quote"/>
    <w:uiPriority w:val="29"/>
    <w:rsid w:val="0025391D"/>
    <w:rPr>
      <w:i/>
      <w:iCs/>
      <w:color w:val="404040" w:themeColor="text1" w:themeTint="BF"/>
    </w:rPr>
  </w:style>
  <w:style w:type="paragraph" w:styleId="ListParagraph">
    <w:name w:val="List Paragraph"/>
    <w:basedOn w:val="Normal"/>
    <w:uiPriority w:val="34"/>
    <w:qFormat/>
    <w:rsid w:val="0025391D"/>
    <w:pPr>
      <w:ind w:left="720"/>
      <w:contextualSpacing/>
    </w:pPr>
  </w:style>
  <w:style w:type="character" w:styleId="IntenseEmphasis">
    <w:name w:val="Intense Emphasis"/>
    <w:basedOn w:val="DefaultParagraphFont"/>
    <w:uiPriority w:val="21"/>
    <w:qFormat/>
    <w:rsid w:val="0025391D"/>
    <w:rPr>
      <w:i/>
      <w:iCs/>
      <w:color w:val="0F4761" w:themeColor="accent1" w:themeShade="BF"/>
    </w:rPr>
  </w:style>
  <w:style w:type="paragraph" w:styleId="IntenseQuote">
    <w:name w:val="Intense Quote"/>
    <w:basedOn w:val="Normal"/>
    <w:next w:val="Normal"/>
    <w:link w:val="IntenseQuoteChar"/>
    <w:uiPriority w:val="30"/>
    <w:qFormat/>
    <w:rsid w:val="0025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91D"/>
    <w:rPr>
      <w:i/>
      <w:iCs/>
      <w:color w:val="0F4761" w:themeColor="accent1" w:themeShade="BF"/>
    </w:rPr>
  </w:style>
  <w:style w:type="character" w:styleId="IntenseReference">
    <w:name w:val="Intense Reference"/>
    <w:basedOn w:val="DefaultParagraphFont"/>
    <w:uiPriority w:val="32"/>
    <w:qFormat/>
    <w:rsid w:val="0025391D"/>
    <w:rPr>
      <w:b/>
      <w:bCs/>
      <w:smallCaps/>
      <w:color w:val="0F4761" w:themeColor="accent1" w:themeShade="BF"/>
      <w:spacing w:val="5"/>
    </w:rPr>
  </w:style>
  <w:style w:type="paragraph" w:styleId="Header">
    <w:name w:val="header"/>
    <w:basedOn w:val="Normal"/>
    <w:link w:val="HeaderChar"/>
    <w:uiPriority w:val="99"/>
    <w:unhideWhenUsed/>
    <w:rsid w:val="0025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91D"/>
  </w:style>
  <w:style w:type="paragraph" w:styleId="Footer">
    <w:name w:val="footer"/>
    <w:basedOn w:val="Normal"/>
    <w:link w:val="FooterChar"/>
    <w:uiPriority w:val="99"/>
    <w:semiHidden/>
    <w:unhideWhenUsed/>
    <w:rsid w:val="002539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691" TargetMode="External"/><Relationship Id="rId13" Type="http://schemas.openxmlformats.org/officeDocument/2006/relationships/hyperlink" Target="https://popp.undp.org/node/415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tranet.undp.org/unit/bom/lso/SBAA%20Documents/Forms/AllItems.aspx" TargetMode="External"/><Relationship Id="rId12" Type="http://schemas.openxmlformats.org/officeDocument/2006/relationships/hyperlink" Target="http://web.undp.org/execbrd/archives/gcdecisions/GC%20Dec%20Org-Mt-Feb84%2031stSessJun84.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716" TargetMode="External"/><Relationship Id="rId5" Type="http://schemas.openxmlformats.org/officeDocument/2006/relationships/footnotes" Target="footnotes.xml"/><Relationship Id="rId15" Type="http://schemas.openxmlformats.org/officeDocument/2006/relationships/hyperlink" Target="https://popp.undp.org/node/2931" TargetMode="External"/><Relationship Id="rId10" Type="http://schemas.openxmlformats.org/officeDocument/2006/relationships/hyperlink" Target="https://view.officeapps.live.com/op/view.aspx?src=https%3A%2F%2Fwww.undp.org%2Fsites%2Fg%2Ffiles%2Fzskgke326%2Ffiles%2Fundp%2Flibrary%2Fcorporate%2FExecutive%2520Board%2F2013%2FAnnual-session%2FEnglish%2Fdp2013-30.doc&amp;wdOrigin=BROWSELIN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opp.undp.org/node/18916" TargetMode="External"/><Relationship Id="rId14" Type="http://schemas.openxmlformats.org/officeDocument/2006/relationships/hyperlink" Target="http://web.undp.org/execbrd/archives/gcdecisions/GC%20Dec%20Org-Mt-Feb84%2031stSessJun8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3547</Words>
  <Characters>20224</Characters>
  <Application>Microsoft Office Word</Application>
  <DocSecurity>0</DocSecurity>
  <Lines>168</Lines>
  <Paragraphs>47</Paragraphs>
  <ScaleCrop>false</ScaleCrop>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2026-06-17T02:57:00Z</dcterms:created>
  <dcterms:modified xsi:type="dcterms:W3CDTF">2026-06-17T03:01:00Z</dcterms:modified>
</cp:coreProperties>
</file>