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E922C" w14:textId="77777777" w:rsidR="00F92282" w:rsidRPr="00463346" w:rsidRDefault="00F92282" w:rsidP="00F92282">
      <w:pPr>
        <w:spacing w:after="122" w:line="259" w:lineRule="auto"/>
        <w:ind w:left="0" w:right="0" w:firstLine="0"/>
        <w:jc w:val="left"/>
        <w:rPr>
          <w:b/>
          <w:color w:val="auto"/>
          <w:sz w:val="28"/>
        </w:rPr>
      </w:pPr>
      <w:r w:rsidRPr="00463346">
        <w:rPr>
          <w:b/>
          <w:color w:val="auto"/>
          <w:sz w:val="28"/>
        </w:rPr>
        <w:t xml:space="preserve">Contribuciones de los Gobiernos para sufragar los gastos locales de las oficinas (GLOC) de países de ingresos bajos y medianos (LIC and MIC, </w:t>
      </w:r>
      <w:r w:rsidRPr="00463346">
        <w:rPr>
          <w:b/>
          <w:i/>
          <w:color w:val="auto"/>
          <w:sz w:val="28"/>
        </w:rPr>
        <w:t>Low- and Middle- Income Countries</w:t>
      </w:r>
      <w:r w:rsidRPr="00463346">
        <w:rPr>
          <w:b/>
          <w:color w:val="auto"/>
          <w:sz w:val="28"/>
        </w:rPr>
        <w:t xml:space="preserve">, por sus siglas en inglés) </w:t>
      </w:r>
    </w:p>
    <w:p w14:paraId="1DDA6FD6" w14:textId="77777777" w:rsidR="00F92282" w:rsidRPr="00463346" w:rsidRDefault="00F92282" w:rsidP="00F92282">
      <w:pPr>
        <w:spacing w:after="122" w:line="259" w:lineRule="auto"/>
        <w:ind w:left="0" w:right="0" w:firstLine="0"/>
        <w:rPr>
          <w:color w:val="auto"/>
        </w:rPr>
      </w:pPr>
      <w:r w:rsidRPr="00463346">
        <w:rPr>
          <w:b/>
          <w:color w:val="auto"/>
        </w:rPr>
        <w:t>Marco Legal</w:t>
      </w:r>
    </w:p>
    <w:p w14:paraId="60013404" w14:textId="77777777" w:rsidR="00F92282" w:rsidRPr="00463346" w:rsidRDefault="00F92282" w:rsidP="00F92282">
      <w:pPr>
        <w:numPr>
          <w:ilvl w:val="0"/>
          <w:numId w:val="1"/>
        </w:numPr>
        <w:ind w:left="360" w:right="159" w:hanging="360"/>
        <w:rPr>
          <w:color w:val="auto"/>
        </w:rPr>
      </w:pPr>
      <w:r w:rsidRPr="00463346">
        <w:rPr>
          <w:color w:val="auto"/>
        </w:rPr>
        <w:t xml:space="preserve">De conformidad con las disposiciones del Acuerdo Básico Modelo de Asistencia (SBAA, </w:t>
      </w:r>
      <w:r w:rsidRPr="00463346">
        <w:rPr>
          <w:i/>
          <w:iCs/>
          <w:color w:val="auto"/>
        </w:rPr>
        <w:t>Standard Basic Assistance Agreement</w:t>
      </w:r>
      <w:r w:rsidRPr="00463346">
        <w:rPr>
          <w:color w:val="auto"/>
        </w:rPr>
        <w:t xml:space="preserve">, por sus siglas en inglés) que rigen las operaciones del PNUD (Programa de las Naciones Unidas para el Desarrollo) en los países en que se ejecuta un programa, se espera que los Gobiernos del país receptor realicen contribuciones para los gastos locales de las oficinas del país. Según el Artículo VI - Párrafos 4 y 5 del </w:t>
      </w:r>
      <w:hyperlink r:id="rId12" w:history="1">
        <w:r w:rsidRPr="00463346">
          <w:rPr>
            <w:rStyle w:val="Hyperlink"/>
          </w:rPr>
          <w:t>SBAA</w:t>
        </w:r>
      </w:hyperlink>
      <w:r w:rsidRPr="00463346">
        <w:rPr>
          <w:color w:val="auto"/>
        </w:rPr>
        <w:t>:</w:t>
      </w:r>
    </w:p>
    <w:p w14:paraId="29355E0A" w14:textId="77777777" w:rsidR="00F92282" w:rsidRPr="00463346" w:rsidRDefault="00F92282" w:rsidP="00F92282">
      <w:pPr>
        <w:ind w:left="1075" w:right="159"/>
        <w:rPr>
          <w:i/>
          <w:color w:val="auto"/>
        </w:rPr>
      </w:pPr>
    </w:p>
    <w:p w14:paraId="7F655E46" w14:textId="77777777" w:rsidR="00F92282" w:rsidRPr="00463346" w:rsidRDefault="00F92282" w:rsidP="00F92282">
      <w:pPr>
        <w:shd w:val="clear" w:color="auto" w:fill="FFFFFF"/>
        <w:spacing w:after="120" w:line="240" w:lineRule="auto"/>
        <w:ind w:left="1075"/>
        <w:textAlignment w:val="top"/>
        <w:rPr>
          <w:rFonts w:eastAsia="Times New Roman" w:cs="Arial"/>
          <w:i/>
          <w:color w:val="auto"/>
        </w:rPr>
      </w:pPr>
      <w:r w:rsidRPr="00463346">
        <w:rPr>
          <w:i/>
          <w:iCs/>
          <w:color w:val="auto"/>
        </w:rPr>
        <w:t>«4. El Gobierno también deberá contribuir a sufragar los gastos de mantenimiento de la misión del Programa de las Naciones Unidas para el Desarrollo (PNUD) en el país pagando anualmente al PNUD una suma fija acordada mutuamente entre las partes para ayudar a cubrir los siguientes gastos:</w:t>
      </w:r>
    </w:p>
    <w:p w14:paraId="6EDEAFEB" w14:textId="77777777" w:rsidR="00F92282" w:rsidRPr="00463346" w:rsidRDefault="00F92282" w:rsidP="00F92282">
      <w:pPr>
        <w:pStyle w:val="ListParagraph"/>
        <w:numPr>
          <w:ilvl w:val="0"/>
          <w:numId w:val="3"/>
        </w:numPr>
        <w:shd w:val="clear" w:color="auto" w:fill="FFFFFF"/>
        <w:spacing w:after="160" w:line="276" w:lineRule="auto"/>
        <w:ind w:right="0"/>
        <w:textAlignment w:val="top"/>
        <w:rPr>
          <w:rFonts w:eastAsia="Times New Roman" w:cs="Arial"/>
          <w:i/>
          <w:color w:val="auto"/>
        </w:rPr>
      </w:pPr>
      <w:r w:rsidRPr="00463346">
        <w:rPr>
          <w:i/>
          <w:iCs/>
          <w:color w:val="auto"/>
        </w:rPr>
        <w:t>Una oficina apropiada con equipo y suministros, adecuada para servir como sede local del PNUD en el país;</w:t>
      </w:r>
    </w:p>
    <w:p w14:paraId="700FBA63" w14:textId="77777777" w:rsidR="00F92282" w:rsidRPr="00463346" w:rsidRDefault="00F92282" w:rsidP="00F92282">
      <w:pPr>
        <w:pStyle w:val="ListParagraph"/>
        <w:numPr>
          <w:ilvl w:val="0"/>
          <w:numId w:val="3"/>
        </w:numPr>
        <w:shd w:val="clear" w:color="auto" w:fill="FFFFFF"/>
        <w:spacing w:after="160" w:line="276" w:lineRule="auto"/>
        <w:ind w:right="0"/>
        <w:textAlignment w:val="top"/>
        <w:rPr>
          <w:rFonts w:eastAsia="Times New Roman" w:cs="Arial"/>
          <w:i/>
          <w:color w:val="auto"/>
        </w:rPr>
      </w:pPr>
      <w:r w:rsidRPr="00463346">
        <w:rPr>
          <w:i/>
          <w:iCs/>
          <w:color w:val="auto"/>
        </w:rPr>
        <w:t>Asistencia administrativa y de secretaría apropiada, intérpretes, traductores y asistencia relacionada;</w:t>
      </w:r>
    </w:p>
    <w:p w14:paraId="266E5716" w14:textId="77777777" w:rsidR="00F92282" w:rsidRPr="00463346" w:rsidRDefault="00F92282" w:rsidP="00F92282">
      <w:pPr>
        <w:pStyle w:val="ListParagraph"/>
        <w:numPr>
          <w:ilvl w:val="0"/>
          <w:numId w:val="3"/>
        </w:numPr>
        <w:shd w:val="clear" w:color="auto" w:fill="FFFFFF"/>
        <w:spacing w:after="160" w:line="276" w:lineRule="auto"/>
        <w:ind w:right="0"/>
        <w:textAlignment w:val="top"/>
        <w:rPr>
          <w:rFonts w:eastAsia="Times New Roman" w:cs="Arial"/>
          <w:i/>
          <w:color w:val="auto"/>
        </w:rPr>
      </w:pPr>
      <w:r w:rsidRPr="00463346">
        <w:rPr>
          <w:i/>
          <w:iCs/>
          <w:color w:val="auto"/>
        </w:rPr>
        <w:t>Transporte del representante residente y su personal para fines oficiales dentro del país;</w:t>
      </w:r>
    </w:p>
    <w:p w14:paraId="720FA8DA" w14:textId="77777777" w:rsidR="00F92282" w:rsidRPr="00463346" w:rsidRDefault="00F92282" w:rsidP="00F92282">
      <w:pPr>
        <w:pStyle w:val="ListParagraph"/>
        <w:numPr>
          <w:ilvl w:val="0"/>
          <w:numId w:val="3"/>
        </w:numPr>
        <w:shd w:val="clear" w:color="auto" w:fill="FFFFFF"/>
        <w:spacing w:after="160" w:line="276" w:lineRule="auto"/>
        <w:ind w:right="0"/>
        <w:textAlignment w:val="top"/>
        <w:rPr>
          <w:rFonts w:eastAsia="Times New Roman" w:cs="Arial"/>
          <w:i/>
          <w:color w:val="auto"/>
        </w:rPr>
      </w:pPr>
      <w:r w:rsidRPr="00463346">
        <w:rPr>
          <w:i/>
          <w:iCs/>
          <w:color w:val="auto"/>
        </w:rPr>
        <w:t>Envío postal y telecomunicaciones con fines oficiales y</w:t>
      </w:r>
    </w:p>
    <w:p w14:paraId="5DCDA66F" w14:textId="77777777" w:rsidR="00F92282" w:rsidRPr="00463346" w:rsidRDefault="00F92282" w:rsidP="00F92282">
      <w:pPr>
        <w:pStyle w:val="ListParagraph"/>
        <w:numPr>
          <w:ilvl w:val="0"/>
          <w:numId w:val="3"/>
        </w:numPr>
        <w:shd w:val="clear" w:color="auto" w:fill="FFFFFF"/>
        <w:spacing w:after="160" w:line="276" w:lineRule="auto"/>
        <w:ind w:right="0"/>
        <w:textAlignment w:val="top"/>
        <w:rPr>
          <w:rFonts w:eastAsia="Times New Roman" w:cs="Arial"/>
          <w:i/>
          <w:color w:val="auto"/>
        </w:rPr>
      </w:pPr>
      <w:r w:rsidRPr="00463346">
        <w:rPr>
          <w:i/>
          <w:iCs/>
          <w:color w:val="auto"/>
        </w:rPr>
        <w:t>Dietas para el representante residente y su personal mientras se encuentren en viajes oficiales dentro del país.</w:t>
      </w:r>
    </w:p>
    <w:p w14:paraId="3576D840" w14:textId="77777777" w:rsidR="00F92282" w:rsidRDefault="00F92282" w:rsidP="00F92282">
      <w:pPr>
        <w:shd w:val="clear" w:color="auto" w:fill="FFFFFF"/>
        <w:spacing w:after="0" w:line="240" w:lineRule="auto"/>
        <w:ind w:left="1075"/>
        <w:textAlignment w:val="top"/>
        <w:rPr>
          <w:i/>
          <w:iCs/>
          <w:color w:val="auto"/>
        </w:rPr>
      </w:pPr>
      <w:r w:rsidRPr="00463346">
        <w:rPr>
          <w:i/>
          <w:iCs/>
          <w:color w:val="auto"/>
        </w:rPr>
        <w:t xml:space="preserve">5. El Gobierno tendrá la opción de proporcionar </w:t>
      </w:r>
      <w:r w:rsidRPr="00463346">
        <w:rPr>
          <w:bCs/>
          <w:i/>
          <w:iCs/>
          <w:color w:val="auto"/>
        </w:rPr>
        <w:t>en especie</w:t>
      </w:r>
      <w:r w:rsidRPr="00463346">
        <w:rPr>
          <w:i/>
          <w:iCs/>
          <w:color w:val="auto"/>
        </w:rPr>
        <w:t xml:space="preserve"> los recursos mencionados en el punto 4 anterior, con excepción de los puntos (b) y (e)».</w:t>
      </w:r>
    </w:p>
    <w:p w14:paraId="2B52E69E" w14:textId="77777777" w:rsidR="00F92282" w:rsidRDefault="00F92282" w:rsidP="00F92282">
      <w:pPr>
        <w:shd w:val="clear" w:color="auto" w:fill="FFFFFF"/>
        <w:spacing w:after="0" w:line="240" w:lineRule="auto"/>
        <w:ind w:left="1075"/>
        <w:textAlignment w:val="top"/>
        <w:rPr>
          <w:i/>
          <w:iCs/>
          <w:color w:val="auto"/>
        </w:rPr>
      </w:pPr>
    </w:p>
    <w:p w14:paraId="26660D4C" w14:textId="77777777" w:rsidR="00F92282" w:rsidRPr="00923348" w:rsidRDefault="00F92282" w:rsidP="00F92282">
      <w:pPr>
        <w:pStyle w:val="ListParagraph"/>
        <w:numPr>
          <w:ilvl w:val="0"/>
          <w:numId w:val="4"/>
        </w:numPr>
        <w:shd w:val="clear" w:color="auto" w:fill="FFFFFF" w:themeFill="background1"/>
        <w:spacing w:after="0" w:line="240" w:lineRule="auto"/>
        <w:ind w:left="360" w:right="0"/>
        <w:rPr>
          <w:rFonts w:eastAsia="Times New Roman" w:cs="Arial"/>
          <w:color w:val="auto"/>
        </w:rPr>
      </w:pPr>
      <w:r w:rsidRPr="004E31E3">
        <w:rPr>
          <w:color w:val="auto"/>
        </w:rPr>
        <w:t>Cuando no exista un SBAA (es decir, cuando el Fondo Especial o el Acuerdo de Asistencia Técnica todavía este en uso), se debe implementar un anexo estándar (Disposiciones suplementarias) al documento del proyecto (</w:t>
      </w:r>
      <w:hyperlink r:id="rId13">
        <w:r w:rsidRPr="00463346">
          <w:rPr>
            <w:rStyle w:val="Hyperlink"/>
            <w:color w:val="0070C0"/>
          </w:rPr>
          <w:t>Anexo Estándar al Documento del Proyecto</w:t>
        </w:r>
      </w:hyperlink>
      <w:r w:rsidRPr="004E31E3">
        <w:rPr>
          <w:color w:val="auto"/>
        </w:rPr>
        <w:t>).</w:t>
      </w:r>
    </w:p>
    <w:p w14:paraId="3418E48B" w14:textId="77777777" w:rsidR="00F92282" w:rsidRPr="004E31E3" w:rsidRDefault="00F92282" w:rsidP="00F92282">
      <w:pPr>
        <w:shd w:val="clear" w:color="auto" w:fill="FFFFFF" w:themeFill="background1"/>
        <w:spacing w:after="0" w:line="240" w:lineRule="auto"/>
        <w:ind w:left="360" w:right="0"/>
        <w:rPr>
          <w:color w:val="auto"/>
        </w:rPr>
      </w:pPr>
    </w:p>
    <w:p w14:paraId="3A046A5C" w14:textId="77777777" w:rsidR="00F92282" w:rsidRPr="004E31E3" w:rsidRDefault="00F92282" w:rsidP="00F92282">
      <w:pPr>
        <w:pStyle w:val="ListParagraph"/>
        <w:numPr>
          <w:ilvl w:val="0"/>
          <w:numId w:val="4"/>
        </w:numPr>
        <w:shd w:val="clear" w:color="auto" w:fill="FFFFFF" w:themeFill="background1"/>
        <w:spacing w:after="0" w:line="240" w:lineRule="auto"/>
        <w:ind w:left="360" w:right="0"/>
        <w:rPr>
          <w:color w:val="auto"/>
        </w:rPr>
      </w:pPr>
      <w:r w:rsidRPr="004E31E3">
        <w:t>Las contribuciones de GLOC (</w:t>
      </w:r>
      <w:r w:rsidRPr="00463346">
        <w:rPr>
          <w:i/>
          <w:iCs/>
        </w:rPr>
        <w:t>Government Contribution to Local Office Costs</w:t>
      </w:r>
      <w:r w:rsidRPr="004E31E3">
        <w:t xml:space="preserve">, por sus siglas en inglés) son una fuente importante de financiamiento para el presupuesto institucional central de las </w:t>
      </w:r>
      <w:r>
        <w:t>O</w:t>
      </w:r>
      <w:r w:rsidRPr="004E31E3">
        <w:t xml:space="preserve">ficinas </w:t>
      </w:r>
      <w:r>
        <w:t xml:space="preserve">de País </w:t>
      </w:r>
      <w:r w:rsidRPr="004E31E3">
        <w:t xml:space="preserve">y su utilización está sujeta a las Regulaciones y Reglas Financieras del PNUD. Todas las contribuciones GLOC recibidas de los gobiernos anfitriones se asignan completamente a las Oficinas de País. Las </w:t>
      </w:r>
      <w:r>
        <w:t>Oficinas de Paí</w:t>
      </w:r>
      <w:r w:rsidRPr="004E31E3">
        <w:t>s retienen y utilizan las contribuciones GLOC recaudadas para los gastos de la oficina local, incluido el personal contratado localmente y los gastos operativos. Cualquier déficit en la recolección de GLOC tendrá un impacto negativo en el total de recursos institucionales disponibles para una Oficina de País.</w:t>
      </w:r>
    </w:p>
    <w:p w14:paraId="5671184C"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4BBE0362" w14:textId="77777777" w:rsidR="00F92282" w:rsidRPr="00463346" w:rsidRDefault="00F92282" w:rsidP="00F92282">
      <w:pPr>
        <w:pStyle w:val="ListParagraph"/>
        <w:shd w:val="clear" w:color="auto" w:fill="FFFFFF"/>
        <w:spacing w:after="0" w:line="240" w:lineRule="auto"/>
        <w:ind w:left="360" w:right="0" w:firstLine="0"/>
        <w:textAlignment w:val="top"/>
        <w:rPr>
          <w:rFonts w:eastAsia="Times New Roman" w:cs="Arial"/>
          <w:b/>
          <w:color w:val="auto"/>
          <w:u w:val="single"/>
        </w:rPr>
      </w:pPr>
      <w:r w:rsidRPr="00463346">
        <w:rPr>
          <w:rFonts w:eastAsia="Times New Roman" w:cs="Arial"/>
          <w:b/>
          <w:color w:val="auto"/>
          <w:u w:val="single"/>
        </w:rPr>
        <w:t>Alcance</w:t>
      </w:r>
    </w:p>
    <w:p w14:paraId="5394B665"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b/>
          <w:color w:val="auto"/>
          <w:u w:val="single"/>
        </w:rPr>
      </w:pPr>
    </w:p>
    <w:p w14:paraId="0B261AD5" w14:textId="0707F8D0" w:rsidR="00F92282" w:rsidRPr="00463346" w:rsidRDefault="00F92282" w:rsidP="00F92282">
      <w:pPr>
        <w:pStyle w:val="ListParagraph"/>
        <w:numPr>
          <w:ilvl w:val="0"/>
          <w:numId w:val="4"/>
        </w:numPr>
        <w:shd w:val="clear" w:color="auto" w:fill="FFFFFF"/>
        <w:spacing w:after="0" w:line="240" w:lineRule="auto"/>
        <w:ind w:left="360" w:right="0"/>
        <w:textAlignment w:val="top"/>
        <w:rPr>
          <w:rFonts w:eastAsia="Times New Roman" w:cs="Arial"/>
          <w:color w:val="auto"/>
        </w:rPr>
      </w:pPr>
      <w:r w:rsidRPr="00495DC0">
        <w:rPr>
          <w:rFonts w:eastAsia="Times New Roman" w:cs="Arial"/>
          <w:color w:val="auto"/>
        </w:rPr>
        <w:t xml:space="preserve">Esta política </w:t>
      </w:r>
      <w:r w:rsidRPr="00495DC0">
        <w:rPr>
          <w:rFonts w:eastAsia="Times New Roman" w:cs="Arial"/>
          <w:b/>
          <w:bCs/>
          <w:color w:val="auto"/>
        </w:rPr>
        <w:t>solo</w:t>
      </w:r>
      <w:r w:rsidRPr="00495DC0">
        <w:rPr>
          <w:rFonts w:eastAsia="Times New Roman" w:cs="Arial"/>
          <w:color w:val="auto"/>
        </w:rPr>
        <w:t xml:space="preserve"> es aplicable a los países clasificados como categorías de ingresos bajos y medios </w:t>
      </w:r>
      <w:r w:rsidRPr="00075B65">
        <w:rPr>
          <w:rFonts w:eastAsia="Times New Roman" w:cs="Arial"/>
          <w:color w:val="auto"/>
        </w:rPr>
        <w:t>(LIC and MIC, por sus siglas en inglés) para un período de informe.</w:t>
      </w:r>
      <w:r w:rsidRPr="00923348">
        <w:rPr>
          <w:rFonts w:eastAsia="Times New Roman" w:cs="Arial"/>
          <w:color w:val="auto"/>
        </w:rPr>
        <w:t xml:space="preserve"> No se aplica a los países contribuyentes netos (NCC) ni a los países de ingresos medios altos que están regulados según la decisión</w:t>
      </w:r>
      <w:r>
        <w:rPr>
          <w:rFonts w:eastAsia="Times New Roman" w:cs="Arial"/>
          <w:color w:val="auto"/>
        </w:rPr>
        <w:t xml:space="preserve"> del</w:t>
      </w:r>
      <w:r w:rsidRPr="00923348">
        <w:rPr>
          <w:rFonts w:eastAsia="Times New Roman" w:cs="Arial"/>
          <w:color w:val="auto"/>
        </w:rPr>
        <w:t xml:space="preserve"> EB (</w:t>
      </w:r>
      <w:hyperlink r:id="rId14">
        <w:r w:rsidRPr="00923348">
          <w:rPr>
            <w:rStyle w:val="Hyperlink"/>
            <w:rFonts w:eastAsia="Times New Roman" w:cs="Arial"/>
          </w:rPr>
          <w:t>2013/30</w:t>
        </w:r>
      </w:hyperlink>
      <w:r w:rsidRPr="004E31E3">
        <w:rPr>
          <w:rFonts w:eastAsia="Times New Roman" w:cs="Arial"/>
          <w:color w:val="auto"/>
        </w:rPr>
        <w:t>) sobre la financiación de presencia física diferenciada (</w:t>
      </w:r>
      <w:hyperlink r:id="rId15">
        <w:r w:rsidRPr="00923348">
          <w:rPr>
            <w:rStyle w:val="Hyperlink"/>
            <w:rFonts w:eastAsia="Times New Roman" w:cs="Arial"/>
          </w:rPr>
          <w:t>DP/2013/45</w:t>
        </w:r>
      </w:hyperlink>
      <w:r w:rsidRPr="004E31E3">
        <w:rPr>
          <w:rFonts w:eastAsia="Times New Roman" w:cs="Arial"/>
          <w:color w:val="auto"/>
        </w:rPr>
        <w:t>).</w:t>
      </w:r>
    </w:p>
    <w:p w14:paraId="4FE0248F" w14:textId="77777777" w:rsidR="00F92282" w:rsidRPr="00463346" w:rsidRDefault="00F92282" w:rsidP="00F92282">
      <w:pPr>
        <w:shd w:val="clear" w:color="auto" w:fill="FFFFFF"/>
        <w:tabs>
          <w:tab w:val="left" w:pos="2943"/>
        </w:tabs>
        <w:spacing w:after="0" w:line="240" w:lineRule="auto"/>
        <w:ind w:right="0"/>
        <w:textAlignment w:val="top"/>
        <w:rPr>
          <w:rFonts w:eastAsia="Times New Roman" w:cs="Arial"/>
          <w:color w:val="auto"/>
        </w:rPr>
      </w:pPr>
      <w:r>
        <w:rPr>
          <w:rFonts w:eastAsia="Times New Roman" w:cs="Arial"/>
          <w:color w:val="auto"/>
        </w:rPr>
        <w:tab/>
      </w:r>
      <w:r>
        <w:rPr>
          <w:rFonts w:eastAsia="Times New Roman" w:cs="Arial"/>
          <w:color w:val="auto"/>
        </w:rPr>
        <w:tab/>
      </w:r>
    </w:p>
    <w:p w14:paraId="64E77137" w14:textId="77777777" w:rsidR="00F92282" w:rsidRPr="00463346" w:rsidRDefault="00F92282" w:rsidP="00F92282">
      <w:pPr>
        <w:shd w:val="clear" w:color="auto" w:fill="FFFFFF"/>
        <w:spacing w:after="0" w:line="240" w:lineRule="auto"/>
        <w:ind w:right="0"/>
        <w:textAlignment w:val="top"/>
        <w:rPr>
          <w:rFonts w:eastAsia="Times New Roman" w:cs="Arial"/>
          <w:b/>
          <w:color w:val="auto"/>
          <w:u w:val="single"/>
        </w:rPr>
      </w:pPr>
      <w:r w:rsidRPr="00463346">
        <w:rPr>
          <w:rFonts w:eastAsia="Times New Roman" w:cs="Arial"/>
          <w:b/>
          <w:color w:val="auto"/>
          <w:u w:val="single"/>
        </w:rPr>
        <w:t>El sistema de exención GLOC</w:t>
      </w:r>
    </w:p>
    <w:p w14:paraId="1DEF4112" w14:textId="77777777" w:rsidR="00F92282" w:rsidRPr="00463346" w:rsidRDefault="00F92282" w:rsidP="00F92282">
      <w:pPr>
        <w:shd w:val="clear" w:color="auto" w:fill="FFFFFF"/>
        <w:spacing w:after="0" w:line="240" w:lineRule="auto"/>
        <w:ind w:left="1090" w:right="0"/>
        <w:textAlignment w:val="top"/>
        <w:rPr>
          <w:rFonts w:eastAsia="Times New Roman" w:cs="Arial"/>
          <w:b/>
          <w:color w:val="auto"/>
          <w:u w:val="single"/>
        </w:rPr>
      </w:pPr>
    </w:p>
    <w:p w14:paraId="7EA00D34" w14:textId="77777777" w:rsidR="00F92282" w:rsidRPr="00463346" w:rsidRDefault="00F92282" w:rsidP="00F92282">
      <w:pPr>
        <w:pStyle w:val="ListParagraph"/>
        <w:numPr>
          <w:ilvl w:val="0"/>
          <w:numId w:val="6"/>
        </w:numPr>
        <w:shd w:val="clear" w:color="auto" w:fill="FFFFFF"/>
        <w:spacing w:after="0" w:line="240" w:lineRule="auto"/>
        <w:ind w:left="360" w:right="0"/>
        <w:textAlignment w:val="top"/>
        <w:rPr>
          <w:rFonts w:eastAsia="Times New Roman" w:cs="Arial"/>
          <w:color w:val="auto"/>
        </w:rPr>
      </w:pPr>
      <w:r w:rsidRPr="00463346">
        <w:rPr>
          <w:rFonts w:eastAsia="Times New Roman" w:cs="Arial"/>
          <w:color w:val="auto"/>
        </w:rPr>
        <w:lastRenderedPageBreak/>
        <w:t xml:space="preserve">En su decisión </w:t>
      </w:r>
      <w:hyperlink r:id="rId16" w:history="1">
        <w:r w:rsidRPr="00463346">
          <w:rPr>
            <w:rStyle w:val="Hyperlink"/>
            <w:rFonts w:eastAsia="Times New Roman" w:cs="Arial"/>
          </w:rPr>
          <w:t>84/9</w:t>
        </w:r>
      </w:hyperlink>
      <w:r w:rsidRPr="00463346">
        <w:rPr>
          <w:rFonts w:eastAsia="Times New Roman" w:cs="Arial"/>
          <w:color w:val="auto"/>
        </w:rPr>
        <w:t>, el Consejo de Administración del PNUD reconoció que las condiciones económicas locales pueden afectar la capacidad de los países del programa para cumplir con su obligación de cubrir los gastos de las oficinas locales. Como resultado, autorizó al Administrador a renunciar a la obligación, en parte, cuando las condiciones económicas así lo justificaran. A este respecto, se desarrolló un sistema de exenciones basado en el Producto Nacional Bruto per cápita (luego reemplazado por el Ingreso Nacional Bruto [INB] per cápita). Aun así, se alienta a los gobiernos del país anfitrión a pagar la mayor cantidad posible del gasto total de la oficina. El sistema de exención se ajusta durante cada ciclo del programa teniendo en cuenta el INB per cápita del año base correspondiente.</w:t>
      </w:r>
    </w:p>
    <w:p w14:paraId="5D277089"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4D15204B" w14:textId="684656EF" w:rsidR="00F92282" w:rsidRPr="00463346" w:rsidRDefault="000158A4" w:rsidP="00F92282">
      <w:pPr>
        <w:pStyle w:val="ListParagraph"/>
        <w:numPr>
          <w:ilvl w:val="0"/>
          <w:numId w:val="7"/>
        </w:numPr>
        <w:shd w:val="clear" w:color="auto" w:fill="FFFFFF"/>
        <w:spacing w:after="0" w:line="240" w:lineRule="auto"/>
        <w:ind w:left="360" w:right="0"/>
        <w:textAlignment w:val="top"/>
        <w:rPr>
          <w:rFonts w:eastAsia="Times New Roman" w:cs="Arial"/>
          <w:color w:val="auto"/>
        </w:rPr>
      </w:pPr>
      <w:r w:rsidRPr="000158A4">
        <w:rPr>
          <w:rFonts w:eastAsia="Times New Roman" w:cs="Arial"/>
          <w:color w:val="auto"/>
        </w:rPr>
        <w:t>El Consejo Ejecutivo estableció en la decisión 2012/28 que habría un sistema de actualizaciones bienales. En este sentido, se aplicará un enfoque cuatrienal para el promedio de la RNB per cápita, aplicando la RNB per cápita media de los años 2016-2019 a los dos primeros años del Presupuesto Integrado, 2022-2023, y la RNB per cápita media de los años 2018-2021 a los dos últimos años del Presupuesto Integrado, 2024-2025. Por lo tanto, el sistema de exenciones para el cálculo de los objetivos de los gastos de oficina local en 2023 se basa en la RNB per cápita media de 2016-2019 según el Plan Integrado de Recursos del PNUD y las Estimaciones del Presupuesto Integrado para 2022-2025, Anexo I, cuadro 4c.ii - Contribuciones de los gobiernos a las exenciones de los gastos de oficina local para 2022-2023, DP/2021/29).</w:t>
      </w:r>
    </w:p>
    <w:p w14:paraId="3E84C5FF" w14:textId="77777777" w:rsidR="00F92282" w:rsidRPr="00463346" w:rsidRDefault="00F92282" w:rsidP="00F92282">
      <w:pPr>
        <w:shd w:val="clear" w:color="auto" w:fill="FFFFFF"/>
        <w:spacing w:after="0" w:line="240" w:lineRule="auto"/>
        <w:ind w:right="0"/>
        <w:textAlignment w:val="top"/>
        <w:rPr>
          <w:rFonts w:eastAsia="Times New Roman" w:cs="Arial"/>
          <w:color w:val="auto"/>
        </w:rPr>
      </w:pPr>
    </w:p>
    <w:tbl>
      <w:tblPr>
        <w:tblW w:w="8741" w:type="dxa"/>
        <w:tblInd w:w="625" w:type="dxa"/>
        <w:tblLayout w:type="fixed"/>
        <w:tblLook w:val="0000" w:firstRow="0" w:lastRow="0" w:firstColumn="0" w:lastColumn="0" w:noHBand="0" w:noVBand="0"/>
      </w:tblPr>
      <w:tblGrid>
        <w:gridCol w:w="4140"/>
        <w:gridCol w:w="1888"/>
        <w:gridCol w:w="2713"/>
      </w:tblGrid>
      <w:tr w:rsidR="00F92282" w:rsidRPr="004E31E3" w14:paraId="031F9EC2" w14:textId="77777777" w:rsidTr="00310723">
        <w:trPr>
          <w:trHeight w:val="531"/>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C6B75AE" w14:textId="77777777" w:rsidR="000158A4" w:rsidRPr="000158A4" w:rsidRDefault="000158A4" w:rsidP="000158A4">
            <w:pPr>
              <w:spacing w:after="0"/>
              <w:ind w:left="0" w:firstLine="0"/>
              <w:jc w:val="center"/>
              <w:rPr>
                <w:color w:val="auto"/>
                <w:spacing w:val="-2"/>
              </w:rPr>
            </w:pPr>
            <w:r w:rsidRPr="000158A4">
              <w:rPr>
                <w:color w:val="auto"/>
                <w:spacing w:val="-2"/>
              </w:rPr>
              <w:t>2016-2019</w:t>
            </w:r>
          </w:p>
          <w:p w14:paraId="2759DB64" w14:textId="2915C1A4" w:rsidR="00F92282" w:rsidRPr="00463346" w:rsidRDefault="000158A4" w:rsidP="000158A4">
            <w:pPr>
              <w:spacing w:after="0"/>
              <w:jc w:val="center"/>
              <w:rPr>
                <w:color w:val="auto"/>
              </w:rPr>
            </w:pPr>
            <w:r>
              <w:rPr>
                <w:color w:val="auto"/>
                <w:spacing w:val="-2"/>
              </w:rPr>
              <w:t>I</w:t>
            </w:r>
            <w:r w:rsidRPr="000158A4">
              <w:rPr>
                <w:color w:val="auto"/>
                <w:spacing w:val="-2"/>
              </w:rPr>
              <w:t>NB per cápita media, USD</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3D425761" w14:textId="77777777" w:rsidR="00F92282" w:rsidRPr="00463346" w:rsidRDefault="00F92282" w:rsidP="00310723">
            <w:pPr>
              <w:spacing w:after="0"/>
              <w:ind w:left="360"/>
              <w:jc w:val="center"/>
              <w:rPr>
                <w:color w:val="auto"/>
              </w:rPr>
            </w:pPr>
            <w:r w:rsidRPr="00463346">
              <w:rPr>
                <w:color w:val="auto"/>
                <w:spacing w:val="-2"/>
              </w:rPr>
              <w:t>Porcentaje de Exención</w:t>
            </w:r>
          </w:p>
        </w:tc>
        <w:tc>
          <w:tcPr>
            <w:tcW w:w="2713" w:type="dxa"/>
            <w:tcBorders>
              <w:top w:val="single" w:sz="4" w:space="0" w:color="auto"/>
              <w:left w:val="single" w:sz="4" w:space="0" w:color="auto"/>
              <w:bottom w:val="single" w:sz="4" w:space="0" w:color="auto"/>
              <w:right w:val="single" w:sz="4" w:space="0" w:color="auto"/>
            </w:tcBorders>
            <w:shd w:val="clear" w:color="auto" w:fill="auto"/>
            <w:vAlign w:val="center"/>
          </w:tcPr>
          <w:p w14:paraId="351F0C17" w14:textId="77777777" w:rsidR="00F92282" w:rsidRPr="00463346" w:rsidRDefault="00F92282" w:rsidP="00310723">
            <w:pPr>
              <w:spacing w:after="0"/>
              <w:ind w:left="360"/>
              <w:jc w:val="center"/>
              <w:rPr>
                <w:color w:val="auto"/>
              </w:rPr>
            </w:pPr>
            <w:r w:rsidRPr="00463346">
              <w:rPr>
                <w:color w:val="auto"/>
                <w:spacing w:val="-2"/>
              </w:rPr>
              <w:t>Categoría de ingresos</w:t>
            </w:r>
          </w:p>
        </w:tc>
      </w:tr>
      <w:tr w:rsidR="00F92282" w:rsidRPr="004E31E3" w14:paraId="79613552" w14:textId="77777777" w:rsidTr="00310723">
        <w:trPr>
          <w:trHeight w:val="302"/>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F1A2821" w14:textId="5494F224" w:rsidR="00F92282" w:rsidRPr="00463346" w:rsidRDefault="00F92282" w:rsidP="00310723">
            <w:pPr>
              <w:spacing w:after="0"/>
              <w:ind w:left="360"/>
              <w:rPr>
                <w:color w:val="auto"/>
              </w:rPr>
            </w:pPr>
            <w:r w:rsidRPr="00463346">
              <w:rPr>
                <w:color w:val="auto"/>
              </w:rPr>
              <w:t>$ 1.28</w:t>
            </w:r>
            <w:r w:rsidR="000158A4">
              <w:rPr>
                <w:color w:val="auto"/>
              </w:rPr>
              <w:t>6</w:t>
            </w:r>
            <w:r w:rsidRPr="00463346">
              <w:rPr>
                <w:color w:val="auto"/>
              </w:rPr>
              <w:t xml:space="preserve"> y menos</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598267E9" w14:textId="77777777" w:rsidR="00F92282" w:rsidRPr="00463346" w:rsidRDefault="00F92282" w:rsidP="00310723">
            <w:pPr>
              <w:spacing w:after="0"/>
              <w:ind w:left="360"/>
              <w:rPr>
                <w:color w:val="auto"/>
              </w:rPr>
            </w:pPr>
            <w:r w:rsidRPr="00463346">
              <w:rPr>
                <w:color w:val="auto"/>
              </w:rPr>
              <w:t>75%</w:t>
            </w:r>
          </w:p>
        </w:tc>
        <w:tc>
          <w:tcPr>
            <w:tcW w:w="2713" w:type="dxa"/>
            <w:tcBorders>
              <w:top w:val="single" w:sz="4" w:space="0" w:color="auto"/>
              <w:left w:val="single" w:sz="4" w:space="0" w:color="auto"/>
              <w:bottom w:val="single" w:sz="4" w:space="0" w:color="auto"/>
              <w:right w:val="single" w:sz="4" w:space="0" w:color="auto"/>
            </w:tcBorders>
            <w:shd w:val="clear" w:color="auto" w:fill="auto"/>
            <w:vAlign w:val="center"/>
          </w:tcPr>
          <w:p w14:paraId="7AD93207" w14:textId="77777777" w:rsidR="00F92282" w:rsidRPr="00463346" w:rsidRDefault="00F92282" w:rsidP="00310723">
            <w:pPr>
              <w:spacing w:after="0"/>
              <w:ind w:left="360"/>
              <w:rPr>
                <w:color w:val="auto"/>
              </w:rPr>
            </w:pPr>
            <w:r w:rsidRPr="00463346">
              <w:rPr>
                <w:color w:val="auto"/>
              </w:rPr>
              <w:t>País de bajo ingreso</w:t>
            </w:r>
          </w:p>
        </w:tc>
      </w:tr>
      <w:tr w:rsidR="00F92282" w:rsidRPr="004E31E3" w14:paraId="656F4782" w14:textId="77777777" w:rsidTr="00310723">
        <w:trPr>
          <w:trHeight w:val="292"/>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21477185" w14:textId="3F53E88F" w:rsidR="00F92282" w:rsidRPr="00463346" w:rsidRDefault="00F92282" w:rsidP="00310723">
            <w:pPr>
              <w:spacing w:after="0"/>
              <w:ind w:left="360"/>
              <w:rPr>
                <w:color w:val="auto"/>
              </w:rPr>
            </w:pPr>
            <w:r w:rsidRPr="00463346">
              <w:rPr>
                <w:color w:val="auto"/>
              </w:rPr>
              <w:t>$ 1.28</w:t>
            </w:r>
            <w:r w:rsidR="000158A4">
              <w:rPr>
                <w:color w:val="auto"/>
              </w:rPr>
              <w:t>7</w:t>
            </w:r>
            <w:r w:rsidRPr="00463346">
              <w:rPr>
                <w:color w:val="auto"/>
              </w:rPr>
              <w:t xml:space="preserve"> a $ 2.1</w:t>
            </w:r>
            <w:r w:rsidR="000158A4">
              <w:rPr>
                <w:color w:val="auto"/>
              </w:rPr>
              <w:t>5</w:t>
            </w:r>
            <w:r w:rsidRPr="00463346">
              <w:rPr>
                <w:color w:val="auto"/>
              </w:rPr>
              <w:t>0</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4CDAAFFE" w14:textId="77777777" w:rsidR="00F92282" w:rsidRPr="00463346" w:rsidRDefault="00F92282" w:rsidP="00310723">
            <w:pPr>
              <w:spacing w:after="0"/>
              <w:ind w:left="360"/>
              <w:rPr>
                <w:color w:val="auto"/>
              </w:rPr>
            </w:pPr>
            <w:r w:rsidRPr="00463346">
              <w:rPr>
                <w:color w:val="auto"/>
              </w:rPr>
              <w:t>50%</w:t>
            </w:r>
          </w:p>
        </w:tc>
        <w:tc>
          <w:tcPr>
            <w:tcW w:w="2713" w:type="dxa"/>
            <w:tcBorders>
              <w:top w:val="single" w:sz="4" w:space="0" w:color="auto"/>
              <w:left w:val="single" w:sz="4" w:space="0" w:color="auto"/>
              <w:bottom w:val="single" w:sz="4" w:space="0" w:color="auto"/>
              <w:right w:val="single" w:sz="4" w:space="0" w:color="auto"/>
            </w:tcBorders>
            <w:shd w:val="clear" w:color="auto" w:fill="auto"/>
            <w:vAlign w:val="center"/>
          </w:tcPr>
          <w:p w14:paraId="7C9E7158" w14:textId="77777777" w:rsidR="00F92282" w:rsidRPr="00463346" w:rsidRDefault="00F92282" w:rsidP="00310723">
            <w:pPr>
              <w:spacing w:after="0"/>
              <w:ind w:left="360"/>
              <w:rPr>
                <w:color w:val="auto"/>
              </w:rPr>
            </w:pPr>
            <w:r w:rsidRPr="00463346">
              <w:rPr>
                <w:color w:val="auto"/>
              </w:rPr>
              <w:t>País de mediano ingreso</w:t>
            </w:r>
          </w:p>
        </w:tc>
      </w:tr>
      <w:tr w:rsidR="00F92282" w:rsidRPr="004E31E3" w14:paraId="23425CBF" w14:textId="77777777" w:rsidTr="00310723">
        <w:trPr>
          <w:trHeight w:val="265"/>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91740E2" w14:textId="51D3F6C1" w:rsidR="00F92282" w:rsidRPr="00463346" w:rsidRDefault="00F92282" w:rsidP="00310723">
            <w:pPr>
              <w:spacing w:after="0"/>
              <w:ind w:left="360"/>
              <w:rPr>
                <w:color w:val="auto"/>
              </w:rPr>
            </w:pPr>
            <w:r w:rsidRPr="00463346">
              <w:rPr>
                <w:color w:val="auto"/>
              </w:rPr>
              <w:t>$ 2.1</w:t>
            </w:r>
            <w:r w:rsidR="000158A4">
              <w:rPr>
                <w:color w:val="auto"/>
              </w:rPr>
              <w:t>5</w:t>
            </w:r>
            <w:r w:rsidRPr="00463346">
              <w:rPr>
                <w:color w:val="auto"/>
              </w:rPr>
              <w:t>1 a $ 6.6</w:t>
            </w:r>
            <w:r w:rsidR="000158A4">
              <w:rPr>
                <w:color w:val="auto"/>
              </w:rPr>
              <w:t>92</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0C210535" w14:textId="77777777" w:rsidR="00F92282" w:rsidRPr="00463346" w:rsidRDefault="00F92282" w:rsidP="00310723">
            <w:pPr>
              <w:spacing w:after="0"/>
              <w:ind w:left="360"/>
              <w:rPr>
                <w:color w:val="auto"/>
              </w:rPr>
            </w:pPr>
            <w:r w:rsidRPr="00463346">
              <w:rPr>
                <w:color w:val="auto"/>
              </w:rPr>
              <w:t>25%</w:t>
            </w:r>
          </w:p>
        </w:tc>
        <w:tc>
          <w:tcPr>
            <w:tcW w:w="2713" w:type="dxa"/>
            <w:tcBorders>
              <w:top w:val="single" w:sz="4" w:space="0" w:color="auto"/>
              <w:left w:val="single" w:sz="4" w:space="0" w:color="auto"/>
              <w:bottom w:val="single" w:sz="4" w:space="0" w:color="auto"/>
              <w:right w:val="single" w:sz="4" w:space="0" w:color="auto"/>
            </w:tcBorders>
            <w:shd w:val="clear" w:color="auto" w:fill="auto"/>
            <w:vAlign w:val="center"/>
          </w:tcPr>
          <w:p w14:paraId="69D17354" w14:textId="77777777" w:rsidR="00F92282" w:rsidRPr="00463346" w:rsidRDefault="00F92282" w:rsidP="00310723">
            <w:pPr>
              <w:spacing w:after="0"/>
              <w:ind w:left="360"/>
              <w:rPr>
                <w:color w:val="auto"/>
              </w:rPr>
            </w:pPr>
            <w:r w:rsidRPr="00463346">
              <w:rPr>
                <w:color w:val="auto"/>
              </w:rPr>
              <w:t>País de mediano ingreso</w:t>
            </w:r>
          </w:p>
        </w:tc>
      </w:tr>
      <w:tr w:rsidR="009C013B" w:rsidRPr="004E31E3" w14:paraId="4534ADC5" w14:textId="77777777" w:rsidTr="00310723">
        <w:trPr>
          <w:trHeight w:val="265"/>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C1B7B6A" w14:textId="77777777" w:rsidR="009C013B" w:rsidRPr="00463346" w:rsidRDefault="009C013B" w:rsidP="00310723">
            <w:pPr>
              <w:spacing w:after="0"/>
              <w:ind w:left="360"/>
              <w:rPr>
                <w:color w:val="auto"/>
              </w:rPr>
            </w:pP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655A4B20" w14:textId="77777777" w:rsidR="009C013B" w:rsidRPr="00463346" w:rsidRDefault="009C013B" w:rsidP="00310723">
            <w:pPr>
              <w:spacing w:after="0"/>
              <w:ind w:left="360"/>
              <w:rPr>
                <w:color w:val="auto"/>
              </w:rPr>
            </w:pPr>
          </w:p>
        </w:tc>
        <w:tc>
          <w:tcPr>
            <w:tcW w:w="2713" w:type="dxa"/>
            <w:tcBorders>
              <w:top w:val="single" w:sz="4" w:space="0" w:color="auto"/>
              <w:left w:val="single" w:sz="4" w:space="0" w:color="auto"/>
              <w:bottom w:val="single" w:sz="4" w:space="0" w:color="auto"/>
              <w:right w:val="single" w:sz="4" w:space="0" w:color="auto"/>
            </w:tcBorders>
            <w:shd w:val="clear" w:color="auto" w:fill="auto"/>
            <w:vAlign w:val="center"/>
          </w:tcPr>
          <w:p w14:paraId="5400FE9D" w14:textId="77777777" w:rsidR="009C013B" w:rsidRPr="00463346" w:rsidRDefault="009C013B" w:rsidP="00310723">
            <w:pPr>
              <w:spacing w:after="0"/>
              <w:ind w:left="360"/>
              <w:rPr>
                <w:color w:val="auto"/>
              </w:rPr>
            </w:pPr>
          </w:p>
        </w:tc>
      </w:tr>
    </w:tbl>
    <w:p w14:paraId="43ECCF32" w14:textId="77777777" w:rsidR="00F92282" w:rsidRPr="00463346" w:rsidRDefault="00F92282" w:rsidP="00F92282">
      <w:pPr>
        <w:shd w:val="clear" w:color="auto" w:fill="FFFFFF"/>
        <w:spacing w:after="0" w:line="240" w:lineRule="auto"/>
        <w:ind w:right="0"/>
        <w:textAlignment w:val="top"/>
        <w:rPr>
          <w:rFonts w:eastAsia="Times New Roman" w:cs="Arial"/>
          <w:color w:val="auto"/>
        </w:rPr>
      </w:pPr>
    </w:p>
    <w:p w14:paraId="6ED599C3" w14:textId="77777777" w:rsidR="00F92282" w:rsidRPr="00463346" w:rsidRDefault="00F92282" w:rsidP="00F92282">
      <w:pPr>
        <w:pStyle w:val="ListParagraph"/>
        <w:shd w:val="clear" w:color="auto" w:fill="FFFFFF"/>
        <w:spacing w:after="0" w:line="240" w:lineRule="auto"/>
        <w:ind w:left="360" w:right="0" w:firstLine="0"/>
        <w:textAlignment w:val="top"/>
        <w:rPr>
          <w:rFonts w:eastAsia="Times New Roman" w:cs="Arial"/>
          <w:color w:val="auto"/>
        </w:rPr>
      </w:pPr>
      <w:r w:rsidRPr="00463346">
        <w:rPr>
          <w:rFonts w:eastAsia="Times New Roman" w:cs="Arial"/>
          <w:color w:val="auto"/>
        </w:rPr>
        <w:t>La actualización bienal de la categorización de ingresos del gobierno anfitrión, que coincide con la revisión intermedia del presupuesto integrado del PNUD, puede dar lugar a cambios en los porcentajes de exención aplicables. El porcentaje de exención de GLOC aplicado a la obligación de cada gobierno anfitrión se muestra en el objetivo de GLOC de cada año. Los cambios en el INB promedio podrían conducir a un cambio en la exención de GLOC de los países anfitriones en las categorías de ingresos medios.</w:t>
      </w:r>
    </w:p>
    <w:p w14:paraId="1378BD90" w14:textId="77777777" w:rsidR="00F92282" w:rsidRPr="00463346" w:rsidRDefault="00F92282" w:rsidP="00F92282">
      <w:pPr>
        <w:shd w:val="clear" w:color="auto" w:fill="FFFFFF"/>
        <w:spacing w:after="0" w:line="240" w:lineRule="auto"/>
        <w:ind w:right="0"/>
        <w:textAlignment w:val="top"/>
        <w:rPr>
          <w:rFonts w:eastAsia="Times New Roman" w:cs="Arial"/>
          <w:b/>
          <w:color w:val="auto"/>
          <w:u w:val="single"/>
        </w:rPr>
      </w:pPr>
    </w:p>
    <w:p w14:paraId="1A0CEA32" w14:textId="77777777" w:rsidR="00F92282" w:rsidRPr="00463346" w:rsidRDefault="00F92282" w:rsidP="00F92282">
      <w:pPr>
        <w:shd w:val="clear" w:color="auto" w:fill="FFFFFF"/>
        <w:spacing w:after="0" w:line="240" w:lineRule="auto"/>
        <w:ind w:right="0"/>
        <w:textAlignment w:val="top"/>
        <w:rPr>
          <w:rFonts w:eastAsia="Times New Roman" w:cs="Arial"/>
          <w:b/>
          <w:color w:val="auto"/>
          <w:u w:val="single"/>
        </w:rPr>
      </w:pPr>
      <w:r w:rsidRPr="00463346">
        <w:rPr>
          <w:rFonts w:eastAsia="Times New Roman" w:cs="Arial"/>
          <w:b/>
          <w:color w:val="auto"/>
          <w:u w:val="single"/>
        </w:rPr>
        <w:t>Establecimiento de objetivos y mecanismo de pago</w:t>
      </w:r>
    </w:p>
    <w:p w14:paraId="7C81526F" w14:textId="77777777" w:rsidR="00F92282" w:rsidRPr="00463346" w:rsidRDefault="00F92282" w:rsidP="00F92282">
      <w:pPr>
        <w:shd w:val="clear" w:color="auto" w:fill="FFFFFF"/>
        <w:spacing w:after="0" w:line="240" w:lineRule="auto"/>
        <w:ind w:right="0"/>
        <w:textAlignment w:val="top"/>
        <w:rPr>
          <w:rFonts w:eastAsia="Times New Roman" w:cs="Arial"/>
          <w:color w:val="auto"/>
        </w:rPr>
      </w:pPr>
    </w:p>
    <w:p w14:paraId="0844571A" w14:textId="45FC2939" w:rsidR="00F92282" w:rsidRPr="00463346" w:rsidRDefault="00F92282" w:rsidP="00F92282">
      <w:pPr>
        <w:pStyle w:val="ListParagraph"/>
        <w:numPr>
          <w:ilvl w:val="0"/>
          <w:numId w:val="8"/>
        </w:numPr>
        <w:shd w:val="clear" w:color="auto" w:fill="FFFFFF"/>
        <w:spacing w:after="0" w:line="240" w:lineRule="auto"/>
        <w:ind w:left="360" w:right="0"/>
        <w:textAlignment w:val="top"/>
        <w:rPr>
          <w:rFonts w:eastAsia="Times New Roman" w:cs="Arial"/>
          <w:color w:val="auto"/>
        </w:rPr>
      </w:pPr>
      <w:r>
        <w:rPr>
          <w:rFonts w:eastAsia="Times New Roman" w:cs="Arial"/>
          <w:color w:val="auto"/>
        </w:rPr>
        <w:t xml:space="preserve">El </w:t>
      </w:r>
      <w:r>
        <w:rPr>
          <w:shd w:val="clear" w:color="auto" w:fill="FFFFFF"/>
        </w:rPr>
        <w:t>Buró de Gestión de Servicios</w:t>
      </w:r>
      <w:r w:rsidRPr="00463346">
        <w:rPr>
          <w:rFonts w:eastAsia="Times New Roman" w:cs="Arial"/>
          <w:color w:val="auto"/>
        </w:rPr>
        <w:t xml:space="preserve"> (BMS, Bureau of Management Services, por sus siglas en </w:t>
      </w:r>
      <w:r w:rsidRPr="00463346">
        <w:rPr>
          <w:color w:val="auto"/>
        </w:rPr>
        <w:t>inglés</w:t>
      </w:r>
      <w:r w:rsidRPr="00463346">
        <w:rPr>
          <w:rFonts w:eastAsia="Times New Roman" w:cs="Arial"/>
          <w:color w:val="auto"/>
        </w:rPr>
        <w:t xml:space="preserve">) / </w:t>
      </w:r>
      <w:r>
        <w:rPr>
          <w:rFonts w:eastAsia="Times New Roman" w:cs="Arial"/>
          <w:color w:val="auto"/>
        </w:rPr>
        <w:t>Oficina</w:t>
      </w:r>
      <w:r w:rsidRPr="00463346">
        <w:rPr>
          <w:rFonts w:eastAsia="Times New Roman" w:cs="Arial"/>
          <w:color w:val="auto"/>
        </w:rPr>
        <w:t xml:space="preserve"> de Gestión de Recursos Financieros (OFM, </w:t>
      </w:r>
      <w:r w:rsidRPr="00463346">
        <w:rPr>
          <w:rFonts w:eastAsia="Times New Roman" w:cs="Arial"/>
          <w:i/>
          <w:iCs/>
          <w:color w:val="auto"/>
        </w:rPr>
        <w:t>Office of Financial Management</w:t>
      </w:r>
      <w:r w:rsidRPr="00463346">
        <w:rPr>
          <w:rFonts w:eastAsia="Times New Roman" w:cs="Arial"/>
          <w:color w:val="auto"/>
        </w:rPr>
        <w:t xml:space="preserve">, por sus siglas en </w:t>
      </w:r>
      <w:r w:rsidRPr="00463346">
        <w:rPr>
          <w:color w:val="auto"/>
        </w:rPr>
        <w:t>inglés)</w:t>
      </w:r>
      <w:r w:rsidRPr="00463346">
        <w:rPr>
          <w:rFonts w:eastAsia="Times New Roman" w:cs="Arial"/>
          <w:color w:val="auto"/>
        </w:rPr>
        <w:t xml:space="preserve"> calcula anualmente los objetivos de efectivo anuales de GLOC para los países de ingresos bajos y medianos en función de los gastos anuales de la oficina local financiados con cargo al Presupuesto institucional básico, de la siguiente manera:  </w:t>
      </w:r>
    </w:p>
    <w:p w14:paraId="40CE2DC7"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40BF0103" w14:textId="77777777" w:rsidR="00F92282" w:rsidRPr="00463346" w:rsidRDefault="00F92282" w:rsidP="00F92282">
      <w:pPr>
        <w:pStyle w:val="ListParagraph"/>
        <w:numPr>
          <w:ilvl w:val="0"/>
          <w:numId w:val="9"/>
        </w:numPr>
        <w:shd w:val="clear" w:color="auto" w:fill="FFFFFF"/>
        <w:spacing w:after="0" w:line="240" w:lineRule="auto"/>
        <w:ind w:right="0"/>
        <w:textAlignment w:val="top"/>
        <w:rPr>
          <w:rFonts w:eastAsia="Times New Roman" w:cs="Arial"/>
          <w:color w:val="auto"/>
        </w:rPr>
      </w:pPr>
      <w:r w:rsidRPr="00463346">
        <w:rPr>
          <w:rFonts w:eastAsia="Times New Roman" w:cs="Arial"/>
          <w:color w:val="auto"/>
          <w:u w:val="single"/>
        </w:rPr>
        <w:t>Gastos del personal local</w:t>
      </w:r>
      <w:r w:rsidRPr="00463346">
        <w:rPr>
          <w:rFonts w:eastAsia="Times New Roman" w:cs="Arial"/>
          <w:color w:val="auto"/>
        </w:rPr>
        <w:t>: Gastos anuales reales estimados de los gastos de personal nacional o reclutado localmente</w:t>
      </w:r>
      <w:r>
        <w:rPr>
          <w:rFonts w:eastAsia="Times New Roman" w:cs="Arial"/>
          <w:color w:val="auto"/>
        </w:rPr>
        <w:t>;</w:t>
      </w:r>
    </w:p>
    <w:p w14:paraId="7A96A222" w14:textId="77777777" w:rsidR="00F92282" w:rsidRPr="00463346" w:rsidRDefault="00F92282" w:rsidP="00F92282">
      <w:pPr>
        <w:pStyle w:val="ListParagraph"/>
        <w:shd w:val="clear" w:color="auto" w:fill="FFFFFF"/>
        <w:spacing w:after="0" w:line="240" w:lineRule="auto"/>
        <w:ind w:left="1440" w:right="0" w:firstLine="0"/>
        <w:textAlignment w:val="top"/>
        <w:rPr>
          <w:rFonts w:eastAsia="Times New Roman" w:cs="Arial"/>
          <w:color w:val="auto"/>
        </w:rPr>
      </w:pPr>
    </w:p>
    <w:p w14:paraId="7FD6EE94" w14:textId="77777777" w:rsidR="00F92282" w:rsidRPr="00463346" w:rsidRDefault="00F92282" w:rsidP="00F92282">
      <w:pPr>
        <w:pStyle w:val="ListParagraph"/>
        <w:numPr>
          <w:ilvl w:val="0"/>
          <w:numId w:val="9"/>
        </w:numPr>
        <w:shd w:val="clear" w:color="auto" w:fill="FFFFFF"/>
        <w:spacing w:after="0" w:line="240" w:lineRule="auto"/>
        <w:ind w:right="0"/>
        <w:textAlignment w:val="top"/>
        <w:rPr>
          <w:rFonts w:eastAsia="Times New Roman" w:cs="Arial"/>
          <w:color w:val="auto"/>
        </w:rPr>
      </w:pPr>
      <w:r w:rsidRPr="00463346">
        <w:rPr>
          <w:rFonts w:eastAsia="Times New Roman" w:cs="Arial"/>
          <w:color w:val="auto"/>
          <w:u w:val="single"/>
        </w:rPr>
        <w:t>Gastos operativos generales</w:t>
      </w:r>
      <w:r w:rsidRPr="00463346">
        <w:rPr>
          <w:rFonts w:eastAsia="Times New Roman" w:cs="Arial"/>
          <w:color w:val="auto"/>
        </w:rPr>
        <w:t>: Estimación de los gastos anuales reales incurridos durante los 12 meses.</w:t>
      </w:r>
    </w:p>
    <w:p w14:paraId="738BAA42" w14:textId="77777777" w:rsidR="00F92282" w:rsidRPr="00463346" w:rsidRDefault="00F92282" w:rsidP="00F92282">
      <w:pPr>
        <w:pStyle w:val="ListParagraph"/>
        <w:shd w:val="clear" w:color="auto" w:fill="FFFFFF"/>
        <w:spacing w:after="0" w:line="240" w:lineRule="auto"/>
        <w:ind w:left="1440" w:right="0" w:firstLine="0"/>
        <w:textAlignment w:val="top"/>
        <w:rPr>
          <w:rFonts w:eastAsia="Times New Roman" w:cs="Arial"/>
          <w:color w:val="auto"/>
        </w:rPr>
      </w:pPr>
    </w:p>
    <w:p w14:paraId="500FA7FA" w14:textId="77777777" w:rsidR="00F92282" w:rsidRPr="00463346" w:rsidRDefault="00F92282" w:rsidP="00F92282">
      <w:pPr>
        <w:pStyle w:val="ListParagraph"/>
        <w:numPr>
          <w:ilvl w:val="0"/>
          <w:numId w:val="16"/>
        </w:numPr>
        <w:shd w:val="clear" w:color="auto" w:fill="FFFFFF"/>
        <w:spacing w:after="0" w:line="240" w:lineRule="auto"/>
        <w:ind w:right="0"/>
        <w:textAlignment w:val="top"/>
        <w:rPr>
          <w:rFonts w:eastAsia="Times New Roman" w:cs="Arial"/>
          <w:color w:val="auto"/>
        </w:rPr>
      </w:pPr>
      <w:bookmarkStart w:id="0" w:name="_Hlk52189622"/>
      <w:r w:rsidRPr="00463346">
        <w:rPr>
          <w:rFonts w:eastAsia="Times New Roman" w:cs="Arial"/>
          <w:color w:val="auto"/>
        </w:rPr>
        <w:t xml:space="preserve">Alternativamente, se alienta a las Oficinas de País a negociar los objetivos GLOC </w:t>
      </w:r>
      <w:r>
        <w:rPr>
          <w:rFonts w:eastAsia="Times New Roman" w:cs="Arial"/>
          <w:color w:val="auto"/>
        </w:rPr>
        <w:t>plurianuales</w:t>
      </w:r>
      <w:r w:rsidRPr="00463346">
        <w:rPr>
          <w:rFonts w:eastAsia="Times New Roman" w:cs="Arial"/>
          <w:color w:val="auto"/>
        </w:rPr>
        <w:t xml:space="preserve"> con el gobierno anfitrión, integrando dichos compromisos en el diálogo nacional de planificación plurianual (véase el párrafo 15 a continuación).</w:t>
      </w:r>
      <w:bookmarkEnd w:id="0"/>
      <w:r w:rsidRPr="00463346">
        <w:rPr>
          <w:rFonts w:eastAsia="Times New Roman" w:cs="Arial"/>
          <w:color w:val="auto"/>
        </w:rPr>
        <w:t xml:space="preserve"> En lugar de basarse únicamente en </w:t>
      </w:r>
      <w:r>
        <w:rPr>
          <w:rFonts w:eastAsia="Times New Roman" w:cs="Arial"/>
          <w:color w:val="auto"/>
        </w:rPr>
        <w:t>aquellos</w:t>
      </w:r>
      <w:r w:rsidRPr="00463346">
        <w:rPr>
          <w:rFonts w:eastAsia="Times New Roman" w:cs="Arial"/>
          <w:color w:val="auto"/>
        </w:rPr>
        <w:t xml:space="preserve"> gastos </w:t>
      </w:r>
      <w:r>
        <w:rPr>
          <w:rFonts w:eastAsia="Times New Roman" w:cs="Arial"/>
          <w:color w:val="auto"/>
        </w:rPr>
        <w:t xml:space="preserve">locales pasados </w:t>
      </w:r>
      <w:r w:rsidRPr="00463346">
        <w:rPr>
          <w:rFonts w:eastAsia="Times New Roman" w:cs="Arial"/>
          <w:color w:val="auto"/>
        </w:rPr>
        <w:t xml:space="preserve">de las oficinas financiados con cargo al Presupuesto institucional básico, los objetivos de GLOC pueden </w:t>
      </w:r>
      <w:r w:rsidRPr="00463346">
        <w:rPr>
          <w:rFonts w:eastAsia="Times New Roman" w:cs="Arial"/>
          <w:color w:val="auto"/>
        </w:rPr>
        <w:lastRenderedPageBreak/>
        <w:t>ajustarse al alza más allá de los objetivos de efectivo de GLOC, si se acuerda con los gobiernos anfitriones para cumplir sus aspiraciones de desarrollo.</w:t>
      </w:r>
    </w:p>
    <w:p w14:paraId="03AC015C"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78BCCA3C" w14:textId="67AFC2B1" w:rsidR="00F92282" w:rsidRPr="00463346" w:rsidRDefault="00F92282" w:rsidP="00F92282">
      <w:pPr>
        <w:pStyle w:val="ListParagraph"/>
        <w:numPr>
          <w:ilvl w:val="0"/>
          <w:numId w:val="16"/>
        </w:numPr>
        <w:shd w:val="clear" w:color="auto" w:fill="FFFFFF"/>
        <w:spacing w:after="0" w:line="240" w:lineRule="auto"/>
        <w:ind w:right="0"/>
        <w:textAlignment w:val="top"/>
        <w:rPr>
          <w:rFonts w:eastAsia="Times New Roman" w:cs="Arial"/>
          <w:color w:val="auto"/>
        </w:rPr>
      </w:pPr>
      <w:r w:rsidRPr="00463346">
        <w:rPr>
          <w:rFonts w:eastAsia="Times New Roman" w:cs="Arial"/>
          <w:color w:val="auto"/>
        </w:rPr>
        <w:t xml:space="preserve">Los objetivos de GLOC no incluyen gastos relacionados con el personal internacional ni gastos financiados por ingresos de recuperación de gastos o fondos del programa. Los objetivos GLOC establecidos anualmente por BMS/OFM se basan en el gasto real </w:t>
      </w:r>
      <w:r>
        <w:rPr>
          <w:rFonts w:eastAsia="Times New Roman" w:cs="Arial"/>
          <w:color w:val="auto"/>
        </w:rPr>
        <w:t>para</w:t>
      </w:r>
      <w:r w:rsidRPr="00463346">
        <w:rPr>
          <w:rFonts w:eastAsia="Times New Roman" w:cs="Arial"/>
          <w:color w:val="auto"/>
        </w:rPr>
        <w:t xml:space="preserve"> personal local </w:t>
      </w:r>
      <w:r>
        <w:rPr>
          <w:rFonts w:eastAsia="Times New Roman" w:cs="Arial"/>
          <w:color w:val="auto"/>
        </w:rPr>
        <w:t>y gastos reales</w:t>
      </w:r>
      <w:r w:rsidRPr="00463346">
        <w:rPr>
          <w:rFonts w:eastAsia="Times New Roman" w:cs="Arial"/>
          <w:color w:val="auto"/>
        </w:rPr>
        <w:t xml:space="preserve"> operativo, por lo tanto, los objetivos anuales reflejan los cambios en la financiación de la oficina local y sus gastos. Cualquier aumento en la asignación y el gasto para el personal local y los gastos operativos resultarán en un aumento en los objetivos anuales de GLOC. Del mismo modo, si hub</w:t>
      </w:r>
      <w:r>
        <w:rPr>
          <w:rFonts w:eastAsia="Times New Roman" w:cs="Arial"/>
          <w:color w:val="auto"/>
        </w:rPr>
        <w:t>iera</w:t>
      </w:r>
      <w:r w:rsidRPr="00463346">
        <w:rPr>
          <w:rFonts w:eastAsia="Times New Roman" w:cs="Arial"/>
          <w:color w:val="auto"/>
        </w:rPr>
        <w:t xml:space="preserve"> una reducción en la asignación y el gasto del presupuesto institucional básico para el personal local y los gastos operativos, se reducirán las metas anuales.</w:t>
      </w:r>
    </w:p>
    <w:p w14:paraId="7DA75941"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1817FD64" w14:textId="77777777" w:rsidR="00F92282" w:rsidRPr="00463346" w:rsidRDefault="00F92282" w:rsidP="00F92282">
      <w:pPr>
        <w:pStyle w:val="ListParagraph"/>
        <w:numPr>
          <w:ilvl w:val="0"/>
          <w:numId w:val="16"/>
        </w:numPr>
        <w:shd w:val="clear" w:color="auto" w:fill="FFFFFF"/>
        <w:spacing w:after="0" w:line="240" w:lineRule="auto"/>
        <w:ind w:right="0"/>
        <w:textAlignment w:val="top"/>
        <w:rPr>
          <w:rFonts w:eastAsia="Times New Roman" w:cs="Arial"/>
          <w:color w:val="auto"/>
        </w:rPr>
      </w:pPr>
      <w:r w:rsidRPr="00463346">
        <w:rPr>
          <w:rFonts w:eastAsia="Times New Roman" w:cs="Arial"/>
          <w:color w:val="auto"/>
        </w:rPr>
        <w:t xml:space="preserve">Las contribuciones en especie del gobierno se consideran parte del gasto total de la oficina local. El valor de las contribuciones en especie para establecer los objetivos de GLOC se basa en el valor de alquiler anual de los locales provistos por el Gobierno según lo certificado e informado por las oficinas del país al final de un año fiscal e informado en los estados financieros del PNUD. Estos valores se basan en el valor justo de alquiler de mercado de locales comparables. Cualquier cambio en el valor de los locales donados, ya sea debido a cambios en el espacio de oficina utilizable o su precio de mercado, debe informarse a través de la certificación anual de fin de año. La parte de las contribuciones en especie utilizadas por otras unidades de financiación, como el personal del proyecto del PNUD, las agencias de las Naciones Unidas, los servicios comunes y el personal con fondos extrapresupuestarios, se excluyen del total de las contribuciones en especie aplicadas para los objetivos del GLOC. Para obtener más información, consulte </w:t>
      </w:r>
      <w:hyperlink r:id="rId17" w:history="1">
        <w:r w:rsidRPr="00463346">
          <w:rPr>
            <w:rStyle w:val="Hyperlink"/>
            <w:rFonts w:eastAsia="Times New Roman" w:cs="Arial"/>
          </w:rPr>
          <w:t>la Valoración del gasto de la oficina local del gobierno (GLOC) de la contribución en especie del gobierno anfitrión</w:t>
        </w:r>
      </w:hyperlink>
      <w:r w:rsidRPr="00463346">
        <w:rPr>
          <w:rFonts w:eastAsia="Times New Roman" w:cs="Arial"/>
          <w:color w:val="auto"/>
        </w:rPr>
        <w:t xml:space="preserve"> </w:t>
      </w:r>
      <w:r>
        <w:rPr>
          <w:rFonts w:eastAsia="Times New Roman" w:cs="Arial"/>
          <w:color w:val="auto"/>
        </w:rPr>
        <w:t>en el</w:t>
      </w:r>
      <w:r w:rsidRPr="00463346">
        <w:rPr>
          <w:rFonts w:eastAsia="Times New Roman" w:cs="Arial"/>
          <w:color w:val="auto"/>
        </w:rPr>
        <w:t xml:space="preserve"> POPP (</w:t>
      </w:r>
      <w:r w:rsidRPr="00463346">
        <w:rPr>
          <w:rFonts w:eastAsia="Times New Roman" w:cs="Arial"/>
          <w:i/>
          <w:color w:val="auto"/>
        </w:rPr>
        <w:t>Programme and Operations Policies and Procedures</w:t>
      </w:r>
      <w:r>
        <w:rPr>
          <w:rFonts w:eastAsia="Times New Roman" w:cs="Arial"/>
          <w:i/>
          <w:color w:val="auto"/>
        </w:rPr>
        <w:t xml:space="preserve">, </w:t>
      </w:r>
      <w:r w:rsidRPr="00C5581F">
        <w:rPr>
          <w:rFonts w:eastAsia="Times New Roman" w:cs="Arial"/>
          <w:color w:val="auto"/>
        </w:rPr>
        <w:t xml:space="preserve">por sus siglas en </w:t>
      </w:r>
      <w:r w:rsidRPr="00C5581F">
        <w:rPr>
          <w:color w:val="auto"/>
        </w:rPr>
        <w:t>inglés</w:t>
      </w:r>
      <w:r w:rsidRPr="00463346">
        <w:rPr>
          <w:rFonts w:eastAsia="Times New Roman" w:cs="Arial"/>
          <w:color w:val="auto"/>
        </w:rPr>
        <w:t>).</w:t>
      </w:r>
    </w:p>
    <w:p w14:paraId="6B6092A8"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72E7331C" w14:textId="77777777" w:rsidR="00F92282" w:rsidRPr="00463346" w:rsidRDefault="00F92282" w:rsidP="00F92282">
      <w:pPr>
        <w:pStyle w:val="ListParagraph"/>
        <w:numPr>
          <w:ilvl w:val="0"/>
          <w:numId w:val="16"/>
        </w:numPr>
        <w:shd w:val="clear" w:color="auto" w:fill="FFFFFF"/>
        <w:spacing w:after="0" w:line="240" w:lineRule="auto"/>
        <w:ind w:right="0"/>
        <w:textAlignment w:val="top"/>
        <w:rPr>
          <w:rFonts w:eastAsia="Times New Roman" w:cs="Arial"/>
          <w:color w:val="auto"/>
        </w:rPr>
      </w:pPr>
      <w:r w:rsidRPr="00463346">
        <w:rPr>
          <w:rFonts w:eastAsia="Times New Roman" w:cs="Arial"/>
          <w:color w:val="auto"/>
        </w:rPr>
        <w:t>Los porcentajes de exención para cada gobierno anfitrión se aplican al gasto total anual de la oficina local para calcular el objetivo anual de GLOC. El objetivo de efectivo es el monto neto restante después de</w:t>
      </w:r>
      <w:r>
        <w:rPr>
          <w:rFonts w:eastAsia="Times New Roman" w:cs="Arial"/>
          <w:color w:val="auto"/>
        </w:rPr>
        <w:t xml:space="preserve"> considerar en los cálculos </w:t>
      </w:r>
      <w:r w:rsidRPr="00463346">
        <w:rPr>
          <w:rFonts w:eastAsia="Times New Roman" w:cs="Arial"/>
          <w:color w:val="auto"/>
        </w:rPr>
        <w:t>las contribuciones de GLOC en especie.</w:t>
      </w:r>
    </w:p>
    <w:p w14:paraId="2AA0B195"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71C97712" w14:textId="77777777" w:rsidR="00F92282" w:rsidRPr="00463346" w:rsidRDefault="00F92282" w:rsidP="00F92282">
      <w:pPr>
        <w:pStyle w:val="ListParagraph"/>
        <w:numPr>
          <w:ilvl w:val="0"/>
          <w:numId w:val="16"/>
        </w:numPr>
        <w:shd w:val="clear" w:color="auto" w:fill="FFFFFF"/>
        <w:spacing w:after="0" w:line="240" w:lineRule="auto"/>
        <w:ind w:right="0"/>
        <w:textAlignment w:val="top"/>
        <w:rPr>
          <w:rFonts w:eastAsia="Times New Roman" w:cs="Arial"/>
          <w:color w:val="auto"/>
        </w:rPr>
      </w:pPr>
      <w:r w:rsidRPr="00463346">
        <w:rPr>
          <w:rFonts w:eastAsia="Times New Roman" w:cs="Arial"/>
          <w:color w:val="auto"/>
        </w:rPr>
        <w:t>Los objetivos anuales de efectivo de GLOC se calculan de la siguiente manera y se explican en la metodología de cálculo de GLOC anual.</w:t>
      </w:r>
    </w:p>
    <w:p w14:paraId="58E9D47D" w14:textId="77777777" w:rsidR="00F92282" w:rsidRPr="00463346" w:rsidRDefault="00F92282" w:rsidP="00F92282">
      <w:pPr>
        <w:shd w:val="clear" w:color="auto" w:fill="FFFFFF"/>
        <w:spacing w:after="0" w:line="240" w:lineRule="auto"/>
        <w:ind w:right="0"/>
        <w:textAlignment w:val="top"/>
        <w:rPr>
          <w:rFonts w:eastAsia="Times New Roman" w:cs="Arial"/>
          <w:color w:val="auto"/>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0"/>
        <w:gridCol w:w="4960"/>
      </w:tblGrid>
      <w:tr w:rsidR="00F92282" w:rsidRPr="004E31E3" w14:paraId="352C8FC3" w14:textId="77777777" w:rsidTr="00310723">
        <w:trPr>
          <w:trHeight w:val="196"/>
          <w:jc w:val="center"/>
        </w:trPr>
        <w:tc>
          <w:tcPr>
            <w:tcW w:w="3320" w:type="dxa"/>
            <w:shd w:val="clear" w:color="auto" w:fill="auto"/>
            <w:vAlign w:val="center"/>
          </w:tcPr>
          <w:p w14:paraId="1D89AF6E" w14:textId="77777777" w:rsidR="00F92282" w:rsidRPr="00463346" w:rsidRDefault="00F92282" w:rsidP="00310723">
            <w:pPr>
              <w:spacing w:after="0"/>
              <w:ind w:left="360" w:hanging="360"/>
              <w:jc w:val="left"/>
              <w:rPr>
                <w:color w:val="auto"/>
                <w:sz w:val="18"/>
                <w:szCs w:val="32"/>
              </w:rPr>
            </w:pPr>
            <w:r w:rsidRPr="00463346">
              <w:rPr>
                <w:color w:val="auto"/>
                <w:sz w:val="18"/>
                <w:szCs w:val="32"/>
              </w:rPr>
              <w:t>A.      Gastos estimados de la oficina local</w:t>
            </w:r>
          </w:p>
        </w:tc>
        <w:tc>
          <w:tcPr>
            <w:tcW w:w="4960" w:type="dxa"/>
            <w:vAlign w:val="center"/>
          </w:tcPr>
          <w:p w14:paraId="461BD7A4" w14:textId="5501A19D" w:rsidR="00F92282" w:rsidRPr="00463346" w:rsidRDefault="00F92282" w:rsidP="00310723">
            <w:pPr>
              <w:spacing w:after="0"/>
              <w:ind w:left="0" w:firstLine="0"/>
              <w:jc w:val="left"/>
              <w:rPr>
                <w:color w:val="auto"/>
                <w:sz w:val="18"/>
                <w:szCs w:val="32"/>
              </w:rPr>
            </w:pPr>
            <w:r w:rsidRPr="00463346">
              <w:rPr>
                <w:color w:val="auto"/>
                <w:sz w:val="18"/>
                <w:szCs w:val="32"/>
              </w:rPr>
              <w:t>Basado solo en el personal local y los gastos del GOE en los</w:t>
            </w:r>
            <w:r>
              <w:rPr>
                <w:color w:val="auto"/>
                <w:sz w:val="18"/>
                <w:szCs w:val="32"/>
              </w:rPr>
              <w:t xml:space="preserve"> </w:t>
            </w:r>
            <w:r w:rsidRPr="00463346">
              <w:rPr>
                <w:color w:val="auto"/>
                <w:sz w:val="18"/>
                <w:szCs w:val="32"/>
              </w:rPr>
              <w:t>códigos de fondos del presupuesto institucional básico, como 02300/02301/</w:t>
            </w:r>
            <w:r w:rsidR="008B4706">
              <w:rPr>
                <w:color w:val="auto"/>
                <w:sz w:val="18"/>
                <w:szCs w:val="32"/>
              </w:rPr>
              <w:t>0</w:t>
            </w:r>
            <w:r w:rsidRPr="00463346">
              <w:rPr>
                <w:color w:val="auto"/>
                <w:sz w:val="18"/>
                <w:szCs w:val="32"/>
              </w:rPr>
              <w:t>2550/02551/02990</w:t>
            </w:r>
          </w:p>
        </w:tc>
      </w:tr>
      <w:tr w:rsidR="00F92282" w:rsidRPr="004E31E3" w14:paraId="6207318F" w14:textId="77777777" w:rsidTr="00310723">
        <w:trPr>
          <w:trHeight w:val="196"/>
          <w:jc w:val="center"/>
        </w:trPr>
        <w:tc>
          <w:tcPr>
            <w:tcW w:w="3320" w:type="dxa"/>
            <w:shd w:val="clear" w:color="auto" w:fill="auto"/>
            <w:vAlign w:val="center"/>
          </w:tcPr>
          <w:p w14:paraId="0993F5DF" w14:textId="77777777" w:rsidR="00F92282" w:rsidRPr="00463346" w:rsidRDefault="00F92282" w:rsidP="00310723">
            <w:pPr>
              <w:spacing w:after="0"/>
              <w:ind w:left="360" w:hanging="360"/>
              <w:jc w:val="left"/>
              <w:rPr>
                <w:rFonts w:ascii="Arial" w:hAnsi="Arial" w:cs="Arial"/>
                <w:bCs/>
                <w:color w:val="auto"/>
                <w:sz w:val="18"/>
                <w:szCs w:val="32"/>
              </w:rPr>
            </w:pPr>
            <w:r w:rsidRPr="00463346">
              <w:rPr>
                <w:color w:val="auto"/>
                <w:sz w:val="18"/>
                <w:szCs w:val="32"/>
              </w:rPr>
              <w:t>B.      Contribución en especie</w:t>
            </w:r>
          </w:p>
        </w:tc>
        <w:tc>
          <w:tcPr>
            <w:tcW w:w="4960" w:type="dxa"/>
            <w:vAlign w:val="center"/>
          </w:tcPr>
          <w:p w14:paraId="0C4C312D" w14:textId="77777777" w:rsidR="00F92282" w:rsidRPr="00463346" w:rsidRDefault="00F92282" w:rsidP="00310723">
            <w:pPr>
              <w:spacing w:after="0"/>
              <w:ind w:left="0" w:firstLine="0"/>
              <w:jc w:val="left"/>
              <w:rPr>
                <w:b/>
                <w:color w:val="auto"/>
                <w:sz w:val="18"/>
                <w:szCs w:val="32"/>
              </w:rPr>
            </w:pPr>
            <w:r w:rsidRPr="00463346">
              <w:rPr>
                <w:color w:val="auto"/>
                <w:sz w:val="18"/>
                <w:szCs w:val="32"/>
              </w:rPr>
              <w:t>Basado en la certificación anual de los derechos donados para usar las instalaciones</w:t>
            </w:r>
          </w:p>
        </w:tc>
      </w:tr>
      <w:tr w:rsidR="00F92282" w:rsidRPr="004E31E3" w14:paraId="093095A7" w14:textId="77777777" w:rsidTr="00310723">
        <w:trPr>
          <w:trHeight w:val="196"/>
          <w:jc w:val="center"/>
        </w:trPr>
        <w:tc>
          <w:tcPr>
            <w:tcW w:w="3320" w:type="dxa"/>
            <w:shd w:val="clear" w:color="auto" w:fill="auto"/>
            <w:vAlign w:val="center"/>
          </w:tcPr>
          <w:p w14:paraId="49052D37" w14:textId="77777777" w:rsidR="00F92282" w:rsidRDefault="00F92282" w:rsidP="00310723">
            <w:pPr>
              <w:spacing w:after="0"/>
              <w:ind w:left="360" w:hanging="360"/>
              <w:jc w:val="left"/>
              <w:rPr>
                <w:color w:val="auto"/>
                <w:sz w:val="18"/>
                <w:szCs w:val="32"/>
              </w:rPr>
            </w:pPr>
            <w:r w:rsidRPr="00463346">
              <w:rPr>
                <w:color w:val="auto"/>
                <w:sz w:val="18"/>
                <w:szCs w:val="32"/>
              </w:rPr>
              <w:t xml:space="preserve">C.      Gasto total de la oficina local </w:t>
            </w:r>
          </w:p>
          <w:p w14:paraId="66A470E4" w14:textId="77777777" w:rsidR="00F92282" w:rsidRPr="00463346" w:rsidRDefault="00F92282" w:rsidP="00310723">
            <w:pPr>
              <w:spacing w:after="0"/>
              <w:jc w:val="left"/>
              <w:rPr>
                <w:rFonts w:ascii="Arial" w:hAnsi="Arial" w:cs="Arial"/>
                <w:bCs/>
                <w:color w:val="auto"/>
                <w:sz w:val="18"/>
                <w:szCs w:val="32"/>
              </w:rPr>
            </w:pPr>
            <w:r w:rsidRPr="00463346">
              <w:rPr>
                <w:color w:val="auto"/>
                <w:sz w:val="18"/>
                <w:szCs w:val="32"/>
              </w:rPr>
              <w:t>(C = A + B)</w:t>
            </w:r>
          </w:p>
        </w:tc>
        <w:tc>
          <w:tcPr>
            <w:tcW w:w="4960" w:type="dxa"/>
            <w:vAlign w:val="center"/>
          </w:tcPr>
          <w:p w14:paraId="4D8BD9D5" w14:textId="77777777" w:rsidR="00F92282" w:rsidRPr="00463346" w:rsidRDefault="00F92282" w:rsidP="00310723">
            <w:pPr>
              <w:spacing w:after="0"/>
              <w:ind w:left="720" w:hanging="360"/>
              <w:jc w:val="left"/>
              <w:rPr>
                <w:b/>
                <w:color w:val="auto"/>
                <w:sz w:val="18"/>
                <w:szCs w:val="32"/>
              </w:rPr>
            </w:pPr>
          </w:p>
        </w:tc>
      </w:tr>
      <w:tr w:rsidR="00F92282" w:rsidRPr="004E31E3" w14:paraId="6F94E253" w14:textId="77777777" w:rsidTr="00310723">
        <w:trPr>
          <w:trHeight w:val="196"/>
          <w:jc w:val="center"/>
        </w:trPr>
        <w:tc>
          <w:tcPr>
            <w:tcW w:w="3320" w:type="dxa"/>
            <w:shd w:val="clear" w:color="auto" w:fill="auto"/>
            <w:vAlign w:val="center"/>
          </w:tcPr>
          <w:p w14:paraId="27E9CFE8" w14:textId="77777777" w:rsidR="00F92282" w:rsidRPr="00463346" w:rsidRDefault="00F92282" w:rsidP="00F92282">
            <w:pPr>
              <w:pStyle w:val="ListParagraph"/>
              <w:numPr>
                <w:ilvl w:val="0"/>
                <w:numId w:val="11"/>
              </w:numPr>
              <w:spacing w:after="0" w:line="259" w:lineRule="auto"/>
              <w:ind w:left="360" w:right="0"/>
              <w:jc w:val="left"/>
              <w:rPr>
                <w:rFonts w:ascii="Arial" w:hAnsi="Arial" w:cs="Arial"/>
                <w:bCs/>
                <w:color w:val="auto"/>
                <w:sz w:val="18"/>
                <w:szCs w:val="32"/>
              </w:rPr>
            </w:pPr>
            <w:r>
              <w:rPr>
                <w:color w:val="auto"/>
                <w:sz w:val="18"/>
                <w:szCs w:val="32"/>
              </w:rPr>
              <w:t>Exención</w:t>
            </w:r>
            <w:r w:rsidRPr="00463346">
              <w:rPr>
                <w:color w:val="auto"/>
                <w:sz w:val="18"/>
                <w:szCs w:val="32"/>
              </w:rPr>
              <w:t xml:space="preserve"> % (100% - % </w:t>
            </w:r>
            <w:r>
              <w:rPr>
                <w:color w:val="auto"/>
                <w:sz w:val="18"/>
                <w:szCs w:val="32"/>
              </w:rPr>
              <w:t>Exención</w:t>
            </w:r>
            <w:r w:rsidRPr="00463346">
              <w:rPr>
                <w:color w:val="auto"/>
                <w:sz w:val="18"/>
                <w:szCs w:val="32"/>
              </w:rPr>
              <w:t>)</w:t>
            </w:r>
          </w:p>
        </w:tc>
        <w:tc>
          <w:tcPr>
            <w:tcW w:w="4960" w:type="dxa"/>
            <w:vAlign w:val="center"/>
          </w:tcPr>
          <w:p w14:paraId="4FD9BF83" w14:textId="77777777" w:rsidR="00F92282" w:rsidRPr="00463346" w:rsidRDefault="00F92282" w:rsidP="00310723">
            <w:pPr>
              <w:spacing w:after="0"/>
              <w:ind w:left="0" w:firstLine="0"/>
              <w:jc w:val="left"/>
              <w:rPr>
                <w:b/>
                <w:color w:val="auto"/>
                <w:sz w:val="18"/>
                <w:szCs w:val="32"/>
              </w:rPr>
            </w:pPr>
            <w:r w:rsidRPr="00463346">
              <w:rPr>
                <w:color w:val="auto"/>
                <w:sz w:val="18"/>
                <w:szCs w:val="32"/>
              </w:rPr>
              <w:t xml:space="preserve">Basado en el sistema de exención aprobado por </w:t>
            </w:r>
            <w:r>
              <w:rPr>
                <w:color w:val="auto"/>
                <w:sz w:val="18"/>
                <w:szCs w:val="32"/>
              </w:rPr>
              <w:t xml:space="preserve">el </w:t>
            </w:r>
            <w:r w:rsidRPr="00463346">
              <w:rPr>
                <w:color w:val="auto"/>
                <w:sz w:val="18"/>
                <w:szCs w:val="32"/>
              </w:rPr>
              <w:t>EB y su actualización bienal</w:t>
            </w:r>
          </w:p>
        </w:tc>
      </w:tr>
      <w:tr w:rsidR="00F92282" w:rsidRPr="004E31E3" w14:paraId="7A0B8E08" w14:textId="77777777" w:rsidTr="00310723">
        <w:trPr>
          <w:trHeight w:val="196"/>
          <w:jc w:val="center"/>
        </w:trPr>
        <w:tc>
          <w:tcPr>
            <w:tcW w:w="3320" w:type="dxa"/>
            <w:shd w:val="clear" w:color="auto" w:fill="auto"/>
            <w:vAlign w:val="center"/>
          </w:tcPr>
          <w:p w14:paraId="3DBB6CE9" w14:textId="77777777" w:rsidR="00F92282" w:rsidRPr="00463346" w:rsidRDefault="00F92282" w:rsidP="00F92282">
            <w:pPr>
              <w:pStyle w:val="ListParagraph"/>
              <w:numPr>
                <w:ilvl w:val="0"/>
                <w:numId w:val="11"/>
              </w:numPr>
              <w:spacing w:after="0" w:line="259" w:lineRule="auto"/>
              <w:ind w:left="360" w:right="0"/>
              <w:jc w:val="left"/>
              <w:rPr>
                <w:rFonts w:ascii="Arial" w:hAnsi="Arial" w:cs="Arial"/>
                <w:bCs/>
                <w:color w:val="auto"/>
                <w:sz w:val="18"/>
                <w:szCs w:val="32"/>
              </w:rPr>
            </w:pPr>
            <w:r w:rsidRPr="00463346">
              <w:rPr>
                <w:color w:val="auto"/>
                <w:sz w:val="18"/>
                <w:szCs w:val="32"/>
              </w:rPr>
              <w:t>Objetivo total de GLOC (E = C x D)</w:t>
            </w:r>
          </w:p>
        </w:tc>
        <w:tc>
          <w:tcPr>
            <w:tcW w:w="4960" w:type="dxa"/>
            <w:vAlign w:val="center"/>
          </w:tcPr>
          <w:p w14:paraId="5A4DE9B4" w14:textId="77777777" w:rsidR="00F92282" w:rsidRPr="00463346" w:rsidRDefault="00F92282" w:rsidP="00310723">
            <w:pPr>
              <w:spacing w:after="0"/>
              <w:ind w:left="720" w:hanging="360"/>
              <w:jc w:val="left"/>
              <w:rPr>
                <w:b/>
                <w:color w:val="auto"/>
                <w:sz w:val="18"/>
                <w:szCs w:val="32"/>
              </w:rPr>
            </w:pPr>
          </w:p>
        </w:tc>
      </w:tr>
      <w:tr w:rsidR="00F92282" w:rsidRPr="004E31E3" w14:paraId="4AB7B7A1" w14:textId="77777777" w:rsidTr="00310723">
        <w:trPr>
          <w:trHeight w:val="196"/>
          <w:jc w:val="center"/>
        </w:trPr>
        <w:tc>
          <w:tcPr>
            <w:tcW w:w="3320" w:type="dxa"/>
            <w:shd w:val="clear" w:color="auto" w:fill="auto"/>
            <w:vAlign w:val="center"/>
          </w:tcPr>
          <w:p w14:paraId="2854BB79" w14:textId="77777777" w:rsidR="00F92282" w:rsidRPr="00463346" w:rsidRDefault="00F92282" w:rsidP="00F92282">
            <w:pPr>
              <w:pStyle w:val="ListParagraph"/>
              <w:numPr>
                <w:ilvl w:val="0"/>
                <w:numId w:val="11"/>
              </w:numPr>
              <w:spacing w:after="0" w:line="259" w:lineRule="auto"/>
              <w:ind w:left="360" w:right="0"/>
              <w:jc w:val="left"/>
              <w:rPr>
                <w:rFonts w:ascii="Arial" w:hAnsi="Arial" w:cs="Arial"/>
                <w:bCs/>
                <w:color w:val="auto"/>
                <w:sz w:val="18"/>
                <w:szCs w:val="32"/>
              </w:rPr>
            </w:pPr>
            <w:r w:rsidRPr="00463346">
              <w:rPr>
                <w:color w:val="auto"/>
                <w:sz w:val="18"/>
                <w:szCs w:val="32"/>
              </w:rPr>
              <w:t>Contribución en especie (F = B)</w:t>
            </w:r>
          </w:p>
        </w:tc>
        <w:tc>
          <w:tcPr>
            <w:tcW w:w="4960" w:type="dxa"/>
            <w:vAlign w:val="center"/>
          </w:tcPr>
          <w:p w14:paraId="55A8E074" w14:textId="77777777" w:rsidR="00F92282" w:rsidRPr="00463346" w:rsidRDefault="00F92282" w:rsidP="00310723">
            <w:pPr>
              <w:spacing w:after="0"/>
              <w:ind w:left="720" w:hanging="360"/>
              <w:jc w:val="left"/>
              <w:rPr>
                <w:b/>
                <w:color w:val="auto"/>
                <w:sz w:val="18"/>
                <w:szCs w:val="32"/>
              </w:rPr>
            </w:pPr>
          </w:p>
        </w:tc>
      </w:tr>
      <w:tr w:rsidR="00F92282" w:rsidRPr="004E31E3" w14:paraId="527FFA53" w14:textId="77777777" w:rsidTr="00310723">
        <w:trPr>
          <w:trHeight w:val="196"/>
          <w:jc w:val="center"/>
        </w:trPr>
        <w:tc>
          <w:tcPr>
            <w:tcW w:w="3320" w:type="dxa"/>
            <w:shd w:val="clear" w:color="auto" w:fill="auto"/>
            <w:vAlign w:val="center"/>
          </w:tcPr>
          <w:p w14:paraId="050C6E23" w14:textId="77777777" w:rsidR="00F92282" w:rsidRPr="00463346" w:rsidRDefault="00F92282" w:rsidP="00F92282">
            <w:pPr>
              <w:pStyle w:val="ListParagraph"/>
              <w:numPr>
                <w:ilvl w:val="0"/>
                <w:numId w:val="11"/>
              </w:numPr>
              <w:spacing w:after="0" w:line="259" w:lineRule="auto"/>
              <w:ind w:left="360" w:right="0"/>
              <w:jc w:val="left"/>
              <w:rPr>
                <w:rFonts w:ascii="Arial" w:hAnsi="Arial" w:cs="Arial"/>
                <w:bCs/>
                <w:color w:val="auto"/>
                <w:sz w:val="18"/>
                <w:szCs w:val="32"/>
              </w:rPr>
            </w:pPr>
            <w:r w:rsidRPr="00463346">
              <w:rPr>
                <w:color w:val="auto"/>
                <w:sz w:val="18"/>
                <w:szCs w:val="32"/>
              </w:rPr>
              <w:t>Objetivo de efectivo de GLOC (E - F)</w:t>
            </w:r>
          </w:p>
        </w:tc>
        <w:tc>
          <w:tcPr>
            <w:tcW w:w="4960" w:type="dxa"/>
            <w:vAlign w:val="center"/>
          </w:tcPr>
          <w:p w14:paraId="48E9F59A" w14:textId="77777777" w:rsidR="00F92282" w:rsidRPr="00463346" w:rsidRDefault="00F92282" w:rsidP="00310723">
            <w:pPr>
              <w:spacing w:after="0"/>
              <w:ind w:left="720" w:hanging="360"/>
              <w:jc w:val="left"/>
              <w:rPr>
                <w:b/>
                <w:color w:val="auto"/>
                <w:sz w:val="18"/>
                <w:szCs w:val="32"/>
              </w:rPr>
            </w:pPr>
          </w:p>
        </w:tc>
      </w:tr>
    </w:tbl>
    <w:p w14:paraId="12B312C7" w14:textId="77777777" w:rsidR="00F92282" w:rsidRPr="00463346" w:rsidRDefault="00F92282" w:rsidP="00F92282">
      <w:pPr>
        <w:shd w:val="clear" w:color="auto" w:fill="FFFFFF"/>
        <w:spacing w:after="0" w:line="240" w:lineRule="auto"/>
        <w:ind w:right="0"/>
        <w:textAlignment w:val="top"/>
        <w:rPr>
          <w:rFonts w:eastAsia="Times New Roman" w:cs="Arial"/>
          <w:color w:val="auto"/>
        </w:rPr>
      </w:pPr>
    </w:p>
    <w:p w14:paraId="7AE420D9" w14:textId="77777777" w:rsidR="00F92282" w:rsidRPr="00463346" w:rsidRDefault="00F92282" w:rsidP="00F92282">
      <w:pPr>
        <w:pStyle w:val="ListParagraph"/>
        <w:numPr>
          <w:ilvl w:val="0"/>
          <w:numId w:val="16"/>
        </w:numPr>
        <w:shd w:val="clear" w:color="auto" w:fill="FFFFFF"/>
        <w:spacing w:after="0" w:line="240" w:lineRule="auto"/>
        <w:ind w:right="0"/>
        <w:textAlignment w:val="top"/>
        <w:rPr>
          <w:rFonts w:eastAsia="Times New Roman" w:cs="Arial"/>
          <w:color w:val="auto"/>
        </w:rPr>
      </w:pPr>
      <w:r w:rsidRPr="00463346">
        <w:rPr>
          <w:rFonts w:eastAsia="Times New Roman" w:cs="Arial"/>
          <w:color w:val="auto"/>
        </w:rPr>
        <w:t xml:space="preserve">El cálculo de los objetivos de efectivo de GLOC para las oficinas </w:t>
      </w:r>
      <w:r>
        <w:rPr>
          <w:rFonts w:eastAsia="Times New Roman" w:cs="Arial"/>
          <w:color w:val="auto"/>
        </w:rPr>
        <w:t xml:space="preserve">Multipaís (MCO, </w:t>
      </w:r>
      <w:r w:rsidRPr="00463346">
        <w:rPr>
          <w:rFonts w:eastAsia="Times New Roman" w:cs="Arial"/>
          <w:i/>
          <w:iCs/>
          <w:color w:val="auto"/>
        </w:rPr>
        <w:t>Multi-country Office</w:t>
      </w:r>
      <w:r>
        <w:rPr>
          <w:rFonts w:eastAsia="Times New Roman" w:cs="Arial"/>
          <w:color w:val="auto"/>
        </w:rPr>
        <w:t xml:space="preserve">, por sus siglas en inglés) </w:t>
      </w:r>
      <w:r w:rsidRPr="00463346">
        <w:rPr>
          <w:rFonts w:eastAsia="Times New Roman" w:cs="Arial"/>
          <w:color w:val="auto"/>
        </w:rPr>
        <w:t xml:space="preserve">sigue la fórmula anterior, excepto </w:t>
      </w:r>
      <w:r>
        <w:rPr>
          <w:rFonts w:eastAsia="Times New Roman" w:cs="Arial"/>
          <w:color w:val="auto"/>
        </w:rPr>
        <w:t>por</w:t>
      </w:r>
      <w:r w:rsidRPr="00463346">
        <w:rPr>
          <w:rFonts w:eastAsia="Times New Roman" w:cs="Arial"/>
          <w:color w:val="auto"/>
        </w:rPr>
        <w:t xml:space="preserve"> el gasto local total de la oficina</w:t>
      </w:r>
      <w:r>
        <w:rPr>
          <w:rFonts w:eastAsia="Times New Roman" w:cs="Arial"/>
          <w:color w:val="auto"/>
        </w:rPr>
        <w:t xml:space="preserve"> que</w:t>
      </w:r>
      <w:r w:rsidRPr="00463346">
        <w:rPr>
          <w:rFonts w:eastAsia="Times New Roman" w:cs="Arial"/>
          <w:color w:val="auto"/>
        </w:rPr>
        <w:t xml:space="preserve"> se evalúa individualmente para cada país cubierto por el GLOC. En este sentido, el 25% del gasto local total se aplica al país anfitrión, y el 75% restante se distribuye entre todos los países (incluido el anfitrión) en función de las acciones de TRAC de cada país en relación con el TRAC total acumulado en los países cubiertos por la oficina multinacional. Por ejemplo, si una MCO cubre cuatro países adicionales e incurrió $250</w:t>
      </w:r>
      <w:r>
        <w:rPr>
          <w:rFonts w:eastAsia="Times New Roman" w:cs="Arial"/>
          <w:color w:val="auto"/>
        </w:rPr>
        <w:t>.</w:t>
      </w:r>
      <w:r w:rsidRPr="00463346">
        <w:rPr>
          <w:rFonts w:eastAsia="Times New Roman" w:cs="Arial"/>
          <w:color w:val="auto"/>
        </w:rPr>
        <w:t xml:space="preserve">000 </w:t>
      </w:r>
      <w:r>
        <w:rPr>
          <w:rFonts w:eastAsia="Times New Roman" w:cs="Arial"/>
          <w:color w:val="auto"/>
        </w:rPr>
        <w:t xml:space="preserve">en gastos </w:t>
      </w:r>
      <w:r w:rsidRPr="00463346">
        <w:rPr>
          <w:rFonts w:eastAsia="Times New Roman" w:cs="Arial"/>
          <w:color w:val="auto"/>
        </w:rPr>
        <w:t xml:space="preserve">para el personal local </w:t>
      </w:r>
      <w:r>
        <w:rPr>
          <w:rFonts w:eastAsia="Times New Roman" w:cs="Arial"/>
          <w:color w:val="auto"/>
        </w:rPr>
        <w:t xml:space="preserve">y gastos operativos </w:t>
      </w:r>
      <w:r w:rsidRPr="00463346">
        <w:rPr>
          <w:rFonts w:eastAsia="Times New Roman" w:cs="Arial"/>
          <w:color w:val="auto"/>
        </w:rPr>
        <w:t xml:space="preserve">en los 5 países, los gobiernos </w:t>
      </w:r>
      <w:r w:rsidRPr="00463346">
        <w:rPr>
          <w:rFonts w:eastAsia="Times New Roman" w:cs="Arial"/>
          <w:color w:val="auto"/>
        </w:rPr>
        <w:lastRenderedPageBreak/>
        <w:t>anfitriones no proporcionan contribuciones en especie, los objetivos de efectivo para cada país se calcularán de la siguiente manera:</w:t>
      </w:r>
    </w:p>
    <w:p w14:paraId="1CCD2CC1"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tbl>
      <w:tblPr>
        <w:tblW w:w="9262" w:type="dxa"/>
        <w:tblInd w:w="355" w:type="dxa"/>
        <w:tblLook w:val="04A0" w:firstRow="1" w:lastRow="0" w:firstColumn="1" w:lastColumn="0" w:noHBand="0" w:noVBand="1"/>
      </w:tblPr>
      <w:tblGrid>
        <w:gridCol w:w="1364"/>
        <w:gridCol w:w="1145"/>
        <w:gridCol w:w="858"/>
        <w:gridCol w:w="1218"/>
        <w:gridCol w:w="1337"/>
        <w:gridCol w:w="1182"/>
        <w:gridCol w:w="859"/>
        <w:gridCol w:w="1299"/>
      </w:tblGrid>
      <w:tr w:rsidR="00F92282" w:rsidRPr="004E31E3" w14:paraId="0992D2A3" w14:textId="77777777" w:rsidTr="00310723">
        <w:trPr>
          <w:trHeight w:val="971"/>
        </w:trPr>
        <w:tc>
          <w:tcPr>
            <w:tcW w:w="1364"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63AAEC6" w14:textId="77777777" w:rsidR="00F92282" w:rsidRPr="00463346" w:rsidRDefault="00F92282" w:rsidP="00310723">
            <w:pPr>
              <w:spacing w:after="0" w:line="240" w:lineRule="auto"/>
              <w:ind w:left="0" w:right="0" w:firstLine="0"/>
              <w:jc w:val="center"/>
              <w:rPr>
                <w:rFonts w:eastAsia="Times New Roman" w:cs="Times New Roman"/>
                <w:b/>
                <w:bCs/>
                <w:color w:val="auto"/>
                <w:sz w:val="16"/>
              </w:rPr>
            </w:pPr>
            <w:r w:rsidRPr="00463346">
              <w:rPr>
                <w:rFonts w:eastAsia="Times New Roman" w:cs="Times New Roman"/>
                <w:b/>
                <w:bCs/>
                <w:color w:val="auto"/>
                <w:sz w:val="16"/>
              </w:rPr>
              <w:t> </w:t>
            </w:r>
          </w:p>
        </w:tc>
        <w:tc>
          <w:tcPr>
            <w:tcW w:w="1145" w:type="dxa"/>
            <w:tcBorders>
              <w:top w:val="single" w:sz="4" w:space="0" w:color="auto"/>
              <w:left w:val="nil"/>
              <w:bottom w:val="single" w:sz="4" w:space="0" w:color="auto"/>
              <w:right w:val="single" w:sz="4" w:space="0" w:color="auto"/>
            </w:tcBorders>
            <w:shd w:val="clear" w:color="000000" w:fill="DDEBF7"/>
            <w:vAlign w:val="center"/>
            <w:hideMark/>
          </w:tcPr>
          <w:p w14:paraId="144FA06C" w14:textId="77777777" w:rsidR="00F92282" w:rsidRPr="00463346" w:rsidRDefault="00F92282" w:rsidP="00310723">
            <w:pPr>
              <w:spacing w:after="0" w:line="240" w:lineRule="auto"/>
              <w:ind w:left="0" w:right="0" w:firstLine="0"/>
              <w:jc w:val="center"/>
              <w:rPr>
                <w:rFonts w:eastAsia="Times New Roman" w:cs="Times New Roman"/>
                <w:b/>
                <w:bCs/>
                <w:color w:val="auto"/>
                <w:sz w:val="16"/>
              </w:rPr>
            </w:pPr>
            <w:r w:rsidRPr="00463346">
              <w:rPr>
                <w:rFonts w:eastAsia="Times New Roman" w:cs="Times New Roman"/>
                <w:b/>
                <w:bCs/>
                <w:color w:val="auto"/>
                <w:sz w:val="16"/>
              </w:rPr>
              <w:t xml:space="preserve">TRAC </w:t>
            </w:r>
            <w:r w:rsidRPr="00463346">
              <w:rPr>
                <w:rFonts w:eastAsia="Times New Roman" w:cs="Times New Roman"/>
                <w:b/>
                <w:bCs/>
                <w:color w:val="auto"/>
                <w:sz w:val="16"/>
              </w:rPr>
              <w:br/>
              <w:t>plan de recursos de 4 años</w:t>
            </w:r>
          </w:p>
        </w:tc>
        <w:tc>
          <w:tcPr>
            <w:tcW w:w="858" w:type="dxa"/>
            <w:tcBorders>
              <w:top w:val="single" w:sz="4" w:space="0" w:color="auto"/>
              <w:left w:val="nil"/>
              <w:bottom w:val="single" w:sz="4" w:space="0" w:color="auto"/>
              <w:right w:val="single" w:sz="4" w:space="0" w:color="auto"/>
            </w:tcBorders>
            <w:shd w:val="clear" w:color="000000" w:fill="DDEBF7"/>
            <w:vAlign w:val="center"/>
            <w:hideMark/>
          </w:tcPr>
          <w:p w14:paraId="4DCA1571" w14:textId="77777777" w:rsidR="00F92282" w:rsidRPr="00463346" w:rsidRDefault="00F92282" w:rsidP="00310723">
            <w:pPr>
              <w:spacing w:after="0" w:line="240" w:lineRule="auto"/>
              <w:ind w:left="0" w:right="0" w:firstLine="0"/>
              <w:jc w:val="center"/>
              <w:rPr>
                <w:rFonts w:eastAsia="Times New Roman" w:cs="Times New Roman"/>
                <w:b/>
                <w:bCs/>
                <w:color w:val="auto"/>
                <w:sz w:val="16"/>
              </w:rPr>
            </w:pPr>
            <w:r w:rsidRPr="00463346">
              <w:rPr>
                <w:rFonts w:eastAsia="Times New Roman" w:cs="Times New Roman"/>
                <w:b/>
                <w:bCs/>
                <w:color w:val="auto"/>
                <w:sz w:val="16"/>
              </w:rPr>
              <w:t>TRAC (%)</w:t>
            </w:r>
          </w:p>
        </w:tc>
        <w:tc>
          <w:tcPr>
            <w:tcW w:w="1218" w:type="dxa"/>
            <w:tcBorders>
              <w:top w:val="single" w:sz="4" w:space="0" w:color="auto"/>
              <w:left w:val="nil"/>
              <w:bottom w:val="single" w:sz="4" w:space="0" w:color="auto"/>
              <w:right w:val="single" w:sz="4" w:space="0" w:color="auto"/>
            </w:tcBorders>
            <w:shd w:val="clear" w:color="000000" w:fill="DDEBF7"/>
            <w:vAlign w:val="center"/>
            <w:hideMark/>
          </w:tcPr>
          <w:p w14:paraId="5CA57175" w14:textId="77777777" w:rsidR="00F92282" w:rsidRPr="00463346" w:rsidRDefault="00F92282" w:rsidP="00310723">
            <w:pPr>
              <w:spacing w:after="0" w:line="240" w:lineRule="auto"/>
              <w:ind w:left="0" w:right="0" w:firstLine="0"/>
              <w:jc w:val="center"/>
              <w:rPr>
                <w:rFonts w:eastAsia="Times New Roman" w:cs="Times New Roman"/>
                <w:b/>
                <w:bCs/>
                <w:color w:val="auto"/>
                <w:sz w:val="16"/>
              </w:rPr>
            </w:pPr>
            <w:r w:rsidRPr="00463346">
              <w:rPr>
                <w:rFonts w:eastAsia="Times New Roman" w:cs="Times New Roman"/>
                <w:b/>
                <w:bCs/>
                <w:color w:val="auto"/>
                <w:sz w:val="16"/>
              </w:rPr>
              <w:t>Fórmula para la participación del gobierno</w:t>
            </w:r>
          </w:p>
        </w:tc>
        <w:tc>
          <w:tcPr>
            <w:tcW w:w="1337" w:type="dxa"/>
            <w:tcBorders>
              <w:top w:val="single" w:sz="4" w:space="0" w:color="auto"/>
              <w:left w:val="nil"/>
              <w:bottom w:val="single" w:sz="4" w:space="0" w:color="auto"/>
              <w:right w:val="single" w:sz="4" w:space="0" w:color="auto"/>
            </w:tcBorders>
            <w:shd w:val="clear" w:color="000000" w:fill="DDEBF7"/>
            <w:vAlign w:val="center"/>
            <w:hideMark/>
          </w:tcPr>
          <w:p w14:paraId="51FE7470" w14:textId="77777777" w:rsidR="00F92282" w:rsidRPr="00463346" w:rsidRDefault="00F92282" w:rsidP="00310723">
            <w:pPr>
              <w:spacing w:after="0" w:line="240" w:lineRule="auto"/>
              <w:ind w:left="0" w:right="0" w:firstLine="0"/>
              <w:jc w:val="center"/>
              <w:rPr>
                <w:rFonts w:eastAsia="Times New Roman" w:cs="Times New Roman"/>
                <w:b/>
                <w:bCs/>
                <w:color w:val="auto"/>
                <w:sz w:val="16"/>
              </w:rPr>
            </w:pPr>
            <w:r w:rsidRPr="00463346">
              <w:rPr>
                <w:rFonts w:eastAsia="Times New Roman" w:cs="Times New Roman"/>
                <w:b/>
                <w:bCs/>
                <w:color w:val="auto"/>
                <w:sz w:val="16"/>
              </w:rPr>
              <w:t>Parte del gasto de la oficina local (%)</w:t>
            </w:r>
          </w:p>
        </w:tc>
        <w:tc>
          <w:tcPr>
            <w:tcW w:w="1182" w:type="dxa"/>
            <w:tcBorders>
              <w:top w:val="single" w:sz="4" w:space="0" w:color="auto"/>
              <w:left w:val="nil"/>
              <w:bottom w:val="single" w:sz="4" w:space="0" w:color="auto"/>
              <w:right w:val="single" w:sz="4" w:space="0" w:color="auto"/>
            </w:tcBorders>
            <w:shd w:val="clear" w:color="000000" w:fill="DDEBF7"/>
            <w:vAlign w:val="center"/>
            <w:hideMark/>
          </w:tcPr>
          <w:p w14:paraId="29C5CBD9" w14:textId="77777777" w:rsidR="00F92282" w:rsidRPr="00463346" w:rsidRDefault="00F92282" w:rsidP="00310723">
            <w:pPr>
              <w:spacing w:after="0" w:line="240" w:lineRule="auto"/>
              <w:ind w:left="0" w:right="0" w:firstLine="0"/>
              <w:jc w:val="center"/>
              <w:rPr>
                <w:rFonts w:eastAsia="Times New Roman" w:cs="Times New Roman"/>
                <w:b/>
                <w:bCs/>
                <w:color w:val="auto"/>
                <w:sz w:val="16"/>
              </w:rPr>
            </w:pPr>
            <w:r>
              <w:rPr>
                <w:rFonts w:eastAsia="Times New Roman" w:cs="Times New Roman"/>
                <w:b/>
                <w:bCs/>
                <w:color w:val="auto"/>
                <w:sz w:val="16"/>
              </w:rPr>
              <w:t>G</w:t>
            </w:r>
            <w:r w:rsidRPr="00463346">
              <w:rPr>
                <w:rFonts w:eastAsia="Times New Roman" w:cs="Times New Roman"/>
                <w:b/>
                <w:bCs/>
                <w:color w:val="auto"/>
                <w:sz w:val="16"/>
              </w:rPr>
              <w:t>astos locales de las oficinas</w:t>
            </w:r>
          </w:p>
        </w:tc>
        <w:tc>
          <w:tcPr>
            <w:tcW w:w="859" w:type="dxa"/>
            <w:tcBorders>
              <w:top w:val="single" w:sz="4" w:space="0" w:color="auto"/>
              <w:left w:val="nil"/>
              <w:bottom w:val="single" w:sz="4" w:space="0" w:color="auto"/>
              <w:right w:val="single" w:sz="4" w:space="0" w:color="auto"/>
            </w:tcBorders>
            <w:shd w:val="clear" w:color="000000" w:fill="DDEBF7"/>
            <w:vAlign w:val="center"/>
            <w:hideMark/>
          </w:tcPr>
          <w:p w14:paraId="242A1189" w14:textId="77777777" w:rsidR="00F92282" w:rsidRPr="00463346" w:rsidRDefault="00F92282" w:rsidP="00310723">
            <w:pPr>
              <w:spacing w:after="0" w:line="240" w:lineRule="auto"/>
              <w:ind w:left="0" w:right="0" w:firstLine="0"/>
              <w:jc w:val="center"/>
              <w:rPr>
                <w:rFonts w:eastAsia="Times New Roman" w:cs="Times New Roman"/>
                <w:b/>
                <w:bCs/>
                <w:color w:val="auto"/>
                <w:sz w:val="16"/>
              </w:rPr>
            </w:pPr>
            <w:r w:rsidRPr="00463346">
              <w:rPr>
                <w:rFonts w:eastAsia="Times New Roman" w:cs="Times New Roman"/>
                <w:b/>
                <w:bCs/>
                <w:color w:val="auto"/>
                <w:sz w:val="16"/>
              </w:rPr>
              <w:t>Exención GLOC según la categoría GNI</w:t>
            </w:r>
          </w:p>
        </w:tc>
        <w:tc>
          <w:tcPr>
            <w:tcW w:w="1299" w:type="dxa"/>
            <w:tcBorders>
              <w:top w:val="single" w:sz="4" w:space="0" w:color="auto"/>
              <w:left w:val="nil"/>
              <w:bottom w:val="single" w:sz="4" w:space="0" w:color="auto"/>
              <w:right w:val="single" w:sz="4" w:space="0" w:color="auto"/>
            </w:tcBorders>
            <w:shd w:val="clear" w:color="000000" w:fill="DDEBF7"/>
            <w:vAlign w:val="center"/>
            <w:hideMark/>
          </w:tcPr>
          <w:p w14:paraId="7CEF761B" w14:textId="77777777" w:rsidR="00F92282" w:rsidRPr="00463346" w:rsidRDefault="00F92282" w:rsidP="00310723">
            <w:pPr>
              <w:spacing w:after="0" w:line="240" w:lineRule="auto"/>
              <w:ind w:left="0" w:right="0" w:firstLine="0"/>
              <w:jc w:val="center"/>
              <w:rPr>
                <w:rFonts w:eastAsia="Times New Roman" w:cs="Times New Roman"/>
                <w:b/>
                <w:bCs/>
                <w:color w:val="auto"/>
                <w:sz w:val="16"/>
              </w:rPr>
            </w:pPr>
            <w:r>
              <w:rPr>
                <w:rFonts w:eastAsia="Times New Roman" w:cs="Times New Roman"/>
                <w:b/>
                <w:bCs/>
                <w:color w:val="auto"/>
                <w:sz w:val="16"/>
              </w:rPr>
              <w:t>O</w:t>
            </w:r>
            <w:r w:rsidRPr="00463346">
              <w:rPr>
                <w:rFonts w:eastAsia="Times New Roman" w:cs="Times New Roman"/>
                <w:b/>
                <w:bCs/>
                <w:color w:val="auto"/>
                <w:sz w:val="16"/>
              </w:rPr>
              <w:t>bjetivos de efectivo</w:t>
            </w:r>
            <w:r>
              <w:rPr>
                <w:rFonts w:eastAsia="Times New Roman" w:cs="Times New Roman"/>
                <w:b/>
                <w:bCs/>
                <w:color w:val="auto"/>
                <w:sz w:val="16"/>
              </w:rPr>
              <w:t xml:space="preserve"> GLOC</w:t>
            </w:r>
          </w:p>
        </w:tc>
      </w:tr>
      <w:tr w:rsidR="00F92282" w:rsidRPr="004E31E3" w14:paraId="35A9119D" w14:textId="77777777" w:rsidTr="00310723">
        <w:trPr>
          <w:trHeight w:val="294"/>
        </w:trPr>
        <w:tc>
          <w:tcPr>
            <w:tcW w:w="1364" w:type="dxa"/>
            <w:tcBorders>
              <w:top w:val="nil"/>
              <w:left w:val="single" w:sz="4" w:space="0" w:color="auto"/>
              <w:bottom w:val="single" w:sz="4" w:space="0" w:color="auto"/>
              <w:right w:val="single" w:sz="4" w:space="0" w:color="auto"/>
            </w:tcBorders>
            <w:shd w:val="clear" w:color="auto" w:fill="auto"/>
            <w:noWrap/>
            <w:vAlign w:val="center"/>
            <w:hideMark/>
          </w:tcPr>
          <w:p w14:paraId="60A76F2F"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 </w:t>
            </w:r>
          </w:p>
        </w:tc>
        <w:tc>
          <w:tcPr>
            <w:tcW w:w="1145" w:type="dxa"/>
            <w:tcBorders>
              <w:top w:val="nil"/>
              <w:left w:val="nil"/>
              <w:bottom w:val="single" w:sz="4" w:space="0" w:color="auto"/>
              <w:right w:val="single" w:sz="4" w:space="0" w:color="auto"/>
            </w:tcBorders>
            <w:shd w:val="clear" w:color="auto" w:fill="auto"/>
            <w:noWrap/>
            <w:vAlign w:val="center"/>
            <w:hideMark/>
          </w:tcPr>
          <w:p w14:paraId="12615237" w14:textId="77777777" w:rsidR="00F92282" w:rsidRPr="00463346" w:rsidRDefault="00F92282" w:rsidP="00310723">
            <w:pPr>
              <w:spacing w:after="0" w:line="240" w:lineRule="auto"/>
              <w:ind w:left="0" w:right="0" w:firstLine="0"/>
              <w:jc w:val="center"/>
              <w:rPr>
                <w:rFonts w:eastAsia="Times New Roman" w:cs="Times New Roman"/>
                <w:b/>
                <w:bCs/>
                <w:color w:val="auto"/>
                <w:sz w:val="16"/>
              </w:rPr>
            </w:pPr>
            <w:r>
              <w:rPr>
                <w:rFonts w:eastAsia="Times New Roman" w:cs="Times New Roman"/>
                <w:b/>
                <w:bCs/>
                <w:color w:val="auto"/>
                <w:sz w:val="16"/>
              </w:rPr>
              <w:t>A</w:t>
            </w:r>
          </w:p>
        </w:tc>
        <w:tc>
          <w:tcPr>
            <w:tcW w:w="858" w:type="dxa"/>
            <w:tcBorders>
              <w:top w:val="nil"/>
              <w:left w:val="nil"/>
              <w:bottom w:val="single" w:sz="4" w:space="0" w:color="auto"/>
              <w:right w:val="single" w:sz="4" w:space="0" w:color="auto"/>
            </w:tcBorders>
            <w:shd w:val="clear" w:color="auto" w:fill="auto"/>
            <w:noWrap/>
            <w:vAlign w:val="center"/>
            <w:hideMark/>
          </w:tcPr>
          <w:p w14:paraId="3A9BD049" w14:textId="77777777" w:rsidR="00F92282" w:rsidRPr="00463346" w:rsidRDefault="00F92282" w:rsidP="00310723">
            <w:pPr>
              <w:spacing w:after="0" w:line="240" w:lineRule="auto"/>
              <w:ind w:left="0" w:right="0" w:firstLine="0"/>
              <w:jc w:val="center"/>
              <w:rPr>
                <w:rFonts w:eastAsia="Times New Roman" w:cs="Times New Roman"/>
                <w:b/>
                <w:bCs/>
                <w:color w:val="auto"/>
                <w:sz w:val="16"/>
              </w:rPr>
            </w:pPr>
            <w:r w:rsidRPr="00463346">
              <w:rPr>
                <w:rFonts w:eastAsia="Times New Roman" w:cs="Times New Roman"/>
                <w:b/>
                <w:bCs/>
                <w:color w:val="auto"/>
                <w:sz w:val="16"/>
              </w:rPr>
              <w:t>b</w:t>
            </w:r>
          </w:p>
        </w:tc>
        <w:tc>
          <w:tcPr>
            <w:tcW w:w="1218" w:type="dxa"/>
            <w:tcBorders>
              <w:top w:val="nil"/>
              <w:left w:val="nil"/>
              <w:bottom w:val="single" w:sz="4" w:space="0" w:color="auto"/>
              <w:right w:val="single" w:sz="4" w:space="0" w:color="auto"/>
            </w:tcBorders>
            <w:shd w:val="clear" w:color="auto" w:fill="auto"/>
            <w:noWrap/>
            <w:vAlign w:val="center"/>
            <w:hideMark/>
          </w:tcPr>
          <w:p w14:paraId="0692653A" w14:textId="77777777" w:rsidR="00F92282" w:rsidRPr="00463346" w:rsidRDefault="00F92282" w:rsidP="00310723">
            <w:pPr>
              <w:spacing w:after="0" w:line="240" w:lineRule="auto"/>
              <w:ind w:left="0" w:right="0" w:firstLine="0"/>
              <w:jc w:val="center"/>
              <w:rPr>
                <w:rFonts w:eastAsia="Times New Roman" w:cs="Times New Roman"/>
                <w:b/>
                <w:bCs/>
                <w:color w:val="auto"/>
                <w:sz w:val="16"/>
              </w:rPr>
            </w:pPr>
            <w:r w:rsidRPr="00463346">
              <w:rPr>
                <w:rFonts w:eastAsia="Times New Roman" w:cs="Times New Roman"/>
                <w:b/>
                <w:bCs/>
                <w:color w:val="auto"/>
                <w:sz w:val="16"/>
              </w:rPr>
              <w:t>c</w:t>
            </w:r>
          </w:p>
        </w:tc>
        <w:tc>
          <w:tcPr>
            <w:tcW w:w="1337" w:type="dxa"/>
            <w:tcBorders>
              <w:top w:val="nil"/>
              <w:left w:val="nil"/>
              <w:bottom w:val="single" w:sz="4" w:space="0" w:color="auto"/>
              <w:right w:val="single" w:sz="4" w:space="0" w:color="auto"/>
            </w:tcBorders>
            <w:shd w:val="clear" w:color="auto" w:fill="auto"/>
            <w:noWrap/>
            <w:vAlign w:val="center"/>
            <w:hideMark/>
          </w:tcPr>
          <w:p w14:paraId="39421A58" w14:textId="77777777" w:rsidR="00F92282" w:rsidRPr="00463346" w:rsidRDefault="00F92282" w:rsidP="00310723">
            <w:pPr>
              <w:spacing w:after="0" w:line="240" w:lineRule="auto"/>
              <w:ind w:left="0" w:right="0" w:firstLine="0"/>
              <w:jc w:val="center"/>
              <w:rPr>
                <w:rFonts w:eastAsia="Times New Roman" w:cs="Times New Roman"/>
                <w:b/>
                <w:bCs/>
                <w:color w:val="auto"/>
                <w:sz w:val="16"/>
              </w:rPr>
            </w:pPr>
          </w:p>
        </w:tc>
        <w:tc>
          <w:tcPr>
            <w:tcW w:w="1182" w:type="dxa"/>
            <w:tcBorders>
              <w:top w:val="nil"/>
              <w:left w:val="nil"/>
              <w:bottom w:val="single" w:sz="4" w:space="0" w:color="auto"/>
              <w:right w:val="single" w:sz="4" w:space="0" w:color="auto"/>
            </w:tcBorders>
            <w:shd w:val="clear" w:color="auto" w:fill="auto"/>
            <w:noWrap/>
            <w:vAlign w:val="center"/>
            <w:hideMark/>
          </w:tcPr>
          <w:p w14:paraId="37F96541" w14:textId="77777777" w:rsidR="00F92282" w:rsidRPr="00463346" w:rsidRDefault="00F92282" w:rsidP="00310723">
            <w:pPr>
              <w:spacing w:after="0" w:line="240" w:lineRule="auto"/>
              <w:ind w:left="0" w:right="0" w:firstLine="0"/>
              <w:jc w:val="center"/>
              <w:rPr>
                <w:rFonts w:eastAsia="Times New Roman" w:cs="Times New Roman"/>
                <w:b/>
                <w:bCs/>
                <w:color w:val="auto"/>
                <w:sz w:val="16"/>
              </w:rPr>
            </w:pPr>
            <w:r w:rsidRPr="00463346">
              <w:rPr>
                <w:rFonts w:eastAsia="Times New Roman" w:cs="Times New Roman"/>
                <w:b/>
                <w:bCs/>
                <w:color w:val="auto"/>
                <w:sz w:val="16"/>
              </w:rPr>
              <w:t>d</w:t>
            </w:r>
          </w:p>
        </w:tc>
        <w:tc>
          <w:tcPr>
            <w:tcW w:w="859" w:type="dxa"/>
            <w:tcBorders>
              <w:top w:val="nil"/>
              <w:left w:val="nil"/>
              <w:bottom w:val="single" w:sz="4" w:space="0" w:color="auto"/>
              <w:right w:val="single" w:sz="4" w:space="0" w:color="auto"/>
            </w:tcBorders>
            <w:shd w:val="clear" w:color="auto" w:fill="auto"/>
            <w:noWrap/>
            <w:vAlign w:val="center"/>
            <w:hideMark/>
          </w:tcPr>
          <w:p w14:paraId="75AE4CCC" w14:textId="77777777" w:rsidR="00F92282" w:rsidRPr="00463346" w:rsidRDefault="00F92282" w:rsidP="00310723">
            <w:pPr>
              <w:spacing w:after="0" w:line="240" w:lineRule="auto"/>
              <w:ind w:left="0" w:right="0" w:firstLine="0"/>
              <w:jc w:val="center"/>
              <w:rPr>
                <w:rFonts w:eastAsia="Times New Roman" w:cs="Times New Roman"/>
                <w:b/>
                <w:bCs/>
                <w:color w:val="auto"/>
                <w:sz w:val="16"/>
              </w:rPr>
            </w:pPr>
            <w:r w:rsidRPr="00463346">
              <w:rPr>
                <w:rFonts w:eastAsia="Times New Roman" w:cs="Times New Roman"/>
                <w:b/>
                <w:bCs/>
                <w:color w:val="auto"/>
                <w:sz w:val="16"/>
              </w:rPr>
              <w:t>e</w:t>
            </w:r>
          </w:p>
        </w:tc>
        <w:tc>
          <w:tcPr>
            <w:tcW w:w="1299" w:type="dxa"/>
            <w:tcBorders>
              <w:top w:val="nil"/>
              <w:left w:val="nil"/>
              <w:bottom w:val="single" w:sz="4" w:space="0" w:color="auto"/>
              <w:right w:val="single" w:sz="4" w:space="0" w:color="auto"/>
            </w:tcBorders>
            <w:shd w:val="clear" w:color="auto" w:fill="auto"/>
            <w:noWrap/>
            <w:vAlign w:val="center"/>
            <w:hideMark/>
          </w:tcPr>
          <w:p w14:paraId="3AC51450" w14:textId="6A15C122" w:rsidR="00F92282" w:rsidRPr="00463346" w:rsidRDefault="00F92282" w:rsidP="00310723">
            <w:pPr>
              <w:spacing w:after="0" w:line="240" w:lineRule="auto"/>
              <w:ind w:left="0" w:right="0" w:firstLine="0"/>
              <w:jc w:val="center"/>
              <w:rPr>
                <w:rFonts w:eastAsia="Times New Roman" w:cs="Times New Roman"/>
                <w:b/>
                <w:bCs/>
                <w:color w:val="auto"/>
                <w:sz w:val="16"/>
              </w:rPr>
            </w:pPr>
            <w:r w:rsidRPr="00463346">
              <w:rPr>
                <w:rFonts w:eastAsia="Times New Roman" w:cs="Times New Roman"/>
                <w:b/>
                <w:bCs/>
                <w:color w:val="auto"/>
                <w:sz w:val="16"/>
              </w:rPr>
              <w:t>f=d x</w:t>
            </w:r>
            <w:r w:rsidR="009702E7">
              <w:rPr>
                <w:rFonts w:eastAsia="Times New Roman" w:cs="Times New Roman"/>
                <w:b/>
                <w:bCs/>
                <w:color w:val="auto"/>
                <w:sz w:val="16"/>
              </w:rPr>
              <w:t xml:space="preserve"> c x</w:t>
            </w:r>
            <w:r w:rsidRPr="00463346">
              <w:rPr>
                <w:rFonts w:eastAsia="Times New Roman" w:cs="Times New Roman"/>
                <w:b/>
                <w:bCs/>
                <w:color w:val="auto"/>
                <w:sz w:val="16"/>
              </w:rPr>
              <w:t xml:space="preserve"> (100%-e)</w:t>
            </w:r>
          </w:p>
        </w:tc>
      </w:tr>
      <w:tr w:rsidR="00F92282" w:rsidRPr="004E31E3" w14:paraId="2F5F9485" w14:textId="77777777" w:rsidTr="00310723">
        <w:trPr>
          <w:trHeight w:val="294"/>
        </w:trPr>
        <w:tc>
          <w:tcPr>
            <w:tcW w:w="1364" w:type="dxa"/>
            <w:tcBorders>
              <w:top w:val="nil"/>
              <w:left w:val="single" w:sz="4" w:space="0" w:color="auto"/>
              <w:bottom w:val="single" w:sz="4" w:space="0" w:color="auto"/>
              <w:right w:val="single" w:sz="4" w:space="0" w:color="auto"/>
            </w:tcBorders>
            <w:shd w:val="clear" w:color="auto" w:fill="auto"/>
            <w:noWrap/>
            <w:vAlign w:val="center"/>
            <w:hideMark/>
          </w:tcPr>
          <w:p w14:paraId="321571A1"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País A - oficina principal</w:t>
            </w:r>
          </w:p>
        </w:tc>
        <w:tc>
          <w:tcPr>
            <w:tcW w:w="1145" w:type="dxa"/>
            <w:tcBorders>
              <w:top w:val="nil"/>
              <w:left w:val="nil"/>
              <w:bottom w:val="single" w:sz="4" w:space="0" w:color="auto"/>
              <w:right w:val="single" w:sz="4" w:space="0" w:color="auto"/>
            </w:tcBorders>
            <w:shd w:val="clear" w:color="auto" w:fill="auto"/>
            <w:noWrap/>
            <w:vAlign w:val="center"/>
            <w:hideMark/>
          </w:tcPr>
          <w:p w14:paraId="7BB4ECCD"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 xml:space="preserve"> $       350.000 </w:t>
            </w:r>
          </w:p>
        </w:tc>
        <w:tc>
          <w:tcPr>
            <w:tcW w:w="858" w:type="dxa"/>
            <w:tcBorders>
              <w:top w:val="nil"/>
              <w:left w:val="nil"/>
              <w:bottom w:val="single" w:sz="4" w:space="0" w:color="auto"/>
              <w:right w:val="single" w:sz="4" w:space="0" w:color="auto"/>
            </w:tcBorders>
            <w:shd w:val="clear" w:color="auto" w:fill="auto"/>
            <w:noWrap/>
            <w:vAlign w:val="center"/>
            <w:hideMark/>
          </w:tcPr>
          <w:p w14:paraId="66ED60F7"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14.00%</w:t>
            </w:r>
          </w:p>
        </w:tc>
        <w:tc>
          <w:tcPr>
            <w:tcW w:w="1218" w:type="dxa"/>
            <w:tcBorders>
              <w:top w:val="nil"/>
              <w:left w:val="nil"/>
              <w:bottom w:val="single" w:sz="4" w:space="0" w:color="auto"/>
              <w:right w:val="single" w:sz="4" w:space="0" w:color="auto"/>
            </w:tcBorders>
            <w:shd w:val="clear" w:color="auto" w:fill="auto"/>
            <w:noWrap/>
            <w:vAlign w:val="center"/>
            <w:hideMark/>
          </w:tcPr>
          <w:p w14:paraId="3BADE488"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=25%+ b x75%</w:t>
            </w:r>
          </w:p>
        </w:tc>
        <w:tc>
          <w:tcPr>
            <w:tcW w:w="1337" w:type="dxa"/>
            <w:tcBorders>
              <w:top w:val="nil"/>
              <w:left w:val="nil"/>
              <w:bottom w:val="single" w:sz="4" w:space="0" w:color="auto"/>
              <w:right w:val="single" w:sz="4" w:space="0" w:color="auto"/>
            </w:tcBorders>
            <w:shd w:val="clear" w:color="auto" w:fill="auto"/>
            <w:noWrap/>
            <w:vAlign w:val="center"/>
            <w:hideMark/>
          </w:tcPr>
          <w:p w14:paraId="19251877"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35,50%</w:t>
            </w:r>
          </w:p>
        </w:tc>
        <w:tc>
          <w:tcPr>
            <w:tcW w:w="1182" w:type="dxa"/>
            <w:tcBorders>
              <w:top w:val="nil"/>
              <w:left w:val="nil"/>
              <w:bottom w:val="single" w:sz="4" w:space="0" w:color="auto"/>
              <w:right w:val="single" w:sz="4" w:space="0" w:color="auto"/>
            </w:tcBorders>
            <w:shd w:val="clear" w:color="auto" w:fill="auto"/>
            <w:noWrap/>
            <w:vAlign w:val="center"/>
            <w:hideMark/>
          </w:tcPr>
          <w:p w14:paraId="3F2845A7"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 xml:space="preserve"> $          88.750 </w:t>
            </w:r>
          </w:p>
        </w:tc>
        <w:tc>
          <w:tcPr>
            <w:tcW w:w="859" w:type="dxa"/>
            <w:tcBorders>
              <w:top w:val="nil"/>
              <w:left w:val="nil"/>
              <w:bottom w:val="single" w:sz="4" w:space="0" w:color="auto"/>
              <w:right w:val="single" w:sz="4" w:space="0" w:color="auto"/>
            </w:tcBorders>
            <w:shd w:val="clear" w:color="auto" w:fill="auto"/>
            <w:noWrap/>
            <w:vAlign w:val="center"/>
            <w:hideMark/>
          </w:tcPr>
          <w:p w14:paraId="0704E8E5"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25%</w:t>
            </w:r>
          </w:p>
        </w:tc>
        <w:tc>
          <w:tcPr>
            <w:tcW w:w="1299" w:type="dxa"/>
            <w:tcBorders>
              <w:top w:val="nil"/>
              <w:left w:val="nil"/>
              <w:bottom w:val="single" w:sz="4" w:space="0" w:color="auto"/>
              <w:right w:val="single" w:sz="4" w:space="0" w:color="auto"/>
            </w:tcBorders>
            <w:shd w:val="clear" w:color="auto" w:fill="auto"/>
            <w:noWrap/>
            <w:vAlign w:val="center"/>
            <w:hideMark/>
          </w:tcPr>
          <w:p w14:paraId="626748C5" w14:textId="12580805"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 xml:space="preserve"> $             </w:t>
            </w:r>
            <w:r w:rsidR="009C013B">
              <w:rPr>
                <w:rFonts w:eastAsia="Times New Roman" w:cs="Times New Roman"/>
                <w:color w:val="auto"/>
                <w:sz w:val="16"/>
              </w:rPr>
              <w:t>23</w:t>
            </w:r>
            <w:r w:rsidRPr="00463346">
              <w:rPr>
                <w:rFonts w:eastAsia="Times New Roman" w:cs="Times New Roman"/>
                <w:color w:val="auto"/>
                <w:sz w:val="16"/>
              </w:rPr>
              <w:t>.</w:t>
            </w:r>
            <w:r w:rsidR="009C013B">
              <w:rPr>
                <w:rFonts w:eastAsia="Times New Roman" w:cs="Times New Roman"/>
                <w:color w:val="auto"/>
                <w:sz w:val="16"/>
              </w:rPr>
              <w:t>630</w:t>
            </w:r>
            <w:r w:rsidRPr="00463346">
              <w:rPr>
                <w:rFonts w:eastAsia="Times New Roman" w:cs="Times New Roman"/>
                <w:color w:val="auto"/>
                <w:sz w:val="16"/>
              </w:rPr>
              <w:t xml:space="preserve"> </w:t>
            </w:r>
          </w:p>
        </w:tc>
      </w:tr>
      <w:tr w:rsidR="00F92282" w:rsidRPr="004E31E3" w14:paraId="68CC7C26" w14:textId="77777777" w:rsidTr="00310723">
        <w:trPr>
          <w:trHeight w:val="294"/>
        </w:trPr>
        <w:tc>
          <w:tcPr>
            <w:tcW w:w="1364" w:type="dxa"/>
            <w:tcBorders>
              <w:top w:val="nil"/>
              <w:left w:val="single" w:sz="4" w:space="0" w:color="auto"/>
              <w:bottom w:val="single" w:sz="4" w:space="0" w:color="auto"/>
              <w:right w:val="single" w:sz="4" w:space="0" w:color="auto"/>
            </w:tcBorders>
            <w:shd w:val="clear" w:color="auto" w:fill="auto"/>
            <w:noWrap/>
            <w:vAlign w:val="center"/>
            <w:hideMark/>
          </w:tcPr>
          <w:p w14:paraId="00D17BD3"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País B</w:t>
            </w:r>
          </w:p>
        </w:tc>
        <w:tc>
          <w:tcPr>
            <w:tcW w:w="1145" w:type="dxa"/>
            <w:tcBorders>
              <w:top w:val="nil"/>
              <w:left w:val="nil"/>
              <w:bottom w:val="single" w:sz="4" w:space="0" w:color="auto"/>
              <w:right w:val="single" w:sz="4" w:space="0" w:color="auto"/>
            </w:tcBorders>
            <w:shd w:val="clear" w:color="auto" w:fill="auto"/>
            <w:noWrap/>
            <w:vAlign w:val="center"/>
            <w:hideMark/>
          </w:tcPr>
          <w:p w14:paraId="7F880864"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 xml:space="preserve"> $       500.000 </w:t>
            </w:r>
          </w:p>
        </w:tc>
        <w:tc>
          <w:tcPr>
            <w:tcW w:w="858" w:type="dxa"/>
            <w:tcBorders>
              <w:top w:val="nil"/>
              <w:left w:val="nil"/>
              <w:bottom w:val="single" w:sz="4" w:space="0" w:color="auto"/>
              <w:right w:val="single" w:sz="4" w:space="0" w:color="auto"/>
            </w:tcBorders>
            <w:shd w:val="clear" w:color="auto" w:fill="auto"/>
            <w:noWrap/>
            <w:vAlign w:val="center"/>
            <w:hideMark/>
          </w:tcPr>
          <w:p w14:paraId="20B6F41E"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25BFF7CB"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 xml:space="preserve"> b x 75%</w:t>
            </w:r>
          </w:p>
        </w:tc>
        <w:tc>
          <w:tcPr>
            <w:tcW w:w="1337" w:type="dxa"/>
            <w:tcBorders>
              <w:top w:val="nil"/>
              <w:left w:val="nil"/>
              <w:bottom w:val="single" w:sz="4" w:space="0" w:color="auto"/>
              <w:right w:val="single" w:sz="4" w:space="0" w:color="auto"/>
            </w:tcBorders>
            <w:shd w:val="clear" w:color="auto" w:fill="auto"/>
            <w:noWrap/>
            <w:vAlign w:val="center"/>
            <w:hideMark/>
          </w:tcPr>
          <w:p w14:paraId="5091F8DE"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15,00%</w:t>
            </w:r>
          </w:p>
        </w:tc>
        <w:tc>
          <w:tcPr>
            <w:tcW w:w="1182" w:type="dxa"/>
            <w:tcBorders>
              <w:top w:val="nil"/>
              <w:left w:val="nil"/>
              <w:bottom w:val="single" w:sz="4" w:space="0" w:color="auto"/>
              <w:right w:val="single" w:sz="4" w:space="0" w:color="auto"/>
            </w:tcBorders>
            <w:shd w:val="clear" w:color="auto" w:fill="auto"/>
            <w:noWrap/>
            <w:vAlign w:val="center"/>
            <w:hideMark/>
          </w:tcPr>
          <w:p w14:paraId="0B05397D"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 xml:space="preserve"> $          37.500 </w:t>
            </w:r>
          </w:p>
        </w:tc>
        <w:tc>
          <w:tcPr>
            <w:tcW w:w="859" w:type="dxa"/>
            <w:tcBorders>
              <w:top w:val="nil"/>
              <w:left w:val="nil"/>
              <w:bottom w:val="single" w:sz="4" w:space="0" w:color="auto"/>
              <w:right w:val="single" w:sz="4" w:space="0" w:color="auto"/>
            </w:tcBorders>
            <w:shd w:val="clear" w:color="auto" w:fill="auto"/>
            <w:noWrap/>
            <w:vAlign w:val="center"/>
            <w:hideMark/>
          </w:tcPr>
          <w:p w14:paraId="627B25E8"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25%</w:t>
            </w:r>
          </w:p>
        </w:tc>
        <w:tc>
          <w:tcPr>
            <w:tcW w:w="1299" w:type="dxa"/>
            <w:tcBorders>
              <w:top w:val="nil"/>
              <w:left w:val="nil"/>
              <w:bottom w:val="single" w:sz="4" w:space="0" w:color="auto"/>
              <w:right w:val="single" w:sz="4" w:space="0" w:color="auto"/>
            </w:tcBorders>
            <w:shd w:val="clear" w:color="auto" w:fill="auto"/>
            <w:noWrap/>
            <w:vAlign w:val="center"/>
            <w:hideMark/>
          </w:tcPr>
          <w:p w14:paraId="296A29A6" w14:textId="25590CAC"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 xml:space="preserve"> $             </w:t>
            </w:r>
            <w:r w:rsidR="009C013B">
              <w:rPr>
                <w:rFonts w:eastAsia="Times New Roman" w:cs="Times New Roman"/>
                <w:color w:val="auto"/>
                <w:sz w:val="16"/>
              </w:rPr>
              <w:t>4</w:t>
            </w:r>
            <w:r w:rsidRPr="00463346">
              <w:rPr>
                <w:rFonts w:eastAsia="Times New Roman" w:cs="Times New Roman"/>
                <w:color w:val="auto"/>
                <w:sz w:val="16"/>
              </w:rPr>
              <w:t>.</w:t>
            </w:r>
            <w:r w:rsidR="009C013B">
              <w:rPr>
                <w:rFonts w:eastAsia="Times New Roman" w:cs="Times New Roman"/>
                <w:color w:val="auto"/>
                <w:sz w:val="16"/>
              </w:rPr>
              <w:t>219</w:t>
            </w:r>
            <w:r w:rsidRPr="00463346">
              <w:rPr>
                <w:rFonts w:eastAsia="Times New Roman" w:cs="Times New Roman"/>
                <w:color w:val="auto"/>
                <w:sz w:val="16"/>
              </w:rPr>
              <w:t xml:space="preserve"> </w:t>
            </w:r>
          </w:p>
        </w:tc>
      </w:tr>
      <w:tr w:rsidR="00F92282" w:rsidRPr="004E31E3" w14:paraId="264D42A2" w14:textId="77777777" w:rsidTr="00310723">
        <w:trPr>
          <w:trHeight w:val="294"/>
        </w:trPr>
        <w:tc>
          <w:tcPr>
            <w:tcW w:w="1364" w:type="dxa"/>
            <w:tcBorders>
              <w:top w:val="nil"/>
              <w:left w:val="single" w:sz="4" w:space="0" w:color="auto"/>
              <w:bottom w:val="single" w:sz="4" w:space="0" w:color="auto"/>
              <w:right w:val="single" w:sz="4" w:space="0" w:color="auto"/>
            </w:tcBorders>
            <w:shd w:val="clear" w:color="auto" w:fill="auto"/>
            <w:noWrap/>
            <w:vAlign w:val="center"/>
            <w:hideMark/>
          </w:tcPr>
          <w:p w14:paraId="07C3BC83"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País C</w:t>
            </w:r>
          </w:p>
        </w:tc>
        <w:tc>
          <w:tcPr>
            <w:tcW w:w="1145" w:type="dxa"/>
            <w:tcBorders>
              <w:top w:val="nil"/>
              <w:left w:val="nil"/>
              <w:bottom w:val="single" w:sz="4" w:space="0" w:color="auto"/>
              <w:right w:val="single" w:sz="4" w:space="0" w:color="auto"/>
            </w:tcBorders>
            <w:shd w:val="clear" w:color="auto" w:fill="auto"/>
            <w:noWrap/>
            <w:vAlign w:val="center"/>
            <w:hideMark/>
          </w:tcPr>
          <w:p w14:paraId="7B23A6FB"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 xml:space="preserve"> $       630.000 </w:t>
            </w:r>
          </w:p>
        </w:tc>
        <w:tc>
          <w:tcPr>
            <w:tcW w:w="858" w:type="dxa"/>
            <w:tcBorders>
              <w:top w:val="nil"/>
              <w:left w:val="nil"/>
              <w:bottom w:val="single" w:sz="4" w:space="0" w:color="auto"/>
              <w:right w:val="single" w:sz="4" w:space="0" w:color="auto"/>
            </w:tcBorders>
            <w:shd w:val="clear" w:color="auto" w:fill="auto"/>
            <w:noWrap/>
            <w:vAlign w:val="center"/>
            <w:hideMark/>
          </w:tcPr>
          <w:p w14:paraId="21C9F0A2"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25.20%</w:t>
            </w:r>
          </w:p>
        </w:tc>
        <w:tc>
          <w:tcPr>
            <w:tcW w:w="1218" w:type="dxa"/>
            <w:tcBorders>
              <w:top w:val="nil"/>
              <w:left w:val="nil"/>
              <w:bottom w:val="single" w:sz="4" w:space="0" w:color="auto"/>
              <w:right w:val="single" w:sz="4" w:space="0" w:color="auto"/>
            </w:tcBorders>
            <w:shd w:val="clear" w:color="auto" w:fill="auto"/>
            <w:noWrap/>
            <w:vAlign w:val="center"/>
            <w:hideMark/>
          </w:tcPr>
          <w:p w14:paraId="5B213DA8"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 xml:space="preserve"> b x75%</w:t>
            </w:r>
          </w:p>
        </w:tc>
        <w:tc>
          <w:tcPr>
            <w:tcW w:w="1337" w:type="dxa"/>
            <w:tcBorders>
              <w:top w:val="nil"/>
              <w:left w:val="nil"/>
              <w:bottom w:val="single" w:sz="4" w:space="0" w:color="auto"/>
              <w:right w:val="single" w:sz="4" w:space="0" w:color="auto"/>
            </w:tcBorders>
            <w:shd w:val="clear" w:color="auto" w:fill="auto"/>
            <w:noWrap/>
            <w:vAlign w:val="center"/>
            <w:hideMark/>
          </w:tcPr>
          <w:p w14:paraId="254748D3"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18,90%</w:t>
            </w:r>
          </w:p>
        </w:tc>
        <w:tc>
          <w:tcPr>
            <w:tcW w:w="1182" w:type="dxa"/>
            <w:tcBorders>
              <w:top w:val="nil"/>
              <w:left w:val="nil"/>
              <w:bottom w:val="single" w:sz="4" w:space="0" w:color="auto"/>
              <w:right w:val="single" w:sz="4" w:space="0" w:color="auto"/>
            </w:tcBorders>
            <w:shd w:val="clear" w:color="auto" w:fill="auto"/>
            <w:noWrap/>
            <w:vAlign w:val="center"/>
            <w:hideMark/>
          </w:tcPr>
          <w:p w14:paraId="3AC1849E"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 xml:space="preserve"> $          47.250 </w:t>
            </w:r>
          </w:p>
        </w:tc>
        <w:tc>
          <w:tcPr>
            <w:tcW w:w="859" w:type="dxa"/>
            <w:tcBorders>
              <w:top w:val="nil"/>
              <w:left w:val="nil"/>
              <w:bottom w:val="single" w:sz="4" w:space="0" w:color="auto"/>
              <w:right w:val="single" w:sz="4" w:space="0" w:color="auto"/>
            </w:tcBorders>
            <w:shd w:val="clear" w:color="auto" w:fill="auto"/>
            <w:noWrap/>
            <w:vAlign w:val="center"/>
            <w:hideMark/>
          </w:tcPr>
          <w:p w14:paraId="2D09838E"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25%</w:t>
            </w:r>
          </w:p>
        </w:tc>
        <w:tc>
          <w:tcPr>
            <w:tcW w:w="1299" w:type="dxa"/>
            <w:tcBorders>
              <w:top w:val="nil"/>
              <w:left w:val="nil"/>
              <w:bottom w:val="single" w:sz="4" w:space="0" w:color="auto"/>
              <w:right w:val="single" w:sz="4" w:space="0" w:color="auto"/>
            </w:tcBorders>
            <w:shd w:val="clear" w:color="auto" w:fill="auto"/>
            <w:noWrap/>
            <w:vAlign w:val="center"/>
            <w:hideMark/>
          </w:tcPr>
          <w:p w14:paraId="6108B67A" w14:textId="6F39666A"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 xml:space="preserve"> $             </w:t>
            </w:r>
            <w:r w:rsidR="009C013B">
              <w:rPr>
                <w:rFonts w:eastAsia="Times New Roman" w:cs="Times New Roman"/>
                <w:color w:val="auto"/>
                <w:sz w:val="16"/>
              </w:rPr>
              <w:t>6</w:t>
            </w:r>
            <w:r w:rsidRPr="00463346">
              <w:rPr>
                <w:rFonts w:eastAsia="Times New Roman" w:cs="Times New Roman"/>
                <w:color w:val="auto"/>
                <w:sz w:val="16"/>
              </w:rPr>
              <w:t>.</w:t>
            </w:r>
            <w:r w:rsidR="009C013B">
              <w:rPr>
                <w:rFonts w:eastAsia="Times New Roman" w:cs="Times New Roman"/>
                <w:color w:val="auto"/>
                <w:sz w:val="16"/>
              </w:rPr>
              <w:t>698</w:t>
            </w:r>
            <w:r w:rsidRPr="00463346">
              <w:rPr>
                <w:rFonts w:eastAsia="Times New Roman" w:cs="Times New Roman"/>
                <w:color w:val="auto"/>
                <w:sz w:val="16"/>
              </w:rPr>
              <w:t xml:space="preserve"> </w:t>
            </w:r>
          </w:p>
        </w:tc>
      </w:tr>
      <w:tr w:rsidR="00F92282" w:rsidRPr="004E31E3" w14:paraId="56F0DCB1" w14:textId="77777777" w:rsidTr="00310723">
        <w:trPr>
          <w:trHeight w:val="294"/>
        </w:trPr>
        <w:tc>
          <w:tcPr>
            <w:tcW w:w="1364" w:type="dxa"/>
            <w:tcBorders>
              <w:top w:val="nil"/>
              <w:left w:val="single" w:sz="4" w:space="0" w:color="auto"/>
              <w:bottom w:val="single" w:sz="4" w:space="0" w:color="auto"/>
              <w:right w:val="single" w:sz="4" w:space="0" w:color="auto"/>
            </w:tcBorders>
            <w:shd w:val="clear" w:color="auto" w:fill="auto"/>
            <w:noWrap/>
            <w:vAlign w:val="center"/>
            <w:hideMark/>
          </w:tcPr>
          <w:p w14:paraId="7D02124C"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País D</w:t>
            </w:r>
          </w:p>
        </w:tc>
        <w:tc>
          <w:tcPr>
            <w:tcW w:w="1145" w:type="dxa"/>
            <w:tcBorders>
              <w:top w:val="nil"/>
              <w:left w:val="nil"/>
              <w:bottom w:val="single" w:sz="4" w:space="0" w:color="auto"/>
              <w:right w:val="single" w:sz="4" w:space="0" w:color="auto"/>
            </w:tcBorders>
            <w:shd w:val="clear" w:color="auto" w:fill="auto"/>
            <w:noWrap/>
            <w:vAlign w:val="center"/>
            <w:hideMark/>
          </w:tcPr>
          <w:p w14:paraId="5384D875"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 xml:space="preserve"> $       500.000 </w:t>
            </w:r>
          </w:p>
        </w:tc>
        <w:tc>
          <w:tcPr>
            <w:tcW w:w="858" w:type="dxa"/>
            <w:tcBorders>
              <w:top w:val="nil"/>
              <w:left w:val="nil"/>
              <w:bottom w:val="single" w:sz="4" w:space="0" w:color="auto"/>
              <w:right w:val="single" w:sz="4" w:space="0" w:color="auto"/>
            </w:tcBorders>
            <w:shd w:val="clear" w:color="auto" w:fill="auto"/>
            <w:noWrap/>
            <w:vAlign w:val="center"/>
            <w:hideMark/>
          </w:tcPr>
          <w:p w14:paraId="2A70DB3E"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4697B217"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 xml:space="preserve"> b x 75%</w:t>
            </w:r>
          </w:p>
        </w:tc>
        <w:tc>
          <w:tcPr>
            <w:tcW w:w="1337" w:type="dxa"/>
            <w:tcBorders>
              <w:top w:val="nil"/>
              <w:left w:val="nil"/>
              <w:bottom w:val="single" w:sz="4" w:space="0" w:color="auto"/>
              <w:right w:val="single" w:sz="4" w:space="0" w:color="auto"/>
            </w:tcBorders>
            <w:shd w:val="clear" w:color="auto" w:fill="auto"/>
            <w:noWrap/>
            <w:vAlign w:val="center"/>
            <w:hideMark/>
          </w:tcPr>
          <w:p w14:paraId="4497EAA8"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15,00%</w:t>
            </w:r>
          </w:p>
        </w:tc>
        <w:tc>
          <w:tcPr>
            <w:tcW w:w="1182" w:type="dxa"/>
            <w:tcBorders>
              <w:top w:val="nil"/>
              <w:left w:val="nil"/>
              <w:bottom w:val="single" w:sz="4" w:space="0" w:color="auto"/>
              <w:right w:val="single" w:sz="4" w:space="0" w:color="auto"/>
            </w:tcBorders>
            <w:shd w:val="clear" w:color="auto" w:fill="auto"/>
            <w:noWrap/>
            <w:vAlign w:val="center"/>
            <w:hideMark/>
          </w:tcPr>
          <w:p w14:paraId="131201C1"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 xml:space="preserve"> $          37.500 </w:t>
            </w:r>
          </w:p>
        </w:tc>
        <w:tc>
          <w:tcPr>
            <w:tcW w:w="859" w:type="dxa"/>
            <w:tcBorders>
              <w:top w:val="nil"/>
              <w:left w:val="nil"/>
              <w:bottom w:val="single" w:sz="4" w:space="0" w:color="auto"/>
              <w:right w:val="single" w:sz="4" w:space="0" w:color="auto"/>
            </w:tcBorders>
            <w:shd w:val="clear" w:color="auto" w:fill="auto"/>
            <w:noWrap/>
            <w:vAlign w:val="center"/>
            <w:hideMark/>
          </w:tcPr>
          <w:p w14:paraId="34DA10F8"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25%</w:t>
            </w:r>
          </w:p>
        </w:tc>
        <w:tc>
          <w:tcPr>
            <w:tcW w:w="1299" w:type="dxa"/>
            <w:tcBorders>
              <w:top w:val="nil"/>
              <w:left w:val="nil"/>
              <w:bottom w:val="single" w:sz="4" w:space="0" w:color="auto"/>
              <w:right w:val="single" w:sz="4" w:space="0" w:color="auto"/>
            </w:tcBorders>
            <w:shd w:val="clear" w:color="auto" w:fill="auto"/>
            <w:noWrap/>
            <w:vAlign w:val="center"/>
            <w:hideMark/>
          </w:tcPr>
          <w:p w14:paraId="2CC9DB5A" w14:textId="541146FB"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 xml:space="preserve"> $             </w:t>
            </w:r>
            <w:r w:rsidR="009C013B">
              <w:rPr>
                <w:rFonts w:eastAsia="Times New Roman" w:cs="Times New Roman"/>
                <w:color w:val="auto"/>
                <w:sz w:val="16"/>
              </w:rPr>
              <w:t>4</w:t>
            </w:r>
            <w:r w:rsidRPr="00463346">
              <w:rPr>
                <w:rFonts w:eastAsia="Times New Roman" w:cs="Times New Roman"/>
                <w:color w:val="auto"/>
                <w:sz w:val="16"/>
              </w:rPr>
              <w:t>.</w:t>
            </w:r>
            <w:r w:rsidR="009C013B">
              <w:rPr>
                <w:rFonts w:eastAsia="Times New Roman" w:cs="Times New Roman"/>
                <w:color w:val="auto"/>
                <w:sz w:val="16"/>
              </w:rPr>
              <w:t>219</w:t>
            </w:r>
            <w:r w:rsidRPr="00463346">
              <w:rPr>
                <w:rFonts w:eastAsia="Times New Roman" w:cs="Times New Roman"/>
                <w:color w:val="auto"/>
                <w:sz w:val="16"/>
              </w:rPr>
              <w:t xml:space="preserve"> </w:t>
            </w:r>
          </w:p>
        </w:tc>
      </w:tr>
      <w:tr w:rsidR="00F92282" w:rsidRPr="004E31E3" w14:paraId="226F40C7" w14:textId="77777777" w:rsidTr="00310723">
        <w:trPr>
          <w:trHeight w:val="294"/>
        </w:trPr>
        <w:tc>
          <w:tcPr>
            <w:tcW w:w="1364" w:type="dxa"/>
            <w:tcBorders>
              <w:top w:val="nil"/>
              <w:left w:val="single" w:sz="4" w:space="0" w:color="auto"/>
              <w:bottom w:val="single" w:sz="4" w:space="0" w:color="auto"/>
              <w:right w:val="single" w:sz="4" w:space="0" w:color="auto"/>
            </w:tcBorders>
            <w:shd w:val="clear" w:color="auto" w:fill="auto"/>
            <w:noWrap/>
            <w:vAlign w:val="center"/>
            <w:hideMark/>
          </w:tcPr>
          <w:p w14:paraId="714F59B3"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País E</w:t>
            </w:r>
          </w:p>
        </w:tc>
        <w:tc>
          <w:tcPr>
            <w:tcW w:w="1145" w:type="dxa"/>
            <w:tcBorders>
              <w:top w:val="nil"/>
              <w:left w:val="nil"/>
              <w:bottom w:val="single" w:sz="4" w:space="0" w:color="auto"/>
              <w:right w:val="single" w:sz="4" w:space="0" w:color="auto"/>
            </w:tcBorders>
            <w:shd w:val="clear" w:color="auto" w:fill="auto"/>
            <w:noWrap/>
            <w:vAlign w:val="center"/>
            <w:hideMark/>
          </w:tcPr>
          <w:p w14:paraId="0C311B58"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 xml:space="preserve"> $       520.000 </w:t>
            </w:r>
          </w:p>
        </w:tc>
        <w:tc>
          <w:tcPr>
            <w:tcW w:w="858" w:type="dxa"/>
            <w:tcBorders>
              <w:top w:val="nil"/>
              <w:left w:val="nil"/>
              <w:bottom w:val="single" w:sz="4" w:space="0" w:color="auto"/>
              <w:right w:val="single" w:sz="4" w:space="0" w:color="auto"/>
            </w:tcBorders>
            <w:shd w:val="clear" w:color="auto" w:fill="auto"/>
            <w:noWrap/>
            <w:vAlign w:val="center"/>
            <w:hideMark/>
          </w:tcPr>
          <w:p w14:paraId="52F2C76C"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20.80%</w:t>
            </w:r>
          </w:p>
        </w:tc>
        <w:tc>
          <w:tcPr>
            <w:tcW w:w="1218" w:type="dxa"/>
            <w:tcBorders>
              <w:top w:val="nil"/>
              <w:left w:val="nil"/>
              <w:bottom w:val="single" w:sz="4" w:space="0" w:color="auto"/>
              <w:right w:val="single" w:sz="4" w:space="0" w:color="auto"/>
            </w:tcBorders>
            <w:shd w:val="clear" w:color="auto" w:fill="auto"/>
            <w:noWrap/>
            <w:vAlign w:val="center"/>
            <w:hideMark/>
          </w:tcPr>
          <w:p w14:paraId="46D96CE0"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 xml:space="preserve"> b x 75%</w:t>
            </w:r>
          </w:p>
        </w:tc>
        <w:tc>
          <w:tcPr>
            <w:tcW w:w="1337" w:type="dxa"/>
            <w:tcBorders>
              <w:top w:val="nil"/>
              <w:left w:val="nil"/>
              <w:bottom w:val="single" w:sz="4" w:space="0" w:color="auto"/>
              <w:right w:val="single" w:sz="4" w:space="0" w:color="auto"/>
            </w:tcBorders>
            <w:shd w:val="clear" w:color="auto" w:fill="auto"/>
            <w:noWrap/>
            <w:vAlign w:val="center"/>
            <w:hideMark/>
          </w:tcPr>
          <w:p w14:paraId="1E32A3C5"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15,60%</w:t>
            </w:r>
          </w:p>
        </w:tc>
        <w:tc>
          <w:tcPr>
            <w:tcW w:w="1182" w:type="dxa"/>
            <w:tcBorders>
              <w:top w:val="nil"/>
              <w:left w:val="nil"/>
              <w:bottom w:val="single" w:sz="4" w:space="0" w:color="auto"/>
              <w:right w:val="single" w:sz="4" w:space="0" w:color="auto"/>
            </w:tcBorders>
            <w:shd w:val="clear" w:color="auto" w:fill="auto"/>
            <w:noWrap/>
            <w:vAlign w:val="center"/>
            <w:hideMark/>
          </w:tcPr>
          <w:p w14:paraId="17C1809B"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 xml:space="preserve"> $          39.000 </w:t>
            </w:r>
          </w:p>
        </w:tc>
        <w:tc>
          <w:tcPr>
            <w:tcW w:w="859" w:type="dxa"/>
            <w:tcBorders>
              <w:top w:val="nil"/>
              <w:left w:val="nil"/>
              <w:bottom w:val="single" w:sz="4" w:space="0" w:color="auto"/>
              <w:right w:val="single" w:sz="4" w:space="0" w:color="auto"/>
            </w:tcBorders>
            <w:shd w:val="clear" w:color="auto" w:fill="auto"/>
            <w:noWrap/>
            <w:vAlign w:val="center"/>
            <w:hideMark/>
          </w:tcPr>
          <w:p w14:paraId="756F6B15"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50%</w:t>
            </w:r>
          </w:p>
        </w:tc>
        <w:tc>
          <w:tcPr>
            <w:tcW w:w="1299" w:type="dxa"/>
            <w:tcBorders>
              <w:top w:val="nil"/>
              <w:left w:val="nil"/>
              <w:bottom w:val="single" w:sz="4" w:space="0" w:color="auto"/>
              <w:right w:val="single" w:sz="4" w:space="0" w:color="auto"/>
            </w:tcBorders>
            <w:shd w:val="clear" w:color="auto" w:fill="auto"/>
            <w:noWrap/>
            <w:vAlign w:val="center"/>
            <w:hideMark/>
          </w:tcPr>
          <w:p w14:paraId="4E6C0E59" w14:textId="685D5FD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 xml:space="preserve"> $             </w:t>
            </w:r>
            <w:r w:rsidR="009C013B">
              <w:rPr>
                <w:rFonts w:eastAsia="Times New Roman" w:cs="Times New Roman"/>
                <w:color w:val="auto"/>
                <w:sz w:val="16"/>
              </w:rPr>
              <w:t>3</w:t>
            </w:r>
            <w:r w:rsidRPr="00463346">
              <w:rPr>
                <w:rFonts w:eastAsia="Times New Roman" w:cs="Times New Roman"/>
                <w:color w:val="auto"/>
                <w:sz w:val="16"/>
              </w:rPr>
              <w:t>.</w:t>
            </w:r>
            <w:r w:rsidR="009C013B">
              <w:rPr>
                <w:rFonts w:eastAsia="Times New Roman" w:cs="Times New Roman"/>
                <w:color w:val="auto"/>
                <w:sz w:val="16"/>
              </w:rPr>
              <w:t>042</w:t>
            </w:r>
            <w:r w:rsidRPr="00463346">
              <w:rPr>
                <w:rFonts w:eastAsia="Times New Roman" w:cs="Times New Roman"/>
                <w:color w:val="auto"/>
                <w:sz w:val="16"/>
              </w:rPr>
              <w:t xml:space="preserve"> </w:t>
            </w:r>
          </w:p>
        </w:tc>
      </w:tr>
      <w:tr w:rsidR="00F92282" w:rsidRPr="004E31E3" w14:paraId="59769FD2" w14:textId="77777777" w:rsidTr="00310723">
        <w:trPr>
          <w:trHeight w:val="55"/>
        </w:trPr>
        <w:tc>
          <w:tcPr>
            <w:tcW w:w="1364" w:type="dxa"/>
            <w:tcBorders>
              <w:top w:val="nil"/>
              <w:left w:val="single" w:sz="4" w:space="0" w:color="auto"/>
              <w:bottom w:val="single" w:sz="4" w:space="0" w:color="auto"/>
              <w:right w:val="single" w:sz="4" w:space="0" w:color="auto"/>
            </w:tcBorders>
            <w:shd w:val="clear" w:color="000000" w:fill="DDEBF7"/>
            <w:noWrap/>
            <w:vAlign w:val="center"/>
            <w:hideMark/>
          </w:tcPr>
          <w:p w14:paraId="2114E0F8" w14:textId="77777777" w:rsidR="00F92282" w:rsidRPr="00463346" w:rsidRDefault="00F92282" w:rsidP="00310723">
            <w:pPr>
              <w:spacing w:after="0" w:line="240" w:lineRule="auto"/>
              <w:ind w:left="0" w:right="0" w:firstLine="0"/>
              <w:jc w:val="left"/>
              <w:rPr>
                <w:rFonts w:eastAsia="Times New Roman" w:cs="Times New Roman"/>
                <w:color w:val="auto"/>
                <w:sz w:val="16"/>
              </w:rPr>
            </w:pPr>
            <w:r w:rsidRPr="00463346">
              <w:rPr>
                <w:rFonts w:eastAsia="Times New Roman" w:cs="Times New Roman"/>
                <w:color w:val="auto"/>
                <w:sz w:val="16"/>
              </w:rPr>
              <w:t> </w:t>
            </w:r>
          </w:p>
        </w:tc>
        <w:tc>
          <w:tcPr>
            <w:tcW w:w="1145" w:type="dxa"/>
            <w:tcBorders>
              <w:top w:val="nil"/>
              <w:left w:val="nil"/>
              <w:bottom w:val="single" w:sz="4" w:space="0" w:color="auto"/>
              <w:right w:val="single" w:sz="4" w:space="0" w:color="auto"/>
            </w:tcBorders>
            <w:shd w:val="clear" w:color="000000" w:fill="DDEBF7"/>
            <w:noWrap/>
            <w:vAlign w:val="center"/>
            <w:hideMark/>
          </w:tcPr>
          <w:p w14:paraId="3907594B" w14:textId="77777777" w:rsidR="00F92282" w:rsidRPr="00463346" w:rsidRDefault="00F92282" w:rsidP="00310723">
            <w:pPr>
              <w:spacing w:after="0" w:line="240" w:lineRule="auto"/>
              <w:ind w:left="0" w:right="0" w:firstLine="0"/>
              <w:jc w:val="left"/>
              <w:rPr>
                <w:rFonts w:eastAsia="Times New Roman" w:cs="Times New Roman"/>
                <w:b/>
                <w:bCs/>
                <w:color w:val="auto"/>
                <w:sz w:val="16"/>
              </w:rPr>
            </w:pPr>
            <w:r w:rsidRPr="00463346">
              <w:rPr>
                <w:rFonts w:eastAsia="Times New Roman" w:cs="Times New Roman"/>
                <w:b/>
                <w:bCs/>
                <w:color w:val="auto"/>
                <w:sz w:val="16"/>
              </w:rPr>
              <w:t xml:space="preserve"> $   2.500.000 </w:t>
            </w:r>
          </w:p>
        </w:tc>
        <w:tc>
          <w:tcPr>
            <w:tcW w:w="858" w:type="dxa"/>
            <w:tcBorders>
              <w:top w:val="nil"/>
              <w:left w:val="nil"/>
              <w:bottom w:val="single" w:sz="4" w:space="0" w:color="auto"/>
              <w:right w:val="single" w:sz="4" w:space="0" w:color="auto"/>
            </w:tcBorders>
            <w:shd w:val="clear" w:color="000000" w:fill="DDEBF7"/>
            <w:noWrap/>
            <w:vAlign w:val="center"/>
            <w:hideMark/>
          </w:tcPr>
          <w:p w14:paraId="69F96BDC" w14:textId="77777777" w:rsidR="00F92282" w:rsidRPr="00463346" w:rsidRDefault="00F92282" w:rsidP="00310723">
            <w:pPr>
              <w:spacing w:after="0" w:line="240" w:lineRule="auto"/>
              <w:ind w:left="0" w:right="0" w:firstLine="0"/>
              <w:jc w:val="left"/>
              <w:rPr>
                <w:rFonts w:eastAsia="Times New Roman" w:cs="Times New Roman"/>
                <w:b/>
                <w:bCs/>
                <w:color w:val="auto"/>
                <w:sz w:val="16"/>
              </w:rPr>
            </w:pPr>
            <w:r w:rsidRPr="00463346">
              <w:rPr>
                <w:rFonts w:eastAsia="Times New Roman" w:cs="Times New Roman"/>
                <w:b/>
                <w:bCs/>
                <w:color w:val="auto"/>
                <w:sz w:val="16"/>
              </w:rPr>
              <w:t>100,00%</w:t>
            </w:r>
          </w:p>
        </w:tc>
        <w:tc>
          <w:tcPr>
            <w:tcW w:w="1218" w:type="dxa"/>
            <w:tcBorders>
              <w:top w:val="nil"/>
              <w:left w:val="nil"/>
              <w:bottom w:val="single" w:sz="4" w:space="0" w:color="auto"/>
              <w:right w:val="single" w:sz="4" w:space="0" w:color="auto"/>
            </w:tcBorders>
            <w:shd w:val="clear" w:color="000000" w:fill="DDEBF7"/>
            <w:noWrap/>
            <w:vAlign w:val="center"/>
            <w:hideMark/>
          </w:tcPr>
          <w:p w14:paraId="20ABBA0E" w14:textId="77777777" w:rsidR="00F92282" w:rsidRPr="00463346" w:rsidRDefault="00F92282" w:rsidP="00310723">
            <w:pPr>
              <w:spacing w:after="0" w:line="240" w:lineRule="auto"/>
              <w:ind w:left="0" w:right="0" w:firstLine="0"/>
              <w:jc w:val="left"/>
              <w:rPr>
                <w:rFonts w:eastAsia="Times New Roman" w:cs="Times New Roman"/>
                <w:b/>
                <w:bCs/>
                <w:color w:val="auto"/>
                <w:sz w:val="16"/>
              </w:rPr>
            </w:pPr>
            <w:r w:rsidRPr="00463346">
              <w:rPr>
                <w:rFonts w:eastAsia="Times New Roman" w:cs="Times New Roman"/>
                <w:b/>
                <w:bCs/>
                <w:color w:val="auto"/>
                <w:sz w:val="16"/>
              </w:rPr>
              <w:t> </w:t>
            </w:r>
          </w:p>
        </w:tc>
        <w:tc>
          <w:tcPr>
            <w:tcW w:w="1337" w:type="dxa"/>
            <w:tcBorders>
              <w:top w:val="nil"/>
              <w:left w:val="nil"/>
              <w:bottom w:val="single" w:sz="4" w:space="0" w:color="auto"/>
              <w:right w:val="single" w:sz="4" w:space="0" w:color="auto"/>
            </w:tcBorders>
            <w:shd w:val="clear" w:color="000000" w:fill="DDEBF7"/>
            <w:noWrap/>
            <w:vAlign w:val="center"/>
            <w:hideMark/>
          </w:tcPr>
          <w:p w14:paraId="770D6A79" w14:textId="77777777" w:rsidR="00F92282" w:rsidRPr="00463346" w:rsidRDefault="00F92282" w:rsidP="00310723">
            <w:pPr>
              <w:spacing w:after="0" w:line="240" w:lineRule="auto"/>
              <w:ind w:left="0" w:right="0" w:firstLine="0"/>
              <w:jc w:val="left"/>
              <w:rPr>
                <w:rFonts w:eastAsia="Times New Roman" w:cs="Times New Roman"/>
                <w:b/>
                <w:bCs/>
                <w:color w:val="auto"/>
                <w:sz w:val="16"/>
              </w:rPr>
            </w:pPr>
            <w:r w:rsidRPr="00463346">
              <w:rPr>
                <w:rFonts w:eastAsia="Times New Roman" w:cs="Times New Roman"/>
                <w:b/>
                <w:bCs/>
                <w:color w:val="auto"/>
                <w:sz w:val="16"/>
              </w:rPr>
              <w:t>100,00%</w:t>
            </w:r>
          </w:p>
        </w:tc>
        <w:tc>
          <w:tcPr>
            <w:tcW w:w="1182" w:type="dxa"/>
            <w:tcBorders>
              <w:top w:val="nil"/>
              <w:left w:val="nil"/>
              <w:bottom w:val="single" w:sz="4" w:space="0" w:color="auto"/>
              <w:right w:val="single" w:sz="4" w:space="0" w:color="auto"/>
            </w:tcBorders>
            <w:shd w:val="clear" w:color="000000" w:fill="DDEBF7"/>
            <w:noWrap/>
            <w:vAlign w:val="center"/>
            <w:hideMark/>
          </w:tcPr>
          <w:p w14:paraId="58BA976C" w14:textId="77777777" w:rsidR="00F92282" w:rsidRPr="00463346" w:rsidRDefault="00F92282" w:rsidP="00310723">
            <w:pPr>
              <w:spacing w:after="0" w:line="240" w:lineRule="auto"/>
              <w:ind w:left="0" w:right="0" w:firstLine="0"/>
              <w:jc w:val="left"/>
              <w:rPr>
                <w:rFonts w:eastAsia="Times New Roman" w:cs="Times New Roman"/>
                <w:b/>
                <w:bCs/>
                <w:color w:val="auto"/>
                <w:sz w:val="16"/>
              </w:rPr>
            </w:pPr>
            <w:r w:rsidRPr="00463346">
              <w:rPr>
                <w:rFonts w:eastAsia="Times New Roman" w:cs="Times New Roman"/>
                <w:b/>
                <w:bCs/>
                <w:color w:val="auto"/>
                <w:sz w:val="16"/>
              </w:rPr>
              <w:t xml:space="preserve"> $        250.000 </w:t>
            </w:r>
          </w:p>
        </w:tc>
        <w:tc>
          <w:tcPr>
            <w:tcW w:w="859" w:type="dxa"/>
            <w:tcBorders>
              <w:top w:val="nil"/>
              <w:left w:val="nil"/>
              <w:bottom w:val="single" w:sz="4" w:space="0" w:color="auto"/>
              <w:right w:val="single" w:sz="4" w:space="0" w:color="auto"/>
            </w:tcBorders>
            <w:shd w:val="clear" w:color="000000" w:fill="DDEBF7"/>
            <w:noWrap/>
            <w:vAlign w:val="center"/>
            <w:hideMark/>
          </w:tcPr>
          <w:p w14:paraId="094FE0A1" w14:textId="77777777" w:rsidR="00F92282" w:rsidRPr="00463346" w:rsidRDefault="00F92282" w:rsidP="00310723">
            <w:pPr>
              <w:spacing w:after="0" w:line="240" w:lineRule="auto"/>
              <w:ind w:left="0" w:right="0" w:firstLine="0"/>
              <w:jc w:val="left"/>
              <w:rPr>
                <w:rFonts w:eastAsia="Times New Roman" w:cs="Times New Roman"/>
                <w:b/>
                <w:bCs/>
                <w:color w:val="auto"/>
                <w:sz w:val="16"/>
              </w:rPr>
            </w:pPr>
            <w:r w:rsidRPr="00463346">
              <w:rPr>
                <w:rFonts w:eastAsia="Times New Roman" w:cs="Times New Roman"/>
                <w:b/>
                <w:bCs/>
                <w:color w:val="auto"/>
                <w:sz w:val="16"/>
              </w:rPr>
              <w:t> </w:t>
            </w:r>
          </w:p>
        </w:tc>
        <w:tc>
          <w:tcPr>
            <w:tcW w:w="1299" w:type="dxa"/>
            <w:tcBorders>
              <w:top w:val="nil"/>
              <w:left w:val="nil"/>
              <w:bottom w:val="single" w:sz="4" w:space="0" w:color="auto"/>
              <w:right w:val="single" w:sz="4" w:space="0" w:color="auto"/>
            </w:tcBorders>
            <w:shd w:val="clear" w:color="000000" w:fill="DDEBF7"/>
            <w:noWrap/>
            <w:vAlign w:val="center"/>
            <w:hideMark/>
          </w:tcPr>
          <w:p w14:paraId="58694486" w14:textId="77777777" w:rsidR="00F92282" w:rsidRPr="00463346" w:rsidRDefault="00F92282" w:rsidP="00310723">
            <w:pPr>
              <w:spacing w:after="0" w:line="240" w:lineRule="auto"/>
              <w:ind w:left="0" w:right="0" w:firstLine="0"/>
              <w:jc w:val="left"/>
              <w:rPr>
                <w:rFonts w:eastAsia="Times New Roman" w:cs="Times New Roman"/>
                <w:b/>
                <w:bCs/>
                <w:color w:val="auto"/>
                <w:sz w:val="16"/>
              </w:rPr>
            </w:pPr>
            <w:r w:rsidRPr="00463346">
              <w:rPr>
                <w:rFonts w:eastAsia="Times New Roman" w:cs="Times New Roman"/>
                <w:b/>
                <w:bCs/>
                <w:color w:val="auto"/>
                <w:sz w:val="16"/>
              </w:rPr>
              <w:t> </w:t>
            </w:r>
          </w:p>
        </w:tc>
      </w:tr>
    </w:tbl>
    <w:p w14:paraId="36DE1EA5"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024A743D" w14:textId="77777777" w:rsidR="00F92282" w:rsidRDefault="00F92282" w:rsidP="00F92282">
      <w:pPr>
        <w:pStyle w:val="ListParagraph"/>
        <w:numPr>
          <w:ilvl w:val="0"/>
          <w:numId w:val="16"/>
        </w:numPr>
        <w:shd w:val="clear" w:color="auto" w:fill="FFFFFF"/>
        <w:spacing w:after="0" w:line="240" w:lineRule="auto"/>
        <w:ind w:right="0"/>
        <w:textAlignment w:val="top"/>
        <w:rPr>
          <w:rFonts w:eastAsia="Times New Roman" w:cs="Arial"/>
          <w:color w:val="auto"/>
        </w:rPr>
      </w:pPr>
      <w:bookmarkStart w:id="1" w:name="_Hlk52190006"/>
      <w:r w:rsidRPr="00463346">
        <w:rPr>
          <w:rFonts w:eastAsia="Times New Roman" w:cs="Arial"/>
          <w:color w:val="auto"/>
        </w:rPr>
        <w:t xml:space="preserve">Como alternativa a depender únicamente de los objetivos GLOC anuales calculados a nivel corporativo, se alienta a las Oficinas del País a negociar objetivos plurianuales con los gobiernos anfitriones, integrando dichos compromisos en el diálogo nacional de planificación plurianual. </w:t>
      </w:r>
      <w:bookmarkEnd w:id="1"/>
      <w:r w:rsidRPr="00463346">
        <w:rPr>
          <w:rFonts w:eastAsia="Times New Roman" w:cs="Arial"/>
          <w:color w:val="auto"/>
        </w:rPr>
        <w:t xml:space="preserve">Estos objetivos pueden ser más altos que los </w:t>
      </w:r>
      <w:r>
        <w:rPr>
          <w:rFonts w:eastAsia="Times New Roman" w:cs="Arial"/>
          <w:color w:val="auto"/>
        </w:rPr>
        <w:t>objetivos corporativos calculados de efectivo de GLOC de referencia</w:t>
      </w:r>
      <w:r w:rsidRPr="00463346">
        <w:rPr>
          <w:rFonts w:eastAsia="Times New Roman" w:cs="Arial"/>
          <w:color w:val="auto"/>
        </w:rPr>
        <w:t>, si así lo acuerdan los gobiernos anfitriones para cumplir con sus aspiraciones de desarrollo y cubrir suficientemente los gastos planificados de la oficina local.</w:t>
      </w:r>
    </w:p>
    <w:p w14:paraId="7D5A08E5" w14:textId="77777777" w:rsidR="00F92282" w:rsidRPr="00463346" w:rsidRDefault="00F92282" w:rsidP="00F92282">
      <w:pPr>
        <w:shd w:val="clear" w:color="auto" w:fill="FFFFFF"/>
        <w:spacing w:after="0" w:line="240" w:lineRule="auto"/>
        <w:ind w:right="0"/>
        <w:textAlignment w:val="top"/>
        <w:rPr>
          <w:rFonts w:eastAsia="Times New Roman" w:cs="Arial"/>
          <w:color w:val="auto"/>
        </w:rPr>
      </w:pPr>
    </w:p>
    <w:p w14:paraId="02143701" w14:textId="77777777" w:rsidR="00F92282" w:rsidRPr="00463346" w:rsidRDefault="00F92282" w:rsidP="00F92282">
      <w:pPr>
        <w:pStyle w:val="ListParagraph"/>
        <w:numPr>
          <w:ilvl w:val="0"/>
          <w:numId w:val="16"/>
        </w:numPr>
        <w:shd w:val="clear" w:color="auto" w:fill="FFFFFF"/>
        <w:spacing w:after="0" w:line="240" w:lineRule="auto"/>
        <w:ind w:right="0"/>
        <w:textAlignment w:val="top"/>
        <w:rPr>
          <w:rFonts w:eastAsia="Times New Roman" w:cs="Arial"/>
          <w:color w:val="auto"/>
        </w:rPr>
      </w:pPr>
      <w:bookmarkStart w:id="2" w:name="_Hlk52190714"/>
      <w:r w:rsidRPr="00463346">
        <w:rPr>
          <w:rFonts w:eastAsia="Times New Roman" w:cs="Arial"/>
          <w:color w:val="auto"/>
        </w:rPr>
        <w:t xml:space="preserve">Los objetivos de efectivo de GLOC </w:t>
      </w:r>
      <w:r>
        <w:rPr>
          <w:rFonts w:eastAsia="Times New Roman" w:cs="Arial"/>
          <w:color w:val="auto"/>
        </w:rPr>
        <w:t>plurianuales</w:t>
      </w:r>
      <w:r w:rsidRPr="00463346">
        <w:rPr>
          <w:rFonts w:eastAsia="Times New Roman" w:cs="Arial"/>
          <w:color w:val="auto"/>
        </w:rPr>
        <w:t xml:space="preserve"> se podr</w:t>
      </w:r>
      <w:r>
        <w:rPr>
          <w:rFonts w:eastAsia="Times New Roman" w:cs="Arial"/>
          <w:color w:val="auto"/>
        </w:rPr>
        <w:t>á</w:t>
      </w:r>
      <w:r w:rsidRPr="00463346">
        <w:rPr>
          <w:rFonts w:eastAsia="Times New Roman" w:cs="Arial"/>
          <w:color w:val="auto"/>
        </w:rPr>
        <w:t xml:space="preserve">n negociar </w:t>
      </w:r>
      <w:r>
        <w:rPr>
          <w:rFonts w:eastAsia="Times New Roman" w:cs="Arial"/>
          <w:color w:val="auto"/>
        </w:rPr>
        <w:t xml:space="preserve">en base a </w:t>
      </w:r>
      <w:r w:rsidRPr="00463346">
        <w:rPr>
          <w:rFonts w:eastAsia="Times New Roman" w:cs="Arial"/>
          <w:color w:val="auto"/>
        </w:rPr>
        <w:t xml:space="preserve">lo </w:t>
      </w:r>
      <w:r w:rsidRPr="004E31E3">
        <w:rPr>
          <w:rFonts w:eastAsia="Times New Roman" w:cs="Arial"/>
          <w:color w:val="auto"/>
        </w:rPr>
        <w:t>siguiente:</w:t>
      </w:r>
    </w:p>
    <w:bookmarkEnd w:id="2"/>
    <w:p w14:paraId="5C8EC481"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6C1569F8" w14:textId="77777777" w:rsidR="00F92282" w:rsidRPr="00463346" w:rsidRDefault="00F92282" w:rsidP="00F92282">
      <w:pPr>
        <w:pStyle w:val="ListParagraph"/>
        <w:numPr>
          <w:ilvl w:val="0"/>
          <w:numId w:val="13"/>
        </w:numPr>
        <w:shd w:val="clear" w:color="auto" w:fill="FFFFFF"/>
        <w:spacing w:after="0" w:line="240" w:lineRule="auto"/>
        <w:ind w:left="720" w:right="0"/>
        <w:textAlignment w:val="top"/>
        <w:rPr>
          <w:rFonts w:eastAsia="Times New Roman" w:cs="Arial"/>
          <w:color w:val="auto"/>
        </w:rPr>
      </w:pPr>
      <w:r w:rsidRPr="00463346">
        <w:rPr>
          <w:rFonts w:eastAsia="Times New Roman" w:cs="Arial"/>
          <w:b/>
          <w:color w:val="auto"/>
          <w:u w:val="single"/>
        </w:rPr>
        <w:t>Objetivos GLOC mutuamente acordados alineados con el ciclo de CPD</w:t>
      </w:r>
      <w:r w:rsidRPr="00463346">
        <w:rPr>
          <w:rFonts w:eastAsia="Times New Roman" w:cs="Arial"/>
          <w:color w:val="auto"/>
        </w:rPr>
        <w:t xml:space="preserve">: Durante la formulación del Documento de Programa de País (CPD, </w:t>
      </w:r>
      <w:r w:rsidRPr="00463346">
        <w:rPr>
          <w:rFonts w:eastAsia="Times New Roman" w:cs="Arial"/>
          <w:i/>
          <w:iCs/>
          <w:color w:val="auto"/>
        </w:rPr>
        <w:t>Country Programme Document</w:t>
      </w:r>
      <w:r w:rsidRPr="00463346">
        <w:rPr>
          <w:rFonts w:eastAsia="Times New Roman" w:cs="Arial"/>
          <w:color w:val="auto"/>
        </w:rPr>
        <w:t xml:space="preserve">, por sus siglas en inglés), las oficinas de </w:t>
      </w:r>
      <w:r>
        <w:rPr>
          <w:rFonts w:eastAsia="Times New Roman" w:cs="Arial"/>
          <w:color w:val="auto"/>
        </w:rPr>
        <w:t>p</w:t>
      </w:r>
      <w:r w:rsidRPr="00463346">
        <w:rPr>
          <w:rFonts w:eastAsia="Times New Roman" w:cs="Arial"/>
          <w:color w:val="auto"/>
        </w:rPr>
        <w:t xml:space="preserve">aís (CO, Country Offices, por sus siglas en inglés) junto con el gobierno nacional pueden determinar los objetivos de efectivo anuales y </w:t>
      </w:r>
      <w:r>
        <w:rPr>
          <w:rFonts w:eastAsia="Times New Roman" w:cs="Arial"/>
          <w:color w:val="auto"/>
        </w:rPr>
        <w:t>plurianuales</w:t>
      </w:r>
      <w:r w:rsidRPr="00463346">
        <w:rPr>
          <w:rFonts w:eastAsia="Times New Roman" w:cs="Arial"/>
          <w:color w:val="auto"/>
        </w:rPr>
        <w:t xml:space="preserve"> teniendo en cuenta la capacidad de la oficina de país requerida para apoyar </w:t>
      </w:r>
      <w:r>
        <w:rPr>
          <w:rFonts w:eastAsia="Times New Roman" w:cs="Arial"/>
          <w:color w:val="auto"/>
        </w:rPr>
        <w:t>a</w:t>
      </w:r>
      <w:r w:rsidRPr="00463346">
        <w:rPr>
          <w:rFonts w:eastAsia="Times New Roman" w:cs="Arial"/>
          <w:color w:val="auto"/>
        </w:rPr>
        <w:t>l Gobierno nacional para el período previsto de CPD. Los objetivos plurianuales pueden revisarse anualmente o pueden ser parte integral de la revisión intermedia y de cualquier otra discusión sobre CPD. L</w:t>
      </w:r>
      <w:r>
        <w:rPr>
          <w:rFonts w:eastAsia="Times New Roman" w:cs="Arial"/>
          <w:color w:val="auto"/>
        </w:rPr>
        <w:t>a</w:t>
      </w:r>
      <w:r w:rsidRPr="00463346">
        <w:rPr>
          <w:rFonts w:eastAsia="Times New Roman" w:cs="Arial"/>
          <w:color w:val="auto"/>
        </w:rPr>
        <w:t>s CO pueden aumentar o disminuir los objetivos GLOC, en línea con el tamaño propuesto de su oficina, para alinear mejor el tamaño de la oficina con las prioridades de desarrollo y el plan de trabajo para el período de planificación.</w:t>
      </w:r>
    </w:p>
    <w:p w14:paraId="0C8F4F86" w14:textId="77777777" w:rsidR="00F92282" w:rsidRPr="00463346" w:rsidRDefault="00F92282" w:rsidP="00F92282">
      <w:pPr>
        <w:pStyle w:val="ListParagraph"/>
        <w:shd w:val="clear" w:color="auto" w:fill="FFFFFF"/>
        <w:spacing w:after="0" w:line="240" w:lineRule="auto"/>
        <w:ind w:left="1440" w:right="0" w:firstLine="0"/>
        <w:textAlignment w:val="top"/>
        <w:rPr>
          <w:rFonts w:eastAsia="Times New Roman" w:cs="Arial"/>
          <w:color w:val="auto"/>
        </w:rPr>
      </w:pPr>
    </w:p>
    <w:p w14:paraId="70EA880A" w14:textId="77777777" w:rsidR="00F92282" w:rsidRPr="00463346" w:rsidRDefault="00F92282" w:rsidP="00F92282">
      <w:pPr>
        <w:pStyle w:val="ListParagraph"/>
        <w:numPr>
          <w:ilvl w:val="0"/>
          <w:numId w:val="13"/>
        </w:numPr>
        <w:shd w:val="clear" w:color="auto" w:fill="FFFFFF"/>
        <w:spacing w:after="0" w:line="240" w:lineRule="auto"/>
        <w:ind w:left="720" w:right="0"/>
        <w:textAlignment w:val="top"/>
        <w:rPr>
          <w:rFonts w:eastAsia="Times New Roman" w:cs="Arial"/>
          <w:color w:val="auto"/>
        </w:rPr>
      </w:pPr>
      <w:r w:rsidRPr="00463346">
        <w:rPr>
          <w:rFonts w:eastAsia="Times New Roman" w:cs="Arial"/>
          <w:b/>
          <w:color w:val="auto"/>
          <w:u w:val="single"/>
        </w:rPr>
        <w:t>Objetivos GLOC mutuamente acordados basados en gastos locales pasados</w:t>
      </w:r>
      <w:r w:rsidRPr="00463346">
        <w:rPr>
          <w:rFonts w:eastAsia="Times New Roman" w:cs="Arial"/>
          <w:color w:val="auto"/>
        </w:rPr>
        <w:t xml:space="preserve">: como parte provisional, hasta la formulación del próximo CPD, las oficinas </w:t>
      </w:r>
      <w:r>
        <w:rPr>
          <w:rFonts w:eastAsia="Times New Roman" w:cs="Arial"/>
          <w:color w:val="auto"/>
        </w:rPr>
        <w:t>de país</w:t>
      </w:r>
      <w:r w:rsidRPr="00463346">
        <w:rPr>
          <w:rFonts w:eastAsia="Times New Roman" w:cs="Arial"/>
          <w:color w:val="auto"/>
        </w:rPr>
        <w:t xml:space="preserve"> junto con los gobiernos nacionales pueden determinar los objetivos anuales y plurianuales (al menos durante 2 años). Estos objetivos se pueden negociar en función de los gastos locales promedio de los últimos dos años o se pueden negociar en función de los gastos locales estimados para el período de planificación.</w:t>
      </w:r>
    </w:p>
    <w:p w14:paraId="7071E8F5" w14:textId="77777777" w:rsidR="00F92282" w:rsidRPr="00463346" w:rsidRDefault="00F92282" w:rsidP="00F92282">
      <w:pPr>
        <w:shd w:val="clear" w:color="auto" w:fill="FFFFFF"/>
        <w:spacing w:after="0" w:line="240" w:lineRule="auto"/>
        <w:ind w:right="0"/>
        <w:textAlignment w:val="top"/>
        <w:rPr>
          <w:rFonts w:eastAsia="Times New Roman" w:cs="Arial"/>
          <w:color w:val="auto"/>
        </w:rPr>
      </w:pPr>
    </w:p>
    <w:p w14:paraId="5D02EC9F" w14:textId="59A4233A" w:rsidR="00F92282" w:rsidRPr="004E31E3" w:rsidRDefault="00F92282" w:rsidP="00F92282">
      <w:pPr>
        <w:pStyle w:val="ListParagraph"/>
        <w:numPr>
          <w:ilvl w:val="0"/>
          <w:numId w:val="17"/>
        </w:numPr>
        <w:spacing w:after="0" w:line="240" w:lineRule="auto"/>
      </w:pPr>
      <w:r w:rsidRPr="004E31E3">
        <w:t xml:space="preserve">Las flexibilidades mencionadas se ajustan a lo dispuesto por la </w:t>
      </w:r>
      <w:r w:rsidRPr="00463346">
        <w:t>Junta Ejecutiva</w:t>
      </w:r>
      <w:r w:rsidRPr="004E31E3">
        <w:t xml:space="preserve"> del PNUD (</w:t>
      </w:r>
      <w:hyperlink r:id="rId18" w:history="1">
        <w:r w:rsidRPr="004E31E3">
          <w:rPr>
            <w:rStyle w:val="Hyperlink"/>
          </w:rPr>
          <w:t>decisión de la Junta Ejecutiva 2020/14</w:t>
        </w:r>
      </w:hyperlink>
      <w:r w:rsidRPr="004E31E3">
        <w:t xml:space="preserve">), que reconoció </w:t>
      </w:r>
      <w:r w:rsidRPr="00463346">
        <w:rPr>
          <w:rFonts w:ascii="Arial" w:hAnsi="Arial" w:cs="Arial"/>
          <w:color w:val="222222"/>
          <w:bdr w:val="none" w:sz="0" w:space="0" w:color="auto" w:frame="1"/>
          <w:shd w:val="clear" w:color="auto" w:fill="FFFFFF"/>
        </w:rPr>
        <w:t>«</w:t>
      </w:r>
      <w:r w:rsidRPr="00463346">
        <w:rPr>
          <w:i/>
          <w:iCs/>
        </w:rPr>
        <w:t>la importancia de las contribuciones que los Gobiernos de los países en que se ejecutan programas hacen al PNUD para sufragar los gastos de las oficinas locales, tanto en efectivo como en especie, y alienta al PNUD a que colabore con los Gobiernos respectivos con miras a acordar, cuando sea posible, contribuciones anuales o plurianuales a fin de cumplir esos compromisos, teniendo en cuenta los procesos nacionales de planificación presupuestaria.</w:t>
      </w:r>
      <w:r w:rsidRPr="00463346">
        <w:rPr>
          <w:rFonts w:ascii="Arial" w:hAnsi="Arial" w:cs="Arial"/>
          <w:color w:val="222222"/>
          <w:bdr w:val="none" w:sz="0" w:space="0" w:color="auto" w:frame="1"/>
          <w:shd w:val="clear" w:color="auto" w:fill="FFFFFF"/>
        </w:rPr>
        <w:t>».</w:t>
      </w:r>
      <w:r w:rsidRPr="004E31E3">
        <w:t xml:space="preserve"> Por lo tanto, es fundamental que las </w:t>
      </w:r>
      <w:r>
        <w:t>o</w:t>
      </w:r>
      <w:r w:rsidRPr="004E31E3">
        <w:t xml:space="preserve">ficinas de </w:t>
      </w:r>
      <w:r>
        <w:t>p</w:t>
      </w:r>
      <w:r w:rsidRPr="004E31E3">
        <w:t>aís hagan participar activamente a los gobiernos anfitriones en su diálogo sobre la obligación del gobierno anfitrión de sufragar los gastos de las oficinas locales.</w:t>
      </w:r>
    </w:p>
    <w:p w14:paraId="543C8613" w14:textId="77777777" w:rsidR="00F92282" w:rsidRPr="00463346" w:rsidRDefault="00F92282" w:rsidP="00F92282">
      <w:pPr>
        <w:pStyle w:val="ListParagraph"/>
        <w:shd w:val="clear" w:color="auto" w:fill="FFFFFF"/>
        <w:spacing w:after="0" w:line="240" w:lineRule="auto"/>
        <w:ind w:left="360" w:right="0" w:firstLine="0"/>
        <w:textAlignment w:val="top"/>
        <w:rPr>
          <w:rFonts w:eastAsia="Times New Roman" w:cs="Arial"/>
          <w:color w:val="auto"/>
        </w:rPr>
      </w:pPr>
    </w:p>
    <w:p w14:paraId="30F05979" w14:textId="5CCCE394" w:rsidR="00F92282" w:rsidRPr="00463346" w:rsidRDefault="00F92282" w:rsidP="00F92282">
      <w:pPr>
        <w:pStyle w:val="ListParagraph"/>
        <w:numPr>
          <w:ilvl w:val="0"/>
          <w:numId w:val="17"/>
        </w:numPr>
        <w:shd w:val="clear" w:color="auto" w:fill="FFFFFF"/>
        <w:spacing w:after="0" w:line="240" w:lineRule="auto"/>
        <w:ind w:right="0"/>
        <w:textAlignment w:val="top"/>
        <w:rPr>
          <w:rFonts w:eastAsia="Times New Roman" w:cs="Arial"/>
          <w:color w:val="auto"/>
        </w:rPr>
      </w:pPr>
      <w:r w:rsidRPr="00463346">
        <w:rPr>
          <w:rFonts w:eastAsia="Times New Roman" w:cs="Arial"/>
          <w:color w:val="auto"/>
        </w:rPr>
        <w:lastRenderedPageBreak/>
        <w:t xml:space="preserve">Siempre que se acuerden objetivos de GLOC de efectivo anuales de varios años o más que la línea base con los gobiernos anfitriones, las oficinas </w:t>
      </w:r>
      <w:r>
        <w:rPr>
          <w:rFonts w:eastAsia="Times New Roman" w:cs="Arial"/>
          <w:color w:val="auto"/>
        </w:rPr>
        <w:t>de país</w:t>
      </w:r>
      <w:r w:rsidRPr="00463346">
        <w:rPr>
          <w:rFonts w:eastAsia="Times New Roman" w:cs="Arial"/>
          <w:color w:val="auto"/>
        </w:rPr>
        <w:t xml:space="preserve"> deben informar a BMS/OFM y sus respectivas oficinas regionales. Esto asegurará que esta información se informe en futuros informes corporativos, incluso a la JE (Junta Ejecutiva) a través de la Revisión anual de la situación financiera (AR</w:t>
      </w:r>
      <w:r>
        <w:rPr>
          <w:rFonts w:eastAsia="Times New Roman" w:cs="Arial"/>
          <w:color w:val="auto"/>
        </w:rPr>
        <w:t>F</w:t>
      </w:r>
      <w:r w:rsidRPr="00463346">
        <w:rPr>
          <w:rFonts w:eastAsia="Times New Roman" w:cs="Arial"/>
          <w:color w:val="auto"/>
        </w:rPr>
        <w:t xml:space="preserve">S, </w:t>
      </w:r>
      <w:r w:rsidRPr="00463346">
        <w:rPr>
          <w:rFonts w:eastAsia="Times New Roman" w:cs="Arial"/>
          <w:i/>
          <w:iCs/>
          <w:color w:val="auto"/>
        </w:rPr>
        <w:t>Annual Review of Financial Situation</w:t>
      </w:r>
      <w:r w:rsidRPr="00463346">
        <w:rPr>
          <w:rFonts w:eastAsia="Times New Roman" w:cs="Arial"/>
          <w:color w:val="auto"/>
        </w:rPr>
        <w:t>, por sus siglas en inglés).</w:t>
      </w:r>
    </w:p>
    <w:p w14:paraId="0FA5573E"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5510A8A9" w14:textId="77777777" w:rsidR="00F92282" w:rsidRPr="00463346" w:rsidRDefault="00F92282" w:rsidP="00F92282">
      <w:pPr>
        <w:pStyle w:val="ListParagraph"/>
        <w:shd w:val="clear" w:color="auto" w:fill="FFFFFF"/>
        <w:spacing w:after="0" w:line="240" w:lineRule="auto"/>
        <w:ind w:left="0" w:right="0" w:firstLine="360"/>
        <w:textAlignment w:val="top"/>
        <w:rPr>
          <w:rFonts w:eastAsia="Times New Roman" w:cs="Arial"/>
          <w:b/>
          <w:color w:val="auto"/>
          <w:u w:val="single"/>
        </w:rPr>
      </w:pPr>
      <w:r w:rsidRPr="00463346">
        <w:rPr>
          <w:rFonts w:eastAsia="Times New Roman" w:cs="Arial"/>
          <w:b/>
          <w:color w:val="auto"/>
          <w:u w:val="single"/>
        </w:rPr>
        <w:t>Comunicación de objetivos GLOC a los gobiernos anfitriones</w:t>
      </w:r>
    </w:p>
    <w:p w14:paraId="7B232BA4"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0F4E2107" w14:textId="4201468B" w:rsidR="00F92282" w:rsidRPr="00463346" w:rsidRDefault="00F92282" w:rsidP="00F92282">
      <w:pPr>
        <w:pStyle w:val="ListParagraph"/>
        <w:numPr>
          <w:ilvl w:val="0"/>
          <w:numId w:val="17"/>
        </w:numPr>
        <w:shd w:val="clear" w:color="auto" w:fill="FFFFFF"/>
        <w:spacing w:after="0" w:line="240" w:lineRule="auto"/>
        <w:ind w:right="0"/>
        <w:textAlignment w:val="top"/>
        <w:rPr>
          <w:rFonts w:eastAsia="Times New Roman" w:cs="Arial"/>
          <w:color w:val="auto"/>
        </w:rPr>
      </w:pPr>
      <w:r w:rsidRPr="00463346">
        <w:rPr>
          <w:rFonts w:eastAsia="Times New Roman" w:cs="Arial"/>
          <w:color w:val="auto"/>
        </w:rPr>
        <w:t>Los objetivos anuales de GLOC se emiten desde BMS/OFM a las Oficinas Regionales a fin</w:t>
      </w:r>
      <w:r>
        <w:rPr>
          <w:rFonts w:eastAsia="Times New Roman" w:cs="Arial"/>
          <w:color w:val="auto"/>
        </w:rPr>
        <w:t>ale</w:t>
      </w:r>
      <w:r w:rsidRPr="00463346">
        <w:rPr>
          <w:rFonts w:eastAsia="Times New Roman" w:cs="Arial"/>
          <w:color w:val="auto"/>
        </w:rPr>
        <w:t xml:space="preserve">s de septiembre de cada año junto con un memorando conjunto entre oficinas (Oficina Regional y OFM) para las oficinas </w:t>
      </w:r>
      <w:r>
        <w:rPr>
          <w:rFonts w:eastAsia="Times New Roman" w:cs="Arial"/>
          <w:color w:val="auto"/>
        </w:rPr>
        <w:t>de país</w:t>
      </w:r>
      <w:r w:rsidRPr="00463346">
        <w:rPr>
          <w:rFonts w:eastAsia="Times New Roman" w:cs="Arial"/>
          <w:color w:val="auto"/>
        </w:rPr>
        <w:t>. Los objetivos de efectivo anuales están acompañados por la metodología de cálculo GLOC para proporcionar claridad adicional y</w:t>
      </w:r>
      <w:r>
        <w:rPr>
          <w:rFonts w:eastAsia="Times New Roman" w:cs="Arial"/>
          <w:color w:val="auto"/>
        </w:rPr>
        <w:t xml:space="preserve"> los</w:t>
      </w:r>
      <w:r w:rsidRPr="00463346">
        <w:rPr>
          <w:rFonts w:eastAsia="Times New Roman" w:cs="Arial"/>
          <w:color w:val="auto"/>
        </w:rPr>
        <w:t xml:space="preserve"> procesos aplicables en un año determinado. Estos objetivos se pueden revisar para reflejar una certificación final de la contribución en especie para el año, a principios de febrero de cada año, si hubo un cambio significativo debido a un espacio o un valor de una premisa proporcionada por un gobierno anfitrión.</w:t>
      </w:r>
    </w:p>
    <w:p w14:paraId="4355B321"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49C5CB8F" w14:textId="0CDC1180" w:rsidR="00F92282" w:rsidRPr="00463346" w:rsidRDefault="00F92282" w:rsidP="00F92282">
      <w:pPr>
        <w:pStyle w:val="ListParagraph"/>
        <w:numPr>
          <w:ilvl w:val="0"/>
          <w:numId w:val="17"/>
        </w:numPr>
        <w:shd w:val="clear" w:color="auto" w:fill="FFFFFF"/>
        <w:spacing w:after="0" w:line="240" w:lineRule="auto"/>
        <w:ind w:right="0"/>
        <w:textAlignment w:val="top"/>
        <w:rPr>
          <w:rFonts w:eastAsia="Times New Roman" w:cs="Arial"/>
          <w:color w:val="auto"/>
        </w:rPr>
      </w:pPr>
      <w:r w:rsidRPr="00463346">
        <w:rPr>
          <w:rFonts w:eastAsia="Times New Roman" w:cs="Arial"/>
          <w:color w:val="auto"/>
        </w:rPr>
        <w:t xml:space="preserve">Las oficinas </w:t>
      </w:r>
      <w:r>
        <w:rPr>
          <w:rFonts w:eastAsia="Times New Roman" w:cs="Arial"/>
          <w:color w:val="auto"/>
        </w:rPr>
        <w:t>de país</w:t>
      </w:r>
      <w:r w:rsidRPr="00463346">
        <w:rPr>
          <w:rFonts w:eastAsia="Times New Roman" w:cs="Arial"/>
          <w:color w:val="auto"/>
        </w:rPr>
        <w:t xml:space="preserve"> son responsables de informar formalmente a los gobiernos anfitriones sobre los objetivos anuales de GLOC y los atrasos pendientes (si corresponde) </w:t>
      </w:r>
      <w:r>
        <w:rPr>
          <w:rFonts w:eastAsia="Times New Roman" w:cs="Arial"/>
          <w:color w:val="auto"/>
        </w:rPr>
        <w:t>así como sobre la</w:t>
      </w:r>
      <w:r w:rsidRPr="00463346">
        <w:rPr>
          <w:rFonts w:eastAsia="Times New Roman" w:cs="Arial"/>
          <w:color w:val="auto"/>
        </w:rPr>
        <w:t xml:space="preserve"> solicitud de pagos.</w:t>
      </w:r>
    </w:p>
    <w:p w14:paraId="441F0D3B"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764B79EE" w14:textId="77777777" w:rsidR="00F92282" w:rsidRPr="00463346" w:rsidRDefault="00F92282" w:rsidP="00F92282">
      <w:pPr>
        <w:pStyle w:val="ListParagraph"/>
        <w:numPr>
          <w:ilvl w:val="0"/>
          <w:numId w:val="17"/>
        </w:numPr>
        <w:shd w:val="clear" w:color="auto" w:fill="FFFFFF"/>
        <w:spacing w:after="0" w:line="240" w:lineRule="auto"/>
        <w:ind w:right="0"/>
        <w:textAlignment w:val="top"/>
        <w:rPr>
          <w:rFonts w:eastAsia="Times New Roman" w:cs="Arial"/>
          <w:color w:val="auto"/>
        </w:rPr>
      </w:pPr>
      <w:r w:rsidRPr="00463346">
        <w:rPr>
          <w:rFonts w:eastAsia="Times New Roman" w:cs="Arial"/>
          <w:color w:val="auto"/>
        </w:rPr>
        <w:t>Cuando se discuten los objetivos anuales de efectivo de GLOC con los gobiernos anfitriones, es importante plantear la cuestión del pago pendiente de las obligaciones de efectivo de GLOC de años anteriores.</w:t>
      </w:r>
    </w:p>
    <w:p w14:paraId="48919612"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14371F10" w14:textId="77777777" w:rsidR="00F92282" w:rsidRPr="00463346" w:rsidRDefault="00F92282" w:rsidP="00F92282">
      <w:pPr>
        <w:pStyle w:val="ListParagraph"/>
        <w:numPr>
          <w:ilvl w:val="0"/>
          <w:numId w:val="17"/>
        </w:numPr>
        <w:shd w:val="clear" w:color="auto" w:fill="FFFFFF"/>
        <w:spacing w:after="0" w:line="240" w:lineRule="auto"/>
        <w:ind w:right="0"/>
        <w:textAlignment w:val="top"/>
        <w:rPr>
          <w:rFonts w:eastAsia="Times New Roman" w:cs="Arial"/>
          <w:color w:val="auto"/>
        </w:rPr>
      </w:pPr>
      <w:r w:rsidRPr="00463346">
        <w:rPr>
          <w:szCs w:val="24"/>
        </w:rPr>
        <w:t xml:space="preserve">Además, las no colecciones de GLOC pueden constituir una base para que los auditores informen observaciones adversas y emitan una calificación de auditoría de CO menos satisfactoria, lo que afecta </w:t>
      </w:r>
      <w:r>
        <w:rPr>
          <w:szCs w:val="24"/>
        </w:rPr>
        <w:t xml:space="preserve">a </w:t>
      </w:r>
      <w:r w:rsidRPr="00463346">
        <w:rPr>
          <w:szCs w:val="24"/>
        </w:rPr>
        <w:t>la credibilidad de los sistemas financieros y de rendición de cuentas de la región. Por lo tanto, las oficinas deben establecer un sistema para documentar y monitorear sus esfuerzos de seguimiento para cobrar las obligaciones GLOC pendientes.</w:t>
      </w:r>
    </w:p>
    <w:p w14:paraId="21AF5938"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5EFE79DB" w14:textId="77777777" w:rsidR="00F92282" w:rsidRPr="00463346" w:rsidRDefault="00F92282" w:rsidP="00F92282">
      <w:pPr>
        <w:pStyle w:val="ListParagraph"/>
        <w:numPr>
          <w:ilvl w:val="0"/>
          <w:numId w:val="17"/>
        </w:numPr>
        <w:shd w:val="clear" w:color="auto" w:fill="FFFFFF"/>
        <w:spacing w:after="0" w:line="240" w:lineRule="auto"/>
        <w:ind w:right="0"/>
        <w:textAlignment w:val="top"/>
        <w:rPr>
          <w:rFonts w:eastAsia="Times New Roman" w:cs="Arial"/>
          <w:color w:val="auto"/>
        </w:rPr>
      </w:pPr>
      <w:r w:rsidRPr="00463346">
        <w:rPr>
          <w:rFonts w:eastAsia="Times New Roman" w:cs="Arial"/>
          <w:color w:val="auto"/>
        </w:rPr>
        <w:t xml:space="preserve">Al recibir la contribución de GLOC, una práctica recomendada es enviar rápidamente una carta de agradecimiento al gobierno anfitrión desde la </w:t>
      </w:r>
      <w:r>
        <w:rPr>
          <w:rFonts w:eastAsia="Times New Roman" w:cs="Arial"/>
          <w:color w:val="auto"/>
        </w:rPr>
        <w:t>o</w:t>
      </w:r>
      <w:r w:rsidRPr="00463346">
        <w:rPr>
          <w:rFonts w:eastAsia="Times New Roman" w:cs="Arial"/>
          <w:color w:val="auto"/>
        </w:rPr>
        <w:t xml:space="preserve">ficina de </w:t>
      </w:r>
      <w:r>
        <w:rPr>
          <w:rFonts w:eastAsia="Times New Roman" w:cs="Arial"/>
          <w:color w:val="auto"/>
        </w:rPr>
        <w:t>p</w:t>
      </w:r>
      <w:r w:rsidRPr="00463346">
        <w:rPr>
          <w:rFonts w:eastAsia="Times New Roman" w:cs="Arial"/>
          <w:color w:val="auto"/>
        </w:rPr>
        <w:t>aís. Para apreciar la importancia de los pagos GLOC a la financiación de la oficina local y alentar los pagos oportunos</w:t>
      </w:r>
      <w:r>
        <w:rPr>
          <w:rFonts w:eastAsia="Times New Roman" w:cs="Arial"/>
          <w:color w:val="auto"/>
        </w:rPr>
        <w:t xml:space="preserve">, desde 2019 </w:t>
      </w:r>
      <w:r w:rsidRPr="00463346">
        <w:rPr>
          <w:rFonts w:eastAsia="Times New Roman" w:cs="Arial"/>
          <w:color w:val="auto"/>
        </w:rPr>
        <w:t xml:space="preserve">la alta dirección del PNUD ha </w:t>
      </w:r>
      <w:r>
        <w:rPr>
          <w:rFonts w:eastAsia="Times New Roman" w:cs="Arial"/>
          <w:color w:val="auto"/>
        </w:rPr>
        <w:t xml:space="preserve">estado </w:t>
      </w:r>
      <w:r w:rsidRPr="00463346">
        <w:rPr>
          <w:rFonts w:eastAsia="Times New Roman" w:cs="Arial"/>
          <w:color w:val="auto"/>
        </w:rPr>
        <w:t>envia</w:t>
      </w:r>
      <w:r>
        <w:rPr>
          <w:rFonts w:eastAsia="Times New Roman" w:cs="Arial"/>
          <w:color w:val="auto"/>
        </w:rPr>
        <w:t>n</w:t>
      </w:r>
      <w:r w:rsidRPr="00463346">
        <w:rPr>
          <w:rFonts w:eastAsia="Times New Roman" w:cs="Arial"/>
          <w:color w:val="auto"/>
        </w:rPr>
        <w:t>do una carta de agradecimiento anual a las misiones permanentes de los estados miembros por pagar sus obligaciones GLOC en efectivo o en especie</w:t>
      </w:r>
      <w:r>
        <w:rPr>
          <w:rFonts w:eastAsia="Times New Roman" w:cs="Arial"/>
          <w:color w:val="auto"/>
        </w:rPr>
        <w:t>.</w:t>
      </w:r>
    </w:p>
    <w:p w14:paraId="6395AF75"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007900BC" w14:textId="77777777" w:rsidR="00F92282" w:rsidRPr="00463346" w:rsidRDefault="00F92282" w:rsidP="00F92282">
      <w:pPr>
        <w:shd w:val="clear" w:color="auto" w:fill="FFFFFF"/>
        <w:spacing w:after="0" w:line="240" w:lineRule="auto"/>
        <w:ind w:right="0"/>
        <w:textAlignment w:val="top"/>
        <w:rPr>
          <w:rFonts w:eastAsia="Times New Roman" w:cs="Arial"/>
          <w:b/>
          <w:color w:val="auto"/>
          <w:u w:val="single"/>
        </w:rPr>
      </w:pPr>
      <w:r w:rsidRPr="00463346">
        <w:rPr>
          <w:rFonts w:eastAsia="Times New Roman" w:cs="Arial"/>
          <w:b/>
          <w:color w:val="auto"/>
          <w:u w:val="single"/>
        </w:rPr>
        <w:t>Registro de contribuciones en efectivo</w:t>
      </w:r>
    </w:p>
    <w:p w14:paraId="3D1DEEFC"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b/>
          <w:color w:val="auto"/>
        </w:rPr>
      </w:pPr>
    </w:p>
    <w:p w14:paraId="4066065A" w14:textId="77777777" w:rsidR="00F92282" w:rsidRPr="00463346" w:rsidRDefault="00F92282" w:rsidP="00F92282">
      <w:pPr>
        <w:pStyle w:val="ListParagraph"/>
        <w:numPr>
          <w:ilvl w:val="0"/>
          <w:numId w:val="17"/>
        </w:numPr>
        <w:shd w:val="clear" w:color="auto" w:fill="FFFFFF"/>
        <w:spacing w:after="0" w:line="240" w:lineRule="auto"/>
        <w:ind w:right="0"/>
        <w:textAlignment w:val="top"/>
        <w:rPr>
          <w:rFonts w:eastAsia="Times New Roman" w:cs="Arial"/>
          <w:color w:val="auto"/>
        </w:rPr>
      </w:pPr>
      <w:r w:rsidRPr="00463346">
        <w:rPr>
          <w:rFonts w:eastAsia="Times New Roman" w:cs="Arial"/>
          <w:color w:val="auto"/>
        </w:rPr>
        <w:t>Los objetivos de efectivo de GLOC se establecen en dólares estadounidenses (USD). El gobierno anfitrión puede pagar su obligación en USD o en moneda local utilizando la tasa de cambio operacional prevaleciente más reciente de la ONU.</w:t>
      </w:r>
    </w:p>
    <w:p w14:paraId="250E709B"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3602AFD8" w14:textId="77777777" w:rsidR="00F92282" w:rsidRPr="00463346" w:rsidRDefault="00F92282" w:rsidP="00F92282">
      <w:pPr>
        <w:pStyle w:val="ListParagraph"/>
        <w:numPr>
          <w:ilvl w:val="0"/>
          <w:numId w:val="17"/>
        </w:numPr>
        <w:shd w:val="clear" w:color="auto" w:fill="FFFFFF"/>
        <w:spacing w:after="0" w:line="240" w:lineRule="auto"/>
        <w:ind w:right="0"/>
        <w:textAlignment w:val="top"/>
        <w:rPr>
          <w:rFonts w:eastAsia="Times New Roman" w:cs="Arial"/>
          <w:color w:val="auto"/>
        </w:rPr>
      </w:pPr>
      <w:r w:rsidRPr="00463346">
        <w:rPr>
          <w:color w:val="auto"/>
        </w:rPr>
        <w:t xml:space="preserve">Cuando un gobierno anfitrión proporciona contribuciones en efectivo a las oficinas </w:t>
      </w:r>
      <w:r>
        <w:rPr>
          <w:rFonts w:eastAsia="Times New Roman" w:cs="Arial"/>
          <w:color w:val="auto"/>
        </w:rPr>
        <w:t>de país</w:t>
      </w:r>
      <w:r w:rsidRPr="00495DC0" w:rsidDel="0031026F">
        <w:rPr>
          <w:color w:val="auto"/>
        </w:rPr>
        <w:t xml:space="preserve"> </w:t>
      </w:r>
      <w:r w:rsidRPr="00463346">
        <w:rPr>
          <w:color w:val="auto"/>
        </w:rPr>
        <w:t xml:space="preserve">para pagar específicamente el alquiler y los servicios públicos (en lugar de locales y servicios gratuitos), se aconseja a las oficinas que incluyan dichas contribuciones en sus proyecciones de pago GLOC anuales en el Plan de trabajo integrado anual </w:t>
      </w:r>
      <w:r>
        <w:rPr>
          <w:color w:val="auto"/>
        </w:rPr>
        <w:t xml:space="preserve">(IWP, </w:t>
      </w:r>
      <w:r w:rsidRPr="00463346">
        <w:rPr>
          <w:i/>
          <w:iCs/>
          <w:color w:val="auto"/>
        </w:rPr>
        <w:t>Integrated Work Plan</w:t>
      </w:r>
      <w:r>
        <w:rPr>
          <w:color w:val="auto"/>
        </w:rPr>
        <w:t xml:space="preserve">, por sus siglas en inglés) </w:t>
      </w:r>
      <w:r w:rsidRPr="00463346">
        <w:rPr>
          <w:color w:val="auto"/>
        </w:rPr>
        <w:t>/ Planificación anual de recursos</w:t>
      </w:r>
      <w:r>
        <w:rPr>
          <w:color w:val="auto"/>
        </w:rPr>
        <w:t xml:space="preserve"> (</w:t>
      </w:r>
      <w:r w:rsidRPr="00463346">
        <w:rPr>
          <w:i/>
          <w:iCs/>
          <w:color w:val="auto"/>
        </w:rPr>
        <w:t>Annual Resource Planning</w:t>
      </w:r>
      <w:r>
        <w:rPr>
          <w:color w:val="auto"/>
        </w:rPr>
        <w:t>, en inglés)</w:t>
      </w:r>
      <w:r w:rsidRPr="00463346">
        <w:rPr>
          <w:color w:val="auto"/>
        </w:rPr>
        <w:t xml:space="preserve">. Dichas contribuciones se aplicarán como pago GLOC junto con cualquier otro pago recibido contra objetivos de efectivo GLOC. </w:t>
      </w:r>
    </w:p>
    <w:p w14:paraId="2020BA87" w14:textId="77777777" w:rsidR="00F92282" w:rsidRPr="00463346" w:rsidRDefault="00F92282" w:rsidP="00F92282">
      <w:pPr>
        <w:pStyle w:val="ListParagraph"/>
        <w:shd w:val="clear" w:color="auto" w:fill="FFFFFF"/>
        <w:spacing w:after="0" w:line="240" w:lineRule="auto"/>
        <w:ind w:left="360" w:right="0" w:firstLine="0"/>
        <w:textAlignment w:val="top"/>
        <w:rPr>
          <w:rFonts w:eastAsia="Times New Roman" w:cs="Arial"/>
          <w:color w:val="auto"/>
        </w:rPr>
      </w:pPr>
    </w:p>
    <w:p w14:paraId="22A08458" w14:textId="2BB90D8B" w:rsidR="00F92282" w:rsidRPr="00463346" w:rsidRDefault="00D5764C" w:rsidP="00F92282">
      <w:pPr>
        <w:pStyle w:val="ListParagraph"/>
        <w:numPr>
          <w:ilvl w:val="0"/>
          <w:numId w:val="17"/>
        </w:numPr>
        <w:shd w:val="clear" w:color="auto" w:fill="FFFFFF"/>
        <w:spacing w:after="0" w:line="240" w:lineRule="auto"/>
        <w:ind w:right="0"/>
        <w:textAlignment w:val="top"/>
        <w:rPr>
          <w:rFonts w:eastAsia="Times New Roman" w:cs="Arial"/>
          <w:color w:val="auto"/>
        </w:rPr>
      </w:pPr>
      <w:r w:rsidRPr="00D5764C">
        <w:t xml:space="preserve">La GSSC creará un contrato marco basado en los objetivos anuales de GLOC de la OFM y los pagos anuales de GLOC se aplicarán a través del módulo de Cuentas a Cobrar (AR) de Quantum. Una vez </w:t>
      </w:r>
      <w:r w:rsidRPr="00D5764C">
        <w:lastRenderedPageBreak/>
        <w:t>recibidos los pagos GLOC, la GSSC reconocerá los ingresos a través del Evento de Ingresos en el módulo de Contratos y generará la Cuenta a Cobrar a través del Evento de Facturación. A continuación, el recibo se aplica a la cuenta por cobrar a través del módulo AR.  Los ingresos y las cuentas a cobrar se registran a través del módulo de Contratos; los recibos se aplican a través del módulo AR.</w:t>
      </w:r>
    </w:p>
    <w:p w14:paraId="0301D966"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78FDBEB8" w14:textId="77777777" w:rsidR="00F92282" w:rsidRPr="00463346" w:rsidRDefault="00F92282" w:rsidP="00F92282">
      <w:pPr>
        <w:pStyle w:val="ListParagraph"/>
        <w:numPr>
          <w:ilvl w:val="0"/>
          <w:numId w:val="17"/>
        </w:numPr>
        <w:shd w:val="clear" w:color="auto" w:fill="FFFFFF"/>
        <w:spacing w:after="0" w:line="240" w:lineRule="auto"/>
        <w:ind w:right="0"/>
        <w:textAlignment w:val="top"/>
        <w:rPr>
          <w:rFonts w:eastAsia="Times New Roman" w:cs="Arial"/>
          <w:color w:val="auto"/>
        </w:rPr>
      </w:pPr>
      <w:r w:rsidRPr="00463346">
        <w:rPr>
          <w:rFonts w:eastAsia="Times New Roman" w:cs="Arial"/>
          <w:color w:val="auto"/>
        </w:rPr>
        <w:t>Según el Reglamento y las Reglas Financieras del PNUD (Regla 126.05), «…</w:t>
      </w:r>
      <w:r w:rsidRPr="00463346">
        <w:rPr>
          <w:rFonts w:eastAsia="Times New Roman" w:cs="Arial"/>
          <w:i/>
          <w:color w:val="auto"/>
        </w:rPr>
        <w:t xml:space="preserve">Las contribuciones en efectivo que haga el gobierno anfitrión para sufragar el costo de las oficinas del PNUD en el país serán acreditadas como ingresos en el presupuesto institucional del PNUD en cifras brutas. Si las contribuciones se reciben en moneda nacional, se acreditarán en dólares de los Estados Unidos al tipo de cambio operacional de las Naciones Unidas vigente en la fecha del pago. Los ajustes cambiarios a que den lugar otras transacciones financieras serán contabilizados por separado como gastos o ingresos varios, según proceda.» </w:t>
      </w:r>
      <w:r w:rsidRPr="00463346">
        <w:rPr>
          <w:rFonts w:eastAsia="Times New Roman" w:cs="Arial"/>
          <w:color w:val="auto"/>
        </w:rPr>
        <w:t>(Regla 126.06). Por ejemplo, si se recibió un pago de GLOC en moneda local el 15 de enero, se aplicará a los objetivos de GLOC utilizando la tasa de cambio efectiva de la ONU para el mes de enero.</w:t>
      </w:r>
    </w:p>
    <w:p w14:paraId="398AA08B"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163DBD1B" w14:textId="4EC5B85A" w:rsidR="00F92282" w:rsidRPr="00463346" w:rsidRDefault="00F92282" w:rsidP="00F92282">
      <w:pPr>
        <w:pStyle w:val="ListParagraph"/>
        <w:numPr>
          <w:ilvl w:val="0"/>
          <w:numId w:val="17"/>
        </w:numPr>
        <w:shd w:val="clear" w:color="auto" w:fill="FFFFFF"/>
        <w:spacing w:after="0" w:line="240" w:lineRule="auto"/>
        <w:ind w:right="0"/>
        <w:textAlignment w:val="top"/>
        <w:rPr>
          <w:rFonts w:eastAsia="Times New Roman" w:cs="Arial"/>
          <w:color w:val="auto"/>
        </w:rPr>
      </w:pPr>
      <w:r w:rsidRPr="00463346">
        <w:rPr>
          <w:rFonts w:eastAsia="Times New Roman" w:cs="Arial"/>
          <w:color w:val="auto"/>
        </w:rPr>
        <w:t xml:space="preserve">Los pagos GLOC anuales deben aplicarse a través del módulo </w:t>
      </w:r>
      <w:r>
        <w:rPr>
          <w:rFonts w:eastAsia="Times New Roman" w:cs="Arial"/>
          <w:color w:val="auto"/>
        </w:rPr>
        <w:t xml:space="preserve">de Cuentas por Cobrar de </w:t>
      </w:r>
      <w:r w:rsidR="00D5764C">
        <w:rPr>
          <w:rFonts w:eastAsia="Times New Roman" w:cs="Arial"/>
          <w:color w:val="auto"/>
        </w:rPr>
        <w:t>Quantum</w:t>
      </w:r>
      <w:r w:rsidR="00D85792">
        <w:rPr>
          <w:rFonts w:eastAsia="Times New Roman" w:cs="Arial"/>
          <w:color w:val="auto"/>
        </w:rPr>
        <w:t xml:space="preserve"> </w:t>
      </w:r>
      <w:r w:rsidRPr="00463346">
        <w:rPr>
          <w:rFonts w:eastAsia="Times New Roman" w:cs="Arial"/>
          <w:color w:val="auto"/>
        </w:rPr>
        <w:t xml:space="preserve">utilizando el siguiente </w:t>
      </w:r>
      <w:r>
        <w:rPr>
          <w:rFonts w:eastAsia="Times New Roman" w:cs="Arial"/>
          <w:color w:val="auto"/>
        </w:rPr>
        <w:t>Plan de Cuentas (</w:t>
      </w:r>
      <w:r w:rsidRPr="00463346">
        <w:rPr>
          <w:rFonts w:eastAsia="Times New Roman" w:cs="Arial"/>
          <w:color w:val="auto"/>
        </w:rPr>
        <w:t>CO</w:t>
      </w:r>
      <w:r>
        <w:rPr>
          <w:rFonts w:eastAsia="Times New Roman" w:cs="Arial"/>
          <w:color w:val="auto"/>
        </w:rPr>
        <w:t xml:space="preserve">A, </w:t>
      </w:r>
      <w:r w:rsidRPr="00463346">
        <w:rPr>
          <w:rFonts w:eastAsia="Times New Roman" w:cs="Arial"/>
          <w:i/>
          <w:iCs/>
          <w:color w:val="auto"/>
        </w:rPr>
        <w:t>Chart of Accounts</w:t>
      </w:r>
      <w:r w:rsidRPr="00A92DD1">
        <w:rPr>
          <w:rFonts w:eastAsia="Times New Roman" w:cs="Arial"/>
          <w:color w:val="auto"/>
        </w:rPr>
        <w:t xml:space="preserve">, por sus siglas en inglés) </w:t>
      </w:r>
      <w:r w:rsidRPr="00463346">
        <w:rPr>
          <w:rFonts w:eastAsia="Times New Roman" w:cs="Arial"/>
          <w:color w:val="auto"/>
        </w:rPr>
        <w:t>(consulte la sección de Procedimientos sobre cómo presentar solicitudes en el Portal de servicios del PNUD):</w:t>
      </w:r>
    </w:p>
    <w:p w14:paraId="598C68A8"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7A97E98B" w14:textId="77777777" w:rsidR="00F92282" w:rsidRPr="00463346" w:rsidRDefault="00F92282" w:rsidP="00F92282">
      <w:pPr>
        <w:shd w:val="clear" w:color="auto" w:fill="FFFFFF"/>
        <w:spacing w:after="0" w:line="240" w:lineRule="auto"/>
        <w:ind w:right="0"/>
        <w:textAlignment w:val="top"/>
        <w:rPr>
          <w:rFonts w:eastAsia="Times New Roman" w:cs="Arial"/>
          <w:color w:val="auto"/>
        </w:rPr>
      </w:pPr>
      <w:r w:rsidRPr="00463346">
        <w:rPr>
          <w:rFonts w:eastAsia="Times New Roman" w:cs="Arial"/>
          <w:color w:val="auto"/>
        </w:rPr>
        <w:tab/>
      </w:r>
      <w:r w:rsidRPr="00463346">
        <w:rPr>
          <w:rFonts w:eastAsia="Times New Roman" w:cs="Arial"/>
          <w:color w:val="auto"/>
          <w:u w:val="single"/>
        </w:rPr>
        <w:t>Tipo de contribución</w:t>
      </w:r>
      <w:r w:rsidRPr="00463346">
        <w:rPr>
          <w:rFonts w:eastAsia="Times New Roman" w:cs="Arial"/>
          <w:color w:val="auto"/>
        </w:rPr>
        <w:tab/>
      </w:r>
      <w:r w:rsidRPr="00463346">
        <w:rPr>
          <w:rFonts w:eastAsia="Times New Roman" w:cs="Arial"/>
          <w:color w:val="auto"/>
        </w:rPr>
        <w:tab/>
      </w:r>
      <w:r w:rsidRPr="00463346">
        <w:rPr>
          <w:rFonts w:eastAsia="Times New Roman" w:cs="Arial"/>
          <w:color w:val="auto"/>
          <w:u w:val="single"/>
        </w:rPr>
        <w:t>Categoría de ingresos</w:t>
      </w:r>
      <w:r w:rsidRPr="00463346">
        <w:rPr>
          <w:rFonts w:eastAsia="Times New Roman" w:cs="Arial"/>
          <w:color w:val="auto"/>
        </w:rPr>
        <w:tab/>
      </w:r>
      <w:r w:rsidRPr="00463346">
        <w:rPr>
          <w:rFonts w:eastAsia="Times New Roman" w:cs="Arial"/>
          <w:color w:val="auto"/>
          <w:u w:val="single"/>
        </w:rPr>
        <w:t>Año</w:t>
      </w:r>
      <w:r w:rsidRPr="00463346">
        <w:rPr>
          <w:rFonts w:eastAsia="Times New Roman" w:cs="Arial"/>
          <w:color w:val="auto"/>
        </w:rPr>
        <w:tab/>
      </w:r>
      <w:r w:rsidRPr="00463346">
        <w:rPr>
          <w:rFonts w:eastAsia="Times New Roman" w:cs="Arial"/>
          <w:color w:val="auto"/>
        </w:rPr>
        <w:tab/>
      </w:r>
      <w:r w:rsidRPr="00463346">
        <w:rPr>
          <w:rFonts w:eastAsia="Times New Roman" w:cs="Arial"/>
          <w:color w:val="auto"/>
          <w:u w:val="single"/>
        </w:rPr>
        <w:t>Fondo</w:t>
      </w:r>
      <w:r w:rsidRPr="00463346">
        <w:rPr>
          <w:rFonts w:eastAsia="Times New Roman" w:cs="Arial"/>
          <w:color w:val="auto"/>
        </w:rPr>
        <w:tab/>
      </w:r>
      <w:r w:rsidRPr="00463346">
        <w:rPr>
          <w:rFonts w:eastAsia="Times New Roman" w:cs="Arial"/>
          <w:color w:val="auto"/>
        </w:rPr>
        <w:tab/>
      </w:r>
      <w:r w:rsidRPr="00463346">
        <w:rPr>
          <w:rFonts w:eastAsia="Times New Roman" w:cs="Arial"/>
          <w:color w:val="auto"/>
          <w:u w:val="single"/>
        </w:rPr>
        <w:t>Cuenta</w:t>
      </w:r>
    </w:p>
    <w:p w14:paraId="30E764A5" w14:textId="77777777" w:rsidR="00F92282" w:rsidRPr="00ED4EAA" w:rsidRDefault="00F92282" w:rsidP="00F92282">
      <w:pPr>
        <w:shd w:val="clear" w:color="auto" w:fill="FFFFFF"/>
        <w:spacing w:after="0" w:line="240" w:lineRule="auto"/>
        <w:ind w:right="0"/>
        <w:textAlignment w:val="top"/>
        <w:rPr>
          <w:rFonts w:eastAsia="Times New Roman" w:cs="Arial"/>
          <w:color w:val="auto"/>
          <w:lang w:val="pt-BR"/>
        </w:rPr>
      </w:pPr>
      <w:r w:rsidRPr="00463346">
        <w:rPr>
          <w:rFonts w:eastAsia="Times New Roman" w:cs="Arial"/>
          <w:color w:val="auto"/>
        </w:rPr>
        <w:tab/>
      </w:r>
      <w:r w:rsidRPr="00ED4EAA">
        <w:rPr>
          <w:rFonts w:eastAsia="Times New Roman" w:cs="Arial"/>
          <w:color w:val="auto"/>
          <w:lang w:val="pt-BR"/>
        </w:rPr>
        <w:t>GLOC</w:t>
      </w:r>
      <w:r w:rsidRPr="00ED4EAA">
        <w:rPr>
          <w:rFonts w:eastAsia="Times New Roman" w:cs="Arial"/>
          <w:color w:val="auto"/>
          <w:lang w:val="pt-BR"/>
        </w:rPr>
        <w:tab/>
      </w:r>
      <w:r w:rsidRPr="00ED4EAA">
        <w:rPr>
          <w:rFonts w:eastAsia="Times New Roman" w:cs="Arial"/>
          <w:color w:val="auto"/>
          <w:lang w:val="pt-BR"/>
        </w:rPr>
        <w:tab/>
      </w:r>
      <w:r w:rsidRPr="00ED4EAA">
        <w:rPr>
          <w:rFonts w:eastAsia="Times New Roman" w:cs="Arial"/>
          <w:color w:val="auto"/>
          <w:lang w:val="pt-BR"/>
        </w:rPr>
        <w:tab/>
      </w:r>
      <w:r w:rsidRPr="00ED4EAA">
        <w:rPr>
          <w:rFonts w:eastAsia="Times New Roman" w:cs="Arial"/>
          <w:color w:val="auto"/>
          <w:lang w:val="pt-BR"/>
        </w:rPr>
        <w:tab/>
        <w:t>LIC o MIC</w:t>
      </w:r>
      <w:r w:rsidRPr="00ED4EAA">
        <w:rPr>
          <w:rFonts w:eastAsia="Times New Roman" w:cs="Arial"/>
          <w:color w:val="auto"/>
          <w:lang w:val="pt-BR"/>
        </w:rPr>
        <w:tab/>
      </w:r>
      <w:r w:rsidRPr="00ED4EAA">
        <w:rPr>
          <w:rFonts w:eastAsia="Times New Roman" w:cs="Arial"/>
          <w:color w:val="auto"/>
          <w:lang w:val="pt-BR"/>
        </w:rPr>
        <w:tab/>
        <w:t>Actual</w:t>
      </w:r>
      <w:r w:rsidRPr="00ED4EAA">
        <w:rPr>
          <w:rFonts w:eastAsia="Times New Roman" w:cs="Arial"/>
          <w:color w:val="auto"/>
          <w:lang w:val="pt-BR"/>
        </w:rPr>
        <w:tab/>
      </w:r>
      <w:r w:rsidRPr="00ED4EAA">
        <w:rPr>
          <w:rFonts w:eastAsia="Times New Roman" w:cs="Arial"/>
          <w:color w:val="auto"/>
          <w:lang w:val="pt-BR"/>
        </w:rPr>
        <w:tab/>
        <w:t>00200</w:t>
      </w:r>
      <w:r w:rsidRPr="00ED4EAA">
        <w:rPr>
          <w:rFonts w:eastAsia="Times New Roman" w:cs="Arial"/>
          <w:color w:val="auto"/>
          <w:lang w:val="pt-BR"/>
        </w:rPr>
        <w:tab/>
      </w:r>
      <w:r w:rsidRPr="00ED4EAA">
        <w:rPr>
          <w:rFonts w:eastAsia="Times New Roman" w:cs="Arial"/>
          <w:color w:val="auto"/>
          <w:lang w:val="pt-BR"/>
        </w:rPr>
        <w:tab/>
        <w:t xml:space="preserve"> 51015</w:t>
      </w:r>
    </w:p>
    <w:p w14:paraId="380CDE31" w14:textId="77777777" w:rsidR="00F92282" w:rsidRPr="00ED4EAA" w:rsidRDefault="00F92282" w:rsidP="00F92282">
      <w:pPr>
        <w:shd w:val="clear" w:color="auto" w:fill="FFFFFF"/>
        <w:spacing w:after="0" w:line="240" w:lineRule="auto"/>
        <w:ind w:right="0"/>
        <w:textAlignment w:val="top"/>
        <w:rPr>
          <w:rFonts w:eastAsia="Times New Roman" w:cs="Arial"/>
          <w:color w:val="auto"/>
          <w:lang w:val="pt-BR"/>
        </w:rPr>
      </w:pPr>
      <w:r w:rsidRPr="00ED4EAA">
        <w:rPr>
          <w:rFonts w:eastAsia="Times New Roman" w:cs="Arial"/>
          <w:color w:val="auto"/>
          <w:lang w:val="pt-BR"/>
        </w:rPr>
        <w:tab/>
        <w:t xml:space="preserve">GLOC </w:t>
      </w:r>
      <w:r w:rsidRPr="00ED4EAA">
        <w:rPr>
          <w:rFonts w:eastAsia="Times New Roman" w:cs="Arial"/>
          <w:color w:val="auto"/>
          <w:lang w:val="pt-BR"/>
        </w:rPr>
        <w:tab/>
      </w:r>
      <w:r w:rsidRPr="00ED4EAA">
        <w:rPr>
          <w:rFonts w:eastAsia="Times New Roman" w:cs="Arial"/>
          <w:color w:val="auto"/>
          <w:lang w:val="pt-BR"/>
        </w:rPr>
        <w:tab/>
      </w:r>
      <w:r w:rsidRPr="00ED4EAA">
        <w:rPr>
          <w:rFonts w:eastAsia="Times New Roman" w:cs="Arial"/>
          <w:color w:val="auto"/>
          <w:lang w:val="pt-BR"/>
        </w:rPr>
        <w:tab/>
      </w:r>
      <w:r w:rsidRPr="00ED4EAA">
        <w:rPr>
          <w:rFonts w:eastAsia="Times New Roman" w:cs="Arial"/>
          <w:color w:val="auto"/>
          <w:lang w:val="pt-BR"/>
        </w:rPr>
        <w:tab/>
        <w:t xml:space="preserve">LIC o MIC          </w:t>
      </w:r>
      <w:r w:rsidRPr="00ED4EAA">
        <w:rPr>
          <w:rFonts w:eastAsia="Times New Roman" w:cs="Arial"/>
          <w:color w:val="auto"/>
          <w:lang w:val="pt-BR"/>
        </w:rPr>
        <w:tab/>
      </w:r>
      <w:r w:rsidRPr="00ED4EAA">
        <w:rPr>
          <w:rFonts w:eastAsia="Times New Roman" w:cs="Arial"/>
          <w:color w:val="auto"/>
          <w:lang w:val="pt-BR"/>
        </w:rPr>
        <w:tab/>
        <w:t xml:space="preserve">Atrasos  </w:t>
      </w:r>
      <w:r w:rsidRPr="00ED4EAA">
        <w:rPr>
          <w:rFonts w:eastAsia="Times New Roman" w:cs="Arial"/>
          <w:color w:val="auto"/>
          <w:lang w:val="pt-BR"/>
        </w:rPr>
        <w:tab/>
        <w:t>00200</w:t>
      </w:r>
      <w:r w:rsidRPr="00ED4EAA">
        <w:rPr>
          <w:rFonts w:eastAsia="Times New Roman" w:cs="Arial"/>
          <w:color w:val="auto"/>
          <w:lang w:val="pt-BR"/>
        </w:rPr>
        <w:tab/>
      </w:r>
      <w:r w:rsidRPr="00ED4EAA">
        <w:rPr>
          <w:rFonts w:eastAsia="Times New Roman" w:cs="Arial"/>
          <w:color w:val="auto"/>
          <w:lang w:val="pt-BR"/>
        </w:rPr>
        <w:tab/>
        <w:t xml:space="preserve"> 51014</w:t>
      </w:r>
    </w:p>
    <w:p w14:paraId="60B4C5E1" w14:textId="77777777" w:rsidR="00F92282" w:rsidRPr="00ED4EAA" w:rsidRDefault="00F92282" w:rsidP="00F92282">
      <w:pPr>
        <w:shd w:val="clear" w:color="auto" w:fill="FFFFFF"/>
        <w:spacing w:after="0" w:line="240" w:lineRule="auto"/>
        <w:ind w:right="0"/>
        <w:textAlignment w:val="top"/>
        <w:rPr>
          <w:rFonts w:eastAsia="Times New Roman" w:cs="Arial"/>
          <w:color w:val="auto"/>
          <w:lang w:val="pt-BR"/>
        </w:rPr>
      </w:pPr>
    </w:p>
    <w:p w14:paraId="12183EE7" w14:textId="77777777" w:rsidR="00F92282" w:rsidRPr="00463346" w:rsidRDefault="00F92282" w:rsidP="00F92282">
      <w:pPr>
        <w:pStyle w:val="ListParagraph"/>
        <w:numPr>
          <w:ilvl w:val="0"/>
          <w:numId w:val="15"/>
        </w:numPr>
        <w:shd w:val="clear" w:color="auto" w:fill="FFFFFF"/>
        <w:spacing w:after="0" w:line="240" w:lineRule="auto"/>
        <w:ind w:left="360" w:right="0"/>
        <w:textAlignment w:val="top"/>
        <w:rPr>
          <w:rFonts w:eastAsia="Times New Roman" w:cs="Arial"/>
          <w:color w:val="auto"/>
        </w:rPr>
      </w:pPr>
      <w:r w:rsidRPr="00463346">
        <w:rPr>
          <w:rFonts w:eastAsia="Times New Roman" w:cs="Arial"/>
          <w:color w:val="auto"/>
        </w:rPr>
        <w:t xml:space="preserve">En algunos casos, los gobiernos anfitriones pueden resolver sus objetivos de efectivo por adelantado, especialmente cuando un objetivo de varios años se negocia con éxito. Cuando las oficinas </w:t>
      </w:r>
      <w:r>
        <w:rPr>
          <w:rFonts w:eastAsia="Times New Roman" w:cs="Arial"/>
          <w:color w:val="auto"/>
        </w:rPr>
        <w:t>de país</w:t>
      </w:r>
      <w:r w:rsidRPr="00463346">
        <w:rPr>
          <w:rFonts w:eastAsia="Times New Roman" w:cs="Arial"/>
          <w:color w:val="auto"/>
        </w:rPr>
        <w:t xml:space="preserve"> reciben dichos pagos por adelantado por uno o varios años antes del comienzo de un año objetivo GLOC, las oficinas deben solicitar al equipo de ingresos de </w:t>
      </w:r>
      <w:r>
        <w:rPr>
          <w:rFonts w:eastAsia="Times New Roman" w:cs="Arial"/>
          <w:color w:val="auto"/>
        </w:rPr>
        <w:t>CGSC</w:t>
      </w:r>
      <w:r w:rsidRPr="00463346">
        <w:rPr>
          <w:rFonts w:eastAsia="Times New Roman" w:cs="Arial"/>
          <w:color w:val="auto"/>
        </w:rPr>
        <w:t xml:space="preserve"> </w:t>
      </w:r>
      <w:r>
        <w:rPr>
          <w:rFonts w:eastAsia="Times New Roman" w:cs="Arial"/>
          <w:color w:val="auto"/>
        </w:rPr>
        <w:t xml:space="preserve">que registre los pagos en el siguiente COA </w:t>
      </w:r>
      <w:r w:rsidRPr="00463346">
        <w:rPr>
          <w:rFonts w:eastAsia="Times New Roman" w:cs="Arial"/>
          <w:b/>
          <w:bCs/>
          <w:color w:val="auto"/>
        </w:rPr>
        <w:t>en el plazo de una semana</w:t>
      </w:r>
      <w:r w:rsidRPr="00463346">
        <w:rPr>
          <w:rFonts w:eastAsia="Times New Roman" w:cs="Arial"/>
          <w:color w:val="auto"/>
        </w:rPr>
        <w:t xml:space="preserve"> desde la recepción de estos pagos</w:t>
      </w:r>
      <w:r>
        <w:rPr>
          <w:rFonts w:eastAsia="Times New Roman" w:cs="Arial"/>
          <w:color w:val="auto"/>
        </w:rPr>
        <w:t>.</w:t>
      </w:r>
    </w:p>
    <w:p w14:paraId="4731E88D" w14:textId="77777777" w:rsidR="00F92282" w:rsidRPr="00463346" w:rsidRDefault="00F92282" w:rsidP="00F92282">
      <w:pPr>
        <w:shd w:val="clear" w:color="auto" w:fill="FFFFFF"/>
        <w:spacing w:after="0" w:line="240" w:lineRule="auto"/>
        <w:ind w:right="0"/>
        <w:textAlignment w:val="top"/>
        <w:rPr>
          <w:rFonts w:eastAsia="Times New Roman" w:cs="Arial"/>
          <w:color w:val="auto"/>
        </w:rPr>
      </w:pPr>
    </w:p>
    <w:p w14:paraId="60B351BF" w14:textId="77777777" w:rsidR="00F92282" w:rsidRPr="00463346" w:rsidRDefault="00F92282" w:rsidP="00F92282">
      <w:pPr>
        <w:shd w:val="clear" w:color="auto" w:fill="FFFFFF"/>
        <w:spacing w:after="0" w:line="240" w:lineRule="auto"/>
        <w:ind w:right="0"/>
        <w:textAlignment w:val="top"/>
        <w:rPr>
          <w:rFonts w:eastAsia="Times New Roman" w:cs="Arial"/>
          <w:color w:val="auto"/>
        </w:rPr>
      </w:pPr>
      <w:r w:rsidRPr="00463346">
        <w:rPr>
          <w:rFonts w:eastAsia="Times New Roman" w:cs="Arial"/>
          <w:color w:val="auto"/>
        </w:rPr>
        <w:tab/>
      </w:r>
      <w:r w:rsidRPr="00463346">
        <w:rPr>
          <w:rFonts w:eastAsia="Times New Roman" w:cs="Arial"/>
          <w:color w:val="auto"/>
          <w:u w:val="single"/>
        </w:rPr>
        <w:t>Tipo de contribución</w:t>
      </w:r>
      <w:r w:rsidRPr="00463346">
        <w:rPr>
          <w:rFonts w:eastAsia="Times New Roman" w:cs="Arial"/>
          <w:color w:val="auto"/>
        </w:rPr>
        <w:tab/>
      </w:r>
      <w:r w:rsidRPr="00463346">
        <w:rPr>
          <w:rFonts w:eastAsia="Times New Roman" w:cs="Arial"/>
          <w:color w:val="auto"/>
        </w:rPr>
        <w:tab/>
      </w:r>
      <w:r w:rsidRPr="00463346">
        <w:rPr>
          <w:rFonts w:eastAsia="Times New Roman" w:cs="Arial"/>
          <w:color w:val="auto"/>
        </w:rPr>
        <w:tab/>
      </w:r>
      <w:r w:rsidRPr="00463346">
        <w:rPr>
          <w:rFonts w:eastAsia="Times New Roman" w:cs="Arial"/>
          <w:color w:val="auto"/>
        </w:rPr>
        <w:tab/>
      </w:r>
      <w:r w:rsidRPr="00463346">
        <w:rPr>
          <w:rFonts w:eastAsia="Times New Roman" w:cs="Arial"/>
          <w:color w:val="auto"/>
          <w:u w:val="single"/>
        </w:rPr>
        <w:t>Año</w:t>
      </w:r>
      <w:r w:rsidRPr="00463346">
        <w:rPr>
          <w:rFonts w:eastAsia="Times New Roman" w:cs="Arial"/>
          <w:color w:val="auto"/>
        </w:rPr>
        <w:tab/>
      </w:r>
      <w:r w:rsidRPr="00463346">
        <w:rPr>
          <w:rFonts w:eastAsia="Times New Roman" w:cs="Arial"/>
          <w:color w:val="auto"/>
        </w:rPr>
        <w:tab/>
      </w:r>
      <w:r w:rsidRPr="00463346">
        <w:rPr>
          <w:rFonts w:eastAsia="Times New Roman" w:cs="Arial"/>
          <w:color w:val="auto"/>
          <w:u w:val="single"/>
        </w:rPr>
        <w:t>Fondo</w:t>
      </w:r>
      <w:r w:rsidRPr="00463346">
        <w:rPr>
          <w:rFonts w:eastAsia="Times New Roman" w:cs="Arial"/>
          <w:color w:val="auto"/>
        </w:rPr>
        <w:tab/>
      </w:r>
      <w:r w:rsidRPr="00463346">
        <w:rPr>
          <w:rFonts w:eastAsia="Times New Roman" w:cs="Arial"/>
          <w:color w:val="auto"/>
        </w:rPr>
        <w:tab/>
      </w:r>
      <w:r w:rsidRPr="00463346">
        <w:rPr>
          <w:rFonts w:eastAsia="Times New Roman" w:cs="Arial"/>
          <w:color w:val="auto"/>
        </w:rPr>
        <w:tab/>
      </w:r>
      <w:r w:rsidRPr="00463346">
        <w:rPr>
          <w:rFonts w:eastAsia="Times New Roman" w:cs="Arial"/>
          <w:color w:val="auto"/>
          <w:u w:val="single"/>
        </w:rPr>
        <w:t>Cuenta</w:t>
      </w:r>
    </w:p>
    <w:p w14:paraId="5A53F523" w14:textId="77777777" w:rsidR="00F92282" w:rsidRDefault="00F92282" w:rsidP="00F92282">
      <w:pPr>
        <w:shd w:val="clear" w:color="auto" w:fill="FFFFFF"/>
        <w:spacing w:after="0" w:line="240" w:lineRule="auto"/>
        <w:ind w:right="0"/>
        <w:textAlignment w:val="top"/>
        <w:rPr>
          <w:rFonts w:eastAsia="Times New Roman" w:cs="Arial"/>
          <w:color w:val="auto"/>
        </w:rPr>
      </w:pPr>
      <w:r w:rsidRPr="00463346">
        <w:rPr>
          <w:rFonts w:eastAsia="Times New Roman" w:cs="Arial"/>
          <w:color w:val="auto"/>
        </w:rPr>
        <w:tab/>
        <w:t>GLOC – Gob contr Locl Costo Futuro</w:t>
      </w:r>
      <w:r w:rsidRPr="00463346">
        <w:rPr>
          <w:rFonts w:eastAsia="Times New Roman" w:cs="Arial"/>
          <w:color w:val="auto"/>
        </w:rPr>
        <w:tab/>
      </w:r>
      <w:r w:rsidRPr="00463346">
        <w:rPr>
          <w:rFonts w:eastAsia="Times New Roman" w:cs="Arial"/>
          <w:color w:val="auto"/>
        </w:rPr>
        <w:tab/>
      </w:r>
      <w:r>
        <w:rPr>
          <w:rFonts w:eastAsia="Times New Roman" w:cs="Arial"/>
          <w:color w:val="auto"/>
        </w:rPr>
        <w:t>YYYY</w:t>
      </w:r>
      <w:r w:rsidRPr="00463346">
        <w:rPr>
          <w:rFonts w:eastAsia="Times New Roman" w:cs="Arial"/>
          <w:color w:val="auto"/>
        </w:rPr>
        <w:tab/>
      </w:r>
      <w:r w:rsidRPr="00463346">
        <w:rPr>
          <w:rFonts w:eastAsia="Times New Roman" w:cs="Arial"/>
          <w:color w:val="auto"/>
        </w:rPr>
        <w:tab/>
        <w:t>00200</w:t>
      </w:r>
      <w:r w:rsidRPr="00463346">
        <w:rPr>
          <w:rFonts w:eastAsia="Times New Roman" w:cs="Arial"/>
          <w:color w:val="auto"/>
        </w:rPr>
        <w:tab/>
      </w:r>
      <w:r w:rsidRPr="00463346">
        <w:rPr>
          <w:rFonts w:eastAsia="Times New Roman" w:cs="Arial"/>
          <w:color w:val="auto"/>
        </w:rPr>
        <w:tab/>
      </w:r>
      <w:r w:rsidRPr="00463346">
        <w:rPr>
          <w:rFonts w:eastAsia="Times New Roman" w:cs="Arial"/>
          <w:color w:val="auto"/>
        </w:rPr>
        <w:tab/>
        <w:t>51017</w:t>
      </w:r>
    </w:p>
    <w:p w14:paraId="61F01701" w14:textId="430F9E2E" w:rsidR="00F92282" w:rsidRPr="00A92521" w:rsidRDefault="00F92282" w:rsidP="00F92282">
      <w:pPr>
        <w:shd w:val="clear" w:color="auto" w:fill="FFFFFF"/>
        <w:spacing w:after="0" w:line="240" w:lineRule="auto"/>
        <w:ind w:right="0"/>
        <w:textAlignment w:val="top"/>
        <w:rPr>
          <w:rFonts w:eastAsia="Times New Roman" w:cs="Arial"/>
          <w:color w:val="auto"/>
        </w:rPr>
      </w:pPr>
    </w:p>
    <w:p w14:paraId="52AF72A7" w14:textId="77777777" w:rsidR="00F92282" w:rsidRPr="00A92521" w:rsidRDefault="00F92282" w:rsidP="00F92282">
      <w:pPr>
        <w:shd w:val="clear" w:color="auto" w:fill="FFFFFF"/>
        <w:spacing w:after="0" w:line="240" w:lineRule="auto"/>
        <w:ind w:right="0"/>
        <w:textAlignment w:val="top"/>
        <w:rPr>
          <w:rFonts w:eastAsia="Times New Roman" w:cs="Arial"/>
          <w:color w:val="auto"/>
        </w:rPr>
      </w:pPr>
    </w:p>
    <w:p w14:paraId="2FCE6316" w14:textId="2369AC71" w:rsidR="00F92282" w:rsidRPr="00463346" w:rsidRDefault="00F92282" w:rsidP="00F92282">
      <w:pPr>
        <w:pStyle w:val="ListParagraph"/>
        <w:numPr>
          <w:ilvl w:val="0"/>
          <w:numId w:val="15"/>
        </w:numPr>
        <w:shd w:val="clear" w:color="auto" w:fill="FFFFFF"/>
        <w:spacing w:after="0" w:line="240" w:lineRule="auto"/>
        <w:ind w:left="360" w:right="0"/>
        <w:textAlignment w:val="top"/>
        <w:rPr>
          <w:rFonts w:eastAsia="Times New Roman" w:cs="Arial"/>
          <w:color w:val="auto"/>
        </w:rPr>
      </w:pPr>
      <w:r w:rsidRPr="00463346">
        <w:rPr>
          <w:rFonts w:eastAsia="Times New Roman" w:cs="Arial"/>
          <w:color w:val="auto"/>
        </w:rPr>
        <w:t xml:space="preserve">Al comienzo de cada año fiscal, las oficinas del PNUD deben solicitar </w:t>
      </w:r>
      <w:r>
        <w:rPr>
          <w:rFonts w:eastAsia="Times New Roman" w:cs="Arial"/>
          <w:color w:val="auto"/>
        </w:rPr>
        <w:t>a</w:t>
      </w:r>
      <w:r w:rsidRPr="00463346">
        <w:rPr>
          <w:rFonts w:eastAsia="Times New Roman" w:cs="Arial"/>
          <w:color w:val="auto"/>
        </w:rPr>
        <w:t xml:space="preserve">l </w:t>
      </w:r>
      <w:r>
        <w:rPr>
          <w:rFonts w:eastAsia="Times New Roman" w:cs="Arial"/>
          <w:color w:val="auto"/>
        </w:rPr>
        <w:t>CGSC</w:t>
      </w:r>
      <w:r w:rsidRPr="00463346">
        <w:rPr>
          <w:rFonts w:eastAsia="Times New Roman" w:cs="Arial"/>
          <w:color w:val="auto"/>
        </w:rPr>
        <w:t xml:space="preserve"> </w:t>
      </w:r>
      <w:r>
        <w:rPr>
          <w:rFonts w:eastAsia="Times New Roman" w:cs="Arial"/>
          <w:color w:val="auto"/>
        </w:rPr>
        <w:t xml:space="preserve">que </w:t>
      </w:r>
      <w:r w:rsidRPr="00463346">
        <w:rPr>
          <w:rFonts w:eastAsia="Times New Roman" w:cs="Arial"/>
          <w:color w:val="auto"/>
        </w:rPr>
        <w:t>transfiera la parte anual del pago anticipado de cuenta 51017 a la cuenta de pago GLOC del año en curso 51015. Estas transferencias</w:t>
      </w:r>
      <w:r w:rsidR="00D5764C">
        <w:rPr>
          <w:rFonts w:eastAsia="Times New Roman" w:cs="Arial"/>
          <w:color w:val="auto"/>
        </w:rPr>
        <w:t xml:space="preserve"> deben</w:t>
      </w:r>
      <w:r w:rsidRPr="00463346">
        <w:rPr>
          <w:rFonts w:eastAsia="Times New Roman" w:cs="Arial"/>
          <w:color w:val="auto"/>
        </w:rPr>
        <w:t xml:space="preserve"> realizarse a través de GLJE.</w:t>
      </w:r>
    </w:p>
    <w:p w14:paraId="1BBC047B"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1704B316" w14:textId="4BD517DA" w:rsidR="00F92282" w:rsidRDefault="00F92282" w:rsidP="00F92282">
      <w:pPr>
        <w:pStyle w:val="ListParagraph"/>
        <w:numPr>
          <w:ilvl w:val="0"/>
          <w:numId w:val="15"/>
        </w:numPr>
        <w:shd w:val="clear" w:color="auto" w:fill="FFFFFF"/>
        <w:spacing w:after="0" w:line="240" w:lineRule="auto"/>
        <w:ind w:left="360" w:right="0"/>
        <w:textAlignment w:val="top"/>
        <w:rPr>
          <w:rFonts w:eastAsia="Times New Roman" w:cs="Arial"/>
          <w:color w:val="auto"/>
        </w:rPr>
      </w:pPr>
      <w:r w:rsidRPr="00463346">
        <w:rPr>
          <w:rFonts w:eastAsia="Times New Roman" w:cs="Arial"/>
          <w:color w:val="auto"/>
        </w:rPr>
        <w:t>Las contribuciones de GLOC de los gobiernos anfitriones no se deben aplicar a ningún otro fondo o cuenta que no sea lo dispuesto anteriormente sin la aprobación previa de OFM y las Oficinas Regionales.</w:t>
      </w:r>
    </w:p>
    <w:p w14:paraId="2A5702A6" w14:textId="77777777" w:rsidR="00F92282" w:rsidRPr="00463346" w:rsidRDefault="00F92282" w:rsidP="00F92282">
      <w:pPr>
        <w:pStyle w:val="ListParagraph"/>
        <w:rPr>
          <w:rFonts w:eastAsia="Times New Roman" w:cs="Arial"/>
          <w:color w:val="auto"/>
        </w:rPr>
      </w:pPr>
    </w:p>
    <w:p w14:paraId="670D61DC" w14:textId="77777777" w:rsidR="00F92282" w:rsidRPr="00463346" w:rsidRDefault="00F92282" w:rsidP="00F92282">
      <w:pPr>
        <w:pStyle w:val="ListParagraph"/>
        <w:numPr>
          <w:ilvl w:val="0"/>
          <w:numId w:val="15"/>
        </w:numPr>
        <w:shd w:val="clear" w:color="auto" w:fill="FFFFFF"/>
        <w:spacing w:after="0" w:line="240" w:lineRule="auto"/>
        <w:ind w:left="360" w:right="0"/>
        <w:textAlignment w:val="top"/>
        <w:rPr>
          <w:rFonts w:eastAsia="Times New Roman" w:cs="Arial"/>
          <w:color w:val="auto"/>
        </w:rPr>
      </w:pPr>
      <w:r w:rsidRPr="00C5581F">
        <w:rPr>
          <w:rFonts w:eastAsia="Times New Roman" w:cs="Arial"/>
          <w:color w:val="auto"/>
        </w:rPr>
        <w:t>Al final de cada año, el/la Jefe/a de la Oficina deberá certificar en la declaración anual que todos los acuerdos firmados/enmiendas a los acuerdos han sido presentados al CGSC de manera oportuna antes del cierre de los libros de contabilidad</w:t>
      </w:r>
      <w:r>
        <w:rPr>
          <w:rFonts w:eastAsia="Times New Roman" w:cs="Arial"/>
          <w:color w:val="auto"/>
        </w:rPr>
        <w:t xml:space="preserve">. </w:t>
      </w:r>
      <w:r w:rsidRPr="00C5581F">
        <w:rPr>
          <w:rFonts w:eastAsia="Times New Roman" w:cs="Arial"/>
          <w:color w:val="auto"/>
        </w:rPr>
        <w:t xml:space="preserve">Esto ayudará a asegurar que los ingresos del PNUD se registren oportunamente, ya que </w:t>
      </w:r>
      <w:r>
        <w:rPr>
          <w:rFonts w:eastAsia="Times New Roman" w:cs="Arial"/>
          <w:color w:val="auto"/>
        </w:rPr>
        <w:t xml:space="preserve">cualquier </w:t>
      </w:r>
      <w:r w:rsidRPr="00C5581F">
        <w:rPr>
          <w:rFonts w:eastAsia="Times New Roman" w:cs="Arial"/>
          <w:color w:val="auto"/>
        </w:rPr>
        <w:t>presentación tardía de es</w:t>
      </w:r>
      <w:r>
        <w:rPr>
          <w:rFonts w:eastAsia="Times New Roman" w:cs="Arial"/>
          <w:color w:val="auto"/>
        </w:rPr>
        <w:t>t</w:t>
      </w:r>
      <w:r w:rsidRPr="00C5581F">
        <w:rPr>
          <w:rFonts w:eastAsia="Times New Roman" w:cs="Arial"/>
          <w:color w:val="auto"/>
        </w:rPr>
        <w:t>os documentos plantea un riesgo considerable para la gestión de la información y un riesgo de auditoría, ya que los ingresos no se consignarán con exactitud en los estados financieros del PNUD, incluidos los estados financieros trimestrales</w:t>
      </w:r>
      <w:r>
        <w:rPr>
          <w:rFonts w:eastAsia="Times New Roman" w:cs="Arial"/>
          <w:color w:val="auto"/>
        </w:rPr>
        <w:t>.</w:t>
      </w:r>
    </w:p>
    <w:p w14:paraId="077020AC" w14:textId="77777777" w:rsidR="00F92282" w:rsidRPr="00463346" w:rsidRDefault="00F92282" w:rsidP="00F92282">
      <w:pPr>
        <w:shd w:val="clear" w:color="auto" w:fill="FFFFFF"/>
        <w:spacing w:after="0" w:line="240" w:lineRule="auto"/>
        <w:ind w:left="0" w:right="0" w:firstLine="0"/>
        <w:textAlignment w:val="top"/>
        <w:rPr>
          <w:rFonts w:eastAsia="Times New Roman" w:cs="Arial"/>
          <w:b/>
          <w:color w:val="auto"/>
        </w:rPr>
      </w:pPr>
    </w:p>
    <w:p w14:paraId="73A2219A" w14:textId="77777777" w:rsidR="00F92282" w:rsidRPr="00463346" w:rsidRDefault="00F92282" w:rsidP="00F92282">
      <w:pPr>
        <w:shd w:val="clear" w:color="auto" w:fill="FFFFFF"/>
        <w:spacing w:after="0" w:line="240" w:lineRule="auto"/>
        <w:ind w:left="370" w:right="0"/>
        <w:textAlignment w:val="top"/>
        <w:rPr>
          <w:rFonts w:eastAsia="Times New Roman" w:cs="Arial"/>
          <w:b/>
          <w:color w:val="auto"/>
          <w:u w:val="single"/>
        </w:rPr>
      </w:pPr>
      <w:r w:rsidRPr="00463346">
        <w:rPr>
          <w:rFonts w:eastAsia="Times New Roman" w:cs="Arial"/>
          <w:b/>
          <w:color w:val="auto"/>
        </w:rPr>
        <w:tab/>
      </w:r>
      <w:r w:rsidRPr="00463346">
        <w:rPr>
          <w:rFonts w:eastAsia="Times New Roman" w:cs="Arial"/>
          <w:b/>
          <w:color w:val="auto"/>
          <w:u w:val="single"/>
        </w:rPr>
        <w:t>Enlace contable GLOC</w:t>
      </w:r>
    </w:p>
    <w:p w14:paraId="2DEFF6D9"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69DDBDDE" w14:textId="77777777" w:rsidR="00F92282" w:rsidRPr="00463346" w:rsidRDefault="00F92282" w:rsidP="00F92282">
      <w:pPr>
        <w:pStyle w:val="ListParagraph"/>
        <w:numPr>
          <w:ilvl w:val="0"/>
          <w:numId w:val="15"/>
        </w:numPr>
        <w:shd w:val="clear" w:color="auto" w:fill="FFFFFF"/>
        <w:spacing w:after="0" w:line="240" w:lineRule="auto"/>
        <w:ind w:left="360" w:right="0"/>
        <w:textAlignment w:val="top"/>
        <w:rPr>
          <w:rFonts w:eastAsia="Times New Roman" w:cs="Arial"/>
          <w:color w:val="auto"/>
        </w:rPr>
      </w:pPr>
      <w:r w:rsidRPr="00463346">
        <w:rPr>
          <w:rFonts w:eastAsia="Times New Roman" w:cs="Arial"/>
          <w:color w:val="auto"/>
        </w:rPr>
        <w:lastRenderedPageBreak/>
        <w:t>En su trigésimo primer período de sesiones en 1984 (84/9), el Consejo de Gobierno autorizó a</w:t>
      </w:r>
      <w:r>
        <w:rPr>
          <w:rFonts w:eastAsia="Times New Roman" w:cs="Arial"/>
          <w:color w:val="auto"/>
        </w:rPr>
        <w:t xml:space="preserve">l </w:t>
      </w:r>
      <w:r w:rsidRPr="00463346">
        <w:rPr>
          <w:rFonts w:eastAsia="Times New Roman" w:cs="Arial"/>
          <w:color w:val="auto"/>
        </w:rPr>
        <w:t>«</w:t>
      </w:r>
      <w:r w:rsidRPr="00463346">
        <w:rPr>
          <w:rFonts w:eastAsia="Times New Roman" w:cs="Arial"/>
          <w:i/>
          <w:color w:val="auto"/>
        </w:rPr>
        <w:t>Administrador a establecer desde el 1 de enero de 1985 un vínculo contable de las contribuciones voluntarias,  las contribuciones a los gastos del programa voluntario y las contribuciones a los gastos de las oficinas locales de tal manera que las contribuciones se contabilizan primero con los gastos de la oficina local»</w:t>
      </w:r>
      <w:r w:rsidRPr="00463346">
        <w:rPr>
          <w:rFonts w:eastAsia="Times New Roman" w:cs="Arial"/>
          <w:color w:val="auto"/>
        </w:rPr>
        <w:t xml:space="preserve"> (consulte la página 738, párrafo 8</w:t>
      </w:r>
      <w:r>
        <w:rPr>
          <w:rFonts w:eastAsia="Times New Roman" w:cs="Arial"/>
          <w:color w:val="auto"/>
        </w:rPr>
        <w:t xml:space="preserve"> de </w:t>
      </w:r>
      <w:hyperlink r:id="rId19" w:history="1">
        <w:r w:rsidRPr="00463346">
          <w:rPr>
            <w:rStyle w:val="Hyperlink"/>
            <w:rFonts w:eastAsia="Times New Roman" w:cs="Arial"/>
          </w:rPr>
          <w:t>la decisión 84/9 del Consejo de Administración</w:t>
        </w:r>
      </w:hyperlink>
      <w:r w:rsidRPr="00463346">
        <w:rPr>
          <w:rFonts w:eastAsia="Times New Roman" w:cs="Arial"/>
          <w:color w:val="auto"/>
        </w:rPr>
        <w:t>).</w:t>
      </w:r>
    </w:p>
    <w:p w14:paraId="7AC9E215"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2DF34A2C" w14:textId="4900E295" w:rsidR="00F92282" w:rsidRPr="00463346" w:rsidRDefault="00F92282" w:rsidP="00F92282">
      <w:pPr>
        <w:pStyle w:val="ListParagraph"/>
        <w:numPr>
          <w:ilvl w:val="0"/>
          <w:numId w:val="15"/>
        </w:numPr>
        <w:shd w:val="clear" w:color="auto" w:fill="FFFFFF"/>
        <w:spacing w:after="0" w:line="240" w:lineRule="auto"/>
        <w:ind w:left="360" w:right="0"/>
        <w:textAlignment w:val="top"/>
        <w:rPr>
          <w:rFonts w:eastAsia="Times New Roman" w:cs="Arial"/>
          <w:color w:val="auto"/>
        </w:rPr>
      </w:pPr>
      <w:r w:rsidRPr="00463346">
        <w:rPr>
          <w:rFonts w:eastAsia="Times New Roman" w:cs="Arial"/>
          <w:color w:val="auto"/>
        </w:rPr>
        <w:t xml:space="preserve">Al final de cada año fiscal, </w:t>
      </w:r>
      <w:r>
        <w:rPr>
          <w:rFonts w:eastAsia="Times New Roman" w:cs="Arial"/>
          <w:color w:val="auto"/>
        </w:rPr>
        <w:t>CGSC</w:t>
      </w:r>
      <w:r w:rsidRPr="00463346">
        <w:rPr>
          <w:rFonts w:eastAsia="Times New Roman" w:cs="Arial"/>
          <w:color w:val="auto"/>
        </w:rPr>
        <w:t xml:space="preserve"> y OFM revisan cualquier déficit de contribuciones GLOC de los gobiernos anfitriones. Las contribuciones voluntarias disponibles de los gobiernos anfitriones se transfieren al fondo GLOC (fondo 00200 y cuenta 51025) para compensar las contribuciones GLOC pendientes para el año de referencia. Dichos vínculos contables se informan por separado en los informes anuales de rendimiento de GLOC.</w:t>
      </w:r>
    </w:p>
    <w:p w14:paraId="69714E47"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3AD4E0E5" w14:textId="77777777" w:rsidR="00F92282" w:rsidRPr="00463346" w:rsidRDefault="00F92282" w:rsidP="00F92282">
      <w:pPr>
        <w:pStyle w:val="ListParagraph"/>
        <w:shd w:val="clear" w:color="auto" w:fill="FFFFFF"/>
        <w:spacing w:after="0" w:line="240" w:lineRule="auto"/>
        <w:ind w:left="360" w:right="0" w:firstLine="0"/>
        <w:textAlignment w:val="top"/>
        <w:rPr>
          <w:rFonts w:eastAsia="Times New Roman" w:cs="Arial"/>
          <w:b/>
          <w:color w:val="auto"/>
          <w:u w:val="single"/>
        </w:rPr>
      </w:pPr>
      <w:r w:rsidRPr="00463346">
        <w:rPr>
          <w:rFonts w:eastAsia="Times New Roman" w:cs="Arial"/>
          <w:b/>
          <w:color w:val="auto"/>
          <w:u w:val="single"/>
        </w:rPr>
        <w:t xml:space="preserve">Informes: </w:t>
      </w:r>
      <w:r>
        <w:rPr>
          <w:rFonts w:eastAsia="Times New Roman" w:cs="Arial"/>
          <w:b/>
          <w:color w:val="auto"/>
          <w:u w:val="single"/>
        </w:rPr>
        <w:t>I</w:t>
      </w:r>
      <w:r w:rsidRPr="00463346">
        <w:rPr>
          <w:rFonts w:eastAsia="Times New Roman" w:cs="Arial"/>
          <w:b/>
          <w:color w:val="auto"/>
          <w:u w:val="single"/>
        </w:rPr>
        <w:t>nformes de rendimiento periódicos y anuales (pagos)</w:t>
      </w:r>
    </w:p>
    <w:p w14:paraId="13C488A3"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b/>
          <w:color w:val="auto"/>
        </w:rPr>
      </w:pPr>
    </w:p>
    <w:p w14:paraId="75BA87B7" w14:textId="179F850C" w:rsidR="00F92282" w:rsidRPr="00463346" w:rsidRDefault="00F92282" w:rsidP="00F92282">
      <w:pPr>
        <w:pStyle w:val="ListParagraph"/>
        <w:numPr>
          <w:ilvl w:val="0"/>
          <w:numId w:val="15"/>
        </w:numPr>
        <w:shd w:val="clear" w:color="auto" w:fill="FFFFFF"/>
        <w:spacing w:after="0" w:line="240" w:lineRule="auto"/>
        <w:ind w:left="360" w:right="0"/>
        <w:textAlignment w:val="top"/>
        <w:rPr>
          <w:rFonts w:eastAsia="Times New Roman" w:cs="Arial"/>
          <w:color w:val="auto"/>
        </w:rPr>
      </w:pPr>
      <w:r w:rsidRPr="00463346">
        <w:rPr>
          <w:rFonts w:eastAsia="Times New Roman" w:cs="Arial"/>
          <w:color w:val="auto"/>
        </w:rPr>
        <w:t>El informe de rendimiento de GLOC está disponible para que las oficinas rastreen los pagos objetivos de GLOC del año en curso y los saldos pendientes de GLOC de años anteriores. Se aconseja a las oficinas que revisen estos informes periódicamente para hacer un seguimiento con los gobiernos anfitriones para liquidar sus contribuciones impagas a los costos de las oficinas locales.</w:t>
      </w:r>
    </w:p>
    <w:p w14:paraId="0FF561A8" w14:textId="77777777" w:rsidR="00F92282" w:rsidRPr="00463346" w:rsidRDefault="00F92282" w:rsidP="00F92282">
      <w:pPr>
        <w:pStyle w:val="ListParagraph"/>
        <w:shd w:val="clear" w:color="auto" w:fill="FFFFFF"/>
        <w:spacing w:after="0" w:line="240" w:lineRule="auto"/>
        <w:ind w:right="0" w:firstLine="0"/>
        <w:textAlignment w:val="top"/>
        <w:rPr>
          <w:rFonts w:eastAsia="Times New Roman" w:cs="Arial"/>
          <w:color w:val="auto"/>
        </w:rPr>
      </w:pPr>
    </w:p>
    <w:p w14:paraId="53B02C58" w14:textId="77777777" w:rsidR="00F92282" w:rsidRDefault="00F92282" w:rsidP="00F92282">
      <w:pPr>
        <w:pStyle w:val="ListParagraph"/>
        <w:numPr>
          <w:ilvl w:val="0"/>
          <w:numId w:val="15"/>
        </w:numPr>
        <w:shd w:val="clear" w:color="auto" w:fill="FFFFFF"/>
        <w:spacing w:after="0" w:line="240" w:lineRule="auto"/>
        <w:ind w:left="360" w:right="0"/>
        <w:textAlignment w:val="top"/>
        <w:rPr>
          <w:rFonts w:eastAsia="Times New Roman" w:cs="Arial"/>
          <w:color w:val="auto"/>
        </w:rPr>
      </w:pPr>
      <w:r w:rsidRPr="00463346">
        <w:rPr>
          <w:rFonts w:eastAsia="Times New Roman" w:cs="Arial"/>
          <w:color w:val="auto"/>
        </w:rPr>
        <w:t>El PNUD informa periódicamente a la Junta Ejecutiva</w:t>
      </w:r>
      <w:r>
        <w:rPr>
          <w:rFonts w:eastAsia="Times New Roman" w:cs="Arial"/>
          <w:color w:val="auto"/>
        </w:rPr>
        <w:t xml:space="preserve"> </w:t>
      </w:r>
      <w:r w:rsidRPr="00463346">
        <w:rPr>
          <w:rFonts w:eastAsia="Times New Roman" w:cs="Arial"/>
          <w:color w:val="auto"/>
        </w:rPr>
        <w:t xml:space="preserve">sobre el progreso logrado en la </w:t>
      </w:r>
      <w:r>
        <w:rPr>
          <w:rFonts w:eastAsia="Times New Roman" w:cs="Arial"/>
          <w:color w:val="auto"/>
        </w:rPr>
        <w:t>liquidación</w:t>
      </w:r>
      <w:r w:rsidRPr="00463346">
        <w:rPr>
          <w:rFonts w:eastAsia="Times New Roman" w:cs="Arial"/>
          <w:color w:val="auto"/>
        </w:rPr>
        <w:t xml:space="preserve"> de los objetivos del GLOC para el año en </w:t>
      </w:r>
      <w:r w:rsidRPr="004E31E3">
        <w:rPr>
          <w:rFonts w:eastAsia="Times New Roman" w:cs="Arial"/>
          <w:color w:val="auto"/>
        </w:rPr>
        <w:t>curso,</w:t>
      </w:r>
      <w:r w:rsidRPr="00463346">
        <w:rPr>
          <w:rFonts w:eastAsia="Times New Roman" w:cs="Arial"/>
          <w:color w:val="auto"/>
        </w:rPr>
        <w:t xml:space="preserve"> </w:t>
      </w:r>
      <w:r>
        <w:rPr>
          <w:rFonts w:eastAsia="Times New Roman" w:cs="Arial"/>
          <w:color w:val="auto"/>
        </w:rPr>
        <w:t>así como sobre</w:t>
      </w:r>
      <w:r w:rsidRPr="00463346">
        <w:rPr>
          <w:rFonts w:eastAsia="Times New Roman" w:cs="Arial"/>
          <w:color w:val="auto"/>
        </w:rPr>
        <w:t xml:space="preserve"> los atrasos del GLOC</w:t>
      </w:r>
      <w:r>
        <w:rPr>
          <w:rFonts w:eastAsia="Times New Roman" w:cs="Arial"/>
          <w:color w:val="auto"/>
        </w:rPr>
        <w:t xml:space="preserve">, mediante </w:t>
      </w:r>
      <w:r w:rsidRPr="00463346">
        <w:rPr>
          <w:rFonts w:eastAsia="Times New Roman" w:cs="Arial"/>
          <w:color w:val="auto"/>
        </w:rPr>
        <w:t>los siguientes documentos oficiales:</w:t>
      </w:r>
    </w:p>
    <w:p w14:paraId="28A1FC4B" w14:textId="77777777" w:rsidR="00F92282" w:rsidRDefault="00F92282" w:rsidP="00F92282">
      <w:pPr>
        <w:pStyle w:val="ListParagraph"/>
        <w:numPr>
          <w:ilvl w:val="0"/>
          <w:numId w:val="18"/>
        </w:numPr>
        <w:shd w:val="clear" w:color="auto" w:fill="FFFFFF"/>
        <w:spacing w:after="0" w:line="240" w:lineRule="auto"/>
        <w:ind w:right="0"/>
        <w:textAlignment w:val="top"/>
        <w:rPr>
          <w:rFonts w:eastAsia="Times New Roman" w:cs="Arial"/>
          <w:color w:val="auto"/>
        </w:rPr>
      </w:pPr>
      <w:r>
        <w:rPr>
          <w:rFonts w:eastAsia="Times New Roman" w:cs="Arial"/>
          <w:color w:val="auto"/>
        </w:rPr>
        <w:t>Informe financiero del PNUD y estados financieros auditados (</w:t>
      </w:r>
      <w:r w:rsidRPr="00463346">
        <w:rPr>
          <w:rFonts w:eastAsia="Times New Roman" w:cs="Arial"/>
          <w:i/>
          <w:iCs/>
          <w:color w:val="auto"/>
        </w:rPr>
        <w:t>UNDP financial report and audited financial statements</w:t>
      </w:r>
      <w:r>
        <w:rPr>
          <w:rFonts w:eastAsia="Times New Roman" w:cs="Arial"/>
          <w:color w:val="auto"/>
        </w:rPr>
        <w:t>, en inglés)</w:t>
      </w:r>
    </w:p>
    <w:p w14:paraId="6958984B" w14:textId="77777777" w:rsidR="00F92282" w:rsidRDefault="00F92282" w:rsidP="00F92282">
      <w:pPr>
        <w:pStyle w:val="ListParagraph"/>
        <w:numPr>
          <w:ilvl w:val="0"/>
          <w:numId w:val="18"/>
        </w:numPr>
        <w:shd w:val="clear" w:color="auto" w:fill="FFFFFF"/>
        <w:spacing w:after="0" w:line="240" w:lineRule="auto"/>
        <w:ind w:right="0"/>
        <w:textAlignment w:val="top"/>
        <w:rPr>
          <w:rFonts w:eastAsia="Times New Roman" w:cs="Arial"/>
          <w:color w:val="auto"/>
        </w:rPr>
      </w:pPr>
      <w:r>
        <w:rPr>
          <w:rFonts w:eastAsia="Times New Roman" w:cs="Arial"/>
          <w:color w:val="auto"/>
        </w:rPr>
        <w:t>Revisión Anual de la Situación Financiera (</w:t>
      </w:r>
      <w:r w:rsidRPr="00463346">
        <w:rPr>
          <w:rFonts w:eastAsia="Times New Roman" w:cs="Arial"/>
          <w:i/>
          <w:iCs/>
          <w:color w:val="auto"/>
        </w:rPr>
        <w:t>Annual Review of the Financial Situation</w:t>
      </w:r>
      <w:r>
        <w:rPr>
          <w:rFonts w:eastAsia="Times New Roman" w:cs="Arial"/>
          <w:color w:val="auto"/>
        </w:rPr>
        <w:t>, en inglés)</w:t>
      </w:r>
    </w:p>
    <w:p w14:paraId="06D7674A" w14:textId="77777777" w:rsidR="00F92282" w:rsidRPr="00463346" w:rsidRDefault="00F92282" w:rsidP="00F92282">
      <w:pPr>
        <w:pStyle w:val="ListParagraph"/>
        <w:numPr>
          <w:ilvl w:val="0"/>
          <w:numId w:val="18"/>
        </w:numPr>
        <w:shd w:val="clear" w:color="auto" w:fill="FFFFFF"/>
        <w:spacing w:after="0" w:line="240" w:lineRule="auto"/>
        <w:ind w:right="0"/>
        <w:textAlignment w:val="top"/>
        <w:rPr>
          <w:rFonts w:eastAsia="Times New Roman" w:cs="Arial"/>
          <w:color w:val="auto"/>
        </w:rPr>
      </w:pPr>
      <w:r>
        <w:rPr>
          <w:rFonts w:eastAsia="Times New Roman" w:cs="Arial"/>
          <w:color w:val="auto"/>
        </w:rPr>
        <w:t>Presupuesto integrado del PNUD (</w:t>
      </w:r>
      <w:r w:rsidRPr="00463346">
        <w:rPr>
          <w:rFonts w:eastAsia="Times New Roman" w:cs="Arial"/>
          <w:i/>
          <w:iCs/>
          <w:color w:val="auto"/>
        </w:rPr>
        <w:t>UNDP integrated Budget</w:t>
      </w:r>
      <w:r>
        <w:rPr>
          <w:rFonts w:eastAsia="Times New Roman" w:cs="Arial"/>
          <w:color w:val="auto"/>
        </w:rPr>
        <w:t>, en inglés)</w:t>
      </w:r>
    </w:p>
    <w:p w14:paraId="10A246E5" w14:textId="77777777" w:rsidR="00F92282" w:rsidRPr="00463346" w:rsidRDefault="00F92282" w:rsidP="00F92282">
      <w:pPr>
        <w:pStyle w:val="ListParagraph"/>
        <w:shd w:val="clear" w:color="auto" w:fill="FFFFFF"/>
        <w:spacing w:after="0" w:line="240" w:lineRule="auto"/>
        <w:ind w:left="1440" w:right="0" w:firstLine="0"/>
        <w:textAlignment w:val="top"/>
        <w:rPr>
          <w:rFonts w:eastAsia="Times New Roman" w:cs="Arial"/>
          <w:color w:val="auto"/>
        </w:rPr>
      </w:pPr>
    </w:p>
    <w:p w14:paraId="3C867DD5" w14:textId="77777777" w:rsidR="00F92282" w:rsidRPr="00463346" w:rsidRDefault="00F92282" w:rsidP="00F92282">
      <w:pPr>
        <w:pStyle w:val="ListParagraph"/>
        <w:shd w:val="clear" w:color="auto" w:fill="FFFFFF"/>
        <w:spacing w:after="0" w:line="240" w:lineRule="auto"/>
        <w:ind w:left="360" w:right="0" w:firstLine="0"/>
        <w:textAlignment w:val="top"/>
        <w:rPr>
          <w:rFonts w:eastAsia="Times New Roman" w:cs="Arial"/>
          <w:b/>
          <w:bCs/>
          <w:color w:val="auto"/>
          <w:u w:val="single"/>
        </w:rPr>
      </w:pPr>
      <w:r w:rsidRPr="00463346">
        <w:rPr>
          <w:rFonts w:eastAsia="Times New Roman" w:cs="Arial"/>
          <w:b/>
          <w:bCs/>
          <w:color w:val="auto"/>
          <w:u w:val="single"/>
        </w:rPr>
        <w:t>Documento de política de reconocimiento de ingresos del PNUD</w:t>
      </w:r>
    </w:p>
    <w:p w14:paraId="0E962887" w14:textId="77777777" w:rsidR="00F92282" w:rsidRPr="004E31E3" w:rsidRDefault="00F92282" w:rsidP="00F92282">
      <w:pPr>
        <w:pStyle w:val="ListParagraph"/>
        <w:shd w:val="clear" w:color="auto" w:fill="FFFFFF"/>
        <w:spacing w:after="0" w:line="240" w:lineRule="auto"/>
        <w:ind w:left="0" w:right="0" w:firstLine="0"/>
        <w:textAlignment w:val="top"/>
        <w:rPr>
          <w:rFonts w:eastAsia="Times New Roman" w:cs="Arial"/>
          <w:b/>
          <w:bCs/>
          <w:color w:val="auto"/>
        </w:rPr>
      </w:pPr>
    </w:p>
    <w:p w14:paraId="319D75D8" w14:textId="77777777" w:rsidR="00F92282" w:rsidRPr="00463346" w:rsidRDefault="00000000" w:rsidP="00F92282">
      <w:pPr>
        <w:pStyle w:val="ListParagraph"/>
        <w:numPr>
          <w:ilvl w:val="0"/>
          <w:numId w:val="19"/>
        </w:numPr>
        <w:shd w:val="clear" w:color="auto" w:fill="FFFFFF"/>
        <w:spacing w:after="0" w:line="240" w:lineRule="auto"/>
        <w:ind w:right="0"/>
        <w:textAlignment w:val="top"/>
        <w:rPr>
          <w:rFonts w:eastAsia="Times New Roman" w:cs="Arial"/>
          <w:color w:val="auto"/>
        </w:rPr>
      </w:pPr>
      <w:hyperlink r:id="rId20" w:history="1">
        <w:r w:rsidR="00F92282" w:rsidRPr="00463346">
          <w:rPr>
            <w:rStyle w:val="Hyperlink"/>
          </w:rPr>
          <w:t>IPSAS 23 Documento de política</w:t>
        </w:r>
      </w:hyperlink>
    </w:p>
    <w:p w14:paraId="00BEBF28" w14:textId="77777777" w:rsidR="00F92282" w:rsidRPr="00463346" w:rsidRDefault="00F92282" w:rsidP="00F92282">
      <w:pPr>
        <w:pStyle w:val="ListParagraph"/>
        <w:shd w:val="clear" w:color="auto" w:fill="FFFFFF"/>
        <w:spacing w:after="0" w:line="240" w:lineRule="auto"/>
        <w:ind w:left="1440" w:right="0" w:firstLine="0"/>
        <w:textAlignment w:val="top"/>
        <w:rPr>
          <w:rFonts w:eastAsia="Times New Roman" w:cs="Arial"/>
          <w:color w:val="auto"/>
        </w:rPr>
      </w:pPr>
    </w:p>
    <w:p w14:paraId="30B81349" w14:textId="77777777" w:rsidR="00F92282" w:rsidRPr="00826DC3" w:rsidRDefault="00F92282" w:rsidP="00F92282">
      <w:pPr>
        <w:pStyle w:val="NormalWeb"/>
        <w:shd w:val="clear" w:color="auto" w:fill="FFFFFF"/>
        <w:spacing w:before="0" w:beforeAutospacing="0" w:after="0" w:afterAutospacing="0"/>
        <w:jc w:val="center"/>
        <w:rPr>
          <w:rFonts w:asciiTheme="minorHAnsi" w:hAnsiTheme="minorHAnsi" w:cstheme="minorHAnsi"/>
          <w:color w:val="201F1E"/>
          <w:sz w:val="22"/>
          <w:szCs w:val="22"/>
        </w:rPr>
      </w:pPr>
      <w:r w:rsidRPr="00826DC3">
        <w:rPr>
          <w:rFonts w:asciiTheme="minorHAnsi" w:hAnsiTheme="minorHAnsi" w:cstheme="minorHAnsi"/>
          <w:i/>
          <w:iCs/>
          <w:color w:val="000000"/>
          <w:sz w:val="22"/>
          <w:szCs w:val="22"/>
          <w:bdr w:val="none" w:sz="0" w:space="0" w:color="auto" w:frame="1"/>
        </w:rPr>
        <w:t>Disclaimer: This document was translated from English into Spanish. In the event of any discrepancy between this translation and the original English document, the original English document shall prevail.</w:t>
      </w:r>
    </w:p>
    <w:p w14:paraId="20C8A260" w14:textId="77777777" w:rsidR="00F92282" w:rsidRPr="00826DC3" w:rsidRDefault="00F92282" w:rsidP="00F92282">
      <w:pPr>
        <w:pStyle w:val="NormalWeb"/>
        <w:shd w:val="clear" w:color="auto" w:fill="FFFFFF"/>
        <w:spacing w:before="0" w:beforeAutospacing="0" w:after="0" w:afterAutospacing="0"/>
        <w:jc w:val="center"/>
        <w:rPr>
          <w:rFonts w:asciiTheme="minorHAnsi" w:hAnsiTheme="minorHAnsi" w:cstheme="minorHAnsi"/>
          <w:color w:val="201F1E"/>
          <w:sz w:val="22"/>
          <w:szCs w:val="22"/>
        </w:rPr>
      </w:pPr>
      <w:r w:rsidRPr="00826DC3">
        <w:rPr>
          <w:rFonts w:asciiTheme="minorHAnsi" w:hAnsiTheme="minorHAnsi" w:cstheme="minorHAnsi"/>
          <w:i/>
          <w:iCs/>
          <w:color w:val="000000"/>
          <w:sz w:val="22"/>
          <w:szCs w:val="22"/>
          <w:bdr w:val="none" w:sz="0" w:space="0" w:color="auto" w:frame="1"/>
        </w:rPr>
        <w:t> </w:t>
      </w:r>
    </w:p>
    <w:p w14:paraId="4C0A0D76" w14:textId="77777777" w:rsidR="00F92282" w:rsidRPr="00826DC3" w:rsidRDefault="00F92282" w:rsidP="00F92282">
      <w:pPr>
        <w:pStyle w:val="NormalWeb"/>
        <w:shd w:val="clear" w:color="auto" w:fill="FFFFFF"/>
        <w:spacing w:before="0" w:beforeAutospacing="0" w:after="0" w:afterAutospacing="0"/>
        <w:jc w:val="center"/>
        <w:rPr>
          <w:rFonts w:asciiTheme="minorHAnsi" w:hAnsiTheme="minorHAnsi" w:cstheme="minorHAnsi"/>
          <w:sz w:val="22"/>
          <w:szCs w:val="22"/>
          <w:lang w:val="es-ES"/>
        </w:rPr>
      </w:pPr>
      <w:r w:rsidRPr="00826DC3">
        <w:rPr>
          <w:rFonts w:asciiTheme="minorHAnsi" w:hAnsiTheme="minorHAnsi" w:cstheme="minorHAnsi"/>
          <w:i/>
          <w:iCs/>
          <w:sz w:val="22"/>
          <w:szCs w:val="22"/>
          <w:bdr w:val="none" w:sz="0" w:space="0" w:color="auto" w:frame="1"/>
          <w:shd w:val="clear" w:color="auto" w:fill="FFFFFF"/>
          <w:lang w:val="es-ES"/>
        </w:rPr>
        <w:t>Descargo de responsabilidad: esta es una traducción de un documento original en inglés. En caso de discrepancias entre esta traducción y el documento original en inglés, prevalecerá el documento original en inglés.</w:t>
      </w:r>
    </w:p>
    <w:p w14:paraId="6D6778C7" w14:textId="77777777" w:rsidR="00EE05E8" w:rsidRPr="00F92282" w:rsidRDefault="00EE05E8" w:rsidP="00F92282"/>
    <w:sectPr w:rsidR="00EE05E8" w:rsidRPr="00F92282">
      <w:headerReference w:type="even" r:id="rId21"/>
      <w:headerReference w:type="default" r:id="rId22"/>
      <w:footerReference w:type="even" r:id="rId23"/>
      <w:footerReference w:type="default" r:id="rId24"/>
      <w:headerReference w:type="first" r:id="rId25"/>
      <w:footerReference w:type="first" r:id="rId26"/>
      <w:pgSz w:w="11906" w:h="16838"/>
      <w:pgMar w:top="1137" w:right="672" w:bottom="1297" w:left="170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46EC4" w14:textId="77777777" w:rsidR="001D0C30" w:rsidRDefault="001D0C30">
      <w:pPr>
        <w:spacing w:after="0" w:line="240" w:lineRule="auto"/>
      </w:pPr>
      <w:r>
        <w:separator/>
      </w:r>
    </w:p>
  </w:endnote>
  <w:endnote w:type="continuationSeparator" w:id="0">
    <w:p w14:paraId="7F0253B8" w14:textId="77777777" w:rsidR="001D0C30" w:rsidRDefault="001D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A0019" w14:textId="77777777" w:rsidR="00284E46" w:rsidRDefault="0059514A">
    <w:pPr>
      <w:spacing w:after="0" w:line="259" w:lineRule="auto"/>
      <w:ind w:left="0" w:right="173" w:firstLine="0"/>
      <w:jc w:val="center"/>
    </w:pPr>
    <w:r>
      <w:fldChar w:fldCharType="begin"/>
    </w:r>
    <w:r>
      <w:instrText xml:space="preserve"> PAGE   \* MERGEFORMAT </w:instrText>
    </w:r>
    <w:r>
      <w:fldChar w:fldCharType="separate"/>
    </w:r>
    <w:r>
      <w:rPr>
        <w:noProof/>
      </w:rPr>
      <w:t>1</w:t>
    </w:r>
    <w:r>
      <w:fldChar w:fldCharType="end"/>
    </w:r>
    <w:r>
      <w:t xml:space="preserve"> </w:t>
    </w:r>
  </w:p>
  <w:p w14:paraId="758D2034" w14:textId="77777777" w:rsidR="00284E46" w:rsidRDefault="0059514A">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8B5AB" w14:textId="54DA69FB" w:rsidR="00284E46" w:rsidRDefault="00B604B5">
    <w:pPr>
      <w:spacing w:after="0" w:line="259" w:lineRule="auto"/>
      <w:ind w:left="0" w:right="0" w:firstLine="0"/>
      <w:jc w:val="left"/>
    </w:pPr>
    <w:r>
      <w:t xml:space="preserve">Página </w:t>
    </w:r>
    <w:r>
      <w:rPr>
        <w:b/>
      </w:rPr>
      <w:fldChar w:fldCharType="begin"/>
    </w:r>
    <w:r>
      <w:rPr>
        <w:b/>
      </w:rPr>
      <w:instrText xml:space="preserve"> PAGE  \* Arabic  \* MERGEFORMAT </w:instrText>
    </w:r>
    <w:r>
      <w:rPr>
        <w:b/>
      </w:rPr>
      <w:fldChar w:fldCharType="separate"/>
    </w:r>
    <w:r w:rsidR="00F278FB">
      <w:rPr>
        <w:b/>
        <w:noProof/>
      </w:rPr>
      <w:t>7</w:t>
    </w:r>
    <w:r>
      <w:rPr>
        <w:b/>
      </w:rPr>
      <w:fldChar w:fldCharType="end"/>
    </w:r>
    <w:r>
      <w:t xml:space="preserve"> de </w:t>
    </w:r>
    <w:r>
      <w:rPr>
        <w:b/>
      </w:rPr>
      <w:fldChar w:fldCharType="begin"/>
    </w:r>
    <w:r>
      <w:rPr>
        <w:b/>
      </w:rPr>
      <w:instrText xml:space="preserve"> NUMPAGES  \* Arabic  \* MERGEFORMAT </w:instrText>
    </w:r>
    <w:r>
      <w:rPr>
        <w:b/>
      </w:rPr>
      <w:fldChar w:fldCharType="separate"/>
    </w:r>
    <w:r w:rsidR="00F278FB">
      <w:rPr>
        <w:b/>
        <w:noProof/>
      </w:rPr>
      <w:t>7</w:t>
    </w:r>
    <w:r>
      <w:rPr>
        <w:b/>
      </w:rPr>
      <w:fldChar w:fldCharType="end"/>
    </w:r>
    <w:r>
      <w:ptab w:relativeTo="margin" w:alignment="center" w:leader="none"/>
    </w:r>
    <w:r>
      <w:t xml:space="preserve">Fecha de entrada en vigor: </w:t>
    </w:r>
    <w:r w:rsidR="004E59DF">
      <w:t>09</w:t>
    </w:r>
    <w:r w:rsidR="00A92521" w:rsidRPr="00A92521">
      <w:t>/0</w:t>
    </w:r>
    <w:r w:rsidR="004E59DF">
      <w:t>1</w:t>
    </w:r>
    <w:r w:rsidR="00A92521" w:rsidRPr="00A92521">
      <w:t>/202</w:t>
    </w:r>
    <w:r w:rsidR="004E59DF">
      <w:t>3</w:t>
    </w:r>
    <w:r w:rsidR="00A92521" w:rsidRPr="00A92521">
      <w:t xml:space="preserve"> </w:t>
    </w:r>
    <w:r>
      <w:ptab w:relativeTo="margin" w:alignment="right" w:leader="none"/>
    </w:r>
    <w:r>
      <w:t xml:space="preserve">Versión n.º: </w:t>
    </w:r>
    <w:sdt>
      <w:sdtPr>
        <w:alias w:val="POPPRefItemVersion"/>
        <w:tag w:val="UNDP_POPP_REFITEM_VERSION"/>
        <w:id w:val="27076639"/>
        <w:placeholder>
          <w:docPart w:val="EC6F991BF446474DB3C9FA78B282025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64C26AB-DD1D-42FE-95FE-D367F86232CB}"/>
        <w:text/>
      </w:sdtPr>
      <w:sdtContent>
        <w:r w:rsidR="00BB62E6">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3DE15" w14:textId="77777777" w:rsidR="00284E46" w:rsidRDefault="0059514A">
    <w:pPr>
      <w:spacing w:after="0" w:line="259" w:lineRule="auto"/>
      <w:ind w:left="0" w:right="173" w:firstLine="0"/>
      <w:jc w:val="center"/>
    </w:pPr>
    <w:r>
      <w:fldChar w:fldCharType="begin"/>
    </w:r>
    <w:r>
      <w:instrText xml:space="preserve"> PAGE   \* MERGEFORMAT </w:instrText>
    </w:r>
    <w:r>
      <w:fldChar w:fldCharType="separate"/>
    </w:r>
    <w:r>
      <w:rPr>
        <w:noProof/>
      </w:rPr>
      <w:t>1</w:t>
    </w:r>
    <w:r>
      <w:fldChar w:fldCharType="end"/>
    </w:r>
    <w:r>
      <w:t xml:space="preserve"> </w:t>
    </w:r>
  </w:p>
  <w:p w14:paraId="03AFFA81" w14:textId="77777777" w:rsidR="00284E46" w:rsidRDefault="0059514A">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8C2FD" w14:textId="77777777" w:rsidR="001D0C30" w:rsidRDefault="001D0C30">
      <w:pPr>
        <w:spacing w:after="0" w:line="240" w:lineRule="auto"/>
      </w:pPr>
      <w:r>
        <w:separator/>
      </w:r>
    </w:p>
  </w:footnote>
  <w:footnote w:type="continuationSeparator" w:id="0">
    <w:p w14:paraId="5E55ED05" w14:textId="77777777" w:rsidR="001D0C30" w:rsidRDefault="001D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09112" w14:textId="77777777" w:rsidR="004E59DF" w:rsidRDefault="004E5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00DF7" w14:textId="310B6BCC" w:rsidR="0059514A" w:rsidRDefault="005B57FA">
    <w:pPr>
      <w:pStyle w:val="Header"/>
    </w:pPr>
    <w:r>
      <w:tab/>
    </w:r>
    <w:r>
      <w:tab/>
    </w:r>
    <w:r>
      <w:tab/>
    </w:r>
    <w:r w:rsidR="00A43635">
      <w:rPr>
        <w:noProof/>
      </w:rPr>
      <w:drawing>
        <wp:inline distT="0" distB="0" distL="0" distR="0" wp14:anchorId="46A14389" wp14:editId="33A8C4D3">
          <wp:extent cx="293370" cy="578485"/>
          <wp:effectExtent l="0" t="0" r="0" b="0"/>
          <wp:docPr id="1"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69686" w14:textId="77777777" w:rsidR="004E59DF" w:rsidRDefault="004E5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62CEA"/>
    <w:multiLevelType w:val="hybridMultilevel"/>
    <w:tmpl w:val="ADECB164"/>
    <w:lvl w:ilvl="0" w:tplc="3FB2EBEA">
      <w:start w:val="3"/>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 w15:restartNumberingAfterBreak="0">
    <w:nsid w:val="0CF41946"/>
    <w:multiLevelType w:val="hybridMultilevel"/>
    <w:tmpl w:val="4A82D144"/>
    <w:lvl w:ilvl="0" w:tplc="E80CB0C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42291"/>
    <w:multiLevelType w:val="hybridMultilevel"/>
    <w:tmpl w:val="858A6A40"/>
    <w:lvl w:ilvl="0" w:tplc="EC587422">
      <w:start w:val="1"/>
      <w:numFmt w:val="lowerLetter"/>
      <w:lvlText w:val="(%1)"/>
      <w:lvlJc w:val="left"/>
      <w:pPr>
        <w:ind w:left="1435" w:hanging="360"/>
      </w:pPr>
      <w:rPr>
        <w:rFonts w:hint="default"/>
      </w:rPr>
    </w:lvl>
    <w:lvl w:ilvl="1" w:tplc="04090019" w:tentative="1">
      <w:start w:val="1"/>
      <w:numFmt w:val="lowerLetter"/>
      <w:lvlText w:val="%2."/>
      <w:lvlJc w:val="left"/>
      <w:pPr>
        <w:ind w:left="2155" w:hanging="360"/>
      </w:pPr>
    </w:lvl>
    <w:lvl w:ilvl="2" w:tplc="0409001B" w:tentative="1">
      <w:start w:val="1"/>
      <w:numFmt w:val="lowerRoman"/>
      <w:lvlText w:val="%3."/>
      <w:lvlJc w:val="right"/>
      <w:pPr>
        <w:ind w:left="2875" w:hanging="180"/>
      </w:pPr>
    </w:lvl>
    <w:lvl w:ilvl="3" w:tplc="0409000F" w:tentative="1">
      <w:start w:val="1"/>
      <w:numFmt w:val="decimal"/>
      <w:lvlText w:val="%4."/>
      <w:lvlJc w:val="left"/>
      <w:pPr>
        <w:ind w:left="3595" w:hanging="360"/>
      </w:pPr>
    </w:lvl>
    <w:lvl w:ilvl="4" w:tplc="04090019" w:tentative="1">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3" w15:restartNumberingAfterBreak="0">
    <w:nsid w:val="2254237B"/>
    <w:multiLevelType w:val="hybridMultilevel"/>
    <w:tmpl w:val="B21088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355633"/>
    <w:multiLevelType w:val="hybridMultilevel"/>
    <w:tmpl w:val="3BD6D0B4"/>
    <w:lvl w:ilvl="0" w:tplc="2F6EE00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6CEEF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127C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28AE7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38879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AC8F7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66EC4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8EE4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B8E48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B261C1"/>
    <w:multiLevelType w:val="hybridMultilevel"/>
    <w:tmpl w:val="63EA9678"/>
    <w:lvl w:ilvl="0" w:tplc="526A3FD6">
      <w:start w:val="4"/>
      <w:numFmt w:val="upperLetter"/>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D6ACB"/>
    <w:multiLevelType w:val="hybridMultilevel"/>
    <w:tmpl w:val="1A2668C0"/>
    <w:lvl w:ilvl="0" w:tplc="E5AA4A6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F2865"/>
    <w:multiLevelType w:val="hybridMultilevel"/>
    <w:tmpl w:val="ED20A59A"/>
    <w:lvl w:ilvl="0" w:tplc="EC5874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9944CC"/>
    <w:multiLevelType w:val="hybridMultilevel"/>
    <w:tmpl w:val="D3AC0D1E"/>
    <w:lvl w:ilvl="0" w:tplc="D3D07D9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21922"/>
    <w:multiLevelType w:val="hybridMultilevel"/>
    <w:tmpl w:val="30AE04C0"/>
    <w:lvl w:ilvl="0" w:tplc="8CBA4CF6">
      <w:start w:val="2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333F5"/>
    <w:multiLevelType w:val="hybridMultilevel"/>
    <w:tmpl w:val="EF984F14"/>
    <w:lvl w:ilvl="0" w:tplc="00E0E61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501B08"/>
    <w:multiLevelType w:val="hybridMultilevel"/>
    <w:tmpl w:val="95A445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45EE7CD5"/>
    <w:multiLevelType w:val="hybridMultilevel"/>
    <w:tmpl w:val="7BD6281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465024CC"/>
    <w:multiLevelType w:val="hybridMultilevel"/>
    <w:tmpl w:val="C6AA24A8"/>
    <w:lvl w:ilvl="0" w:tplc="E5AA4A6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6925DD"/>
    <w:multiLevelType w:val="hybridMultilevel"/>
    <w:tmpl w:val="EB12B9C6"/>
    <w:lvl w:ilvl="0" w:tplc="BDC22E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051AA6"/>
    <w:multiLevelType w:val="hybridMultilevel"/>
    <w:tmpl w:val="EE2A7070"/>
    <w:lvl w:ilvl="0" w:tplc="EB04BD88">
      <w:start w:val="8"/>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58D070A3"/>
    <w:multiLevelType w:val="hybridMultilevel"/>
    <w:tmpl w:val="F21CCD28"/>
    <w:lvl w:ilvl="0" w:tplc="48B6D77E">
      <w:start w:val="16"/>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58F2033B"/>
    <w:multiLevelType w:val="hybridMultilevel"/>
    <w:tmpl w:val="8EFA73FA"/>
    <w:lvl w:ilvl="0" w:tplc="0A1C105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906E46"/>
    <w:multiLevelType w:val="hybridMultilevel"/>
    <w:tmpl w:val="CD8C16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92037851">
    <w:abstractNumId w:val="4"/>
  </w:num>
  <w:num w:numId="2" w16cid:durableId="1079643434">
    <w:abstractNumId w:val="2"/>
  </w:num>
  <w:num w:numId="3" w16cid:durableId="362370175">
    <w:abstractNumId w:val="7"/>
  </w:num>
  <w:num w:numId="4" w16cid:durableId="926233523">
    <w:abstractNumId w:val="17"/>
  </w:num>
  <w:num w:numId="5" w16cid:durableId="989285046">
    <w:abstractNumId w:val="0"/>
  </w:num>
  <w:num w:numId="6" w16cid:durableId="1500002086">
    <w:abstractNumId w:val="1"/>
  </w:num>
  <w:num w:numId="7" w16cid:durableId="311714280">
    <w:abstractNumId w:val="10"/>
  </w:num>
  <w:num w:numId="8" w16cid:durableId="239677116">
    <w:abstractNumId w:val="14"/>
  </w:num>
  <w:num w:numId="9" w16cid:durableId="372585109">
    <w:abstractNumId w:val="18"/>
  </w:num>
  <w:num w:numId="10" w16cid:durableId="492721843">
    <w:abstractNumId w:val="6"/>
  </w:num>
  <w:num w:numId="11" w16cid:durableId="239215565">
    <w:abstractNumId w:val="5"/>
  </w:num>
  <w:num w:numId="12" w16cid:durableId="214779921">
    <w:abstractNumId w:val="13"/>
  </w:num>
  <w:num w:numId="13" w16cid:durableId="2026443020">
    <w:abstractNumId w:val="3"/>
  </w:num>
  <w:num w:numId="14" w16cid:durableId="2141224177">
    <w:abstractNumId w:val="8"/>
  </w:num>
  <w:num w:numId="15" w16cid:durableId="1684551617">
    <w:abstractNumId w:val="9"/>
  </w:num>
  <w:num w:numId="16" w16cid:durableId="971054325">
    <w:abstractNumId w:val="15"/>
  </w:num>
  <w:num w:numId="17" w16cid:durableId="31882343">
    <w:abstractNumId w:val="16"/>
  </w:num>
  <w:num w:numId="18" w16cid:durableId="467361714">
    <w:abstractNumId w:val="12"/>
  </w:num>
  <w:num w:numId="19" w16cid:durableId="8702664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E46"/>
    <w:rsid w:val="00013A76"/>
    <w:rsid w:val="00014646"/>
    <w:rsid w:val="000158A4"/>
    <w:rsid w:val="00025C5F"/>
    <w:rsid w:val="000628A6"/>
    <w:rsid w:val="00063535"/>
    <w:rsid w:val="000828AB"/>
    <w:rsid w:val="000B5D0B"/>
    <w:rsid w:val="000C178C"/>
    <w:rsid w:val="000D72EF"/>
    <w:rsid w:val="000D7726"/>
    <w:rsid w:val="001350A0"/>
    <w:rsid w:val="00164433"/>
    <w:rsid w:val="00165AD9"/>
    <w:rsid w:val="001C0B1D"/>
    <w:rsid w:val="001C4E19"/>
    <w:rsid w:val="001C4F52"/>
    <w:rsid w:val="001C6244"/>
    <w:rsid w:val="001D0C30"/>
    <w:rsid w:val="001E36D9"/>
    <w:rsid w:val="00204000"/>
    <w:rsid w:val="00206C72"/>
    <w:rsid w:val="00237CB5"/>
    <w:rsid w:val="002423B2"/>
    <w:rsid w:val="0025480D"/>
    <w:rsid w:val="00284E46"/>
    <w:rsid w:val="0029128A"/>
    <w:rsid w:val="002B6B27"/>
    <w:rsid w:val="002C2DCB"/>
    <w:rsid w:val="002C6FCC"/>
    <w:rsid w:val="002E176B"/>
    <w:rsid w:val="003164B1"/>
    <w:rsid w:val="00336023"/>
    <w:rsid w:val="00336CC7"/>
    <w:rsid w:val="00351EDD"/>
    <w:rsid w:val="00364ED2"/>
    <w:rsid w:val="003653C4"/>
    <w:rsid w:val="003A782D"/>
    <w:rsid w:val="003F2914"/>
    <w:rsid w:val="00405FCC"/>
    <w:rsid w:val="00407CB5"/>
    <w:rsid w:val="004274A8"/>
    <w:rsid w:val="00431B27"/>
    <w:rsid w:val="004514E6"/>
    <w:rsid w:val="00486102"/>
    <w:rsid w:val="004A1C0A"/>
    <w:rsid w:val="004A4163"/>
    <w:rsid w:val="004D1F11"/>
    <w:rsid w:val="004E59DF"/>
    <w:rsid w:val="004F61BB"/>
    <w:rsid w:val="00504557"/>
    <w:rsid w:val="00512FE7"/>
    <w:rsid w:val="00513720"/>
    <w:rsid w:val="00526409"/>
    <w:rsid w:val="0053137E"/>
    <w:rsid w:val="00556FC1"/>
    <w:rsid w:val="0059514A"/>
    <w:rsid w:val="005B14F5"/>
    <w:rsid w:val="005B57FA"/>
    <w:rsid w:val="005B5EF9"/>
    <w:rsid w:val="005B7FF1"/>
    <w:rsid w:val="005C3A59"/>
    <w:rsid w:val="005D50AE"/>
    <w:rsid w:val="005D5ED7"/>
    <w:rsid w:val="005E4383"/>
    <w:rsid w:val="005E7A9A"/>
    <w:rsid w:val="00621337"/>
    <w:rsid w:val="0065022B"/>
    <w:rsid w:val="00667E54"/>
    <w:rsid w:val="006B6123"/>
    <w:rsid w:val="006C24A2"/>
    <w:rsid w:val="006D21C6"/>
    <w:rsid w:val="006F1507"/>
    <w:rsid w:val="00703826"/>
    <w:rsid w:val="00764E75"/>
    <w:rsid w:val="007A31BD"/>
    <w:rsid w:val="007B3B87"/>
    <w:rsid w:val="007D0690"/>
    <w:rsid w:val="007D123B"/>
    <w:rsid w:val="007D5EAF"/>
    <w:rsid w:val="007F66A4"/>
    <w:rsid w:val="00827EA9"/>
    <w:rsid w:val="00836CAF"/>
    <w:rsid w:val="00855A7D"/>
    <w:rsid w:val="00874117"/>
    <w:rsid w:val="00875DE8"/>
    <w:rsid w:val="008B4706"/>
    <w:rsid w:val="008C7249"/>
    <w:rsid w:val="008D28F8"/>
    <w:rsid w:val="0090020F"/>
    <w:rsid w:val="00947DB0"/>
    <w:rsid w:val="00954499"/>
    <w:rsid w:val="009702E7"/>
    <w:rsid w:val="00970BAE"/>
    <w:rsid w:val="00976B1A"/>
    <w:rsid w:val="00983554"/>
    <w:rsid w:val="009C013B"/>
    <w:rsid w:val="009D5009"/>
    <w:rsid w:val="009F78C6"/>
    <w:rsid w:val="00A077F2"/>
    <w:rsid w:val="00A151D8"/>
    <w:rsid w:val="00A20CF5"/>
    <w:rsid w:val="00A258DB"/>
    <w:rsid w:val="00A4112E"/>
    <w:rsid w:val="00A43635"/>
    <w:rsid w:val="00A45D7D"/>
    <w:rsid w:val="00A544CB"/>
    <w:rsid w:val="00A92521"/>
    <w:rsid w:val="00AB4C1A"/>
    <w:rsid w:val="00AD3CBE"/>
    <w:rsid w:val="00AE0E60"/>
    <w:rsid w:val="00B26181"/>
    <w:rsid w:val="00B567E2"/>
    <w:rsid w:val="00B604B5"/>
    <w:rsid w:val="00B644C6"/>
    <w:rsid w:val="00B71473"/>
    <w:rsid w:val="00B93F92"/>
    <w:rsid w:val="00BA6A85"/>
    <w:rsid w:val="00BB3C32"/>
    <w:rsid w:val="00BB62E6"/>
    <w:rsid w:val="00BC7A71"/>
    <w:rsid w:val="00BD45A9"/>
    <w:rsid w:val="00C14A77"/>
    <w:rsid w:val="00C204C9"/>
    <w:rsid w:val="00C41FA2"/>
    <w:rsid w:val="00C46FE8"/>
    <w:rsid w:val="00C5266A"/>
    <w:rsid w:val="00C65FF9"/>
    <w:rsid w:val="00C73B75"/>
    <w:rsid w:val="00C923A5"/>
    <w:rsid w:val="00C955B5"/>
    <w:rsid w:val="00CD0C7B"/>
    <w:rsid w:val="00CF6828"/>
    <w:rsid w:val="00CF7418"/>
    <w:rsid w:val="00D101A5"/>
    <w:rsid w:val="00D21796"/>
    <w:rsid w:val="00D22E52"/>
    <w:rsid w:val="00D2774F"/>
    <w:rsid w:val="00D5764C"/>
    <w:rsid w:val="00D601F4"/>
    <w:rsid w:val="00D703B4"/>
    <w:rsid w:val="00D8226C"/>
    <w:rsid w:val="00D83935"/>
    <w:rsid w:val="00D856C3"/>
    <w:rsid w:val="00D85792"/>
    <w:rsid w:val="00DB6EB9"/>
    <w:rsid w:val="00DD0433"/>
    <w:rsid w:val="00DE5621"/>
    <w:rsid w:val="00E11C1D"/>
    <w:rsid w:val="00E15014"/>
    <w:rsid w:val="00E313A7"/>
    <w:rsid w:val="00E55CAE"/>
    <w:rsid w:val="00E56F77"/>
    <w:rsid w:val="00E863CD"/>
    <w:rsid w:val="00ED6757"/>
    <w:rsid w:val="00EE05E8"/>
    <w:rsid w:val="00EF540B"/>
    <w:rsid w:val="00EF7BB3"/>
    <w:rsid w:val="00F278FB"/>
    <w:rsid w:val="00F27B4F"/>
    <w:rsid w:val="00F60B9D"/>
    <w:rsid w:val="00F92282"/>
    <w:rsid w:val="00FC1D22"/>
    <w:rsid w:val="00FC1E30"/>
    <w:rsid w:val="00FC32C7"/>
    <w:rsid w:val="00FC33DD"/>
    <w:rsid w:val="00FD2E8A"/>
    <w:rsid w:val="00FD5C13"/>
    <w:rsid w:val="00FF76ED"/>
    <w:rsid w:val="0F0FBB37"/>
    <w:rsid w:val="11B6CE46"/>
    <w:rsid w:val="1D1765CB"/>
    <w:rsid w:val="2ED57B9C"/>
    <w:rsid w:val="2FB76D5A"/>
    <w:rsid w:val="3007FA6F"/>
    <w:rsid w:val="32A2CBD2"/>
    <w:rsid w:val="3AAACE52"/>
    <w:rsid w:val="3B3D2DF2"/>
    <w:rsid w:val="459D316D"/>
    <w:rsid w:val="4B8E0FD4"/>
    <w:rsid w:val="4BDD1412"/>
    <w:rsid w:val="4F2D30F8"/>
    <w:rsid w:val="4FE7B023"/>
    <w:rsid w:val="5E5B18FB"/>
    <w:rsid w:val="5EFEEFAC"/>
    <w:rsid w:val="61EB08A1"/>
    <w:rsid w:val="6570830A"/>
    <w:rsid w:val="6A6C60E0"/>
    <w:rsid w:val="6C825FCE"/>
    <w:rsid w:val="7DEBDE2B"/>
    <w:rsid w:val="7E97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0A57"/>
  <w15:docId w15:val="{598A5483-7DA2-45F6-9ECB-0931ACFD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17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14A"/>
    <w:rPr>
      <w:rFonts w:ascii="Calibri" w:eastAsia="Calibri" w:hAnsi="Calibri" w:cs="Calibri"/>
      <w:color w:val="000000"/>
    </w:rPr>
  </w:style>
  <w:style w:type="character" w:styleId="PlaceholderText">
    <w:name w:val="Placeholder Text"/>
    <w:basedOn w:val="DefaultParagraphFont"/>
    <w:uiPriority w:val="99"/>
    <w:semiHidden/>
    <w:rsid w:val="0059514A"/>
    <w:rPr>
      <w:color w:val="808080"/>
    </w:rPr>
  </w:style>
  <w:style w:type="paragraph" w:styleId="BalloonText">
    <w:name w:val="Balloon Text"/>
    <w:basedOn w:val="Normal"/>
    <w:link w:val="BalloonTextChar"/>
    <w:uiPriority w:val="99"/>
    <w:semiHidden/>
    <w:unhideWhenUsed/>
    <w:rsid w:val="00B60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4B5"/>
    <w:rPr>
      <w:rFonts w:ascii="Tahoma" w:eastAsia="Calibri" w:hAnsi="Tahoma" w:cs="Tahoma"/>
      <w:color w:val="000000"/>
      <w:sz w:val="16"/>
      <w:szCs w:val="16"/>
    </w:rPr>
  </w:style>
  <w:style w:type="paragraph" w:styleId="ListParagraph">
    <w:name w:val="List Paragraph"/>
    <w:aliases w:val="List Paragraph (numbered (a)),Bullets,List Paragraph1,WB Para,Lapis Bulleted List,Dot pt,F5 List Paragraph,No Spacing1,List Paragraph Char Char Char,Indicator Text,Numbered Para 1,Bullet 1,List Paragraph12,Bullet Points,MAIN CONTENT,L"/>
    <w:basedOn w:val="Normal"/>
    <w:link w:val="ListParagraphChar"/>
    <w:uiPriority w:val="34"/>
    <w:qFormat/>
    <w:rsid w:val="00D601F4"/>
    <w:pPr>
      <w:ind w:left="720"/>
      <w:contextualSpacing/>
    </w:pPr>
  </w:style>
  <w:style w:type="character" w:styleId="Hyperlink">
    <w:name w:val="Hyperlink"/>
    <w:basedOn w:val="DefaultParagraphFont"/>
    <w:uiPriority w:val="99"/>
    <w:unhideWhenUsed/>
    <w:rsid w:val="00764E75"/>
    <w:rPr>
      <w:color w:val="0563C1" w:themeColor="hyperlink"/>
      <w:u w:val="single"/>
    </w:rPr>
  </w:style>
  <w:style w:type="character" w:customStyle="1" w:styleId="ListParagraphChar">
    <w:name w:val="List Paragraph Char"/>
    <w:aliases w:val="List Paragraph (numbered (a)) Char,Bullets Char,List Paragraph1 Char,WB Para Char,Lapis Bulleted List Char,Dot pt Char,F5 List Paragraph Char,No Spacing1 Char,List Paragraph Char Char Char Char,Indicator Text Char,Bullet 1 Char"/>
    <w:link w:val="ListParagraph"/>
    <w:uiPriority w:val="34"/>
    <w:locked/>
    <w:rsid w:val="001C0B1D"/>
    <w:rPr>
      <w:rFonts w:ascii="Calibri" w:eastAsia="Calibri" w:hAnsi="Calibri" w:cs="Calibri"/>
      <w:color w:val="000000"/>
    </w:rPr>
  </w:style>
  <w:style w:type="character" w:styleId="CommentReference">
    <w:name w:val="annotation reference"/>
    <w:basedOn w:val="DefaultParagraphFont"/>
    <w:uiPriority w:val="99"/>
    <w:semiHidden/>
    <w:unhideWhenUsed/>
    <w:rsid w:val="00976B1A"/>
    <w:rPr>
      <w:sz w:val="16"/>
      <w:szCs w:val="16"/>
    </w:rPr>
  </w:style>
  <w:style w:type="paragraph" w:styleId="CommentText">
    <w:name w:val="annotation text"/>
    <w:basedOn w:val="Normal"/>
    <w:link w:val="CommentTextChar"/>
    <w:uiPriority w:val="99"/>
    <w:semiHidden/>
    <w:unhideWhenUsed/>
    <w:rsid w:val="00976B1A"/>
    <w:pPr>
      <w:spacing w:line="240" w:lineRule="auto"/>
    </w:pPr>
    <w:rPr>
      <w:sz w:val="20"/>
      <w:szCs w:val="20"/>
    </w:rPr>
  </w:style>
  <w:style w:type="character" w:customStyle="1" w:styleId="CommentTextChar">
    <w:name w:val="Comment Text Char"/>
    <w:basedOn w:val="DefaultParagraphFont"/>
    <w:link w:val="CommentText"/>
    <w:uiPriority w:val="99"/>
    <w:semiHidden/>
    <w:rsid w:val="00976B1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76B1A"/>
    <w:rPr>
      <w:b/>
      <w:bCs/>
    </w:rPr>
  </w:style>
  <w:style w:type="character" w:customStyle="1" w:styleId="CommentSubjectChar">
    <w:name w:val="Comment Subject Char"/>
    <w:basedOn w:val="CommentTextChar"/>
    <w:link w:val="CommentSubject"/>
    <w:uiPriority w:val="99"/>
    <w:semiHidden/>
    <w:rsid w:val="00976B1A"/>
    <w:rPr>
      <w:rFonts w:ascii="Calibri" w:eastAsia="Calibri" w:hAnsi="Calibri" w:cs="Calibri"/>
      <w:b/>
      <w:bCs/>
      <w:color w:val="000000"/>
      <w:sz w:val="20"/>
      <w:szCs w:val="20"/>
    </w:rPr>
  </w:style>
  <w:style w:type="character" w:styleId="FollowedHyperlink">
    <w:name w:val="FollowedHyperlink"/>
    <w:basedOn w:val="DefaultParagraphFont"/>
    <w:uiPriority w:val="99"/>
    <w:semiHidden/>
    <w:unhideWhenUsed/>
    <w:rsid w:val="00AB4C1A"/>
    <w:rPr>
      <w:color w:val="954F72" w:themeColor="followedHyperlink"/>
      <w:u w:val="single"/>
    </w:rPr>
  </w:style>
  <w:style w:type="paragraph" w:styleId="NormalWeb">
    <w:name w:val="Normal (Web)"/>
    <w:basedOn w:val="Normal"/>
    <w:uiPriority w:val="99"/>
    <w:unhideWhenUsed/>
    <w:rsid w:val="00EE05E8"/>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rPr>
  </w:style>
  <w:style w:type="paragraph" w:styleId="Revision">
    <w:name w:val="Revision"/>
    <w:hidden/>
    <w:uiPriority w:val="99"/>
    <w:semiHidden/>
    <w:rsid w:val="00EF540B"/>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91473">
      <w:bodyDiv w:val="1"/>
      <w:marLeft w:val="0"/>
      <w:marRight w:val="0"/>
      <w:marTop w:val="0"/>
      <w:marBottom w:val="0"/>
      <w:divBdr>
        <w:top w:val="none" w:sz="0" w:space="0" w:color="auto"/>
        <w:left w:val="none" w:sz="0" w:space="0" w:color="auto"/>
        <w:bottom w:val="none" w:sz="0" w:space="0" w:color="auto"/>
        <w:right w:val="none" w:sz="0" w:space="0" w:color="auto"/>
      </w:divBdr>
    </w:div>
    <w:div w:id="267086127">
      <w:bodyDiv w:val="1"/>
      <w:marLeft w:val="0"/>
      <w:marRight w:val="0"/>
      <w:marTop w:val="0"/>
      <w:marBottom w:val="0"/>
      <w:divBdr>
        <w:top w:val="none" w:sz="0" w:space="0" w:color="auto"/>
        <w:left w:val="none" w:sz="0" w:space="0" w:color="auto"/>
        <w:bottom w:val="none" w:sz="0" w:space="0" w:color="auto"/>
        <w:right w:val="none" w:sz="0" w:space="0" w:color="auto"/>
      </w:divBdr>
      <w:divsChild>
        <w:div w:id="853156212">
          <w:marLeft w:val="0"/>
          <w:marRight w:val="0"/>
          <w:marTop w:val="0"/>
          <w:marBottom w:val="0"/>
          <w:divBdr>
            <w:top w:val="none" w:sz="0" w:space="0" w:color="auto"/>
            <w:left w:val="none" w:sz="0" w:space="0" w:color="auto"/>
            <w:bottom w:val="none" w:sz="0" w:space="0" w:color="auto"/>
            <w:right w:val="none" w:sz="0" w:space="0" w:color="auto"/>
          </w:divBdr>
          <w:divsChild>
            <w:div w:id="1556744631">
              <w:marLeft w:val="0"/>
              <w:marRight w:val="0"/>
              <w:marTop w:val="0"/>
              <w:marBottom w:val="0"/>
              <w:divBdr>
                <w:top w:val="none" w:sz="0" w:space="0" w:color="auto"/>
                <w:left w:val="none" w:sz="0" w:space="0" w:color="auto"/>
                <w:bottom w:val="none" w:sz="0" w:space="0" w:color="auto"/>
                <w:right w:val="none" w:sz="0" w:space="0" w:color="auto"/>
              </w:divBdr>
              <w:divsChild>
                <w:div w:id="667025410">
                  <w:marLeft w:val="0"/>
                  <w:marRight w:val="0"/>
                  <w:marTop w:val="0"/>
                  <w:marBottom w:val="0"/>
                  <w:divBdr>
                    <w:top w:val="none" w:sz="0" w:space="0" w:color="auto"/>
                    <w:left w:val="none" w:sz="0" w:space="0" w:color="auto"/>
                    <w:bottom w:val="none" w:sz="0" w:space="0" w:color="auto"/>
                    <w:right w:val="none" w:sz="0" w:space="0" w:color="auto"/>
                  </w:divBdr>
                  <w:divsChild>
                    <w:div w:id="698554374">
                      <w:marLeft w:val="0"/>
                      <w:marRight w:val="0"/>
                      <w:marTop w:val="0"/>
                      <w:marBottom w:val="0"/>
                      <w:divBdr>
                        <w:top w:val="none" w:sz="0" w:space="0" w:color="auto"/>
                        <w:left w:val="none" w:sz="0" w:space="0" w:color="auto"/>
                        <w:bottom w:val="none" w:sz="0" w:space="0" w:color="auto"/>
                        <w:right w:val="none" w:sz="0" w:space="0" w:color="auto"/>
                      </w:divBdr>
                      <w:divsChild>
                        <w:div w:id="1339579239">
                          <w:marLeft w:val="0"/>
                          <w:marRight w:val="0"/>
                          <w:marTop w:val="0"/>
                          <w:marBottom w:val="0"/>
                          <w:divBdr>
                            <w:top w:val="none" w:sz="0" w:space="0" w:color="auto"/>
                            <w:left w:val="none" w:sz="0" w:space="0" w:color="auto"/>
                            <w:bottom w:val="none" w:sz="0" w:space="0" w:color="auto"/>
                            <w:right w:val="none" w:sz="0" w:space="0" w:color="auto"/>
                          </w:divBdr>
                          <w:divsChild>
                            <w:div w:id="1940675209">
                              <w:marLeft w:val="0"/>
                              <w:marRight w:val="300"/>
                              <w:marTop w:val="180"/>
                              <w:marBottom w:val="0"/>
                              <w:divBdr>
                                <w:top w:val="none" w:sz="0" w:space="0" w:color="auto"/>
                                <w:left w:val="none" w:sz="0" w:space="0" w:color="auto"/>
                                <w:bottom w:val="none" w:sz="0" w:space="0" w:color="auto"/>
                                <w:right w:val="none" w:sz="0" w:space="0" w:color="auto"/>
                              </w:divBdr>
                              <w:divsChild>
                                <w:div w:id="97742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876840">
          <w:marLeft w:val="0"/>
          <w:marRight w:val="0"/>
          <w:marTop w:val="0"/>
          <w:marBottom w:val="0"/>
          <w:divBdr>
            <w:top w:val="none" w:sz="0" w:space="0" w:color="auto"/>
            <w:left w:val="none" w:sz="0" w:space="0" w:color="auto"/>
            <w:bottom w:val="none" w:sz="0" w:space="0" w:color="auto"/>
            <w:right w:val="none" w:sz="0" w:space="0" w:color="auto"/>
          </w:divBdr>
          <w:divsChild>
            <w:div w:id="1267274211">
              <w:marLeft w:val="0"/>
              <w:marRight w:val="0"/>
              <w:marTop w:val="0"/>
              <w:marBottom w:val="0"/>
              <w:divBdr>
                <w:top w:val="none" w:sz="0" w:space="0" w:color="auto"/>
                <w:left w:val="none" w:sz="0" w:space="0" w:color="auto"/>
                <w:bottom w:val="none" w:sz="0" w:space="0" w:color="auto"/>
                <w:right w:val="none" w:sz="0" w:space="0" w:color="auto"/>
              </w:divBdr>
              <w:divsChild>
                <w:div w:id="1679697504">
                  <w:marLeft w:val="0"/>
                  <w:marRight w:val="0"/>
                  <w:marTop w:val="0"/>
                  <w:marBottom w:val="0"/>
                  <w:divBdr>
                    <w:top w:val="none" w:sz="0" w:space="0" w:color="auto"/>
                    <w:left w:val="none" w:sz="0" w:space="0" w:color="auto"/>
                    <w:bottom w:val="none" w:sz="0" w:space="0" w:color="auto"/>
                    <w:right w:val="none" w:sz="0" w:space="0" w:color="auto"/>
                  </w:divBdr>
                  <w:divsChild>
                    <w:div w:id="1089350778">
                      <w:marLeft w:val="0"/>
                      <w:marRight w:val="0"/>
                      <w:marTop w:val="0"/>
                      <w:marBottom w:val="0"/>
                      <w:divBdr>
                        <w:top w:val="none" w:sz="0" w:space="0" w:color="auto"/>
                        <w:left w:val="none" w:sz="0" w:space="0" w:color="auto"/>
                        <w:bottom w:val="none" w:sz="0" w:space="0" w:color="auto"/>
                        <w:right w:val="none" w:sz="0" w:space="0" w:color="auto"/>
                      </w:divBdr>
                      <w:divsChild>
                        <w:div w:id="202886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541239">
      <w:bodyDiv w:val="1"/>
      <w:marLeft w:val="0"/>
      <w:marRight w:val="0"/>
      <w:marTop w:val="0"/>
      <w:marBottom w:val="0"/>
      <w:divBdr>
        <w:top w:val="none" w:sz="0" w:space="0" w:color="auto"/>
        <w:left w:val="none" w:sz="0" w:space="0" w:color="auto"/>
        <w:bottom w:val="none" w:sz="0" w:space="0" w:color="auto"/>
        <w:right w:val="none" w:sz="0" w:space="0" w:color="auto"/>
      </w:divBdr>
      <w:divsChild>
        <w:div w:id="1655715211">
          <w:marLeft w:val="0"/>
          <w:marRight w:val="0"/>
          <w:marTop w:val="0"/>
          <w:marBottom w:val="0"/>
          <w:divBdr>
            <w:top w:val="none" w:sz="0" w:space="0" w:color="auto"/>
            <w:left w:val="none" w:sz="0" w:space="0" w:color="auto"/>
            <w:bottom w:val="none" w:sz="0" w:space="0" w:color="auto"/>
            <w:right w:val="none" w:sz="0" w:space="0" w:color="auto"/>
          </w:divBdr>
          <w:divsChild>
            <w:div w:id="633029202">
              <w:marLeft w:val="0"/>
              <w:marRight w:val="0"/>
              <w:marTop w:val="0"/>
              <w:marBottom w:val="0"/>
              <w:divBdr>
                <w:top w:val="none" w:sz="0" w:space="0" w:color="auto"/>
                <w:left w:val="none" w:sz="0" w:space="0" w:color="auto"/>
                <w:bottom w:val="none" w:sz="0" w:space="0" w:color="auto"/>
                <w:right w:val="none" w:sz="0" w:space="0" w:color="auto"/>
              </w:divBdr>
              <w:divsChild>
                <w:div w:id="687953203">
                  <w:marLeft w:val="0"/>
                  <w:marRight w:val="0"/>
                  <w:marTop w:val="0"/>
                  <w:marBottom w:val="0"/>
                  <w:divBdr>
                    <w:top w:val="none" w:sz="0" w:space="0" w:color="auto"/>
                    <w:left w:val="none" w:sz="0" w:space="0" w:color="auto"/>
                    <w:bottom w:val="none" w:sz="0" w:space="0" w:color="auto"/>
                    <w:right w:val="none" w:sz="0" w:space="0" w:color="auto"/>
                  </w:divBdr>
                  <w:divsChild>
                    <w:div w:id="1290818890">
                      <w:marLeft w:val="0"/>
                      <w:marRight w:val="0"/>
                      <w:marTop w:val="0"/>
                      <w:marBottom w:val="0"/>
                      <w:divBdr>
                        <w:top w:val="none" w:sz="0" w:space="0" w:color="auto"/>
                        <w:left w:val="none" w:sz="0" w:space="0" w:color="auto"/>
                        <w:bottom w:val="none" w:sz="0" w:space="0" w:color="auto"/>
                        <w:right w:val="none" w:sz="0" w:space="0" w:color="auto"/>
                      </w:divBdr>
                      <w:divsChild>
                        <w:div w:id="118115025">
                          <w:marLeft w:val="0"/>
                          <w:marRight w:val="0"/>
                          <w:marTop w:val="0"/>
                          <w:marBottom w:val="0"/>
                          <w:divBdr>
                            <w:top w:val="none" w:sz="0" w:space="0" w:color="auto"/>
                            <w:left w:val="none" w:sz="0" w:space="0" w:color="auto"/>
                            <w:bottom w:val="none" w:sz="0" w:space="0" w:color="auto"/>
                            <w:right w:val="none" w:sz="0" w:space="0" w:color="auto"/>
                          </w:divBdr>
                          <w:divsChild>
                            <w:div w:id="955067495">
                              <w:marLeft w:val="0"/>
                              <w:marRight w:val="300"/>
                              <w:marTop w:val="180"/>
                              <w:marBottom w:val="0"/>
                              <w:divBdr>
                                <w:top w:val="none" w:sz="0" w:space="0" w:color="auto"/>
                                <w:left w:val="none" w:sz="0" w:space="0" w:color="auto"/>
                                <w:bottom w:val="none" w:sz="0" w:space="0" w:color="auto"/>
                                <w:right w:val="none" w:sz="0" w:space="0" w:color="auto"/>
                              </w:divBdr>
                              <w:divsChild>
                                <w:div w:id="143840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022456">
          <w:marLeft w:val="0"/>
          <w:marRight w:val="0"/>
          <w:marTop w:val="0"/>
          <w:marBottom w:val="0"/>
          <w:divBdr>
            <w:top w:val="none" w:sz="0" w:space="0" w:color="auto"/>
            <w:left w:val="none" w:sz="0" w:space="0" w:color="auto"/>
            <w:bottom w:val="none" w:sz="0" w:space="0" w:color="auto"/>
            <w:right w:val="none" w:sz="0" w:space="0" w:color="auto"/>
          </w:divBdr>
          <w:divsChild>
            <w:div w:id="472723060">
              <w:marLeft w:val="0"/>
              <w:marRight w:val="0"/>
              <w:marTop w:val="0"/>
              <w:marBottom w:val="0"/>
              <w:divBdr>
                <w:top w:val="none" w:sz="0" w:space="0" w:color="auto"/>
                <w:left w:val="none" w:sz="0" w:space="0" w:color="auto"/>
                <w:bottom w:val="none" w:sz="0" w:space="0" w:color="auto"/>
                <w:right w:val="none" w:sz="0" w:space="0" w:color="auto"/>
              </w:divBdr>
              <w:divsChild>
                <w:div w:id="238712414">
                  <w:marLeft w:val="0"/>
                  <w:marRight w:val="0"/>
                  <w:marTop w:val="0"/>
                  <w:marBottom w:val="0"/>
                  <w:divBdr>
                    <w:top w:val="none" w:sz="0" w:space="0" w:color="auto"/>
                    <w:left w:val="none" w:sz="0" w:space="0" w:color="auto"/>
                    <w:bottom w:val="none" w:sz="0" w:space="0" w:color="auto"/>
                    <w:right w:val="none" w:sz="0" w:space="0" w:color="auto"/>
                  </w:divBdr>
                  <w:divsChild>
                    <w:div w:id="1600678116">
                      <w:marLeft w:val="0"/>
                      <w:marRight w:val="0"/>
                      <w:marTop w:val="0"/>
                      <w:marBottom w:val="0"/>
                      <w:divBdr>
                        <w:top w:val="none" w:sz="0" w:space="0" w:color="auto"/>
                        <w:left w:val="none" w:sz="0" w:space="0" w:color="auto"/>
                        <w:bottom w:val="none" w:sz="0" w:space="0" w:color="auto"/>
                        <w:right w:val="none" w:sz="0" w:space="0" w:color="auto"/>
                      </w:divBdr>
                      <w:divsChild>
                        <w:div w:id="8420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764508">
      <w:bodyDiv w:val="1"/>
      <w:marLeft w:val="0"/>
      <w:marRight w:val="0"/>
      <w:marTop w:val="0"/>
      <w:marBottom w:val="0"/>
      <w:divBdr>
        <w:top w:val="none" w:sz="0" w:space="0" w:color="auto"/>
        <w:left w:val="none" w:sz="0" w:space="0" w:color="auto"/>
        <w:bottom w:val="none" w:sz="0" w:space="0" w:color="auto"/>
        <w:right w:val="none" w:sz="0" w:space="0" w:color="auto"/>
      </w:divBdr>
      <w:divsChild>
        <w:div w:id="434715906">
          <w:marLeft w:val="0"/>
          <w:marRight w:val="0"/>
          <w:marTop w:val="0"/>
          <w:marBottom w:val="0"/>
          <w:divBdr>
            <w:top w:val="none" w:sz="0" w:space="0" w:color="auto"/>
            <w:left w:val="none" w:sz="0" w:space="0" w:color="auto"/>
            <w:bottom w:val="none" w:sz="0" w:space="0" w:color="auto"/>
            <w:right w:val="none" w:sz="0" w:space="0" w:color="auto"/>
          </w:divBdr>
          <w:divsChild>
            <w:div w:id="1691684936">
              <w:marLeft w:val="0"/>
              <w:marRight w:val="0"/>
              <w:marTop w:val="0"/>
              <w:marBottom w:val="0"/>
              <w:divBdr>
                <w:top w:val="none" w:sz="0" w:space="0" w:color="auto"/>
                <w:left w:val="none" w:sz="0" w:space="0" w:color="auto"/>
                <w:bottom w:val="none" w:sz="0" w:space="0" w:color="auto"/>
                <w:right w:val="none" w:sz="0" w:space="0" w:color="auto"/>
              </w:divBdr>
              <w:divsChild>
                <w:div w:id="1927877225">
                  <w:marLeft w:val="0"/>
                  <w:marRight w:val="0"/>
                  <w:marTop w:val="0"/>
                  <w:marBottom w:val="0"/>
                  <w:divBdr>
                    <w:top w:val="none" w:sz="0" w:space="0" w:color="auto"/>
                    <w:left w:val="none" w:sz="0" w:space="0" w:color="auto"/>
                    <w:bottom w:val="none" w:sz="0" w:space="0" w:color="auto"/>
                    <w:right w:val="none" w:sz="0" w:space="0" w:color="auto"/>
                  </w:divBdr>
                  <w:divsChild>
                    <w:div w:id="1121731348">
                      <w:marLeft w:val="0"/>
                      <w:marRight w:val="0"/>
                      <w:marTop w:val="0"/>
                      <w:marBottom w:val="0"/>
                      <w:divBdr>
                        <w:top w:val="none" w:sz="0" w:space="0" w:color="auto"/>
                        <w:left w:val="none" w:sz="0" w:space="0" w:color="auto"/>
                        <w:bottom w:val="none" w:sz="0" w:space="0" w:color="auto"/>
                        <w:right w:val="none" w:sz="0" w:space="0" w:color="auto"/>
                      </w:divBdr>
                      <w:divsChild>
                        <w:div w:id="1945305967">
                          <w:marLeft w:val="0"/>
                          <w:marRight w:val="0"/>
                          <w:marTop w:val="0"/>
                          <w:marBottom w:val="0"/>
                          <w:divBdr>
                            <w:top w:val="none" w:sz="0" w:space="0" w:color="auto"/>
                            <w:left w:val="none" w:sz="0" w:space="0" w:color="auto"/>
                            <w:bottom w:val="none" w:sz="0" w:space="0" w:color="auto"/>
                            <w:right w:val="none" w:sz="0" w:space="0" w:color="auto"/>
                          </w:divBdr>
                          <w:divsChild>
                            <w:div w:id="1822580425">
                              <w:marLeft w:val="0"/>
                              <w:marRight w:val="300"/>
                              <w:marTop w:val="180"/>
                              <w:marBottom w:val="0"/>
                              <w:divBdr>
                                <w:top w:val="none" w:sz="0" w:space="0" w:color="auto"/>
                                <w:left w:val="none" w:sz="0" w:space="0" w:color="auto"/>
                                <w:bottom w:val="none" w:sz="0" w:space="0" w:color="auto"/>
                                <w:right w:val="none" w:sz="0" w:space="0" w:color="auto"/>
                              </w:divBdr>
                              <w:divsChild>
                                <w:div w:id="16643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27143">
          <w:marLeft w:val="0"/>
          <w:marRight w:val="0"/>
          <w:marTop w:val="0"/>
          <w:marBottom w:val="0"/>
          <w:divBdr>
            <w:top w:val="none" w:sz="0" w:space="0" w:color="auto"/>
            <w:left w:val="none" w:sz="0" w:space="0" w:color="auto"/>
            <w:bottom w:val="none" w:sz="0" w:space="0" w:color="auto"/>
            <w:right w:val="none" w:sz="0" w:space="0" w:color="auto"/>
          </w:divBdr>
          <w:divsChild>
            <w:div w:id="42754579">
              <w:marLeft w:val="0"/>
              <w:marRight w:val="0"/>
              <w:marTop w:val="0"/>
              <w:marBottom w:val="0"/>
              <w:divBdr>
                <w:top w:val="none" w:sz="0" w:space="0" w:color="auto"/>
                <w:left w:val="none" w:sz="0" w:space="0" w:color="auto"/>
                <w:bottom w:val="none" w:sz="0" w:space="0" w:color="auto"/>
                <w:right w:val="none" w:sz="0" w:space="0" w:color="auto"/>
              </w:divBdr>
              <w:divsChild>
                <w:div w:id="1229068947">
                  <w:marLeft w:val="0"/>
                  <w:marRight w:val="0"/>
                  <w:marTop w:val="0"/>
                  <w:marBottom w:val="0"/>
                  <w:divBdr>
                    <w:top w:val="none" w:sz="0" w:space="0" w:color="auto"/>
                    <w:left w:val="none" w:sz="0" w:space="0" w:color="auto"/>
                    <w:bottom w:val="none" w:sz="0" w:space="0" w:color="auto"/>
                    <w:right w:val="none" w:sz="0" w:space="0" w:color="auto"/>
                  </w:divBdr>
                  <w:divsChild>
                    <w:div w:id="1343780814">
                      <w:marLeft w:val="0"/>
                      <w:marRight w:val="0"/>
                      <w:marTop w:val="0"/>
                      <w:marBottom w:val="0"/>
                      <w:divBdr>
                        <w:top w:val="none" w:sz="0" w:space="0" w:color="auto"/>
                        <w:left w:val="none" w:sz="0" w:space="0" w:color="auto"/>
                        <w:bottom w:val="none" w:sz="0" w:space="0" w:color="auto"/>
                        <w:right w:val="none" w:sz="0" w:space="0" w:color="auto"/>
                      </w:divBdr>
                      <w:divsChild>
                        <w:div w:id="3293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72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2691" TargetMode="External"/><Relationship Id="rId18" Type="http://schemas.openxmlformats.org/officeDocument/2006/relationships/hyperlink" Target="https://www.undp.org/sites/g/files/zskgke326/files/undp/library/corporate/Executive%20Board/2021/First-regular-session/dp2021-2s.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intranet.undp.org/unit/bom/lso/SBAA%20Documents/Forms/AllItems.aspx" TargetMode="External"/><Relationship Id="rId17" Type="http://schemas.openxmlformats.org/officeDocument/2006/relationships/hyperlink" Target="https://popp.undp.org/es/node/298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eb.undp.org/execbrd/archives/gcdecisions/GC%20Dec%20Org-Mt-Feb84%2031stSessJun84.pdf" TargetMode="External"/><Relationship Id="rId20" Type="http://schemas.openxmlformats.org/officeDocument/2006/relationships/hyperlink" Target="https://popp.undp.org/node/29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popp.undp.org/node/2716"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eb.undp.org/execbrd/archives/gcdecisions/GC%20Dec%20Org-Mt-Feb84%2031stSessJun8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uments-dds-ny.un.org/doc/UNDOC/GEN/N13/548/10/pdf/N1354810.pdf?OpenElemen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C6F991BF446474DB3C9FA78B282025F"/>
        <w:category>
          <w:name w:val="General"/>
          <w:gallery w:val="placeholder"/>
        </w:category>
        <w:types>
          <w:type w:val="bbPlcHdr"/>
        </w:types>
        <w:behaviors>
          <w:behavior w:val="content"/>
        </w:behaviors>
        <w:guid w:val="{B6967EDD-C210-4C28-AA94-581E94890FBC}"/>
      </w:docPartPr>
      <w:docPartBody>
        <w:p w:rsidR="002F7637" w:rsidRDefault="004F61BB">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F5F"/>
    <w:rsid w:val="00180720"/>
    <w:rsid w:val="002F7637"/>
    <w:rsid w:val="00311F13"/>
    <w:rsid w:val="004F61BB"/>
    <w:rsid w:val="005E4383"/>
    <w:rsid w:val="00667D7D"/>
    <w:rsid w:val="006D21C6"/>
    <w:rsid w:val="00716E31"/>
    <w:rsid w:val="00787730"/>
    <w:rsid w:val="0086521D"/>
    <w:rsid w:val="00874B13"/>
    <w:rsid w:val="00882F8C"/>
    <w:rsid w:val="008A2F5F"/>
    <w:rsid w:val="00963181"/>
    <w:rsid w:val="00A52E23"/>
    <w:rsid w:val="00BD3631"/>
    <w:rsid w:val="00DC3995"/>
    <w:rsid w:val="00E33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87940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61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8</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01/05/2020                                                Version #: 8.0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2020-04-30T22:00:00+00:00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Contribuciones de los Gobiernos para sufragar los gastos locales de las oficinas (GLOC) de países de ingresos bajos y medianos (LIC and MIC, Low- and Middle- Income Countries, por sus siglas en inglés)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1536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POPP-11-3240</_dlc_DocId>
    <_dlc_DocIdUrl xmlns="8264c5cc-ec60-4b56-8111-ce635d3d139a">
      <Url>https://popp.undp.org/_layouts/15/DocIdRedir.aspx?ID=POPP-11-3240</Url>
      <Description>POPP-11-3240</Description>
    </_dlc_DocIdUrl>
    <DLCPolicyLabelValue xmlns="e560140e-7b2f-4392-90df-e7567e3021a3">Effective Date: 01/05/2020                                                Version #: 8</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A64C26AB-DD1D-42FE-95FE-D367F86232C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3748F31A-E5E6-4A07-A302-EA3B3EE5124D}">
  <ds:schemaRefs>
    <ds:schemaRef ds:uri="http://schemas.microsoft.com/sharepoint/v3/contenttype/forms"/>
  </ds:schemaRefs>
</ds:datastoreItem>
</file>

<file path=customXml/itemProps3.xml><?xml version="1.0" encoding="utf-8"?>
<ds:datastoreItem xmlns:ds="http://schemas.openxmlformats.org/officeDocument/2006/customXml" ds:itemID="{5C16F168-11AC-4246-BC26-C8A851880B05}">
  <ds:schemaRefs>
    <ds:schemaRef ds:uri="http://schemas.microsoft.com/sharepoint/events"/>
  </ds:schemaRefs>
</ds:datastoreItem>
</file>

<file path=customXml/itemProps4.xml><?xml version="1.0" encoding="utf-8"?>
<ds:datastoreItem xmlns:ds="http://schemas.openxmlformats.org/officeDocument/2006/customXml" ds:itemID="{F911295C-D162-4687-B572-A6E82CBF3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C164B0-F2B3-4126-9D03-DB65E1AF830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5</cp:revision>
  <dcterms:created xsi:type="dcterms:W3CDTF">2023-01-30T17:05:00Z</dcterms:created>
  <dcterms:modified xsi:type="dcterms:W3CDTF">2024-06-04T15:20:00Z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3dc670d5-e59d-4465-bd85-7a98c0b8a383</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ies>
</file>