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8456" w14:textId="77777777" w:rsidR="00EF1CF5" w:rsidRPr="00EF1CF5" w:rsidRDefault="00EF1CF5" w:rsidP="00EF1CF5">
      <w:pPr>
        <w:spacing w:after="0" w:line="259" w:lineRule="auto"/>
        <w:ind w:left="0" w:firstLine="0"/>
        <w:jc w:val="left"/>
        <w:rPr>
          <w:sz w:val="28"/>
          <w:szCs w:val="28"/>
        </w:rPr>
      </w:pPr>
      <w:r w:rsidRPr="00EF1CF5">
        <w:rPr>
          <w:rFonts w:eastAsiaTheme="minorEastAsia"/>
          <w:b/>
          <w:bCs/>
          <w:sz w:val="28"/>
          <w:szCs w:val="28"/>
          <w:lang w:val="en-US"/>
        </w:rPr>
        <w:t>Vaccinations</w:t>
      </w:r>
      <w:r w:rsidRPr="00EF1CF5">
        <w:rPr>
          <w:rFonts w:eastAsiaTheme="minorEastAsia"/>
          <w:sz w:val="28"/>
          <w:szCs w:val="28"/>
          <w:lang w:val="en-US"/>
        </w:rPr>
        <w:t xml:space="preserve"> </w:t>
      </w:r>
      <w:r w:rsidRPr="00EF1CF5">
        <w:rPr>
          <w:b/>
          <w:sz w:val="28"/>
          <w:szCs w:val="28"/>
        </w:rPr>
        <w:t xml:space="preserve">and Malaria Prevention  </w:t>
      </w:r>
    </w:p>
    <w:p w14:paraId="0355DBDF" w14:textId="77777777" w:rsidR="00EF1CF5" w:rsidRPr="00EF1CF5" w:rsidRDefault="00EF1CF5" w:rsidP="00EF1CF5">
      <w:pPr>
        <w:spacing w:after="21" w:line="259" w:lineRule="auto"/>
        <w:ind w:left="0" w:firstLine="0"/>
        <w:jc w:val="left"/>
      </w:pPr>
      <w:r w:rsidRPr="00EF1CF5">
        <w:rPr>
          <w:color w:val="333333"/>
        </w:rPr>
        <w:t xml:space="preserve"> </w:t>
      </w:r>
    </w:p>
    <w:p w14:paraId="0FE09A9C" w14:textId="77777777" w:rsidR="00EF1CF5" w:rsidRPr="00EF1CF5" w:rsidRDefault="00EF1CF5" w:rsidP="00E6344D">
      <w:pPr>
        <w:numPr>
          <w:ilvl w:val="0"/>
          <w:numId w:val="3"/>
        </w:numPr>
      </w:pPr>
      <w:r w:rsidRPr="00EF1CF5">
        <w:t xml:space="preserve">Completing an immunization schedule before departure is the first and most important step staff can take to prevent travel-related disease. The protective effects of vaccination take some time to develop. For this reason, travellers are advised to allow four (4) to six (6) weeks before departure to start receiving vaccinations, particularly if the travel destination is one where exposure to vaccine-preventable diseases may occur and one or more doses are necessary. Failure to allow sufficient time for immunizations may delay a traveller’s departure or cause discomfort from multiple vaccines administered simultaneously. </w:t>
      </w:r>
    </w:p>
    <w:p w14:paraId="369806AC" w14:textId="760AD6E1" w:rsidR="00EF1CF5" w:rsidRPr="00EF1CF5" w:rsidRDefault="00EF1CF5" w:rsidP="00E6344D">
      <w:pPr>
        <w:spacing w:after="17" w:line="259" w:lineRule="auto"/>
        <w:ind w:left="0" w:firstLine="48"/>
        <w:jc w:val="left"/>
      </w:pPr>
    </w:p>
    <w:p w14:paraId="0144D093" w14:textId="77777777" w:rsidR="00EF1CF5" w:rsidRPr="00EF1CF5" w:rsidRDefault="00EF1CF5" w:rsidP="00E6344D">
      <w:pPr>
        <w:numPr>
          <w:ilvl w:val="0"/>
          <w:numId w:val="3"/>
        </w:numPr>
      </w:pPr>
      <w:r w:rsidRPr="00EF1CF5">
        <w:t xml:space="preserve">Malaria is a common and serious disease in many tropical and subtropical areas. Medications called anti-malarial are used both to prevent and treat malaria. Staff travelling to an area where malaria is present should take preventive </w:t>
      </w:r>
      <w:r w:rsidRPr="00EF1CF5">
        <w:rPr>
          <w:lang w:val="en-US"/>
        </w:rPr>
        <w:t xml:space="preserve">measures, including antimalarials, </w:t>
      </w:r>
      <w:r w:rsidRPr="00EF1CF5">
        <w:t xml:space="preserve">and follow the correct dosing schedule to reduce the risk of developing malaria. </w:t>
      </w:r>
    </w:p>
    <w:p w14:paraId="480253F2" w14:textId="18E2696E" w:rsidR="00EF1CF5" w:rsidRPr="00EF1CF5" w:rsidRDefault="00EF1CF5" w:rsidP="00E6344D">
      <w:pPr>
        <w:spacing w:after="22" w:line="259" w:lineRule="auto"/>
        <w:ind w:left="0" w:firstLine="48"/>
        <w:jc w:val="left"/>
      </w:pPr>
    </w:p>
    <w:p w14:paraId="1C5B3BC4" w14:textId="77777777" w:rsidR="00EF1CF5" w:rsidRPr="00EF1CF5" w:rsidRDefault="00EF1CF5" w:rsidP="00E6344D">
      <w:pPr>
        <w:numPr>
          <w:ilvl w:val="0"/>
          <w:numId w:val="3"/>
        </w:numPr>
      </w:pPr>
      <w:r w:rsidRPr="00EF1CF5">
        <w:t xml:space="preserve">Any staff member traveling to regions where malaria is present should undertake a travel risk assessment to determine whether malaria is a risk and what specific preparations they require. </w:t>
      </w:r>
    </w:p>
    <w:p w14:paraId="73108CC4" w14:textId="5496005B" w:rsidR="00EF1CF5" w:rsidRPr="00EF1CF5" w:rsidRDefault="00EF1CF5" w:rsidP="00E6344D">
      <w:pPr>
        <w:spacing w:after="21" w:line="259" w:lineRule="auto"/>
        <w:ind w:left="0" w:firstLine="96"/>
        <w:jc w:val="left"/>
      </w:pPr>
    </w:p>
    <w:p w14:paraId="5CF52EBE" w14:textId="77777777" w:rsidR="00EF1CF5" w:rsidRPr="00EF1CF5" w:rsidRDefault="00EF1CF5" w:rsidP="00E6344D">
      <w:pPr>
        <w:numPr>
          <w:ilvl w:val="0"/>
          <w:numId w:val="3"/>
        </w:numPr>
      </w:pPr>
      <w:r w:rsidRPr="00EF1CF5">
        <w:t>Once medically cleared for travel, and depending on the country(</w:t>
      </w:r>
      <w:proofErr w:type="spellStart"/>
      <w:r w:rsidRPr="00EF1CF5">
        <w:t>ies</w:t>
      </w:r>
      <w:proofErr w:type="spellEnd"/>
      <w:r w:rsidRPr="00EF1CF5">
        <w:t xml:space="preserve">) of destination, the traveller’s vaccination record will be reviewed and updated as necessary. The traveller should present any records of prior documented vaccinations, or a vaccination "yellow book" during the medical clearance process. Refer to guidelines on medical clearance for more information.  </w:t>
      </w:r>
    </w:p>
    <w:p w14:paraId="450F0C76" w14:textId="19987F73" w:rsidR="00EF1CF5" w:rsidRPr="00EF1CF5" w:rsidRDefault="00EF1CF5" w:rsidP="00E6344D">
      <w:pPr>
        <w:spacing w:after="20" w:line="259" w:lineRule="auto"/>
        <w:ind w:left="720" w:firstLine="48"/>
        <w:jc w:val="left"/>
      </w:pPr>
    </w:p>
    <w:p w14:paraId="6D5DD1BF" w14:textId="77777777" w:rsidR="00EF1CF5" w:rsidRPr="00EF1CF5" w:rsidRDefault="00EF1CF5" w:rsidP="00E6344D">
      <w:pPr>
        <w:numPr>
          <w:ilvl w:val="0"/>
          <w:numId w:val="3"/>
        </w:numPr>
      </w:pPr>
      <w:r w:rsidRPr="00EF1CF5">
        <w:t>The traveller will also be given malaria prophylaxis when applicable and be briefed about other health risks and how to minimize them in the country(</w:t>
      </w:r>
      <w:proofErr w:type="spellStart"/>
      <w:r w:rsidRPr="00EF1CF5">
        <w:t>ies</w:t>
      </w:r>
      <w:proofErr w:type="spellEnd"/>
      <w:r w:rsidRPr="00EF1CF5">
        <w:t xml:space="preserve">) of destination. </w:t>
      </w:r>
    </w:p>
    <w:p w14:paraId="43448625" w14:textId="0A5E10D5" w:rsidR="00EF1CF5" w:rsidRPr="00EF1CF5" w:rsidRDefault="00EF1CF5" w:rsidP="00E6344D">
      <w:pPr>
        <w:spacing w:after="45" w:line="259" w:lineRule="auto"/>
        <w:ind w:left="720" w:firstLine="48"/>
        <w:jc w:val="left"/>
      </w:pPr>
    </w:p>
    <w:p w14:paraId="36DB19BA" w14:textId="77777777" w:rsidR="00EF1CF5" w:rsidRPr="00EF1CF5" w:rsidRDefault="00EF1CF5" w:rsidP="00E6344D">
      <w:pPr>
        <w:numPr>
          <w:ilvl w:val="0"/>
          <w:numId w:val="3"/>
        </w:numPr>
      </w:pPr>
      <w:r w:rsidRPr="00EF1CF5">
        <w:t>For more information, please refer to the websites referenced below:</w:t>
      </w:r>
      <w:r w:rsidRPr="00EF1CF5">
        <w:rPr>
          <w:color w:val="333333"/>
        </w:rPr>
        <w:t xml:space="preserve"> </w:t>
      </w:r>
    </w:p>
    <w:p w14:paraId="0E76B7B6" w14:textId="77777777" w:rsidR="00EF1CF5" w:rsidRPr="00EF1CF5" w:rsidRDefault="00EF1CF5" w:rsidP="00EF1CF5">
      <w:pPr>
        <w:tabs>
          <w:tab w:val="center" w:pos="720"/>
          <w:tab w:val="center" w:pos="3100"/>
        </w:tabs>
        <w:spacing w:after="0" w:line="259" w:lineRule="auto"/>
        <w:ind w:left="-15" w:firstLine="0"/>
        <w:jc w:val="left"/>
      </w:pPr>
      <w:r w:rsidRPr="00EF1CF5">
        <w:rPr>
          <w:color w:val="333333"/>
        </w:rPr>
        <w:t xml:space="preserve">  </w:t>
      </w:r>
      <w:r w:rsidRPr="00EF1CF5">
        <w:rPr>
          <w:color w:val="333333"/>
        </w:rPr>
        <w:tab/>
        <w:t xml:space="preserve"> </w:t>
      </w:r>
      <w:r w:rsidRPr="00EF1CF5">
        <w:rPr>
          <w:color w:val="333333"/>
        </w:rPr>
        <w:tab/>
      </w:r>
      <w:hyperlink r:id="rId10" w:anchor="tab=tab_1">
        <w:r w:rsidRPr="00EF1CF5">
          <w:rPr>
            <w:color w:val="0072BC"/>
            <w:u w:val="single" w:color="0072BC"/>
          </w:rPr>
          <w:t>WHO International Travel and Health</w:t>
        </w:r>
      </w:hyperlink>
      <w:hyperlink r:id="rId11">
        <w:r w:rsidRPr="00EF1CF5">
          <w:rPr>
            <w:color w:val="0072BC"/>
          </w:rPr>
          <w:t xml:space="preserve"> </w:t>
        </w:r>
      </w:hyperlink>
      <w:hyperlink r:id="rId12">
        <w:r w:rsidRPr="00EF1CF5">
          <w:rPr>
            <w:color w:val="333333"/>
          </w:rPr>
          <w:t xml:space="preserve"> </w:t>
        </w:r>
      </w:hyperlink>
    </w:p>
    <w:p w14:paraId="7B726B00" w14:textId="77777777" w:rsidR="00EF1CF5" w:rsidRPr="00EF1CF5" w:rsidRDefault="00EF1CF5" w:rsidP="00EF1CF5">
      <w:pPr>
        <w:spacing w:after="0" w:line="259" w:lineRule="auto"/>
        <w:ind w:left="1450" w:hanging="10"/>
        <w:jc w:val="left"/>
      </w:pPr>
      <w:hyperlink r:id="rId13">
        <w:r w:rsidRPr="00EF1CF5">
          <w:rPr>
            <w:color w:val="0072BC"/>
            <w:u w:val="single" w:color="0072BC"/>
          </w:rPr>
          <w:t>CDC Traveler’s Health</w:t>
        </w:r>
      </w:hyperlink>
      <w:hyperlink r:id="rId14">
        <w:r w:rsidRPr="00EF1CF5">
          <w:rPr>
            <w:color w:val="0072BC"/>
          </w:rPr>
          <w:t xml:space="preserve"> </w:t>
        </w:r>
      </w:hyperlink>
      <w:hyperlink r:id="rId15">
        <w:r w:rsidRPr="00EF1CF5">
          <w:rPr>
            <w:color w:val="333333"/>
          </w:rPr>
          <w:t xml:space="preserve"> </w:t>
        </w:r>
      </w:hyperlink>
    </w:p>
    <w:p w14:paraId="6F7FCD71" w14:textId="77777777" w:rsidR="00EF1CF5" w:rsidRPr="00EF1CF5" w:rsidRDefault="00EF1CF5" w:rsidP="00EF1CF5">
      <w:pPr>
        <w:spacing w:after="0" w:line="259" w:lineRule="auto"/>
        <w:ind w:left="0" w:firstLine="0"/>
        <w:jc w:val="left"/>
      </w:pPr>
      <w:r w:rsidRPr="00EF1CF5">
        <w:rPr>
          <w:color w:val="333333"/>
        </w:rPr>
        <w:t xml:space="preserve"> </w:t>
      </w:r>
    </w:p>
    <w:p w14:paraId="14F95E5E" w14:textId="77777777" w:rsidR="00EF1CF5" w:rsidRPr="00EF1CF5" w:rsidRDefault="00EF1CF5" w:rsidP="00EF1CF5">
      <w:pPr>
        <w:spacing w:after="0" w:line="259" w:lineRule="auto"/>
        <w:ind w:left="0" w:firstLine="0"/>
        <w:jc w:val="left"/>
      </w:pPr>
      <w:r w:rsidRPr="00EF1CF5">
        <w:rPr>
          <w:color w:val="333333"/>
        </w:rPr>
        <w:t xml:space="preserve"> </w:t>
      </w:r>
    </w:p>
    <w:p w14:paraId="3DA5E86E" w14:textId="77777777" w:rsidR="00EF1CF5" w:rsidRPr="00EF1CF5" w:rsidRDefault="00EF1CF5" w:rsidP="00EF1CF5">
      <w:pPr>
        <w:spacing w:after="0" w:line="259" w:lineRule="auto"/>
        <w:ind w:left="0" w:firstLine="0"/>
        <w:jc w:val="left"/>
      </w:pPr>
      <w:r w:rsidRPr="00EF1CF5">
        <w:rPr>
          <w:color w:val="333333"/>
        </w:rPr>
        <w:t xml:space="preserve"> </w:t>
      </w:r>
    </w:p>
    <w:p w14:paraId="20D2AB37" w14:textId="77777777" w:rsidR="00EF1CF5" w:rsidRPr="00EF1CF5" w:rsidRDefault="00EF1CF5" w:rsidP="00EF1CF5">
      <w:pPr>
        <w:spacing w:after="0" w:line="259" w:lineRule="auto"/>
        <w:ind w:left="0" w:firstLine="0"/>
        <w:jc w:val="left"/>
      </w:pPr>
      <w:r w:rsidRPr="00EF1CF5">
        <w:t xml:space="preserve">  </w:t>
      </w:r>
    </w:p>
    <w:p w14:paraId="4CFF1BFF" w14:textId="77777777" w:rsidR="00EF1CF5" w:rsidRPr="00EF1CF5" w:rsidRDefault="00EF1CF5" w:rsidP="00EF1CF5">
      <w:pPr>
        <w:spacing w:after="0" w:line="259" w:lineRule="auto"/>
        <w:ind w:left="0" w:firstLine="0"/>
        <w:jc w:val="left"/>
      </w:pPr>
      <w:r w:rsidRPr="00EF1CF5">
        <w:tab/>
      </w:r>
    </w:p>
    <w:p w14:paraId="1928C03A" w14:textId="77777777" w:rsidR="007E2152" w:rsidRPr="00EF1CF5" w:rsidRDefault="007E2152"/>
    <w:sectPr w:rsidR="007E2152" w:rsidRPr="00EF1CF5" w:rsidSect="00EF1CF5">
      <w:headerReference w:type="default" r:id="rId16"/>
      <w:footerReference w:type="default" r:id="rId17"/>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67E0" w14:textId="77777777" w:rsidR="0089789D" w:rsidRDefault="0089789D">
      <w:pPr>
        <w:spacing w:after="0" w:line="240" w:lineRule="auto"/>
      </w:pPr>
      <w:r>
        <w:separator/>
      </w:r>
    </w:p>
  </w:endnote>
  <w:endnote w:type="continuationSeparator" w:id="0">
    <w:p w14:paraId="20548E7D" w14:textId="77777777" w:rsidR="0089789D" w:rsidRDefault="0089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A6AC" w14:textId="77777777" w:rsidR="00EF1CF5" w:rsidRDefault="00EF1CF5">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2D4C8B">
      <w:t>Effective Date:</w:t>
    </w:r>
    <w:r>
      <w:t xml:space="preserve"> 06</w:t>
    </w:r>
    <w:r w:rsidRPr="00904DD1">
      <w:t>/</w:t>
    </w:r>
    <w:r>
      <w:t>01</w:t>
    </w:r>
    <w:r w:rsidRPr="00904DD1">
      <w:t>/20</w:t>
    </w:r>
    <w:r>
      <w:t>26</w:t>
    </w:r>
    <w:r w:rsidRPr="00904DD1">
      <w:t xml:space="preserve"> </w:t>
    </w:r>
    <w:r>
      <w:ptab w:relativeTo="margin" w:alignment="right" w:leader="none"/>
    </w:r>
    <w:r w:rsidRPr="002D4C8B">
      <w:t>Version #:</w:t>
    </w:r>
    <w:r>
      <w:t xml:space="preserve"> </w:t>
    </w:r>
    <w:sdt>
      <w:sdtPr>
        <w:alias w:val="POPPRefItemVersion"/>
        <w:tag w:val="UNDP_POPP_REFITEM_VERSION"/>
        <w:id w:val="-192169967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82722E6-86A2-4968-BD45-A4FEA3F0DC87}"/>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E03B" w14:textId="77777777" w:rsidR="0089789D" w:rsidRDefault="0089789D">
      <w:pPr>
        <w:spacing w:after="0" w:line="240" w:lineRule="auto"/>
      </w:pPr>
      <w:r>
        <w:separator/>
      </w:r>
    </w:p>
  </w:footnote>
  <w:footnote w:type="continuationSeparator" w:id="0">
    <w:p w14:paraId="230D55E6" w14:textId="77777777" w:rsidR="0089789D" w:rsidRDefault="00897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D642" w14:textId="77777777" w:rsidR="00EF1CF5" w:rsidRDefault="00EF1CF5" w:rsidP="002D4C8B">
    <w:pPr>
      <w:pStyle w:val="Header"/>
      <w:jc w:val="right"/>
    </w:pPr>
    <w:r>
      <w:rPr>
        <w:noProof/>
      </w:rPr>
      <w:drawing>
        <wp:inline distT="0" distB="0" distL="0" distR="0" wp14:anchorId="245B3530" wp14:editId="5A143FFD">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A8B"/>
    <w:multiLevelType w:val="hybridMultilevel"/>
    <w:tmpl w:val="5AC49EEA"/>
    <w:lvl w:ilvl="0" w:tplc="FF865CD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EAA9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163D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2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28F8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1C7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08E7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6632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260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D7110C"/>
    <w:multiLevelType w:val="hybridMultilevel"/>
    <w:tmpl w:val="41B63A00"/>
    <w:lvl w:ilvl="0" w:tplc="7676F640">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5610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049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4C6B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56B8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5085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5076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D2CC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34AD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1D0133"/>
    <w:multiLevelType w:val="hybridMultilevel"/>
    <w:tmpl w:val="41DA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143459">
    <w:abstractNumId w:val="0"/>
  </w:num>
  <w:num w:numId="2" w16cid:durableId="1254976610">
    <w:abstractNumId w:val="1"/>
  </w:num>
  <w:num w:numId="3" w16cid:durableId="55234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F5"/>
    <w:rsid w:val="0015640A"/>
    <w:rsid w:val="00384192"/>
    <w:rsid w:val="005D7FA8"/>
    <w:rsid w:val="007B44B8"/>
    <w:rsid w:val="007E2152"/>
    <w:rsid w:val="0089789D"/>
    <w:rsid w:val="00DA2F70"/>
    <w:rsid w:val="00E6344D"/>
    <w:rsid w:val="00EF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0A47"/>
  <w15:chartTrackingRefBased/>
  <w15:docId w15:val="{DE01BE48-307D-467A-A9A4-AEA78D1A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F5"/>
    <w:pPr>
      <w:spacing w:after="5" w:line="249" w:lineRule="auto"/>
      <w:ind w:left="730" w:hanging="370"/>
      <w:jc w:val="both"/>
    </w:pPr>
    <w:rPr>
      <w:rFonts w:ascii="Calibri" w:eastAsia="Calibri" w:hAnsi="Calibri" w:cs="Calibri"/>
      <w:color w:val="000000"/>
      <w:kern w:val="0"/>
      <w:sz w:val="22"/>
      <w:szCs w:val="22"/>
      <w:lang w:val="en-GB" w:eastAsia="en-GB"/>
      <w14:ligatures w14:val="none"/>
    </w:rPr>
  </w:style>
  <w:style w:type="paragraph" w:styleId="Heading1">
    <w:name w:val="heading 1"/>
    <w:basedOn w:val="Normal"/>
    <w:next w:val="Normal"/>
    <w:link w:val="Heading1Char"/>
    <w:uiPriority w:val="9"/>
    <w:qFormat/>
    <w:rsid w:val="00EF1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CF5"/>
    <w:rPr>
      <w:rFonts w:eastAsiaTheme="majorEastAsia" w:cstheme="majorBidi"/>
      <w:color w:val="272727" w:themeColor="text1" w:themeTint="D8"/>
    </w:rPr>
  </w:style>
  <w:style w:type="paragraph" w:styleId="Title">
    <w:name w:val="Title"/>
    <w:basedOn w:val="Normal"/>
    <w:next w:val="Normal"/>
    <w:link w:val="TitleChar"/>
    <w:uiPriority w:val="10"/>
    <w:qFormat/>
    <w:rsid w:val="00EF1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CF5"/>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CF5"/>
    <w:pPr>
      <w:spacing w:before="160"/>
      <w:jc w:val="center"/>
    </w:pPr>
    <w:rPr>
      <w:i/>
      <w:iCs/>
      <w:color w:val="404040" w:themeColor="text1" w:themeTint="BF"/>
    </w:rPr>
  </w:style>
  <w:style w:type="character" w:customStyle="1" w:styleId="QuoteChar">
    <w:name w:val="Quote Char"/>
    <w:basedOn w:val="DefaultParagraphFont"/>
    <w:link w:val="Quote"/>
    <w:uiPriority w:val="29"/>
    <w:rsid w:val="00EF1CF5"/>
    <w:rPr>
      <w:i/>
      <w:iCs/>
      <w:color w:val="404040" w:themeColor="text1" w:themeTint="BF"/>
    </w:rPr>
  </w:style>
  <w:style w:type="paragraph" w:styleId="ListParagraph">
    <w:name w:val="List Paragraph"/>
    <w:basedOn w:val="Normal"/>
    <w:uiPriority w:val="34"/>
    <w:qFormat/>
    <w:rsid w:val="00EF1CF5"/>
    <w:pPr>
      <w:ind w:left="720"/>
      <w:contextualSpacing/>
    </w:pPr>
  </w:style>
  <w:style w:type="character" w:styleId="IntenseEmphasis">
    <w:name w:val="Intense Emphasis"/>
    <w:basedOn w:val="DefaultParagraphFont"/>
    <w:uiPriority w:val="21"/>
    <w:qFormat/>
    <w:rsid w:val="00EF1CF5"/>
    <w:rPr>
      <w:i/>
      <w:iCs/>
      <w:color w:val="0F4761" w:themeColor="accent1" w:themeShade="BF"/>
    </w:rPr>
  </w:style>
  <w:style w:type="paragraph" w:styleId="IntenseQuote">
    <w:name w:val="Intense Quote"/>
    <w:basedOn w:val="Normal"/>
    <w:next w:val="Normal"/>
    <w:link w:val="IntenseQuoteChar"/>
    <w:uiPriority w:val="30"/>
    <w:qFormat/>
    <w:rsid w:val="00EF1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CF5"/>
    <w:rPr>
      <w:i/>
      <w:iCs/>
      <w:color w:val="0F4761" w:themeColor="accent1" w:themeShade="BF"/>
    </w:rPr>
  </w:style>
  <w:style w:type="character" w:styleId="IntenseReference">
    <w:name w:val="Intense Reference"/>
    <w:basedOn w:val="DefaultParagraphFont"/>
    <w:uiPriority w:val="32"/>
    <w:qFormat/>
    <w:rsid w:val="00EF1CF5"/>
    <w:rPr>
      <w:b/>
      <w:bCs/>
      <w:smallCaps/>
      <w:color w:val="0F4761" w:themeColor="accent1" w:themeShade="BF"/>
      <w:spacing w:val="5"/>
    </w:rPr>
  </w:style>
  <w:style w:type="paragraph" w:styleId="Header">
    <w:name w:val="header"/>
    <w:basedOn w:val="Normal"/>
    <w:link w:val="HeaderChar"/>
    <w:uiPriority w:val="99"/>
    <w:unhideWhenUsed/>
    <w:rsid w:val="00EF1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CF5"/>
    <w:rPr>
      <w:rFonts w:ascii="Calibri" w:eastAsia="Calibri" w:hAnsi="Calibri" w:cs="Calibri"/>
      <w:color w:val="000000"/>
      <w:kern w:val="0"/>
      <w:sz w:val="22"/>
      <w:szCs w:val="22"/>
      <w:lang w:val="en-GB" w:eastAsia="en-GB"/>
      <w14:ligatures w14:val="none"/>
    </w:rPr>
  </w:style>
  <w:style w:type="paragraph" w:styleId="Footer">
    <w:name w:val="footer"/>
    <w:basedOn w:val="Normal"/>
    <w:link w:val="FooterChar"/>
    <w:uiPriority w:val="99"/>
    <w:unhideWhenUsed/>
    <w:rsid w:val="00EF1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CF5"/>
    <w:rPr>
      <w:rFonts w:ascii="Calibri" w:eastAsia="Calibri" w:hAnsi="Calibri" w:cs="Calibri"/>
      <w:color w:val="000000"/>
      <w:kern w:val="0"/>
      <w:sz w:val="22"/>
      <w:szCs w:val="22"/>
      <w:lang w:val="en-GB" w:eastAsia="en-GB"/>
      <w14:ligatures w14:val="none"/>
    </w:rPr>
  </w:style>
  <w:style w:type="paragraph" w:styleId="Revision">
    <w:name w:val="Revision"/>
    <w:hidden/>
    <w:uiPriority w:val="99"/>
    <w:semiHidden/>
    <w:rsid w:val="0015640A"/>
    <w:pPr>
      <w:spacing w:after="0" w:line="240" w:lineRule="auto"/>
    </w:pPr>
    <w:rPr>
      <w:rFonts w:ascii="Calibri" w:eastAsia="Calibri" w:hAnsi="Calibri" w:cs="Calibri"/>
      <w:color w:val="000000"/>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cdc.gov/travel/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ho.int/ith/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nt/ith/en" TargetMode="External"/><Relationship Id="rId5" Type="http://schemas.openxmlformats.org/officeDocument/2006/relationships/styles" Target="styles.xml"/><Relationship Id="rId15" Type="http://schemas.openxmlformats.org/officeDocument/2006/relationships/hyperlink" Target="http://wwwnc.cdc.gov/travel/default.aspx" TargetMode="External"/><Relationship Id="rId10" Type="http://schemas.openxmlformats.org/officeDocument/2006/relationships/hyperlink" Target="https://www.who.int/health-topics/travel-and-healt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cdc.gov/travel/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3D4BB-F2BF-4722-AB99-C34701F2965C}">
  <ds:schemaRefs>
    <ds:schemaRef ds:uri="http://schemas.microsoft.com/sharepoint/v3/contenttype/forms"/>
  </ds:schemaRefs>
</ds:datastoreItem>
</file>

<file path=customXml/itemProps2.xml><?xml version="1.0" encoding="utf-8"?>
<ds:datastoreItem xmlns:ds="http://schemas.openxmlformats.org/officeDocument/2006/customXml" ds:itemID="{28BA58A3-2720-461C-BBE8-92D3C5A8856B}">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27CAC862-AF88-4ECD-950F-244FDEB67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2026-01-06T20:51:00Z</dcterms:created>
  <dcterms:modified xsi:type="dcterms:W3CDTF">2026-01-06T20:58:00Z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b990068d-ce62-4f78-8071-a3945efef695</vt:lpwstr>
  </property>
  <property fmtid="{D5CDD505-2E9C-101B-9397-08002B2CF9AE}" pid="3" name="ContentTypeId">
    <vt:lpwstr>0x010100DF4E5EB98AFACA49B955F57620F5DD44</vt:lpwstr>
  </property>
  <property fmtid="{D5CDD505-2E9C-101B-9397-08002B2CF9AE}" pid="4" name="MediaServiceImageTags">
    <vt:lpwstr/>
  </property>
</Properties>
</file>