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8DF84" w14:textId="77777777" w:rsidR="00125F46" w:rsidRPr="00125F46" w:rsidRDefault="00125F46" w:rsidP="00125F46">
      <w:pPr>
        <w:spacing w:before="120" w:after="101" w:line="240" w:lineRule="auto"/>
        <w:ind w:left="101" w:right="0" w:firstLine="0"/>
        <w:jc w:val="left"/>
      </w:pPr>
      <w:r w:rsidRPr="00125F46">
        <w:rPr>
          <w:b/>
          <w:sz w:val="28"/>
        </w:rPr>
        <w:t xml:space="preserve">Anticipo de efectivo del proyecto (PCA) </w:t>
      </w:r>
    </w:p>
    <w:p w14:paraId="6573B679" w14:textId="77777777" w:rsidR="00125F46" w:rsidRPr="00125F46" w:rsidRDefault="00125F46" w:rsidP="00125F46">
      <w:pPr>
        <w:pStyle w:val="NormalWeb"/>
        <w:numPr>
          <w:ilvl w:val="1"/>
          <w:numId w:val="1"/>
        </w:numPr>
        <w:spacing w:before="120" w:beforeAutospacing="0"/>
        <w:ind w:left="360"/>
        <w:jc w:val="both"/>
        <w:rPr>
          <w:rFonts w:ascii="Calibri" w:hAnsi="Calibri" w:cs="Calibri"/>
          <w:sz w:val="22"/>
          <w:szCs w:val="22"/>
        </w:rPr>
      </w:pPr>
      <w:r w:rsidRPr="00125F46">
        <w:rPr>
          <w:rFonts w:ascii="Calibri" w:hAnsi="Calibri" w:cs="Calibri"/>
          <w:sz w:val="22"/>
          <w:szCs w:val="22"/>
        </w:rPr>
        <w:t xml:space="preserve">El anticipo de efectivo del proyecto (PCA, </w:t>
      </w:r>
      <w:r w:rsidRPr="00125F46">
        <w:rPr>
          <w:rFonts w:ascii="Calibri" w:hAnsi="Calibri" w:cs="Calibri"/>
          <w:i/>
          <w:sz w:val="22"/>
          <w:szCs w:val="22"/>
        </w:rPr>
        <w:t xml:space="preserve">Project Cash </w:t>
      </w:r>
      <w:proofErr w:type="spellStart"/>
      <w:r w:rsidRPr="00125F46">
        <w:rPr>
          <w:rFonts w:ascii="Calibri" w:hAnsi="Calibri" w:cs="Calibri"/>
          <w:i/>
          <w:sz w:val="22"/>
          <w:szCs w:val="22"/>
        </w:rPr>
        <w:t>Advance</w:t>
      </w:r>
      <w:proofErr w:type="spellEnd"/>
      <w:r w:rsidRPr="00125F46">
        <w:rPr>
          <w:rFonts w:ascii="Calibri" w:hAnsi="Calibri" w:cs="Calibri"/>
          <w:sz w:val="22"/>
          <w:szCs w:val="22"/>
        </w:rPr>
        <w:t xml:space="preserve">, por sus siglas en inglés) es un anticipo emitido a Custodios designados para una actividad específica de un proyecto determinado. Por lo general, la actividad de un proyecto consiste de talleres, seminarios de capacitación o conferencias relacionados con ciertos proyectos que estarían ubicados en varios lugares remotos. La duración de tales actividades puede oscilar entre 2 días y 2 semanas. </w:t>
      </w:r>
    </w:p>
    <w:p w14:paraId="232C32F9" w14:textId="69BA82D2" w:rsidR="00125F46" w:rsidRPr="00125F46" w:rsidRDefault="00125F46" w:rsidP="00125F46">
      <w:pPr>
        <w:pStyle w:val="NormalWeb"/>
        <w:numPr>
          <w:ilvl w:val="1"/>
          <w:numId w:val="1"/>
        </w:numPr>
        <w:spacing w:before="120" w:beforeAutospacing="0"/>
        <w:ind w:left="360"/>
        <w:jc w:val="both"/>
        <w:rPr>
          <w:rFonts w:ascii="Calibri" w:hAnsi="Calibri" w:cs="Calibri"/>
          <w:sz w:val="22"/>
          <w:szCs w:val="22"/>
        </w:rPr>
      </w:pPr>
      <w:r w:rsidRPr="00125F46">
        <w:rPr>
          <w:rFonts w:ascii="Calibri" w:hAnsi="Calibri" w:cs="Calibri"/>
          <w:sz w:val="22"/>
          <w:szCs w:val="22"/>
        </w:rPr>
        <w:t xml:space="preserve">El PCA es un tipo de arreglo en efectivo que se utiliza solo cuando no hay otras opciones alternativas para desembolsar los pagos requeridos para realizar las actividades únicas del proyecto. Los gastos calificados para ser pagados con el PCA son los siguientes: 1) gastos relacionados con viajes y combustible entre la oficina principal de la oficina de país (CO, </w:t>
      </w:r>
      <w:r w:rsidRPr="00125F46">
        <w:rPr>
          <w:rFonts w:ascii="Calibri" w:hAnsi="Calibri" w:cs="Calibri"/>
          <w:i/>
          <w:sz w:val="22"/>
          <w:szCs w:val="22"/>
        </w:rPr>
        <w:t>Country Office</w:t>
      </w:r>
      <w:r w:rsidRPr="00125F46">
        <w:rPr>
          <w:rFonts w:ascii="Calibri" w:hAnsi="Calibri" w:cs="Calibri"/>
          <w:sz w:val="22"/>
          <w:szCs w:val="22"/>
        </w:rPr>
        <w:t xml:space="preserve">, por sus siglas en inglés) y la región remota donde se lleva a cabo la actividad del proyecto; 2) las dietas (DSA, </w:t>
      </w:r>
      <w:proofErr w:type="spellStart"/>
      <w:r w:rsidRPr="00125F46">
        <w:rPr>
          <w:rFonts w:ascii="Calibri" w:hAnsi="Calibri" w:cs="Calibri"/>
          <w:i/>
          <w:sz w:val="22"/>
          <w:szCs w:val="22"/>
        </w:rPr>
        <w:t>Daily</w:t>
      </w:r>
      <w:proofErr w:type="spellEnd"/>
      <w:r w:rsidRPr="00125F46">
        <w:rPr>
          <w:rFonts w:ascii="Calibri" w:hAnsi="Calibri" w:cs="Calibri"/>
          <w:i/>
          <w:sz w:val="22"/>
          <w:szCs w:val="22"/>
        </w:rPr>
        <w:t xml:space="preserve"> </w:t>
      </w:r>
      <w:proofErr w:type="spellStart"/>
      <w:r w:rsidRPr="00125F46">
        <w:rPr>
          <w:rFonts w:ascii="Calibri" w:hAnsi="Calibri" w:cs="Calibri"/>
          <w:i/>
          <w:sz w:val="22"/>
          <w:szCs w:val="22"/>
        </w:rPr>
        <w:t>Subsistence</w:t>
      </w:r>
      <w:proofErr w:type="spellEnd"/>
      <w:r w:rsidRPr="00125F46">
        <w:rPr>
          <w:rFonts w:ascii="Calibri" w:hAnsi="Calibri" w:cs="Calibri"/>
          <w:i/>
          <w:sz w:val="22"/>
          <w:szCs w:val="22"/>
        </w:rPr>
        <w:t xml:space="preserve"> </w:t>
      </w:r>
      <w:proofErr w:type="spellStart"/>
      <w:r w:rsidRPr="00125F46">
        <w:rPr>
          <w:rFonts w:ascii="Calibri" w:hAnsi="Calibri" w:cs="Calibri"/>
          <w:i/>
          <w:sz w:val="22"/>
          <w:szCs w:val="22"/>
        </w:rPr>
        <w:t>Allowance</w:t>
      </w:r>
      <w:proofErr w:type="spellEnd"/>
      <w:r w:rsidRPr="00125F46">
        <w:rPr>
          <w:rFonts w:ascii="Calibri" w:hAnsi="Calibri" w:cs="Calibri"/>
          <w:sz w:val="22"/>
          <w:szCs w:val="22"/>
        </w:rPr>
        <w:t xml:space="preserve">, por sus siglas en inglés) para los participantes de </w:t>
      </w:r>
      <w:r w:rsidR="000A0E86">
        <w:rPr>
          <w:rFonts w:ascii="Calibri" w:hAnsi="Calibri" w:cs="Calibri"/>
          <w:sz w:val="22"/>
          <w:szCs w:val="22"/>
        </w:rPr>
        <w:t xml:space="preserve">eventos tales como </w:t>
      </w:r>
      <w:r w:rsidRPr="00125F46">
        <w:rPr>
          <w:rFonts w:ascii="Calibri" w:hAnsi="Calibri" w:cs="Calibri"/>
          <w:sz w:val="22"/>
          <w:szCs w:val="22"/>
        </w:rPr>
        <w:t>talleres, seminarios de capacitación o conferencias con una duración inferior a dos semanas en una región remota</w:t>
      </w:r>
      <w:r w:rsidR="001664CB">
        <w:rPr>
          <w:rFonts w:ascii="Calibri" w:hAnsi="Calibri" w:cs="Calibri"/>
          <w:sz w:val="22"/>
          <w:szCs w:val="22"/>
        </w:rPr>
        <w:t xml:space="preserve"> y 3)</w:t>
      </w:r>
      <w:r w:rsidR="00C815EA">
        <w:rPr>
          <w:rFonts w:ascii="Calibri" w:hAnsi="Calibri" w:cs="Calibri"/>
          <w:sz w:val="22"/>
          <w:szCs w:val="22"/>
        </w:rPr>
        <w:t xml:space="preserve"> </w:t>
      </w:r>
      <w:r w:rsidR="00C815EA" w:rsidRPr="00C815EA">
        <w:rPr>
          <w:rFonts w:ascii="Calibri" w:hAnsi="Calibri" w:cs="Calibri"/>
          <w:sz w:val="22"/>
          <w:szCs w:val="22"/>
        </w:rPr>
        <w:t>gastos relacionados con la organización de los eventos</w:t>
      </w:r>
      <w:r w:rsidRPr="00125F46">
        <w:rPr>
          <w:rFonts w:ascii="Calibri" w:hAnsi="Calibri" w:cs="Calibri"/>
          <w:sz w:val="22"/>
          <w:szCs w:val="22"/>
        </w:rPr>
        <w:t>. Tenga en cuenta que los pagos de salarios y beneficios, incluidas las horas extraordinarias, los anticipos y las dietas, no pueden realizarse utilizando los fondos del PCA, independientemente de su monto. Estos pagos deben ingresarse en la nómina global sin excepción.</w:t>
      </w:r>
    </w:p>
    <w:p w14:paraId="71AC4D53" w14:textId="77777777" w:rsidR="00125F46" w:rsidRPr="00125F46" w:rsidRDefault="00125F46" w:rsidP="00125F46">
      <w:pPr>
        <w:pStyle w:val="NormalWeb"/>
        <w:numPr>
          <w:ilvl w:val="1"/>
          <w:numId w:val="1"/>
        </w:numPr>
        <w:spacing w:before="120" w:beforeAutospacing="0"/>
        <w:ind w:left="360"/>
        <w:jc w:val="both"/>
        <w:rPr>
          <w:rFonts w:ascii="Calibri" w:hAnsi="Calibri" w:cs="Calibri"/>
          <w:sz w:val="22"/>
          <w:szCs w:val="22"/>
        </w:rPr>
      </w:pPr>
      <w:r w:rsidRPr="00125F46">
        <w:rPr>
          <w:rFonts w:ascii="Calibri" w:hAnsi="Calibri" w:cs="Calibri"/>
          <w:sz w:val="22"/>
          <w:szCs w:val="22"/>
        </w:rPr>
        <w:t>Debido a los riesgos financieros y de seguridad que conlleva llevar dinero en efectivo durante un viaje, la CO siempre debe buscar opciones alternativas que estén disponibles dentro del entorno local para cumplir con los requisitos de las actividades únicas de un proyecto. Si se debe utilizar un PCA, y el Custodio del PCA debe viajar con efectivo, el Representante Residente Adjunto (</w:t>
      </w:r>
      <w:proofErr w:type="spellStart"/>
      <w:r w:rsidRPr="00125F46">
        <w:rPr>
          <w:rFonts w:ascii="Calibri" w:hAnsi="Calibri" w:cs="Calibri"/>
          <w:sz w:val="22"/>
          <w:szCs w:val="22"/>
        </w:rPr>
        <w:t>RRAd</w:t>
      </w:r>
      <w:proofErr w:type="spellEnd"/>
      <w:r w:rsidRPr="00125F46">
        <w:rPr>
          <w:rFonts w:ascii="Calibri" w:hAnsi="Calibri" w:cs="Calibri"/>
          <w:sz w:val="22"/>
          <w:szCs w:val="22"/>
        </w:rPr>
        <w:t xml:space="preserve">) de Operaciones es responsable de tomar las medidas de seguridad apropiadas para proteger al Custodio del PCA y al activo en efectivo del Programa de las Naciones Unidas para el Desarrollo (PNUD). </w:t>
      </w:r>
    </w:p>
    <w:p w14:paraId="7A1F654E" w14:textId="77777777" w:rsidR="00125F46" w:rsidRPr="00125F46" w:rsidRDefault="00125F46" w:rsidP="00125F46">
      <w:pPr>
        <w:pStyle w:val="NormalWeb"/>
        <w:numPr>
          <w:ilvl w:val="1"/>
          <w:numId w:val="1"/>
        </w:numPr>
        <w:spacing w:before="120" w:beforeAutospacing="0"/>
        <w:ind w:left="360"/>
        <w:jc w:val="both"/>
        <w:rPr>
          <w:rFonts w:ascii="Calibri" w:hAnsi="Calibri" w:cs="Calibri"/>
          <w:sz w:val="22"/>
          <w:szCs w:val="22"/>
        </w:rPr>
      </w:pPr>
      <w:r w:rsidRPr="00125F46">
        <w:rPr>
          <w:rFonts w:ascii="Calibri" w:hAnsi="Calibri" w:cs="Calibri"/>
          <w:sz w:val="22"/>
          <w:szCs w:val="22"/>
        </w:rPr>
        <w:t xml:space="preserve">El máximo límite es de USD 25 000 (o su equivalente) por cada PCA emitido en un momento dado para una actividad de proyecto única y específica independientemente del número de custodios designados para la actividad única. El/Los PCA debe(n) cerrarse y ser registrado(s) como gastos reales dentro de los 30 días (un mes) a partir de la fecha de emisión. </w:t>
      </w:r>
    </w:p>
    <w:p w14:paraId="217E60CB" w14:textId="77777777" w:rsidR="00125F46" w:rsidRPr="00125F46" w:rsidRDefault="00125F46" w:rsidP="00125F46">
      <w:pPr>
        <w:pStyle w:val="NormalWeb"/>
        <w:numPr>
          <w:ilvl w:val="1"/>
          <w:numId w:val="1"/>
        </w:numPr>
        <w:spacing w:before="120" w:beforeAutospacing="0"/>
        <w:ind w:left="360"/>
        <w:jc w:val="both"/>
        <w:rPr>
          <w:rFonts w:ascii="Calibri" w:hAnsi="Calibri" w:cs="Calibri"/>
          <w:sz w:val="22"/>
          <w:szCs w:val="22"/>
        </w:rPr>
      </w:pPr>
      <w:r w:rsidRPr="00125F46">
        <w:rPr>
          <w:rFonts w:ascii="Calibri" w:hAnsi="Calibri" w:cs="Calibri"/>
          <w:sz w:val="22"/>
          <w:szCs w:val="22"/>
        </w:rPr>
        <w:t xml:space="preserve">Para cualquier actividad única superior a USD 25 000, el </w:t>
      </w:r>
      <w:proofErr w:type="spellStart"/>
      <w:r w:rsidRPr="00125F46">
        <w:rPr>
          <w:rFonts w:ascii="Calibri" w:hAnsi="Calibri" w:cs="Calibri"/>
          <w:sz w:val="22"/>
          <w:szCs w:val="22"/>
        </w:rPr>
        <w:t>RRAd</w:t>
      </w:r>
      <w:proofErr w:type="spellEnd"/>
      <w:r w:rsidRPr="00125F46">
        <w:rPr>
          <w:rFonts w:ascii="Calibri" w:hAnsi="Calibri" w:cs="Calibri"/>
          <w:sz w:val="22"/>
          <w:szCs w:val="22"/>
        </w:rPr>
        <w:t xml:space="preserve"> de Operaciones debe buscar en primer lugar soluciones alternativas en el país que sean más seguras para cumplir con los requisitos. Por ejemplo, debe coordinar junto con un proveedor de servicios externo confiable y de buena reputación la entrega y distribución de los pagos en efectivo, de acuerdo con la autorización y las instrucciones de la CO del PNUD. Esto debe realizarse con la protección adecuada, incluido el transporte, la entrega del efectivo, la identificación de los beneficiarios y la notificación de la enajenación del efectivo al finalizar el trabajo. Para muchas CO, este servicio puede ser proporcionado por el banco local. </w:t>
      </w:r>
    </w:p>
    <w:p w14:paraId="0853FE2D" w14:textId="77777777" w:rsidR="00125F46" w:rsidRPr="00125F46" w:rsidRDefault="00125F46" w:rsidP="00125F46">
      <w:pPr>
        <w:pStyle w:val="NormalWeb"/>
        <w:numPr>
          <w:ilvl w:val="1"/>
          <w:numId w:val="1"/>
        </w:numPr>
        <w:spacing w:before="120" w:beforeAutospacing="0"/>
        <w:ind w:left="360"/>
        <w:jc w:val="both"/>
        <w:rPr>
          <w:rFonts w:ascii="Calibri" w:hAnsi="Calibri" w:cs="Calibri"/>
          <w:sz w:val="22"/>
          <w:szCs w:val="22"/>
        </w:rPr>
      </w:pPr>
      <w:r w:rsidRPr="00125F46">
        <w:rPr>
          <w:rFonts w:ascii="Calibri" w:hAnsi="Calibri" w:cs="Calibri"/>
          <w:sz w:val="22"/>
          <w:szCs w:val="22"/>
        </w:rPr>
        <w:t xml:space="preserve">Si dicho proveedor de servicios externo no está disponible, el </w:t>
      </w:r>
      <w:proofErr w:type="spellStart"/>
      <w:r w:rsidRPr="00125F46">
        <w:rPr>
          <w:rFonts w:ascii="Calibri" w:hAnsi="Calibri" w:cs="Calibri"/>
          <w:sz w:val="22"/>
          <w:szCs w:val="22"/>
        </w:rPr>
        <w:t>RRAd</w:t>
      </w:r>
      <w:proofErr w:type="spellEnd"/>
      <w:r w:rsidRPr="00125F46">
        <w:rPr>
          <w:rFonts w:ascii="Calibri" w:hAnsi="Calibri" w:cs="Calibri"/>
          <w:sz w:val="22"/>
          <w:szCs w:val="22"/>
        </w:rPr>
        <w:t xml:space="preserve"> de Operaciones debe enviar la solicitud al Tesorero para su aprobación de montos superiores a USD 25 000. La solicitud debe especificar la necesidad y las justificaciones, y proporcionar detalles sobre las medidas de seguridad relativas al PCA, con el doble objetivo de cumplir con los requisitos del proyecto y proteger al personal del PNUD y los activos en efectivo. </w:t>
      </w:r>
    </w:p>
    <w:p w14:paraId="194AC131" w14:textId="77777777" w:rsidR="00125F46" w:rsidRPr="00125F46" w:rsidRDefault="00125F46" w:rsidP="00125F46">
      <w:pPr>
        <w:pStyle w:val="NormalWeb"/>
        <w:numPr>
          <w:ilvl w:val="1"/>
          <w:numId w:val="1"/>
        </w:numPr>
        <w:spacing w:before="120" w:beforeAutospacing="0"/>
        <w:ind w:left="360"/>
        <w:jc w:val="both"/>
        <w:rPr>
          <w:rFonts w:ascii="Calibri" w:hAnsi="Calibri" w:cs="Calibri"/>
          <w:sz w:val="22"/>
          <w:szCs w:val="22"/>
        </w:rPr>
      </w:pPr>
      <w:r w:rsidRPr="00125F46">
        <w:rPr>
          <w:rFonts w:ascii="Calibri" w:hAnsi="Calibri" w:cs="Calibri"/>
          <w:sz w:val="22"/>
          <w:szCs w:val="22"/>
        </w:rPr>
        <w:t xml:space="preserve">El Jefe de Oficina es responsable de la supervisión de rutina de la cuenta 16108 del libro mayor (GL, </w:t>
      </w:r>
      <w:r w:rsidRPr="00125F46">
        <w:rPr>
          <w:rFonts w:ascii="Calibri" w:hAnsi="Calibri" w:cs="Calibri"/>
          <w:i/>
          <w:sz w:val="22"/>
          <w:szCs w:val="22"/>
        </w:rPr>
        <w:t xml:space="preserve">General </w:t>
      </w:r>
      <w:proofErr w:type="spellStart"/>
      <w:r w:rsidRPr="00125F46">
        <w:rPr>
          <w:rFonts w:ascii="Calibri" w:hAnsi="Calibri" w:cs="Calibri"/>
          <w:i/>
          <w:sz w:val="22"/>
          <w:szCs w:val="22"/>
        </w:rPr>
        <w:t>Ledger</w:t>
      </w:r>
      <w:proofErr w:type="spellEnd"/>
      <w:r w:rsidRPr="00125F46">
        <w:rPr>
          <w:rFonts w:ascii="Calibri" w:hAnsi="Calibri" w:cs="Calibri"/>
          <w:sz w:val="22"/>
          <w:szCs w:val="22"/>
        </w:rPr>
        <w:t xml:space="preserve">, por sus siglas en inglés) para verificar la calidad de los datos y su integridad. Las CO deben cumplir con los siguientes puntos: </w:t>
      </w:r>
    </w:p>
    <w:p w14:paraId="63E23B28" w14:textId="77777777" w:rsidR="00125F46" w:rsidRPr="00125F46" w:rsidRDefault="00125F46" w:rsidP="00125F46">
      <w:pPr>
        <w:pStyle w:val="NormalWeb"/>
        <w:numPr>
          <w:ilvl w:val="0"/>
          <w:numId w:val="2"/>
        </w:numPr>
        <w:spacing w:before="120" w:beforeAutospacing="0"/>
        <w:ind w:left="1080"/>
        <w:rPr>
          <w:rFonts w:ascii="Calibri" w:hAnsi="Calibri" w:cs="Calibri"/>
          <w:sz w:val="22"/>
          <w:szCs w:val="22"/>
        </w:rPr>
      </w:pPr>
      <w:r w:rsidRPr="00125F46">
        <w:rPr>
          <w:rFonts w:ascii="Calibri" w:hAnsi="Calibri" w:cs="Calibri"/>
          <w:sz w:val="22"/>
          <w:szCs w:val="22"/>
        </w:rPr>
        <w:lastRenderedPageBreak/>
        <w:t xml:space="preserve">Los PCA(s) para una sola actividad no excede(n) los USD 25 000, a menos que esto sea autorizado por la Tesorería. </w:t>
      </w:r>
    </w:p>
    <w:p w14:paraId="79045CDF" w14:textId="77777777" w:rsidR="00125F46" w:rsidRPr="00125F46" w:rsidRDefault="00125F46" w:rsidP="00125F46">
      <w:pPr>
        <w:pStyle w:val="NormalWeb"/>
        <w:numPr>
          <w:ilvl w:val="0"/>
          <w:numId w:val="2"/>
        </w:numPr>
        <w:spacing w:before="120" w:beforeAutospacing="0"/>
        <w:ind w:left="1080"/>
        <w:rPr>
          <w:rFonts w:ascii="Calibri" w:hAnsi="Calibri" w:cs="Calibri"/>
          <w:sz w:val="22"/>
          <w:szCs w:val="22"/>
        </w:rPr>
      </w:pPr>
      <w:r w:rsidRPr="00125F46">
        <w:rPr>
          <w:rFonts w:ascii="Calibri" w:hAnsi="Calibri" w:cs="Calibri"/>
          <w:sz w:val="22"/>
          <w:szCs w:val="22"/>
        </w:rPr>
        <w:t xml:space="preserve">Todos los PCA se cierran dentro de los 30 días posteriores a la fecha de emisión.  </w:t>
      </w:r>
    </w:p>
    <w:p w14:paraId="376BD411" w14:textId="77777777" w:rsidR="00125F46" w:rsidRPr="00125F46" w:rsidRDefault="00125F46" w:rsidP="00125F46">
      <w:pPr>
        <w:pStyle w:val="NormalWeb"/>
        <w:numPr>
          <w:ilvl w:val="0"/>
          <w:numId w:val="2"/>
        </w:numPr>
        <w:spacing w:before="120" w:beforeAutospacing="0"/>
        <w:ind w:left="1080"/>
        <w:rPr>
          <w:rFonts w:ascii="Calibri" w:hAnsi="Calibri" w:cs="Calibri"/>
          <w:sz w:val="22"/>
          <w:szCs w:val="22"/>
        </w:rPr>
      </w:pPr>
      <w:r w:rsidRPr="00125F46">
        <w:rPr>
          <w:rFonts w:ascii="Calibri" w:hAnsi="Calibri" w:cs="Calibri"/>
          <w:sz w:val="22"/>
          <w:szCs w:val="22"/>
        </w:rPr>
        <w:t xml:space="preserve">La carga de la hoja de cálculo y/o la tramitación de la solicitud de abono anularán por completo el importe original del PCA emitido. </w:t>
      </w:r>
    </w:p>
    <w:p w14:paraId="3EB37029" w14:textId="77777777" w:rsidR="00125F46" w:rsidRPr="00125F46" w:rsidRDefault="00125F46" w:rsidP="00125F46">
      <w:pPr>
        <w:pStyle w:val="NormalWeb"/>
        <w:numPr>
          <w:ilvl w:val="0"/>
          <w:numId w:val="2"/>
        </w:numPr>
        <w:spacing w:before="120" w:beforeAutospacing="0"/>
        <w:ind w:left="1080"/>
        <w:rPr>
          <w:rFonts w:ascii="Calibri" w:hAnsi="Calibri" w:cs="Calibri"/>
          <w:sz w:val="22"/>
          <w:szCs w:val="22"/>
        </w:rPr>
      </w:pPr>
      <w:r w:rsidRPr="00125F46">
        <w:rPr>
          <w:rFonts w:ascii="Calibri" w:hAnsi="Calibri" w:cs="Calibri"/>
          <w:sz w:val="22"/>
          <w:szCs w:val="22"/>
        </w:rPr>
        <w:t xml:space="preserve">Se utilizará el código de moneda correcto. </w:t>
      </w:r>
    </w:p>
    <w:p w14:paraId="04E2A286" w14:textId="77777777" w:rsidR="00125F46" w:rsidRPr="00125F46" w:rsidRDefault="00125F46" w:rsidP="00125F46">
      <w:pPr>
        <w:pStyle w:val="NormalWeb"/>
        <w:numPr>
          <w:ilvl w:val="0"/>
          <w:numId w:val="2"/>
        </w:numPr>
        <w:spacing w:before="120" w:beforeAutospacing="0"/>
        <w:ind w:left="1080"/>
        <w:rPr>
          <w:rFonts w:ascii="Calibri" w:hAnsi="Calibri" w:cs="Calibri"/>
          <w:sz w:val="22"/>
          <w:szCs w:val="22"/>
        </w:rPr>
      </w:pPr>
      <w:r w:rsidRPr="00125F46">
        <w:rPr>
          <w:rFonts w:ascii="Calibri" w:hAnsi="Calibri" w:cs="Calibri"/>
          <w:sz w:val="22"/>
          <w:szCs w:val="22"/>
        </w:rPr>
        <w:t xml:space="preserve">El saldo de la cuenta 16108 del GL del PCA al final del mes debe coincidir con el monitor de estado del PCA. </w:t>
      </w:r>
    </w:p>
    <w:p w14:paraId="0581A90D" w14:textId="77777777" w:rsidR="00125F46" w:rsidRPr="00125F46" w:rsidRDefault="00125F46" w:rsidP="00125F46">
      <w:pPr>
        <w:pStyle w:val="NormalWeb"/>
        <w:spacing w:before="120" w:beforeAutospacing="0"/>
        <w:jc w:val="both"/>
        <w:rPr>
          <w:rFonts w:ascii="Calibri" w:hAnsi="Calibri" w:cs="Calibri"/>
          <w:sz w:val="22"/>
          <w:szCs w:val="22"/>
          <w:u w:val="single"/>
        </w:rPr>
      </w:pPr>
      <w:r w:rsidRPr="00125F46">
        <w:rPr>
          <w:rFonts w:ascii="Calibri" w:hAnsi="Calibri" w:cs="Calibri"/>
          <w:sz w:val="22"/>
          <w:szCs w:val="22"/>
          <w:u w:val="single"/>
        </w:rPr>
        <w:t xml:space="preserve">Autoridad para aprobar un PCA </w:t>
      </w:r>
    </w:p>
    <w:p w14:paraId="5A3F1E4E" w14:textId="77777777" w:rsidR="00125F46" w:rsidRPr="00125F46" w:rsidRDefault="00125F46" w:rsidP="00125F46">
      <w:pPr>
        <w:pStyle w:val="NormalWeb"/>
        <w:numPr>
          <w:ilvl w:val="1"/>
          <w:numId w:val="1"/>
        </w:numPr>
        <w:spacing w:before="120" w:beforeAutospacing="0"/>
        <w:ind w:left="360"/>
        <w:jc w:val="both"/>
        <w:rPr>
          <w:rFonts w:ascii="Calibri" w:hAnsi="Calibri" w:cs="Calibri"/>
          <w:sz w:val="22"/>
          <w:szCs w:val="22"/>
        </w:rPr>
      </w:pPr>
      <w:r w:rsidRPr="00125F46">
        <w:rPr>
          <w:rFonts w:ascii="Calibri" w:hAnsi="Calibri" w:cs="Calibri"/>
          <w:sz w:val="22"/>
          <w:szCs w:val="22"/>
        </w:rPr>
        <w:t xml:space="preserve">El Tesorero delega su autoridad para aprobar PCA(s) al </w:t>
      </w:r>
      <w:proofErr w:type="spellStart"/>
      <w:r w:rsidRPr="00125F46">
        <w:rPr>
          <w:rFonts w:ascii="Calibri" w:hAnsi="Calibri" w:cs="Calibri"/>
          <w:sz w:val="22"/>
          <w:szCs w:val="22"/>
        </w:rPr>
        <w:t>RRAd</w:t>
      </w:r>
      <w:proofErr w:type="spellEnd"/>
      <w:r w:rsidRPr="00125F46">
        <w:rPr>
          <w:rFonts w:ascii="Calibri" w:hAnsi="Calibri" w:cs="Calibri"/>
          <w:sz w:val="22"/>
          <w:szCs w:val="22"/>
        </w:rPr>
        <w:t xml:space="preserve"> de Operaciones o al Gerente Senior de mayor jerarquía para hasta USD 25 000 por actividad única de proyecto de duración limitada que no exceda las dos semanas. Esta delegación proporciona la flexibilidad necesaria para cumplir con un requisito de proyecto específico con el cual no se puede cumplir mediante un acuerdo bancario normal. Sin embargo, esta delegación también exige la rendición de cuentas de la CO que emite el PCA, a fin de garantizar el cierre oportuno de los PCA. </w:t>
      </w:r>
    </w:p>
    <w:p w14:paraId="427A7439" w14:textId="77777777" w:rsidR="00125F46" w:rsidRPr="00125F46" w:rsidRDefault="00125F46" w:rsidP="00125F46">
      <w:pPr>
        <w:pStyle w:val="NormalWeb"/>
        <w:numPr>
          <w:ilvl w:val="1"/>
          <w:numId w:val="1"/>
        </w:numPr>
        <w:spacing w:before="120" w:beforeAutospacing="0"/>
        <w:ind w:left="360"/>
        <w:jc w:val="both"/>
        <w:rPr>
          <w:rFonts w:ascii="Calibri" w:hAnsi="Calibri" w:cs="Calibri"/>
          <w:sz w:val="22"/>
          <w:szCs w:val="22"/>
        </w:rPr>
      </w:pPr>
      <w:r w:rsidRPr="00125F46">
        <w:rPr>
          <w:rFonts w:ascii="Calibri" w:hAnsi="Calibri" w:cs="Calibri"/>
          <w:sz w:val="22"/>
          <w:szCs w:val="22"/>
        </w:rPr>
        <w:t xml:space="preserve">El Tesorero conserva la autoridad para aprobar PCA(s) superior(es) a USD 25 000 solicitado por una CO. Las consideraciones clave en la aprobación de tales solicitudes son las siguientes: </w:t>
      </w:r>
    </w:p>
    <w:p w14:paraId="6EC97909" w14:textId="77777777" w:rsidR="00125F46" w:rsidRPr="00125F46" w:rsidRDefault="00125F46" w:rsidP="00125F46">
      <w:pPr>
        <w:pStyle w:val="NormalWeb"/>
        <w:numPr>
          <w:ilvl w:val="0"/>
          <w:numId w:val="3"/>
        </w:numPr>
        <w:spacing w:before="120" w:beforeAutospacing="0"/>
        <w:ind w:left="1080"/>
        <w:rPr>
          <w:rFonts w:ascii="Calibri" w:hAnsi="Calibri" w:cs="Calibri"/>
          <w:sz w:val="22"/>
          <w:szCs w:val="22"/>
        </w:rPr>
      </w:pPr>
      <w:r w:rsidRPr="00125F46">
        <w:rPr>
          <w:rFonts w:ascii="Calibri" w:hAnsi="Calibri" w:cs="Calibri"/>
          <w:sz w:val="22"/>
          <w:szCs w:val="22"/>
        </w:rPr>
        <w:t xml:space="preserve">Necesidades de la actividad. </w:t>
      </w:r>
    </w:p>
    <w:p w14:paraId="42352F4D" w14:textId="77777777" w:rsidR="00125F46" w:rsidRPr="00125F46" w:rsidRDefault="00125F46" w:rsidP="00125F46">
      <w:pPr>
        <w:pStyle w:val="NormalWeb"/>
        <w:numPr>
          <w:ilvl w:val="0"/>
          <w:numId w:val="3"/>
        </w:numPr>
        <w:spacing w:before="120" w:beforeAutospacing="0"/>
        <w:ind w:left="1080"/>
        <w:rPr>
          <w:rFonts w:ascii="Calibri" w:hAnsi="Calibri" w:cs="Calibri"/>
          <w:sz w:val="22"/>
          <w:szCs w:val="22"/>
        </w:rPr>
      </w:pPr>
      <w:r w:rsidRPr="00125F46">
        <w:rPr>
          <w:rFonts w:ascii="Calibri" w:hAnsi="Calibri" w:cs="Calibri"/>
          <w:sz w:val="22"/>
          <w:szCs w:val="22"/>
        </w:rPr>
        <w:t xml:space="preserve">Falta de soluciones alternativas. </w:t>
      </w:r>
    </w:p>
    <w:p w14:paraId="0D647F82" w14:textId="77777777" w:rsidR="00125F46" w:rsidRPr="00125F46" w:rsidRDefault="00125F46" w:rsidP="00125F46">
      <w:pPr>
        <w:pStyle w:val="NormalWeb"/>
        <w:numPr>
          <w:ilvl w:val="0"/>
          <w:numId w:val="3"/>
        </w:numPr>
        <w:spacing w:before="120" w:beforeAutospacing="0"/>
        <w:ind w:left="1080"/>
        <w:rPr>
          <w:rFonts w:ascii="Calibri" w:hAnsi="Calibri" w:cs="Calibri"/>
          <w:sz w:val="22"/>
          <w:szCs w:val="22"/>
        </w:rPr>
      </w:pPr>
      <w:r w:rsidRPr="00125F46">
        <w:rPr>
          <w:rFonts w:ascii="Calibri" w:hAnsi="Calibri" w:cs="Calibri"/>
          <w:sz w:val="22"/>
          <w:szCs w:val="22"/>
        </w:rPr>
        <w:t xml:space="preserve">Evaluación y medidas de seguridad (se debe identificar un recorrido seguro para el viaje y la escolta). </w:t>
      </w:r>
    </w:p>
    <w:p w14:paraId="637C4C3B" w14:textId="77777777" w:rsidR="00125F46" w:rsidRPr="00125F46" w:rsidRDefault="00125F46" w:rsidP="00125F46">
      <w:pPr>
        <w:pStyle w:val="NormalWeb"/>
        <w:numPr>
          <w:ilvl w:val="0"/>
          <w:numId w:val="3"/>
        </w:numPr>
        <w:spacing w:before="120" w:beforeAutospacing="0"/>
        <w:ind w:left="1080"/>
        <w:rPr>
          <w:rFonts w:ascii="Calibri" w:hAnsi="Calibri" w:cs="Calibri"/>
          <w:sz w:val="22"/>
          <w:szCs w:val="22"/>
        </w:rPr>
      </w:pPr>
      <w:r w:rsidRPr="00125F46">
        <w:rPr>
          <w:rFonts w:ascii="Calibri" w:hAnsi="Calibri" w:cs="Calibri"/>
          <w:sz w:val="22"/>
          <w:szCs w:val="22"/>
        </w:rPr>
        <w:t xml:space="preserve">Si la CO tiene un historial de cierre oportuno y preciso de los PCA. </w:t>
      </w:r>
    </w:p>
    <w:p w14:paraId="32856181" w14:textId="77777777" w:rsidR="00125F46" w:rsidRPr="00125F46" w:rsidRDefault="00125F46" w:rsidP="00125F46">
      <w:pPr>
        <w:pStyle w:val="NormalWeb"/>
        <w:numPr>
          <w:ilvl w:val="0"/>
          <w:numId w:val="3"/>
        </w:numPr>
        <w:spacing w:before="120" w:beforeAutospacing="0"/>
        <w:ind w:left="1080"/>
        <w:rPr>
          <w:rFonts w:ascii="Calibri" w:hAnsi="Calibri" w:cs="Calibri"/>
          <w:sz w:val="22"/>
          <w:szCs w:val="22"/>
        </w:rPr>
      </w:pPr>
      <w:r w:rsidRPr="00125F46">
        <w:rPr>
          <w:rFonts w:ascii="Calibri" w:hAnsi="Calibri" w:cs="Calibri"/>
          <w:sz w:val="22"/>
          <w:szCs w:val="22"/>
        </w:rPr>
        <w:t xml:space="preserve">La CO debe presentar el formulario de ingreso de datos de AP firmado por los oficiales respectivos como documento de respaldo. </w:t>
      </w:r>
    </w:p>
    <w:p w14:paraId="41FA652F" w14:textId="77777777" w:rsidR="00125F46" w:rsidRPr="00125F46" w:rsidRDefault="00125F46" w:rsidP="00125F46">
      <w:pPr>
        <w:pStyle w:val="NormalWeb"/>
        <w:spacing w:before="120" w:beforeAutospacing="0"/>
        <w:jc w:val="both"/>
        <w:rPr>
          <w:rFonts w:ascii="Calibri" w:hAnsi="Calibri" w:cs="Calibri"/>
          <w:b/>
          <w:bCs/>
          <w:i/>
          <w:iCs/>
          <w:sz w:val="22"/>
          <w:szCs w:val="22"/>
        </w:rPr>
      </w:pPr>
      <w:r w:rsidRPr="00125F46">
        <w:rPr>
          <w:rFonts w:ascii="Calibri" w:hAnsi="Calibri" w:cs="Calibri"/>
          <w:b/>
          <w:bCs/>
          <w:i/>
          <w:iCs/>
          <w:sz w:val="22"/>
          <w:szCs w:val="22"/>
        </w:rPr>
        <w:t xml:space="preserve">Advertencia: Si no se revierte el PCA de manera oportuna y precisa, ni se registran los gastos, ni se concilia la cuenta del GL 16108 del PCA, se puede generar una valuación inexacta en los estados financieros. </w:t>
      </w:r>
    </w:p>
    <w:p w14:paraId="3E089550" w14:textId="77777777" w:rsidR="00125F46" w:rsidRPr="00125F46" w:rsidRDefault="00125F46" w:rsidP="00125F46">
      <w:pPr>
        <w:pStyle w:val="NormalWeb"/>
        <w:spacing w:before="120" w:beforeAutospacing="0"/>
        <w:jc w:val="both"/>
        <w:rPr>
          <w:rFonts w:ascii="Calibri" w:hAnsi="Calibri" w:cs="Calibri"/>
          <w:b/>
          <w:bCs/>
          <w:i/>
          <w:iCs/>
          <w:sz w:val="22"/>
          <w:szCs w:val="22"/>
        </w:rPr>
      </w:pPr>
      <w:r w:rsidRPr="00125F46">
        <w:rPr>
          <w:rFonts w:ascii="Calibri" w:hAnsi="Calibri" w:cs="Calibri"/>
          <w:b/>
          <w:bCs/>
          <w:i/>
          <w:iCs/>
          <w:sz w:val="22"/>
          <w:szCs w:val="22"/>
        </w:rPr>
        <w:t xml:space="preserve">Advertencia: Si no se toman las medidas de seguridad adecuadas, se puede generar un retraso en la aprobación del Tesorero de un monto mayor del PCA hasta que la CO rectifique la situación. </w:t>
      </w:r>
    </w:p>
    <w:p w14:paraId="6A5504B6" w14:textId="77777777" w:rsidR="00125F46" w:rsidRPr="00125F46" w:rsidRDefault="00125F46" w:rsidP="00125F46">
      <w:pPr>
        <w:pStyle w:val="NormalWeb"/>
        <w:spacing w:before="120" w:beforeAutospacing="0"/>
        <w:jc w:val="both"/>
        <w:rPr>
          <w:rFonts w:ascii="Calibri" w:hAnsi="Calibri" w:cs="Calibri"/>
          <w:sz w:val="22"/>
          <w:szCs w:val="22"/>
          <w:u w:val="single"/>
        </w:rPr>
      </w:pPr>
      <w:r w:rsidRPr="00125F46">
        <w:rPr>
          <w:rFonts w:ascii="Calibri" w:hAnsi="Calibri" w:cs="Calibri"/>
          <w:sz w:val="22"/>
          <w:szCs w:val="22"/>
          <w:u w:val="single"/>
        </w:rPr>
        <w:t xml:space="preserve">Gastos que reúnen las condiciones para un PCA </w:t>
      </w:r>
    </w:p>
    <w:p w14:paraId="5AA2B479" w14:textId="77777777" w:rsidR="00125F46" w:rsidRPr="00125F46" w:rsidRDefault="00125F46" w:rsidP="00125F46">
      <w:pPr>
        <w:pStyle w:val="NormalWeb"/>
        <w:numPr>
          <w:ilvl w:val="1"/>
          <w:numId w:val="1"/>
        </w:numPr>
        <w:spacing w:before="120" w:beforeAutospacing="0"/>
        <w:ind w:left="360"/>
        <w:jc w:val="both"/>
        <w:rPr>
          <w:rFonts w:ascii="Calibri" w:hAnsi="Calibri" w:cs="Calibri"/>
          <w:sz w:val="22"/>
          <w:szCs w:val="22"/>
        </w:rPr>
      </w:pPr>
      <w:r w:rsidRPr="00125F46">
        <w:rPr>
          <w:rFonts w:ascii="Calibri" w:hAnsi="Calibri" w:cs="Calibri"/>
          <w:sz w:val="22"/>
          <w:szCs w:val="22"/>
        </w:rPr>
        <w:t xml:space="preserve">Los gastos que reúnen las condiciones para un PCA son los siguientes: </w:t>
      </w:r>
    </w:p>
    <w:p w14:paraId="2EF2778D" w14:textId="77777777" w:rsidR="00125F46" w:rsidRPr="00125F46" w:rsidRDefault="00125F46" w:rsidP="00125F46">
      <w:pPr>
        <w:pStyle w:val="NormalWeb"/>
        <w:numPr>
          <w:ilvl w:val="0"/>
          <w:numId w:val="4"/>
        </w:numPr>
        <w:spacing w:before="120" w:beforeAutospacing="0"/>
        <w:ind w:left="1080"/>
        <w:rPr>
          <w:rFonts w:ascii="Calibri" w:hAnsi="Calibri" w:cs="Calibri"/>
          <w:sz w:val="22"/>
          <w:szCs w:val="22"/>
        </w:rPr>
      </w:pPr>
      <w:r w:rsidRPr="00125F46">
        <w:rPr>
          <w:rFonts w:ascii="Calibri" w:hAnsi="Calibri" w:cs="Calibri"/>
          <w:sz w:val="22"/>
          <w:szCs w:val="22"/>
        </w:rPr>
        <w:t xml:space="preserve">Gastos relacionados con viajes y combustible entre la oficina principal de la CO y la región remota donde se lleva a cabo la actividad del proyecto. </w:t>
      </w:r>
    </w:p>
    <w:p w14:paraId="26E11DC9" w14:textId="11C7B358" w:rsidR="00125F46" w:rsidRDefault="00125F46" w:rsidP="00125F46">
      <w:pPr>
        <w:pStyle w:val="NormalWeb"/>
        <w:numPr>
          <w:ilvl w:val="0"/>
          <w:numId w:val="4"/>
        </w:numPr>
        <w:spacing w:before="120" w:beforeAutospacing="0"/>
        <w:ind w:left="1080"/>
        <w:rPr>
          <w:rFonts w:ascii="Calibri" w:hAnsi="Calibri" w:cs="Calibri"/>
          <w:sz w:val="22"/>
          <w:szCs w:val="22"/>
        </w:rPr>
      </w:pPr>
      <w:r w:rsidRPr="00125F46">
        <w:rPr>
          <w:rFonts w:ascii="Calibri" w:hAnsi="Calibri" w:cs="Calibri"/>
          <w:sz w:val="22"/>
          <w:szCs w:val="22"/>
        </w:rPr>
        <w:lastRenderedPageBreak/>
        <w:t>DSA para participantes de</w:t>
      </w:r>
      <w:r w:rsidR="000A0E86">
        <w:rPr>
          <w:rFonts w:ascii="Calibri" w:hAnsi="Calibri" w:cs="Calibri"/>
          <w:sz w:val="22"/>
          <w:szCs w:val="22"/>
        </w:rPr>
        <w:t xml:space="preserve"> </w:t>
      </w:r>
      <w:r w:rsidR="000A0E86">
        <w:rPr>
          <w:rFonts w:ascii="Calibri" w:hAnsi="Calibri" w:cs="Calibri"/>
          <w:sz w:val="22"/>
          <w:szCs w:val="22"/>
        </w:rPr>
        <w:t>eventos tales como</w:t>
      </w:r>
      <w:r w:rsidRPr="00125F46">
        <w:rPr>
          <w:rFonts w:ascii="Calibri" w:hAnsi="Calibri" w:cs="Calibri"/>
          <w:sz w:val="22"/>
          <w:szCs w:val="22"/>
        </w:rPr>
        <w:t xml:space="preserve"> talleres, seminarios de capacitación o conferencias con una duración inferior a 2 semanas y ubicados en una región remota. </w:t>
      </w:r>
    </w:p>
    <w:p w14:paraId="4FCFA7B2" w14:textId="09034ED1" w:rsidR="008954A9" w:rsidRPr="00125F46" w:rsidRDefault="008954A9" w:rsidP="00125F46">
      <w:pPr>
        <w:pStyle w:val="NormalWeb"/>
        <w:numPr>
          <w:ilvl w:val="0"/>
          <w:numId w:val="4"/>
        </w:numPr>
        <w:spacing w:before="120" w:beforeAutospacing="0"/>
        <w:ind w:left="1080"/>
        <w:rPr>
          <w:rFonts w:ascii="Calibri" w:hAnsi="Calibri" w:cs="Calibri"/>
          <w:sz w:val="22"/>
          <w:szCs w:val="22"/>
        </w:rPr>
      </w:pPr>
      <w:r w:rsidRPr="008954A9">
        <w:rPr>
          <w:rFonts w:ascii="Calibri" w:hAnsi="Calibri" w:cs="Calibri"/>
          <w:sz w:val="22"/>
          <w:szCs w:val="22"/>
        </w:rPr>
        <w:t>gastos relacionados con la organización de los eventos</w:t>
      </w:r>
      <w:r>
        <w:rPr>
          <w:rFonts w:ascii="Calibri" w:hAnsi="Calibri" w:cs="Calibri"/>
          <w:sz w:val="22"/>
          <w:szCs w:val="22"/>
        </w:rPr>
        <w:t>.</w:t>
      </w:r>
    </w:p>
    <w:p w14:paraId="25407F63" w14:textId="05C57614" w:rsidR="00125F46" w:rsidRPr="00125F46" w:rsidRDefault="00125F46" w:rsidP="00125F46">
      <w:pPr>
        <w:pStyle w:val="NormalWeb"/>
        <w:spacing w:before="120" w:beforeAutospacing="0"/>
        <w:jc w:val="both"/>
        <w:rPr>
          <w:rFonts w:ascii="Calibri" w:hAnsi="Calibri" w:cs="Calibri"/>
          <w:b/>
          <w:bCs/>
          <w:i/>
          <w:iCs/>
          <w:sz w:val="22"/>
          <w:szCs w:val="22"/>
        </w:rPr>
      </w:pPr>
      <w:r w:rsidRPr="00125F46">
        <w:rPr>
          <w:rFonts w:ascii="Calibri" w:hAnsi="Calibri" w:cs="Calibri"/>
          <w:b/>
          <w:bCs/>
          <w:i/>
          <w:iCs/>
          <w:sz w:val="22"/>
          <w:szCs w:val="22"/>
        </w:rPr>
        <w:t xml:space="preserve">Advertencia: Los pagos de salarios y beneficios, incluidas las horas extraordinarias, los anticipos y los beneficios, no pueden realizarse a partir del PCA, independientemente de su monto. Estos pagos deben ingresarse en la nómina global sin excepción. </w:t>
      </w:r>
    </w:p>
    <w:p w14:paraId="3663CADD" w14:textId="77777777" w:rsidR="00125F46" w:rsidRPr="00125F46" w:rsidRDefault="00125F46" w:rsidP="00125F46">
      <w:pPr>
        <w:pStyle w:val="NormalWeb"/>
        <w:spacing w:before="120" w:beforeAutospacing="0"/>
        <w:jc w:val="both"/>
        <w:rPr>
          <w:rFonts w:ascii="Calibri" w:hAnsi="Calibri" w:cs="Calibri"/>
          <w:sz w:val="22"/>
          <w:szCs w:val="22"/>
          <w:u w:val="single"/>
        </w:rPr>
      </w:pPr>
      <w:r w:rsidRPr="00125F46">
        <w:rPr>
          <w:rFonts w:ascii="Calibri" w:hAnsi="Calibri" w:cs="Calibri"/>
          <w:sz w:val="22"/>
          <w:szCs w:val="22"/>
          <w:u w:val="single"/>
        </w:rPr>
        <w:t xml:space="preserve">Nombramiento del Custodio del PCA </w:t>
      </w:r>
    </w:p>
    <w:p w14:paraId="2D6A4838" w14:textId="77777777" w:rsidR="00125F46" w:rsidRPr="00125F46" w:rsidRDefault="00125F46" w:rsidP="00125F46">
      <w:pPr>
        <w:pStyle w:val="NormalWeb"/>
        <w:numPr>
          <w:ilvl w:val="1"/>
          <w:numId w:val="1"/>
        </w:numPr>
        <w:spacing w:before="120" w:beforeAutospacing="0"/>
        <w:ind w:left="360"/>
        <w:jc w:val="both"/>
        <w:rPr>
          <w:rFonts w:ascii="Calibri" w:hAnsi="Calibri" w:cs="Calibri"/>
          <w:sz w:val="22"/>
          <w:szCs w:val="22"/>
        </w:rPr>
      </w:pPr>
      <w:r w:rsidRPr="00125F46">
        <w:rPr>
          <w:rFonts w:ascii="Calibri" w:hAnsi="Calibri" w:cs="Calibri"/>
          <w:sz w:val="22"/>
          <w:szCs w:val="22"/>
        </w:rPr>
        <w:t xml:space="preserve">El Jefe de Oficina designa al Custodio del PCA siguiendo los siguientes criterios de nombramiento: </w:t>
      </w:r>
    </w:p>
    <w:p w14:paraId="61614E34" w14:textId="77777777" w:rsidR="00125F46" w:rsidRPr="00125F46" w:rsidRDefault="00125F46" w:rsidP="00125F46">
      <w:pPr>
        <w:pStyle w:val="NormalWeb"/>
        <w:numPr>
          <w:ilvl w:val="0"/>
          <w:numId w:val="5"/>
        </w:numPr>
        <w:spacing w:before="120" w:beforeAutospacing="0"/>
        <w:ind w:left="1080"/>
        <w:jc w:val="both"/>
        <w:rPr>
          <w:rFonts w:ascii="Calibri" w:hAnsi="Calibri" w:cs="Calibri"/>
          <w:sz w:val="22"/>
          <w:szCs w:val="22"/>
        </w:rPr>
      </w:pPr>
      <w:r w:rsidRPr="00125F46">
        <w:rPr>
          <w:rFonts w:ascii="Calibri" w:hAnsi="Calibri" w:cs="Calibri"/>
          <w:sz w:val="22"/>
          <w:szCs w:val="22"/>
        </w:rPr>
        <w:t xml:space="preserve">El miembro del personal posee un contrato de plazo fijo (FT, </w:t>
      </w:r>
      <w:proofErr w:type="spellStart"/>
      <w:r w:rsidRPr="00125F46">
        <w:rPr>
          <w:rFonts w:ascii="Calibri" w:hAnsi="Calibri" w:cs="Calibri"/>
          <w:i/>
          <w:iCs/>
          <w:sz w:val="22"/>
          <w:szCs w:val="22"/>
        </w:rPr>
        <w:t>Fixed</w:t>
      </w:r>
      <w:proofErr w:type="spellEnd"/>
      <w:r w:rsidRPr="00125F46">
        <w:rPr>
          <w:rFonts w:ascii="Calibri" w:hAnsi="Calibri" w:cs="Calibri"/>
          <w:i/>
          <w:iCs/>
          <w:sz w:val="22"/>
          <w:szCs w:val="22"/>
        </w:rPr>
        <w:t xml:space="preserve"> </w:t>
      </w:r>
      <w:proofErr w:type="spellStart"/>
      <w:r w:rsidRPr="00125F46">
        <w:rPr>
          <w:rFonts w:ascii="Calibri" w:hAnsi="Calibri" w:cs="Calibri"/>
          <w:i/>
          <w:iCs/>
          <w:sz w:val="22"/>
          <w:szCs w:val="22"/>
        </w:rPr>
        <w:t>Term</w:t>
      </w:r>
      <w:proofErr w:type="spellEnd"/>
      <w:r w:rsidRPr="00125F46">
        <w:rPr>
          <w:rFonts w:ascii="Calibri" w:hAnsi="Calibri" w:cs="Calibri"/>
          <w:sz w:val="22"/>
          <w:szCs w:val="22"/>
        </w:rPr>
        <w:t xml:space="preserve">, por sus siglas en inglés) del PNUD.  Solo el Representante Residente (RR, </w:t>
      </w:r>
      <w:r w:rsidRPr="00125F46">
        <w:rPr>
          <w:rFonts w:ascii="Calibri" w:hAnsi="Calibri" w:cs="Calibri"/>
          <w:i/>
          <w:iCs/>
          <w:sz w:val="22"/>
          <w:szCs w:val="22"/>
        </w:rPr>
        <w:t>Resident Representative</w:t>
      </w:r>
      <w:r w:rsidRPr="00125F46">
        <w:rPr>
          <w:rFonts w:ascii="Calibri" w:hAnsi="Calibri" w:cs="Calibri"/>
          <w:sz w:val="22"/>
          <w:szCs w:val="22"/>
        </w:rPr>
        <w:t xml:space="preserve">, por sus siglas en inglés) (no puede extenderse la delegación) puede designar a un titular de </w:t>
      </w:r>
      <w:bookmarkStart w:id="0" w:name="_Hlk125976642"/>
      <w:r w:rsidRPr="00125F46">
        <w:rPr>
          <w:rFonts w:ascii="Calibri" w:hAnsi="Calibri" w:cs="Calibri"/>
          <w:sz w:val="22"/>
          <w:szCs w:val="22"/>
        </w:rPr>
        <w:t>contrato de servicios de personal (NPSA/IPSA)</w:t>
      </w:r>
      <w:bookmarkEnd w:id="0"/>
      <w:r w:rsidRPr="00125F46">
        <w:rPr>
          <w:rFonts w:ascii="Calibri" w:hAnsi="Calibri" w:cs="Calibri"/>
          <w:sz w:val="22"/>
          <w:szCs w:val="22"/>
        </w:rPr>
        <w:t xml:space="preserve"> como custodio, con un límite de USD 5000 solamente. </w:t>
      </w:r>
    </w:p>
    <w:p w14:paraId="6D021421" w14:textId="77777777" w:rsidR="00125F46" w:rsidRPr="00125F46" w:rsidRDefault="00125F46" w:rsidP="00125F46">
      <w:pPr>
        <w:pStyle w:val="NormalWeb"/>
        <w:numPr>
          <w:ilvl w:val="0"/>
          <w:numId w:val="5"/>
        </w:numPr>
        <w:spacing w:before="120" w:beforeAutospacing="0"/>
        <w:ind w:left="1080"/>
        <w:jc w:val="both"/>
        <w:rPr>
          <w:rFonts w:ascii="Calibri" w:hAnsi="Calibri" w:cs="Calibri"/>
          <w:sz w:val="22"/>
          <w:szCs w:val="22"/>
        </w:rPr>
      </w:pPr>
      <w:r w:rsidRPr="00125F46">
        <w:rPr>
          <w:rFonts w:ascii="Calibri" w:hAnsi="Calibri" w:cs="Calibri"/>
          <w:sz w:val="22"/>
          <w:szCs w:val="22"/>
        </w:rPr>
        <w:t xml:space="preserve">Si la CO requiere nombrar como Custodio de un PCA de más de USD 5000 a un contrato de servicios de personal (NPSA/IPSA), el Jefe de Oficina debe enviar la solicitud al Tesorero para su aprobación, utilizando el Anexo 5 (véase Anexo 5) con las justificaciones correspondientes. </w:t>
      </w:r>
    </w:p>
    <w:p w14:paraId="03CB1DC5" w14:textId="77777777" w:rsidR="00125F46" w:rsidRPr="00125F46" w:rsidRDefault="00125F46" w:rsidP="00125F46">
      <w:pPr>
        <w:pStyle w:val="NormalWeb"/>
        <w:numPr>
          <w:ilvl w:val="0"/>
          <w:numId w:val="5"/>
        </w:numPr>
        <w:spacing w:before="120" w:beforeAutospacing="0"/>
        <w:ind w:left="1080"/>
        <w:jc w:val="both"/>
        <w:rPr>
          <w:rFonts w:ascii="Calibri" w:hAnsi="Calibri" w:cs="Calibri"/>
          <w:sz w:val="22"/>
          <w:szCs w:val="22"/>
        </w:rPr>
      </w:pPr>
      <w:r w:rsidRPr="00125F46">
        <w:rPr>
          <w:rFonts w:ascii="Calibri" w:hAnsi="Calibri" w:cs="Calibri"/>
          <w:sz w:val="22"/>
          <w:szCs w:val="22"/>
        </w:rPr>
        <w:t xml:space="preserve">El miembro del personal posee las competencias necesarias para asumir las responsabilidades de la función, incluida la protección, el uso adecuado y la contabilidad oportuna del PCA. </w:t>
      </w:r>
    </w:p>
    <w:p w14:paraId="2241B1B6" w14:textId="77777777" w:rsidR="00125F46" w:rsidRPr="00125F46" w:rsidRDefault="00125F46" w:rsidP="00125F46">
      <w:pPr>
        <w:pStyle w:val="NormalWeb"/>
        <w:numPr>
          <w:ilvl w:val="0"/>
          <w:numId w:val="5"/>
        </w:numPr>
        <w:spacing w:before="120" w:beforeAutospacing="0"/>
        <w:ind w:left="1080"/>
        <w:jc w:val="both"/>
        <w:rPr>
          <w:rFonts w:ascii="Calibri" w:hAnsi="Calibri" w:cs="Calibri"/>
          <w:sz w:val="22"/>
          <w:szCs w:val="22"/>
        </w:rPr>
      </w:pPr>
      <w:r w:rsidRPr="00125F46">
        <w:rPr>
          <w:rFonts w:ascii="Calibri" w:hAnsi="Calibri" w:cs="Calibri"/>
          <w:sz w:val="22"/>
          <w:szCs w:val="22"/>
        </w:rPr>
        <w:t xml:space="preserve">El miembro del personal firma el formulario de nombramiento del PCA. </w:t>
      </w:r>
    </w:p>
    <w:p w14:paraId="4D4B4DDC" w14:textId="77777777" w:rsidR="00125F46" w:rsidRPr="00125F46" w:rsidRDefault="00125F46" w:rsidP="00125F46">
      <w:pPr>
        <w:pStyle w:val="NormalWeb"/>
        <w:numPr>
          <w:ilvl w:val="0"/>
          <w:numId w:val="5"/>
        </w:numPr>
        <w:spacing w:before="120" w:beforeAutospacing="0"/>
        <w:ind w:left="1080"/>
        <w:jc w:val="both"/>
        <w:rPr>
          <w:rFonts w:ascii="Calibri" w:hAnsi="Calibri" w:cs="Calibri"/>
          <w:sz w:val="22"/>
          <w:szCs w:val="22"/>
        </w:rPr>
      </w:pPr>
      <w:r w:rsidRPr="00125F46">
        <w:rPr>
          <w:rFonts w:ascii="Calibri" w:hAnsi="Calibri" w:cs="Calibri"/>
          <w:sz w:val="22"/>
          <w:szCs w:val="22"/>
        </w:rPr>
        <w:t xml:space="preserve">El miembro del personal se compromete a registrar y contabilizar plenamente el PCA dentro de los 30 días posteriores a la fecha de emisión del anticipo. </w:t>
      </w:r>
    </w:p>
    <w:p w14:paraId="5CF6DA58" w14:textId="77777777" w:rsidR="00125F46" w:rsidRPr="00125F46" w:rsidRDefault="00125F46" w:rsidP="00125F46">
      <w:pPr>
        <w:pStyle w:val="NormalWeb"/>
        <w:spacing w:before="120" w:beforeAutospacing="0"/>
        <w:jc w:val="both"/>
        <w:rPr>
          <w:rFonts w:ascii="Calibri" w:hAnsi="Calibri" w:cs="Calibri"/>
          <w:sz w:val="22"/>
          <w:szCs w:val="22"/>
          <w:u w:val="single"/>
        </w:rPr>
      </w:pPr>
      <w:r w:rsidRPr="00125F46">
        <w:rPr>
          <w:rFonts w:ascii="Calibri" w:hAnsi="Calibri" w:cs="Calibri"/>
          <w:sz w:val="22"/>
          <w:szCs w:val="22"/>
          <w:u w:val="single"/>
        </w:rPr>
        <w:t xml:space="preserve">Seguridad física para el PCA </w:t>
      </w:r>
    </w:p>
    <w:p w14:paraId="0523519E" w14:textId="77777777" w:rsidR="00125F46" w:rsidRPr="00125F46" w:rsidRDefault="00125F46" w:rsidP="00125F46">
      <w:pPr>
        <w:pStyle w:val="NormalWeb"/>
        <w:numPr>
          <w:ilvl w:val="1"/>
          <w:numId w:val="1"/>
        </w:numPr>
        <w:spacing w:before="120" w:beforeAutospacing="0"/>
        <w:ind w:left="360"/>
        <w:jc w:val="both"/>
        <w:rPr>
          <w:rFonts w:ascii="Calibri" w:hAnsi="Calibri" w:cs="Calibri"/>
          <w:sz w:val="22"/>
          <w:szCs w:val="22"/>
        </w:rPr>
      </w:pPr>
      <w:r w:rsidRPr="00125F46">
        <w:rPr>
          <w:rFonts w:ascii="Calibri" w:hAnsi="Calibri" w:cs="Calibri"/>
          <w:sz w:val="22"/>
          <w:szCs w:val="22"/>
        </w:rPr>
        <w:t xml:space="preserve">El </w:t>
      </w:r>
      <w:proofErr w:type="spellStart"/>
      <w:r w:rsidRPr="00125F46">
        <w:rPr>
          <w:rFonts w:ascii="Calibri" w:hAnsi="Calibri" w:cs="Calibri"/>
          <w:sz w:val="22"/>
          <w:szCs w:val="22"/>
        </w:rPr>
        <w:t>RRAd</w:t>
      </w:r>
      <w:proofErr w:type="spellEnd"/>
      <w:r w:rsidRPr="00125F46">
        <w:rPr>
          <w:rFonts w:ascii="Calibri" w:hAnsi="Calibri" w:cs="Calibri"/>
          <w:sz w:val="22"/>
          <w:szCs w:val="22"/>
        </w:rPr>
        <w:t xml:space="preserve"> del Programa y el </w:t>
      </w:r>
      <w:proofErr w:type="spellStart"/>
      <w:r w:rsidRPr="00125F46">
        <w:rPr>
          <w:rFonts w:ascii="Calibri" w:hAnsi="Calibri" w:cs="Calibri"/>
          <w:sz w:val="22"/>
          <w:szCs w:val="22"/>
        </w:rPr>
        <w:t>RRAd</w:t>
      </w:r>
      <w:proofErr w:type="spellEnd"/>
      <w:r w:rsidRPr="00125F46">
        <w:rPr>
          <w:rFonts w:ascii="Calibri" w:hAnsi="Calibri" w:cs="Calibri"/>
          <w:sz w:val="22"/>
          <w:szCs w:val="22"/>
        </w:rPr>
        <w:t xml:space="preserve"> de Operaciones (o su equivalente o superior, según corresponda) son responsables conjuntamente de la seguridad del PCA, siguiendo los principios descritos a continuación: </w:t>
      </w:r>
    </w:p>
    <w:p w14:paraId="36FEC03D" w14:textId="77777777" w:rsidR="00125F46" w:rsidRPr="00125F46" w:rsidRDefault="00125F46" w:rsidP="00125F46">
      <w:pPr>
        <w:pStyle w:val="NormalWeb"/>
        <w:numPr>
          <w:ilvl w:val="0"/>
          <w:numId w:val="6"/>
        </w:numPr>
        <w:spacing w:before="120" w:beforeAutospacing="0"/>
        <w:ind w:left="1080"/>
        <w:jc w:val="both"/>
        <w:rPr>
          <w:rFonts w:ascii="Calibri" w:hAnsi="Calibri" w:cs="Calibri"/>
          <w:sz w:val="22"/>
          <w:szCs w:val="22"/>
        </w:rPr>
      </w:pPr>
      <w:r w:rsidRPr="00125F46">
        <w:rPr>
          <w:rFonts w:ascii="Calibri" w:hAnsi="Calibri" w:cs="Calibri"/>
          <w:sz w:val="22"/>
          <w:szCs w:val="22"/>
        </w:rPr>
        <w:t xml:space="preserve">El </w:t>
      </w:r>
      <w:proofErr w:type="spellStart"/>
      <w:r w:rsidRPr="00125F46">
        <w:rPr>
          <w:rFonts w:ascii="Calibri" w:hAnsi="Calibri" w:cs="Calibri"/>
          <w:sz w:val="22"/>
          <w:szCs w:val="22"/>
        </w:rPr>
        <w:t>RRAd</w:t>
      </w:r>
      <w:proofErr w:type="spellEnd"/>
      <w:r w:rsidRPr="00125F46">
        <w:rPr>
          <w:rFonts w:ascii="Calibri" w:hAnsi="Calibri" w:cs="Calibri"/>
          <w:sz w:val="22"/>
          <w:szCs w:val="22"/>
        </w:rPr>
        <w:t xml:space="preserve"> del Programa es responsable de la evaluación de seguridad en el sitio de actividad del proyecto y del nombramiento del Custodio del PCA. </w:t>
      </w:r>
    </w:p>
    <w:p w14:paraId="6621B395" w14:textId="77777777" w:rsidR="00125F46" w:rsidRPr="00125F46" w:rsidRDefault="00125F46" w:rsidP="00125F46">
      <w:pPr>
        <w:pStyle w:val="NormalWeb"/>
        <w:numPr>
          <w:ilvl w:val="0"/>
          <w:numId w:val="6"/>
        </w:numPr>
        <w:spacing w:before="120" w:beforeAutospacing="0"/>
        <w:ind w:left="1080"/>
        <w:jc w:val="both"/>
        <w:rPr>
          <w:rFonts w:ascii="Calibri" w:hAnsi="Calibri" w:cs="Calibri"/>
          <w:sz w:val="22"/>
          <w:szCs w:val="22"/>
        </w:rPr>
      </w:pPr>
      <w:r w:rsidRPr="00125F46">
        <w:rPr>
          <w:rFonts w:ascii="Calibri" w:hAnsi="Calibri" w:cs="Calibri"/>
          <w:sz w:val="22"/>
          <w:szCs w:val="22"/>
        </w:rPr>
        <w:t xml:space="preserve">El </w:t>
      </w:r>
      <w:proofErr w:type="spellStart"/>
      <w:r w:rsidRPr="00125F46">
        <w:rPr>
          <w:rFonts w:ascii="Calibri" w:hAnsi="Calibri" w:cs="Calibri"/>
          <w:sz w:val="22"/>
          <w:szCs w:val="22"/>
        </w:rPr>
        <w:t>RRAd</w:t>
      </w:r>
      <w:proofErr w:type="spellEnd"/>
      <w:r w:rsidRPr="00125F46">
        <w:rPr>
          <w:rFonts w:ascii="Calibri" w:hAnsi="Calibri" w:cs="Calibri"/>
          <w:sz w:val="22"/>
          <w:szCs w:val="22"/>
        </w:rPr>
        <w:t xml:space="preserve"> de Operaciones es responsable de las medidas de seguridad (si las mismas se realizan con el Departamento de Protección de las Naciones Unidas [UNDSS, </w:t>
      </w:r>
      <w:proofErr w:type="spellStart"/>
      <w:r w:rsidRPr="00125F46">
        <w:rPr>
          <w:rFonts w:ascii="Calibri" w:hAnsi="Calibri" w:cs="Calibri"/>
          <w:i/>
          <w:sz w:val="22"/>
          <w:szCs w:val="22"/>
        </w:rPr>
        <w:t>United</w:t>
      </w:r>
      <w:proofErr w:type="spellEnd"/>
      <w:r w:rsidRPr="00125F46">
        <w:rPr>
          <w:rFonts w:ascii="Calibri" w:hAnsi="Calibri" w:cs="Calibri"/>
          <w:i/>
          <w:sz w:val="22"/>
          <w:szCs w:val="22"/>
        </w:rPr>
        <w:t xml:space="preserve"> </w:t>
      </w:r>
      <w:proofErr w:type="spellStart"/>
      <w:r w:rsidRPr="00125F46">
        <w:rPr>
          <w:rFonts w:ascii="Calibri" w:hAnsi="Calibri" w:cs="Calibri"/>
          <w:i/>
          <w:sz w:val="22"/>
          <w:szCs w:val="22"/>
        </w:rPr>
        <w:t>Nations</w:t>
      </w:r>
      <w:proofErr w:type="spellEnd"/>
      <w:r w:rsidRPr="00125F46">
        <w:rPr>
          <w:rFonts w:ascii="Calibri" w:hAnsi="Calibri" w:cs="Calibri"/>
          <w:i/>
          <w:sz w:val="22"/>
          <w:szCs w:val="22"/>
        </w:rPr>
        <w:t xml:space="preserve"> </w:t>
      </w:r>
      <w:proofErr w:type="spellStart"/>
      <w:r w:rsidRPr="00125F46">
        <w:rPr>
          <w:rFonts w:ascii="Calibri" w:hAnsi="Calibri" w:cs="Calibri"/>
          <w:i/>
          <w:sz w:val="22"/>
          <w:szCs w:val="22"/>
        </w:rPr>
        <w:t>Department</w:t>
      </w:r>
      <w:proofErr w:type="spellEnd"/>
      <w:r w:rsidRPr="00125F46">
        <w:rPr>
          <w:rFonts w:ascii="Calibri" w:hAnsi="Calibri" w:cs="Calibri"/>
          <w:i/>
          <w:sz w:val="22"/>
          <w:szCs w:val="22"/>
        </w:rPr>
        <w:t xml:space="preserve"> </w:t>
      </w:r>
      <w:proofErr w:type="spellStart"/>
      <w:r w:rsidRPr="00125F46">
        <w:rPr>
          <w:rFonts w:ascii="Calibri" w:hAnsi="Calibri" w:cs="Calibri"/>
          <w:i/>
          <w:sz w:val="22"/>
          <w:szCs w:val="22"/>
        </w:rPr>
        <w:t>of</w:t>
      </w:r>
      <w:proofErr w:type="spellEnd"/>
      <w:r w:rsidRPr="00125F46">
        <w:rPr>
          <w:rFonts w:ascii="Calibri" w:hAnsi="Calibri" w:cs="Calibri"/>
          <w:i/>
          <w:sz w:val="22"/>
          <w:szCs w:val="22"/>
        </w:rPr>
        <w:t xml:space="preserve"> Safety and Security</w:t>
      </w:r>
      <w:r w:rsidRPr="00125F46">
        <w:rPr>
          <w:rFonts w:ascii="Calibri" w:hAnsi="Calibri" w:cs="Calibri"/>
          <w:sz w:val="22"/>
          <w:szCs w:val="22"/>
        </w:rPr>
        <w:t xml:space="preserve">, por sus siglas en inglés] o con un servicio de escolta externo, si corresponde). </w:t>
      </w:r>
    </w:p>
    <w:p w14:paraId="35F349A6" w14:textId="77777777" w:rsidR="00125F46" w:rsidRPr="00125F46" w:rsidRDefault="00125F46" w:rsidP="00125F46">
      <w:pPr>
        <w:pStyle w:val="NormalWeb"/>
        <w:numPr>
          <w:ilvl w:val="0"/>
          <w:numId w:val="6"/>
        </w:numPr>
        <w:spacing w:before="120" w:beforeAutospacing="0"/>
        <w:ind w:left="1080"/>
        <w:jc w:val="both"/>
        <w:rPr>
          <w:rFonts w:ascii="Calibri" w:hAnsi="Calibri" w:cs="Calibri"/>
          <w:sz w:val="22"/>
          <w:szCs w:val="22"/>
        </w:rPr>
      </w:pPr>
      <w:r w:rsidRPr="00125F46">
        <w:rPr>
          <w:rFonts w:ascii="Calibri" w:hAnsi="Calibri" w:cs="Calibri"/>
          <w:sz w:val="22"/>
          <w:szCs w:val="22"/>
        </w:rPr>
        <w:t xml:space="preserve">El Custodio del PCA es responsable de la custodia del PCA entre el momento de la recepción del efectivo y los desembolsos finales del efectivo (si no se contrata a un servicio de escolta externo para transportar y distribuir el efectivo), así como de todo anticipo de efectivo no utilizado, hasta que el monto sea devuelto al </w:t>
      </w:r>
      <w:proofErr w:type="spellStart"/>
      <w:r w:rsidRPr="00125F46">
        <w:rPr>
          <w:rFonts w:ascii="Calibri" w:hAnsi="Calibri" w:cs="Calibri"/>
          <w:sz w:val="22"/>
          <w:szCs w:val="22"/>
        </w:rPr>
        <w:t>RRAd</w:t>
      </w:r>
      <w:proofErr w:type="spellEnd"/>
      <w:r w:rsidRPr="00125F46">
        <w:rPr>
          <w:rFonts w:ascii="Calibri" w:hAnsi="Calibri" w:cs="Calibri"/>
          <w:sz w:val="22"/>
          <w:szCs w:val="22"/>
        </w:rPr>
        <w:t xml:space="preserve"> de Operaciones. </w:t>
      </w:r>
    </w:p>
    <w:p w14:paraId="515D3C12" w14:textId="77777777" w:rsidR="00125F46" w:rsidRPr="00125F46" w:rsidRDefault="00125F46" w:rsidP="00125F46">
      <w:pPr>
        <w:pStyle w:val="NormalWeb"/>
        <w:spacing w:before="120" w:beforeAutospacing="0"/>
        <w:jc w:val="both"/>
        <w:rPr>
          <w:rFonts w:ascii="Calibri" w:hAnsi="Calibri" w:cs="Calibri"/>
          <w:sz w:val="22"/>
          <w:szCs w:val="22"/>
          <w:u w:val="single"/>
        </w:rPr>
      </w:pPr>
      <w:r w:rsidRPr="00125F46">
        <w:rPr>
          <w:rFonts w:ascii="Calibri" w:hAnsi="Calibri" w:cs="Calibri"/>
          <w:sz w:val="22"/>
          <w:szCs w:val="22"/>
          <w:u w:val="single"/>
        </w:rPr>
        <w:t xml:space="preserve">Emisión del PCA </w:t>
      </w:r>
    </w:p>
    <w:p w14:paraId="00D6656B" w14:textId="20A4015A" w:rsidR="00125F46" w:rsidRPr="00125F46" w:rsidRDefault="00125F46" w:rsidP="00125F46">
      <w:pPr>
        <w:pStyle w:val="NormalWeb"/>
        <w:numPr>
          <w:ilvl w:val="1"/>
          <w:numId w:val="1"/>
        </w:numPr>
        <w:spacing w:before="120" w:beforeAutospacing="0"/>
        <w:ind w:left="360"/>
        <w:jc w:val="both"/>
        <w:rPr>
          <w:rFonts w:ascii="Calibri" w:hAnsi="Calibri" w:cs="Calibri"/>
          <w:sz w:val="22"/>
          <w:szCs w:val="22"/>
        </w:rPr>
      </w:pPr>
      <w:r w:rsidRPr="00125F46">
        <w:rPr>
          <w:rFonts w:ascii="Calibri" w:hAnsi="Calibri" w:cs="Calibri"/>
          <w:sz w:val="22"/>
          <w:szCs w:val="22"/>
        </w:rPr>
        <w:lastRenderedPageBreak/>
        <w:t xml:space="preserve">El Custodio del PCA único es registrado como «proveedor» en. </w:t>
      </w:r>
    </w:p>
    <w:p w14:paraId="3BFD7C68" w14:textId="77777777" w:rsidR="00125F46" w:rsidRPr="00125F46" w:rsidRDefault="00125F46" w:rsidP="00125F46">
      <w:pPr>
        <w:pStyle w:val="NormalWeb"/>
        <w:numPr>
          <w:ilvl w:val="1"/>
          <w:numId w:val="1"/>
        </w:numPr>
        <w:spacing w:before="120" w:beforeAutospacing="0"/>
        <w:ind w:left="360"/>
        <w:jc w:val="both"/>
        <w:rPr>
          <w:rFonts w:ascii="Calibri" w:hAnsi="Calibri" w:cs="Calibri"/>
          <w:sz w:val="22"/>
          <w:szCs w:val="22"/>
        </w:rPr>
      </w:pPr>
      <w:r w:rsidRPr="00125F46">
        <w:rPr>
          <w:rFonts w:ascii="Calibri" w:hAnsi="Calibri" w:cs="Calibri"/>
          <w:sz w:val="22"/>
          <w:szCs w:val="22"/>
        </w:rPr>
        <w:t>Se creará una factura para el custodio/proveedor como tipo "pago anticipado" establecida como "pago anticipado temporal" marcando la opción "Permitir aplicación de pago anticipado".</w:t>
      </w:r>
    </w:p>
    <w:p w14:paraId="713A4C3D" w14:textId="034F9F6E" w:rsidR="00125F46" w:rsidRPr="00125F46" w:rsidRDefault="00125F46" w:rsidP="00125F46">
      <w:pPr>
        <w:pStyle w:val="NormalWeb"/>
        <w:spacing w:before="120"/>
        <w:ind w:left="360"/>
        <w:rPr>
          <w:rFonts w:ascii="Calibri" w:hAnsi="Calibri" w:cs="Calibri"/>
          <w:sz w:val="22"/>
          <w:szCs w:val="22"/>
        </w:rPr>
      </w:pPr>
      <w:r w:rsidRPr="00125F46">
        <w:rPr>
          <w:rFonts w:ascii="Calibri" w:hAnsi="Calibri" w:cs="Calibri"/>
          <w:sz w:val="22"/>
          <w:szCs w:val="22"/>
        </w:rPr>
        <w:t xml:space="preserve">Cargo en cuenta de mayor: </w:t>
      </w:r>
      <w:r w:rsidRPr="00125F46">
        <w:rPr>
          <w:rFonts w:ascii="Calibri" w:hAnsi="Calibri" w:cs="Calibri"/>
          <w:sz w:val="22"/>
          <w:szCs w:val="22"/>
        </w:rPr>
        <w:tab/>
        <w:t xml:space="preserve">16108 - Anticipo de caja del proyecto </w:t>
      </w:r>
      <w:r w:rsidRPr="00125F46">
        <w:rPr>
          <w:rFonts w:ascii="Calibri" w:hAnsi="Calibri" w:cs="Calibri"/>
          <w:sz w:val="22"/>
          <w:szCs w:val="22"/>
        </w:rPr>
        <w:br/>
        <w:t xml:space="preserve">Unidad operativa: </w:t>
      </w:r>
      <w:r w:rsidRPr="00125F46">
        <w:rPr>
          <w:rFonts w:ascii="Calibri" w:hAnsi="Calibri" w:cs="Calibri"/>
          <w:sz w:val="22"/>
          <w:szCs w:val="22"/>
        </w:rPr>
        <w:tab/>
      </w:r>
      <w:r w:rsidRPr="00125F46">
        <w:rPr>
          <w:rFonts w:ascii="Calibri" w:hAnsi="Calibri" w:cs="Calibri"/>
          <w:sz w:val="22"/>
          <w:szCs w:val="22"/>
        </w:rPr>
        <w:tab/>
        <w:t xml:space="preserve">Unidad operativa de CO </w:t>
      </w:r>
      <w:r w:rsidRPr="00125F46">
        <w:rPr>
          <w:rFonts w:ascii="Calibri" w:hAnsi="Calibri" w:cs="Calibri"/>
          <w:sz w:val="22"/>
          <w:szCs w:val="22"/>
        </w:rPr>
        <w:br/>
        <w:t xml:space="preserve">Código de fondo: </w:t>
      </w:r>
      <w:r w:rsidRPr="00125F46">
        <w:rPr>
          <w:rFonts w:ascii="Calibri" w:hAnsi="Calibri" w:cs="Calibri"/>
          <w:sz w:val="22"/>
          <w:szCs w:val="22"/>
        </w:rPr>
        <w:tab/>
      </w:r>
      <w:r w:rsidRPr="00125F46">
        <w:rPr>
          <w:rFonts w:ascii="Calibri" w:hAnsi="Calibri" w:cs="Calibri"/>
          <w:sz w:val="22"/>
          <w:szCs w:val="22"/>
        </w:rPr>
        <w:tab/>
        <w:t xml:space="preserve">Código de fondo del proyecto correspondiente </w:t>
      </w:r>
      <w:r w:rsidRPr="00125F46">
        <w:rPr>
          <w:rFonts w:ascii="Calibri" w:hAnsi="Calibri" w:cs="Calibri"/>
          <w:sz w:val="22"/>
          <w:szCs w:val="22"/>
        </w:rPr>
        <w:br/>
        <w:t xml:space="preserve">Departamento </w:t>
      </w:r>
      <w:r w:rsidRPr="00125F46">
        <w:rPr>
          <w:rFonts w:ascii="Calibri" w:hAnsi="Calibri" w:cs="Calibri"/>
          <w:sz w:val="22"/>
          <w:szCs w:val="22"/>
        </w:rPr>
        <w:tab/>
      </w:r>
      <w:r w:rsidRPr="00125F46">
        <w:rPr>
          <w:rFonts w:ascii="Calibri" w:hAnsi="Calibri" w:cs="Calibri"/>
          <w:sz w:val="22"/>
          <w:szCs w:val="22"/>
        </w:rPr>
        <w:tab/>
      </w:r>
      <w:proofErr w:type="spellStart"/>
      <w:r w:rsidRPr="00125F46">
        <w:rPr>
          <w:rFonts w:ascii="Calibri" w:hAnsi="Calibri" w:cs="Calibri"/>
          <w:sz w:val="22"/>
          <w:szCs w:val="22"/>
        </w:rPr>
        <w:t>Departamento</w:t>
      </w:r>
      <w:proofErr w:type="spellEnd"/>
      <w:r w:rsidRPr="00125F46">
        <w:rPr>
          <w:rFonts w:ascii="Calibri" w:hAnsi="Calibri" w:cs="Calibri"/>
          <w:sz w:val="22"/>
          <w:szCs w:val="22"/>
        </w:rPr>
        <w:t xml:space="preserve"> correspondiente </w:t>
      </w:r>
      <w:r w:rsidRPr="00125F46">
        <w:rPr>
          <w:rFonts w:ascii="Calibri" w:hAnsi="Calibri" w:cs="Calibri"/>
          <w:sz w:val="22"/>
          <w:szCs w:val="22"/>
        </w:rPr>
        <w:br/>
        <w:t xml:space="preserve">ID del proyecto: </w:t>
      </w:r>
      <w:r w:rsidRPr="00125F46">
        <w:rPr>
          <w:rFonts w:ascii="Calibri" w:hAnsi="Calibri" w:cs="Calibri"/>
          <w:sz w:val="22"/>
          <w:szCs w:val="22"/>
        </w:rPr>
        <w:tab/>
      </w:r>
      <w:r w:rsidRPr="00125F46">
        <w:rPr>
          <w:rFonts w:ascii="Calibri" w:hAnsi="Calibri" w:cs="Calibri"/>
          <w:sz w:val="22"/>
          <w:szCs w:val="22"/>
        </w:rPr>
        <w:tab/>
        <w:t xml:space="preserve">ID del proyecto correspondiente </w:t>
      </w:r>
      <w:r w:rsidRPr="00125F46">
        <w:rPr>
          <w:rFonts w:ascii="Calibri" w:hAnsi="Calibri" w:cs="Calibri"/>
          <w:sz w:val="22"/>
          <w:szCs w:val="22"/>
        </w:rPr>
        <w:br/>
      </w:r>
      <w:proofErr w:type="spellStart"/>
      <w:r w:rsidRPr="00125F46">
        <w:rPr>
          <w:rFonts w:ascii="Calibri" w:hAnsi="Calibri" w:cs="Calibri"/>
          <w:sz w:val="22"/>
          <w:szCs w:val="22"/>
        </w:rPr>
        <w:t>Impl</w:t>
      </w:r>
      <w:proofErr w:type="spellEnd"/>
      <w:r w:rsidRPr="00125F46">
        <w:rPr>
          <w:rFonts w:ascii="Calibri" w:hAnsi="Calibri" w:cs="Calibri"/>
          <w:sz w:val="22"/>
          <w:szCs w:val="22"/>
        </w:rPr>
        <w:t xml:space="preserve">. </w:t>
      </w:r>
      <w:proofErr w:type="spellStart"/>
      <w:r w:rsidRPr="00125F46">
        <w:rPr>
          <w:rFonts w:ascii="Calibri" w:hAnsi="Calibri" w:cs="Calibri"/>
          <w:sz w:val="22"/>
          <w:szCs w:val="22"/>
        </w:rPr>
        <w:t>Agent</w:t>
      </w:r>
      <w:proofErr w:type="spellEnd"/>
      <w:r w:rsidRPr="00125F46">
        <w:rPr>
          <w:rFonts w:ascii="Calibri" w:hAnsi="Calibri" w:cs="Calibri"/>
          <w:sz w:val="22"/>
          <w:szCs w:val="22"/>
        </w:rPr>
        <w:t xml:space="preserve">: </w:t>
      </w:r>
      <w:r w:rsidRPr="00125F46">
        <w:rPr>
          <w:rFonts w:ascii="Calibri" w:hAnsi="Calibri" w:cs="Calibri"/>
          <w:sz w:val="22"/>
          <w:szCs w:val="22"/>
        </w:rPr>
        <w:tab/>
      </w:r>
      <w:r w:rsidRPr="00125F46">
        <w:rPr>
          <w:rFonts w:ascii="Calibri" w:hAnsi="Calibri" w:cs="Calibri"/>
          <w:sz w:val="22"/>
          <w:szCs w:val="22"/>
        </w:rPr>
        <w:tab/>
        <w:t xml:space="preserve">Según proceda </w:t>
      </w:r>
      <w:r w:rsidRPr="00125F46">
        <w:rPr>
          <w:rFonts w:ascii="Calibri" w:hAnsi="Calibri" w:cs="Calibri"/>
          <w:sz w:val="22"/>
          <w:szCs w:val="22"/>
        </w:rPr>
        <w:br/>
        <w:t xml:space="preserve">Donante: </w:t>
      </w:r>
      <w:r w:rsidRPr="00125F46">
        <w:rPr>
          <w:rFonts w:ascii="Calibri" w:hAnsi="Calibri" w:cs="Calibri"/>
          <w:sz w:val="22"/>
          <w:szCs w:val="22"/>
        </w:rPr>
        <w:tab/>
      </w:r>
      <w:r w:rsidRPr="00125F46">
        <w:rPr>
          <w:rFonts w:ascii="Calibri" w:hAnsi="Calibri" w:cs="Calibri"/>
          <w:sz w:val="22"/>
          <w:szCs w:val="22"/>
        </w:rPr>
        <w:tab/>
      </w:r>
      <w:r w:rsidRPr="00125F46">
        <w:rPr>
          <w:rFonts w:ascii="Calibri" w:hAnsi="Calibri" w:cs="Calibri"/>
          <w:sz w:val="22"/>
          <w:szCs w:val="22"/>
        </w:rPr>
        <w:tab/>
        <w:t xml:space="preserve">Según proceda </w:t>
      </w:r>
      <w:r w:rsidRPr="00125F46">
        <w:rPr>
          <w:rFonts w:ascii="Calibri" w:hAnsi="Calibri" w:cs="Calibri"/>
          <w:sz w:val="22"/>
          <w:szCs w:val="22"/>
        </w:rPr>
        <w:br/>
        <w:t xml:space="preserve">Proveedor </w:t>
      </w:r>
      <w:r w:rsidRPr="00125F46">
        <w:rPr>
          <w:rFonts w:ascii="Calibri" w:hAnsi="Calibri" w:cs="Calibri"/>
          <w:sz w:val="22"/>
          <w:szCs w:val="22"/>
        </w:rPr>
        <w:tab/>
      </w:r>
      <w:r w:rsidRPr="00125F46">
        <w:rPr>
          <w:rFonts w:ascii="Calibri" w:hAnsi="Calibri" w:cs="Calibri"/>
          <w:sz w:val="22"/>
          <w:szCs w:val="22"/>
        </w:rPr>
        <w:tab/>
      </w:r>
      <w:r w:rsidRPr="00125F46">
        <w:rPr>
          <w:rFonts w:ascii="Calibri" w:hAnsi="Calibri" w:cs="Calibri"/>
          <w:sz w:val="22"/>
          <w:szCs w:val="22"/>
        </w:rPr>
        <w:tab/>
        <w:t>PCA Custodio Personal/Proveedor ID</w:t>
      </w:r>
    </w:p>
    <w:p w14:paraId="648BAB4E" w14:textId="77777777" w:rsidR="00125F46" w:rsidRPr="00125F46" w:rsidRDefault="00125F46" w:rsidP="00125F46">
      <w:pPr>
        <w:pStyle w:val="NormalWeb"/>
        <w:numPr>
          <w:ilvl w:val="1"/>
          <w:numId w:val="1"/>
        </w:numPr>
        <w:spacing w:before="120" w:beforeAutospacing="0"/>
        <w:ind w:left="360"/>
        <w:jc w:val="both"/>
        <w:rPr>
          <w:rFonts w:ascii="Calibri" w:hAnsi="Calibri" w:cs="Calibri"/>
          <w:sz w:val="22"/>
          <w:szCs w:val="22"/>
        </w:rPr>
      </w:pPr>
      <w:r w:rsidRPr="00125F46">
        <w:rPr>
          <w:rFonts w:ascii="Calibri" w:hAnsi="Calibri" w:cs="Calibri"/>
          <w:sz w:val="22"/>
          <w:szCs w:val="22"/>
        </w:rPr>
        <w:t xml:space="preserve">El pago al Custodio del PCA será procesado por el CGSC.  </w:t>
      </w:r>
    </w:p>
    <w:p w14:paraId="5D37C5F2" w14:textId="77777777" w:rsidR="00125F46" w:rsidRPr="00125F46" w:rsidRDefault="00125F46" w:rsidP="00125F46">
      <w:pPr>
        <w:pStyle w:val="NormalWeb"/>
        <w:numPr>
          <w:ilvl w:val="1"/>
          <w:numId w:val="1"/>
        </w:numPr>
        <w:spacing w:before="120" w:beforeAutospacing="0"/>
        <w:ind w:left="360"/>
        <w:jc w:val="both"/>
        <w:rPr>
          <w:rFonts w:ascii="Calibri" w:hAnsi="Calibri" w:cs="Calibri"/>
          <w:sz w:val="22"/>
          <w:szCs w:val="22"/>
        </w:rPr>
      </w:pPr>
      <w:r w:rsidRPr="00125F46">
        <w:rPr>
          <w:rFonts w:ascii="Calibri" w:hAnsi="Calibri" w:cs="Calibri"/>
          <w:sz w:val="22"/>
          <w:szCs w:val="22"/>
        </w:rPr>
        <w:t xml:space="preserve">El Custodio del PCA conserva el efectivo del PCA hasta completar el desembolso final y la contabilidad. </w:t>
      </w:r>
    </w:p>
    <w:p w14:paraId="3FB1C35C" w14:textId="77777777" w:rsidR="00125F46" w:rsidRPr="00125F46" w:rsidRDefault="00125F46" w:rsidP="00125F46">
      <w:pPr>
        <w:pStyle w:val="NormalWeb"/>
        <w:spacing w:before="120" w:beforeAutospacing="0"/>
        <w:jc w:val="both"/>
        <w:rPr>
          <w:rFonts w:ascii="Calibri" w:hAnsi="Calibri" w:cs="Calibri"/>
          <w:sz w:val="22"/>
          <w:szCs w:val="22"/>
          <w:u w:val="single"/>
        </w:rPr>
      </w:pPr>
      <w:r w:rsidRPr="00125F46">
        <w:rPr>
          <w:rFonts w:ascii="Calibri" w:hAnsi="Calibri" w:cs="Calibri"/>
          <w:sz w:val="22"/>
          <w:szCs w:val="22"/>
          <w:u w:val="single"/>
        </w:rPr>
        <w:t xml:space="preserve">Desembolso del PCA </w:t>
      </w:r>
    </w:p>
    <w:p w14:paraId="21A07039" w14:textId="77777777" w:rsidR="00125F46" w:rsidRPr="00125F46" w:rsidRDefault="00125F46" w:rsidP="00125F46">
      <w:pPr>
        <w:pStyle w:val="NormalWeb"/>
        <w:numPr>
          <w:ilvl w:val="1"/>
          <w:numId w:val="1"/>
        </w:numPr>
        <w:spacing w:before="120" w:beforeAutospacing="0"/>
        <w:ind w:left="360"/>
        <w:jc w:val="both"/>
        <w:rPr>
          <w:rFonts w:ascii="Calibri" w:hAnsi="Calibri" w:cs="Calibri"/>
          <w:sz w:val="22"/>
          <w:szCs w:val="22"/>
        </w:rPr>
      </w:pPr>
      <w:r w:rsidRPr="00125F46">
        <w:rPr>
          <w:rFonts w:ascii="Calibri" w:hAnsi="Calibri" w:cs="Calibri"/>
          <w:sz w:val="22"/>
          <w:szCs w:val="22"/>
        </w:rPr>
        <w:t xml:space="preserve">El Custodio del PCA es responsable de pagar de acuerdo con las siguientes directrices: </w:t>
      </w:r>
    </w:p>
    <w:p w14:paraId="22FDFF58" w14:textId="77777777" w:rsidR="00125F46" w:rsidRPr="00125F46" w:rsidRDefault="00125F46" w:rsidP="00125F46">
      <w:pPr>
        <w:pStyle w:val="NormalWeb"/>
        <w:numPr>
          <w:ilvl w:val="0"/>
          <w:numId w:val="7"/>
        </w:numPr>
        <w:spacing w:before="120" w:beforeAutospacing="0"/>
        <w:ind w:left="1080"/>
        <w:jc w:val="both"/>
        <w:rPr>
          <w:rFonts w:ascii="Calibri" w:hAnsi="Calibri" w:cs="Calibri"/>
          <w:sz w:val="22"/>
          <w:szCs w:val="22"/>
        </w:rPr>
      </w:pPr>
      <w:r w:rsidRPr="00125F46">
        <w:rPr>
          <w:rFonts w:ascii="Calibri" w:hAnsi="Calibri" w:cs="Calibri"/>
          <w:sz w:val="22"/>
          <w:szCs w:val="22"/>
        </w:rPr>
        <w:t xml:space="preserve">Conservar facturas y recibos de compras. </w:t>
      </w:r>
    </w:p>
    <w:p w14:paraId="05399522" w14:textId="77777777" w:rsidR="00125F46" w:rsidRPr="00125F46" w:rsidRDefault="00125F46" w:rsidP="00125F46">
      <w:pPr>
        <w:pStyle w:val="NormalWeb"/>
        <w:numPr>
          <w:ilvl w:val="0"/>
          <w:numId w:val="7"/>
        </w:numPr>
        <w:spacing w:before="120" w:beforeAutospacing="0"/>
        <w:ind w:left="1080"/>
        <w:jc w:val="both"/>
        <w:rPr>
          <w:rFonts w:ascii="Calibri" w:hAnsi="Calibri" w:cs="Calibri"/>
          <w:sz w:val="22"/>
          <w:szCs w:val="22"/>
        </w:rPr>
      </w:pPr>
      <w:r w:rsidRPr="00125F46">
        <w:rPr>
          <w:rFonts w:ascii="Calibri" w:hAnsi="Calibri" w:cs="Calibri"/>
          <w:sz w:val="22"/>
          <w:szCs w:val="22"/>
        </w:rPr>
        <w:t xml:space="preserve">Conservar la lista de pagos del PCA, que debe incluir el nombre del beneficiario, la afiliación de la organización (si corresponde), la identificación y el número de teléfono, y el monto del desembolso en efectivo. </w:t>
      </w:r>
    </w:p>
    <w:p w14:paraId="0D1AFBBE" w14:textId="77777777" w:rsidR="00125F46" w:rsidRPr="00125F46" w:rsidRDefault="00125F46" w:rsidP="00125F46">
      <w:pPr>
        <w:pStyle w:val="NormalWeb"/>
        <w:numPr>
          <w:ilvl w:val="0"/>
          <w:numId w:val="7"/>
        </w:numPr>
        <w:spacing w:before="120" w:beforeAutospacing="0"/>
        <w:ind w:left="1080"/>
        <w:jc w:val="both"/>
        <w:rPr>
          <w:rFonts w:ascii="Calibri" w:hAnsi="Calibri" w:cs="Calibri"/>
          <w:sz w:val="22"/>
          <w:szCs w:val="22"/>
        </w:rPr>
      </w:pPr>
      <w:r w:rsidRPr="00125F46">
        <w:rPr>
          <w:rFonts w:ascii="Calibri" w:hAnsi="Calibri" w:cs="Calibri"/>
          <w:sz w:val="22"/>
          <w:szCs w:val="22"/>
        </w:rPr>
        <w:t xml:space="preserve">Comprobar la validez de la identificación de los destinatarios antes de realizar un desembolso. </w:t>
      </w:r>
    </w:p>
    <w:p w14:paraId="5F3858F3" w14:textId="77777777" w:rsidR="00125F46" w:rsidRPr="00125F46" w:rsidRDefault="00125F46" w:rsidP="00125F46">
      <w:pPr>
        <w:pStyle w:val="NormalWeb"/>
        <w:numPr>
          <w:ilvl w:val="0"/>
          <w:numId w:val="7"/>
        </w:numPr>
        <w:spacing w:before="120" w:beforeAutospacing="0"/>
        <w:ind w:left="1080"/>
        <w:jc w:val="both"/>
        <w:rPr>
          <w:rFonts w:ascii="Calibri" w:hAnsi="Calibri" w:cs="Calibri"/>
          <w:sz w:val="22"/>
          <w:szCs w:val="22"/>
        </w:rPr>
      </w:pPr>
      <w:r w:rsidRPr="00125F46">
        <w:rPr>
          <w:rFonts w:ascii="Calibri" w:hAnsi="Calibri" w:cs="Calibri"/>
          <w:sz w:val="22"/>
          <w:szCs w:val="22"/>
        </w:rPr>
        <w:t xml:space="preserve">Registrar la firma de cada destinatario acusando recibo del pago del PNUD. </w:t>
      </w:r>
    </w:p>
    <w:p w14:paraId="0FB95392" w14:textId="77777777" w:rsidR="00125F46" w:rsidRPr="00125F46" w:rsidRDefault="00125F46" w:rsidP="00125F46">
      <w:pPr>
        <w:pStyle w:val="NormalWeb"/>
        <w:numPr>
          <w:ilvl w:val="0"/>
          <w:numId w:val="7"/>
        </w:numPr>
        <w:spacing w:before="120" w:beforeAutospacing="0"/>
        <w:ind w:left="1080"/>
        <w:jc w:val="both"/>
        <w:rPr>
          <w:rFonts w:ascii="Calibri" w:hAnsi="Calibri" w:cs="Calibri"/>
          <w:sz w:val="22"/>
          <w:szCs w:val="22"/>
        </w:rPr>
      </w:pPr>
      <w:r w:rsidRPr="00125F46">
        <w:rPr>
          <w:rFonts w:ascii="Calibri" w:hAnsi="Calibri" w:cs="Calibri"/>
          <w:sz w:val="22"/>
          <w:szCs w:val="22"/>
        </w:rPr>
        <w:t xml:space="preserve">Calcular el total de todos los desembolsos realizados y determinar el saldo no utilizado del PCA. </w:t>
      </w:r>
    </w:p>
    <w:p w14:paraId="53C7D417" w14:textId="77777777" w:rsidR="00125F46" w:rsidRPr="00125F46" w:rsidRDefault="00125F46" w:rsidP="00125F46">
      <w:pPr>
        <w:pStyle w:val="NormalWeb"/>
        <w:numPr>
          <w:ilvl w:val="0"/>
          <w:numId w:val="7"/>
        </w:numPr>
        <w:spacing w:before="120" w:beforeAutospacing="0"/>
        <w:ind w:left="1080"/>
        <w:jc w:val="both"/>
        <w:rPr>
          <w:rFonts w:ascii="Calibri" w:hAnsi="Calibri" w:cs="Calibri"/>
          <w:sz w:val="22"/>
          <w:szCs w:val="22"/>
        </w:rPr>
      </w:pPr>
      <w:r w:rsidRPr="00125F46">
        <w:rPr>
          <w:rFonts w:ascii="Calibri" w:hAnsi="Calibri" w:cs="Calibri"/>
          <w:sz w:val="22"/>
          <w:szCs w:val="22"/>
        </w:rPr>
        <w:t xml:space="preserve">Enviar la lista de pagos y las facturas/los recibos del PCA, junto con el saldo del PCA no utilizado, si corresponde, al </w:t>
      </w:r>
      <w:proofErr w:type="spellStart"/>
      <w:r w:rsidRPr="00125F46">
        <w:rPr>
          <w:rFonts w:ascii="Calibri" w:hAnsi="Calibri" w:cs="Calibri"/>
          <w:sz w:val="22"/>
          <w:szCs w:val="22"/>
        </w:rPr>
        <w:t>RRAd</w:t>
      </w:r>
      <w:proofErr w:type="spellEnd"/>
      <w:r w:rsidRPr="00125F46">
        <w:rPr>
          <w:rFonts w:ascii="Calibri" w:hAnsi="Calibri" w:cs="Calibri"/>
          <w:sz w:val="22"/>
          <w:szCs w:val="22"/>
        </w:rPr>
        <w:t xml:space="preserve"> de Operaciones inmediatamente después de completar la actividad. </w:t>
      </w:r>
    </w:p>
    <w:p w14:paraId="34205E35" w14:textId="77777777" w:rsidR="00125F46" w:rsidRPr="00125F46" w:rsidRDefault="00125F46" w:rsidP="00125F46">
      <w:pPr>
        <w:pStyle w:val="NormalWeb"/>
        <w:spacing w:before="120" w:beforeAutospacing="0"/>
        <w:jc w:val="both"/>
        <w:rPr>
          <w:rFonts w:ascii="Calibri" w:hAnsi="Calibri" w:cs="Calibri"/>
          <w:sz w:val="22"/>
          <w:szCs w:val="22"/>
          <w:u w:val="single"/>
        </w:rPr>
      </w:pPr>
      <w:r w:rsidRPr="00125F46">
        <w:rPr>
          <w:rFonts w:ascii="Calibri" w:hAnsi="Calibri" w:cs="Calibri"/>
          <w:sz w:val="22"/>
          <w:szCs w:val="22"/>
          <w:u w:val="single"/>
        </w:rPr>
        <w:t xml:space="preserve">Controles internos para el PCA </w:t>
      </w:r>
    </w:p>
    <w:p w14:paraId="58CAE7A7" w14:textId="77777777" w:rsidR="00125F46" w:rsidRPr="00125F46" w:rsidRDefault="00125F46" w:rsidP="00125F46">
      <w:pPr>
        <w:pStyle w:val="NormalWeb"/>
        <w:numPr>
          <w:ilvl w:val="1"/>
          <w:numId w:val="1"/>
        </w:numPr>
        <w:spacing w:before="120" w:beforeAutospacing="0"/>
        <w:ind w:left="360"/>
        <w:jc w:val="both"/>
        <w:rPr>
          <w:rFonts w:ascii="Calibri" w:hAnsi="Calibri" w:cs="Calibri"/>
          <w:sz w:val="22"/>
          <w:szCs w:val="22"/>
        </w:rPr>
      </w:pPr>
      <w:r w:rsidRPr="00125F46">
        <w:rPr>
          <w:rFonts w:ascii="Calibri" w:hAnsi="Calibri" w:cs="Calibri"/>
          <w:sz w:val="22"/>
          <w:szCs w:val="22"/>
        </w:rPr>
        <w:t xml:space="preserve">La distribución de tareas debe mantenerse en todo momento para la solicitud, la aprobación, la creación y la aprobación del comprobante de la factura, y la emisión del PCA. </w:t>
      </w:r>
    </w:p>
    <w:p w14:paraId="7B25C7AF" w14:textId="77777777" w:rsidR="00125F46" w:rsidRPr="00125F46" w:rsidRDefault="00125F46" w:rsidP="00125F46">
      <w:pPr>
        <w:pStyle w:val="NormalWeb"/>
        <w:numPr>
          <w:ilvl w:val="1"/>
          <w:numId w:val="1"/>
        </w:numPr>
        <w:spacing w:before="120" w:beforeAutospacing="0"/>
        <w:ind w:left="360"/>
        <w:jc w:val="both"/>
        <w:rPr>
          <w:rFonts w:ascii="Calibri" w:hAnsi="Calibri" w:cs="Calibri"/>
          <w:sz w:val="22"/>
          <w:szCs w:val="22"/>
        </w:rPr>
      </w:pPr>
      <w:r w:rsidRPr="00125F46">
        <w:rPr>
          <w:rFonts w:ascii="Calibri" w:hAnsi="Calibri" w:cs="Calibri"/>
          <w:sz w:val="22"/>
          <w:szCs w:val="22"/>
        </w:rPr>
        <w:t xml:space="preserve">El Custodio del PCA desembolsa el efectivo a los beneficiarios autorizados para gastos que reúnen las condiciones para un PCA solamente para la actividad única y específica del proyecto. </w:t>
      </w:r>
    </w:p>
    <w:p w14:paraId="736A727E" w14:textId="77777777" w:rsidR="00125F46" w:rsidRPr="00125F46" w:rsidRDefault="00125F46" w:rsidP="00125F46">
      <w:pPr>
        <w:pStyle w:val="NormalWeb"/>
        <w:numPr>
          <w:ilvl w:val="1"/>
          <w:numId w:val="1"/>
        </w:numPr>
        <w:spacing w:before="120" w:beforeAutospacing="0"/>
        <w:ind w:left="360"/>
        <w:jc w:val="both"/>
        <w:rPr>
          <w:rFonts w:ascii="Calibri" w:hAnsi="Calibri" w:cs="Calibri"/>
          <w:sz w:val="22"/>
          <w:szCs w:val="22"/>
        </w:rPr>
      </w:pPr>
      <w:r w:rsidRPr="00125F46">
        <w:rPr>
          <w:rFonts w:ascii="Calibri" w:hAnsi="Calibri" w:cs="Calibri"/>
          <w:sz w:val="22"/>
          <w:szCs w:val="22"/>
        </w:rPr>
        <w:t xml:space="preserve">El Custodio del PCA debe mantener la lista de pagos con los documentos de respaldo. Esto incluirá registros para identificar a quién se le pagó, por ejemplo, reteniendo copias de la identificación de los beneficiarios. </w:t>
      </w:r>
    </w:p>
    <w:p w14:paraId="55B73798" w14:textId="77777777" w:rsidR="00125F46" w:rsidRPr="00125F46" w:rsidRDefault="00125F46" w:rsidP="00125F46">
      <w:pPr>
        <w:pStyle w:val="NormalWeb"/>
        <w:numPr>
          <w:ilvl w:val="1"/>
          <w:numId w:val="1"/>
        </w:numPr>
        <w:spacing w:before="120" w:beforeAutospacing="0"/>
        <w:ind w:left="360"/>
        <w:jc w:val="both"/>
        <w:rPr>
          <w:rFonts w:ascii="Calibri" w:hAnsi="Calibri" w:cs="Calibri"/>
          <w:sz w:val="22"/>
          <w:szCs w:val="22"/>
        </w:rPr>
      </w:pPr>
      <w:r w:rsidRPr="00125F46">
        <w:rPr>
          <w:rFonts w:ascii="Calibri" w:hAnsi="Calibri" w:cs="Calibri"/>
          <w:sz w:val="22"/>
          <w:szCs w:val="22"/>
        </w:rPr>
        <w:t xml:space="preserve">El Custodio del PCA debe enviar todas las facturas y recibos al </w:t>
      </w:r>
      <w:proofErr w:type="spellStart"/>
      <w:r w:rsidRPr="00125F46">
        <w:rPr>
          <w:rFonts w:ascii="Calibri" w:hAnsi="Calibri" w:cs="Calibri"/>
          <w:sz w:val="22"/>
          <w:szCs w:val="22"/>
        </w:rPr>
        <w:t>RRAd</w:t>
      </w:r>
      <w:proofErr w:type="spellEnd"/>
      <w:r w:rsidRPr="00125F46">
        <w:rPr>
          <w:rFonts w:ascii="Calibri" w:hAnsi="Calibri" w:cs="Calibri"/>
          <w:sz w:val="22"/>
          <w:szCs w:val="22"/>
        </w:rPr>
        <w:t xml:space="preserve"> de Operaciones. </w:t>
      </w:r>
    </w:p>
    <w:p w14:paraId="70DCAABE" w14:textId="77777777" w:rsidR="00125F46" w:rsidRPr="00125F46" w:rsidRDefault="00125F46" w:rsidP="00125F46">
      <w:pPr>
        <w:pStyle w:val="NormalWeb"/>
        <w:numPr>
          <w:ilvl w:val="1"/>
          <w:numId w:val="1"/>
        </w:numPr>
        <w:spacing w:before="120" w:beforeAutospacing="0"/>
        <w:ind w:left="360"/>
        <w:jc w:val="both"/>
        <w:rPr>
          <w:rFonts w:ascii="Calibri" w:hAnsi="Calibri" w:cs="Calibri"/>
          <w:sz w:val="22"/>
          <w:szCs w:val="22"/>
        </w:rPr>
      </w:pPr>
      <w:r w:rsidRPr="00125F46">
        <w:rPr>
          <w:rFonts w:ascii="Calibri" w:hAnsi="Calibri" w:cs="Calibri"/>
          <w:sz w:val="22"/>
          <w:szCs w:val="22"/>
        </w:rPr>
        <w:lastRenderedPageBreak/>
        <w:t xml:space="preserve">El PCA debe presentar la contabilidad definitiva dentro de los 30 días posteriores a la fecha de emisión del anticipo, incluida la devolución del saldo en efectivo del PCA no utilizado y los documentos enumerados en los puntos 20 y 21 anteriores al </w:t>
      </w:r>
      <w:proofErr w:type="spellStart"/>
      <w:r w:rsidRPr="00125F46">
        <w:rPr>
          <w:rFonts w:ascii="Calibri" w:hAnsi="Calibri" w:cs="Calibri"/>
          <w:sz w:val="22"/>
          <w:szCs w:val="22"/>
        </w:rPr>
        <w:t>RRAd</w:t>
      </w:r>
      <w:proofErr w:type="spellEnd"/>
      <w:r w:rsidRPr="00125F46">
        <w:rPr>
          <w:rFonts w:ascii="Calibri" w:hAnsi="Calibri" w:cs="Calibri"/>
          <w:sz w:val="22"/>
          <w:szCs w:val="22"/>
        </w:rPr>
        <w:t xml:space="preserve"> de Operaciones. </w:t>
      </w:r>
    </w:p>
    <w:p w14:paraId="5C8F23C6" w14:textId="77777777" w:rsidR="00125F46" w:rsidRPr="00125F46" w:rsidRDefault="00125F46" w:rsidP="00125F46">
      <w:pPr>
        <w:pStyle w:val="NormalWeb"/>
        <w:numPr>
          <w:ilvl w:val="1"/>
          <w:numId w:val="1"/>
        </w:numPr>
        <w:spacing w:before="120" w:beforeAutospacing="0"/>
        <w:ind w:left="360"/>
        <w:jc w:val="both"/>
        <w:rPr>
          <w:rFonts w:ascii="Calibri" w:hAnsi="Calibri" w:cs="Calibri"/>
          <w:sz w:val="22"/>
          <w:szCs w:val="22"/>
        </w:rPr>
      </w:pPr>
      <w:r w:rsidRPr="00125F46">
        <w:rPr>
          <w:rFonts w:ascii="Calibri" w:hAnsi="Calibri" w:cs="Calibri"/>
          <w:sz w:val="22"/>
          <w:szCs w:val="22"/>
        </w:rPr>
        <w:t xml:space="preserve">Finanzas/Operaciones revisa el paso 23 anterior y verifica que el PCA se desembolsó de acuerdo con los procedimientos y se contabilice plenamente, y procede a realizar los asientos contables de cierre. La revisión debe incluir llamadas telefónicas a beneficiarios seleccionados al azar para verificar los pagos reales. </w:t>
      </w:r>
    </w:p>
    <w:p w14:paraId="7A5C3A5E" w14:textId="77777777" w:rsidR="00125F46" w:rsidRPr="00125F46" w:rsidRDefault="00125F46" w:rsidP="00125F46">
      <w:pPr>
        <w:pStyle w:val="NormalWeb"/>
        <w:numPr>
          <w:ilvl w:val="1"/>
          <w:numId w:val="1"/>
        </w:numPr>
        <w:spacing w:before="120" w:beforeAutospacing="0"/>
        <w:ind w:left="360"/>
        <w:jc w:val="both"/>
        <w:rPr>
          <w:rFonts w:ascii="Calibri" w:hAnsi="Calibri" w:cs="Calibri"/>
          <w:sz w:val="22"/>
          <w:szCs w:val="22"/>
        </w:rPr>
      </w:pPr>
      <w:r w:rsidRPr="00125F46">
        <w:rPr>
          <w:rFonts w:ascii="Calibri" w:hAnsi="Calibri" w:cs="Calibri"/>
          <w:sz w:val="22"/>
          <w:szCs w:val="22"/>
        </w:rPr>
        <w:t xml:space="preserve">El Asociado de Finanzas asignado responsable del seguimiento del estado del PCA debe utilizar el monitor de estado del PCA (Anexo 6: Monitor de estado del PCA) para asegurarse de que todas las actividades del proyecto finalizadas al 23 del mes no tengan PCA pendientes el último día del mes. </w:t>
      </w:r>
    </w:p>
    <w:p w14:paraId="3F382761" w14:textId="77777777" w:rsidR="00125F46" w:rsidRPr="00125F46" w:rsidRDefault="00125F46" w:rsidP="00125F46">
      <w:pPr>
        <w:pStyle w:val="NormalWeb"/>
        <w:numPr>
          <w:ilvl w:val="1"/>
          <w:numId w:val="1"/>
        </w:numPr>
        <w:spacing w:before="120" w:beforeAutospacing="0"/>
        <w:ind w:left="360"/>
        <w:jc w:val="both"/>
        <w:rPr>
          <w:rFonts w:ascii="Calibri" w:hAnsi="Calibri" w:cs="Calibri"/>
          <w:sz w:val="22"/>
          <w:szCs w:val="22"/>
        </w:rPr>
      </w:pPr>
      <w:r w:rsidRPr="00125F46">
        <w:rPr>
          <w:rFonts w:ascii="Calibri" w:hAnsi="Calibri" w:cs="Calibri"/>
          <w:sz w:val="22"/>
          <w:szCs w:val="22"/>
        </w:rPr>
        <w:t xml:space="preserve">El Gerente de Operaciones debe revisar el monitor de estado del PCA al final de cada mes. </w:t>
      </w:r>
    </w:p>
    <w:p w14:paraId="684B7832" w14:textId="77777777" w:rsidR="00125F46" w:rsidRPr="00125F46" w:rsidRDefault="00125F46" w:rsidP="00125F46">
      <w:pPr>
        <w:pStyle w:val="NormalWeb"/>
        <w:spacing w:before="120" w:beforeAutospacing="0"/>
        <w:jc w:val="both"/>
        <w:rPr>
          <w:rFonts w:ascii="Calibri" w:hAnsi="Calibri" w:cs="Calibri"/>
          <w:b/>
          <w:i/>
          <w:sz w:val="22"/>
          <w:szCs w:val="22"/>
        </w:rPr>
      </w:pPr>
      <w:r w:rsidRPr="00125F46">
        <w:rPr>
          <w:rFonts w:ascii="Calibri" w:hAnsi="Calibri" w:cs="Calibri"/>
          <w:b/>
          <w:i/>
          <w:sz w:val="22"/>
          <w:szCs w:val="22"/>
        </w:rPr>
        <w:t xml:space="preserve">Consejos: El Gerente de Operaciones debe asignar a un Asociado de Finanzas la responsabilidad de supervisar todos los PCA emitidos y garantizar que las acciones apropiadas enumeradas anteriormente se realicen dentro del plazo requerido. </w:t>
      </w:r>
    </w:p>
    <w:p w14:paraId="324F0CB4" w14:textId="77777777" w:rsidR="00125F46" w:rsidRPr="00125F46" w:rsidRDefault="00125F46" w:rsidP="00125F46">
      <w:pPr>
        <w:pStyle w:val="NormalWeb"/>
        <w:spacing w:before="120" w:beforeAutospacing="0"/>
        <w:jc w:val="both"/>
        <w:rPr>
          <w:rFonts w:ascii="Calibri" w:hAnsi="Calibri" w:cs="Calibri"/>
          <w:sz w:val="22"/>
          <w:szCs w:val="22"/>
          <w:u w:val="single"/>
        </w:rPr>
      </w:pPr>
      <w:r w:rsidRPr="00125F46">
        <w:rPr>
          <w:rFonts w:ascii="Calibri" w:hAnsi="Calibri" w:cs="Calibri"/>
          <w:sz w:val="22"/>
          <w:szCs w:val="22"/>
          <w:u w:val="single"/>
        </w:rPr>
        <w:t xml:space="preserve">Contabilidad para PCA </w:t>
      </w:r>
    </w:p>
    <w:p w14:paraId="1DA71681" w14:textId="77777777" w:rsidR="00125F46" w:rsidRPr="00125F46" w:rsidRDefault="00125F46" w:rsidP="00125F46">
      <w:pPr>
        <w:pStyle w:val="NormalWeb"/>
        <w:numPr>
          <w:ilvl w:val="1"/>
          <w:numId w:val="1"/>
        </w:numPr>
        <w:spacing w:before="120" w:beforeAutospacing="0"/>
        <w:ind w:left="360"/>
        <w:jc w:val="both"/>
        <w:rPr>
          <w:rFonts w:ascii="Calibri" w:hAnsi="Calibri" w:cs="Calibri"/>
          <w:sz w:val="22"/>
          <w:szCs w:val="22"/>
        </w:rPr>
      </w:pPr>
      <w:r w:rsidRPr="00125F46">
        <w:rPr>
          <w:rFonts w:ascii="Calibri" w:hAnsi="Calibri" w:cs="Calibri"/>
          <w:sz w:val="22"/>
          <w:szCs w:val="22"/>
        </w:rPr>
        <w:t xml:space="preserve">La CO debe realizar los registros en la moneda en la cual se emite el PCA. </w:t>
      </w:r>
    </w:p>
    <w:p w14:paraId="2E1726C9" w14:textId="77777777" w:rsidR="00125F46" w:rsidRPr="00125F46" w:rsidRDefault="00125F46" w:rsidP="00125F46">
      <w:pPr>
        <w:pStyle w:val="NormalWeb"/>
        <w:spacing w:before="120" w:beforeAutospacing="0"/>
        <w:jc w:val="both"/>
        <w:rPr>
          <w:rFonts w:ascii="Calibri" w:hAnsi="Calibri" w:cs="Calibri"/>
          <w:sz w:val="22"/>
          <w:szCs w:val="22"/>
        </w:rPr>
      </w:pPr>
      <w:r w:rsidRPr="00125F46">
        <w:rPr>
          <w:rFonts w:ascii="Calibri" w:hAnsi="Calibri" w:cs="Calibri"/>
          <w:sz w:val="22"/>
          <w:szCs w:val="22"/>
        </w:rPr>
        <w:t xml:space="preserve">a. La factura de AP sin PO para la emisión del PCA se debe imputar al siguiente plan de cuentas (COA, </w:t>
      </w:r>
      <w:r w:rsidRPr="00125F46">
        <w:rPr>
          <w:rFonts w:ascii="Calibri" w:hAnsi="Calibri" w:cs="Calibri"/>
          <w:i/>
          <w:sz w:val="22"/>
          <w:szCs w:val="22"/>
        </w:rPr>
        <w:t>Chart of Accounts</w:t>
      </w:r>
      <w:r w:rsidRPr="00125F46">
        <w:rPr>
          <w:rFonts w:ascii="Calibri" w:hAnsi="Calibri" w:cs="Calibri"/>
          <w:sz w:val="22"/>
          <w:szCs w:val="22"/>
        </w:rPr>
        <w:t xml:space="preserve">, por sus siglas en inglés): </w:t>
      </w:r>
    </w:p>
    <w:p w14:paraId="4937B147" w14:textId="38F1DD45" w:rsidR="00125F46" w:rsidRPr="00125F46" w:rsidRDefault="00125F46" w:rsidP="00125F46">
      <w:pPr>
        <w:pStyle w:val="NormalWeb"/>
        <w:spacing w:before="120" w:beforeAutospacing="0" w:after="0" w:afterAutospacing="0"/>
        <w:ind w:left="720"/>
        <w:jc w:val="both"/>
        <w:rPr>
          <w:rFonts w:ascii="Calibri" w:hAnsi="Calibri" w:cs="Calibri"/>
          <w:sz w:val="22"/>
          <w:szCs w:val="22"/>
        </w:rPr>
      </w:pPr>
      <w:r w:rsidRPr="00125F46">
        <w:rPr>
          <w:rFonts w:ascii="Calibri" w:hAnsi="Calibri" w:cs="Calibri"/>
          <w:sz w:val="22"/>
          <w:szCs w:val="22"/>
        </w:rPr>
        <w:t xml:space="preserve">Cuenta de débito del GL: </w:t>
      </w:r>
      <w:r w:rsidRPr="00125F46">
        <w:rPr>
          <w:rFonts w:ascii="Calibri" w:hAnsi="Calibri" w:cs="Calibri"/>
          <w:sz w:val="22"/>
          <w:szCs w:val="22"/>
        </w:rPr>
        <w:tab/>
      </w:r>
      <w:r>
        <w:rPr>
          <w:rFonts w:ascii="Calibri" w:hAnsi="Calibri" w:cs="Calibri"/>
          <w:sz w:val="22"/>
          <w:szCs w:val="22"/>
        </w:rPr>
        <w:tab/>
      </w:r>
      <w:r w:rsidRPr="00125F46">
        <w:rPr>
          <w:rFonts w:ascii="Calibri" w:hAnsi="Calibri" w:cs="Calibri"/>
          <w:sz w:val="22"/>
          <w:szCs w:val="22"/>
        </w:rPr>
        <w:t xml:space="preserve">16108 – anticipo de efectivo del proyecto </w:t>
      </w:r>
    </w:p>
    <w:p w14:paraId="7898DCD6" w14:textId="4B488A63" w:rsidR="00125F46" w:rsidRPr="00125F46" w:rsidRDefault="00125F46" w:rsidP="00125F46">
      <w:pPr>
        <w:pStyle w:val="NormalWeb"/>
        <w:spacing w:before="120" w:beforeAutospacing="0" w:after="0" w:afterAutospacing="0"/>
        <w:ind w:left="720"/>
        <w:jc w:val="both"/>
        <w:rPr>
          <w:rFonts w:ascii="Calibri" w:hAnsi="Calibri" w:cs="Calibri"/>
          <w:sz w:val="22"/>
          <w:szCs w:val="22"/>
        </w:rPr>
      </w:pPr>
      <w:r w:rsidRPr="00125F46">
        <w:rPr>
          <w:rFonts w:ascii="Calibri" w:hAnsi="Calibri" w:cs="Calibri"/>
          <w:sz w:val="22"/>
          <w:szCs w:val="22"/>
        </w:rPr>
        <w:t xml:space="preserve">Unidad operacional: </w:t>
      </w:r>
      <w:r w:rsidRPr="00125F46">
        <w:rPr>
          <w:rFonts w:ascii="Calibri" w:hAnsi="Calibri" w:cs="Calibri"/>
          <w:sz w:val="22"/>
          <w:szCs w:val="22"/>
        </w:rPr>
        <w:tab/>
      </w:r>
      <w:r w:rsidRPr="00125F46">
        <w:rPr>
          <w:rFonts w:ascii="Calibri" w:hAnsi="Calibri" w:cs="Calibri"/>
          <w:sz w:val="22"/>
          <w:szCs w:val="22"/>
        </w:rPr>
        <w:tab/>
      </w:r>
      <w:r>
        <w:rPr>
          <w:rFonts w:ascii="Calibri" w:hAnsi="Calibri" w:cs="Calibri"/>
          <w:sz w:val="22"/>
          <w:szCs w:val="22"/>
        </w:rPr>
        <w:tab/>
      </w:r>
      <w:r w:rsidRPr="00125F46">
        <w:rPr>
          <w:rFonts w:ascii="Calibri" w:hAnsi="Calibri" w:cs="Calibri"/>
          <w:sz w:val="22"/>
          <w:szCs w:val="22"/>
        </w:rPr>
        <w:t xml:space="preserve">unidad operacional de la CO </w:t>
      </w:r>
    </w:p>
    <w:p w14:paraId="1B5CFB1A" w14:textId="5788D5FD" w:rsidR="00125F46" w:rsidRPr="00125F46" w:rsidRDefault="00125F46" w:rsidP="00125F46">
      <w:pPr>
        <w:pStyle w:val="NormalWeb"/>
        <w:spacing w:before="120" w:beforeAutospacing="0" w:after="0" w:afterAutospacing="0"/>
        <w:ind w:left="720"/>
        <w:jc w:val="both"/>
        <w:rPr>
          <w:rFonts w:ascii="Calibri" w:hAnsi="Calibri" w:cs="Calibri"/>
          <w:sz w:val="22"/>
          <w:szCs w:val="22"/>
        </w:rPr>
      </w:pPr>
      <w:r w:rsidRPr="00125F46">
        <w:rPr>
          <w:rFonts w:ascii="Calibri" w:hAnsi="Calibri" w:cs="Calibri"/>
          <w:sz w:val="22"/>
          <w:szCs w:val="22"/>
        </w:rPr>
        <w:t xml:space="preserve">Código del fondo: </w:t>
      </w:r>
      <w:r w:rsidRPr="00125F46">
        <w:rPr>
          <w:rFonts w:ascii="Calibri" w:hAnsi="Calibri" w:cs="Calibri"/>
          <w:sz w:val="22"/>
          <w:szCs w:val="22"/>
        </w:rPr>
        <w:tab/>
      </w:r>
      <w:r w:rsidRPr="00125F46">
        <w:rPr>
          <w:rFonts w:ascii="Calibri" w:hAnsi="Calibri" w:cs="Calibri"/>
          <w:sz w:val="22"/>
          <w:szCs w:val="22"/>
        </w:rPr>
        <w:tab/>
      </w:r>
      <w:r>
        <w:rPr>
          <w:rFonts w:ascii="Calibri" w:hAnsi="Calibri" w:cs="Calibri"/>
          <w:sz w:val="22"/>
          <w:szCs w:val="22"/>
        </w:rPr>
        <w:tab/>
      </w:r>
      <w:r w:rsidRPr="00125F46">
        <w:rPr>
          <w:rFonts w:ascii="Calibri" w:hAnsi="Calibri" w:cs="Calibri"/>
          <w:sz w:val="22"/>
          <w:szCs w:val="22"/>
        </w:rPr>
        <w:t xml:space="preserve">código de fondo del proyecto pertinente </w:t>
      </w:r>
    </w:p>
    <w:p w14:paraId="5919C393" w14:textId="0E9DD1DD" w:rsidR="00125F46" w:rsidRPr="00125F46" w:rsidRDefault="00125F46" w:rsidP="00125F46">
      <w:pPr>
        <w:pStyle w:val="NormalWeb"/>
        <w:spacing w:before="120" w:beforeAutospacing="0" w:after="0" w:afterAutospacing="0"/>
        <w:ind w:left="720"/>
        <w:jc w:val="both"/>
        <w:rPr>
          <w:rFonts w:ascii="Calibri" w:hAnsi="Calibri" w:cs="Calibri"/>
          <w:sz w:val="22"/>
          <w:szCs w:val="22"/>
        </w:rPr>
      </w:pPr>
      <w:r w:rsidRPr="00125F46">
        <w:rPr>
          <w:rFonts w:ascii="Calibri" w:hAnsi="Calibri" w:cs="Calibri"/>
          <w:sz w:val="22"/>
          <w:szCs w:val="22"/>
        </w:rPr>
        <w:t xml:space="preserve">Departamento: </w:t>
      </w:r>
      <w:r w:rsidRPr="00125F46">
        <w:rPr>
          <w:rFonts w:ascii="Calibri" w:hAnsi="Calibri" w:cs="Calibri"/>
          <w:sz w:val="22"/>
          <w:szCs w:val="22"/>
        </w:rPr>
        <w:tab/>
      </w:r>
      <w:r w:rsidRPr="00125F46">
        <w:rPr>
          <w:rFonts w:ascii="Calibri" w:hAnsi="Calibri" w:cs="Calibri"/>
          <w:sz w:val="22"/>
          <w:szCs w:val="22"/>
        </w:rPr>
        <w:tab/>
      </w:r>
      <w:r w:rsidRPr="00125F46">
        <w:rPr>
          <w:rFonts w:ascii="Calibri" w:hAnsi="Calibri" w:cs="Calibri"/>
          <w:sz w:val="22"/>
          <w:szCs w:val="22"/>
        </w:rPr>
        <w:tab/>
      </w:r>
      <w:r>
        <w:rPr>
          <w:rFonts w:ascii="Calibri" w:hAnsi="Calibri" w:cs="Calibri"/>
          <w:sz w:val="22"/>
          <w:szCs w:val="22"/>
        </w:rPr>
        <w:tab/>
      </w:r>
      <w:r w:rsidRPr="00125F46">
        <w:rPr>
          <w:rFonts w:ascii="Calibri" w:hAnsi="Calibri" w:cs="Calibri"/>
          <w:sz w:val="22"/>
          <w:szCs w:val="22"/>
        </w:rPr>
        <w:t xml:space="preserve">código de departamento respectivo </w:t>
      </w:r>
    </w:p>
    <w:p w14:paraId="4C70C1E8" w14:textId="68E404EC" w:rsidR="00125F46" w:rsidRPr="00125F46" w:rsidRDefault="00125F46" w:rsidP="00125F46">
      <w:pPr>
        <w:pStyle w:val="NormalWeb"/>
        <w:spacing w:before="120" w:beforeAutospacing="0" w:after="0" w:afterAutospacing="0"/>
        <w:ind w:left="720"/>
        <w:jc w:val="both"/>
        <w:rPr>
          <w:rFonts w:ascii="Calibri" w:hAnsi="Calibri" w:cs="Calibri"/>
          <w:sz w:val="22"/>
          <w:szCs w:val="22"/>
        </w:rPr>
      </w:pPr>
      <w:r w:rsidRPr="00125F46">
        <w:rPr>
          <w:rFonts w:ascii="Calibri" w:hAnsi="Calibri" w:cs="Calibri"/>
          <w:sz w:val="22"/>
          <w:szCs w:val="22"/>
        </w:rPr>
        <w:t xml:space="preserve">ID del proyecto: </w:t>
      </w:r>
      <w:r w:rsidRPr="00125F46">
        <w:rPr>
          <w:rFonts w:ascii="Calibri" w:hAnsi="Calibri" w:cs="Calibri"/>
          <w:sz w:val="22"/>
          <w:szCs w:val="22"/>
        </w:rPr>
        <w:tab/>
      </w:r>
      <w:r w:rsidRPr="00125F46">
        <w:rPr>
          <w:rFonts w:ascii="Calibri" w:hAnsi="Calibri" w:cs="Calibri"/>
          <w:sz w:val="22"/>
          <w:szCs w:val="22"/>
        </w:rPr>
        <w:tab/>
      </w:r>
      <w:r>
        <w:rPr>
          <w:rFonts w:ascii="Calibri" w:hAnsi="Calibri" w:cs="Calibri"/>
          <w:sz w:val="22"/>
          <w:szCs w:val="22"/>
        </w:rPr>
        <w:tab/>
      </w:r>
      <w:r w:rsidRPr="00125F46">
        <w:rPr>
          <w:rFonts w:ascii="Calibri" w:hAnsi="Calibri" w:cs="Calibri"/>
          <w:sz w:val="22"/>
          <w:szCs w:val="22"/>
        </w:rPr>
        <w:t xml:space="preserve">ID del proyecto pertinente </w:t>
      </w:r>
    </w:p>
    <w:p w14:paraId="1CCBC384" w14:textId="1525DEE0" w:rsidR="00125F46" w:rsidRPr="00125F46" w:rsidRDefault="00125F46" w:rsidP="00125F46">
      <w:pPr>
        <w:pStyle w:val="NormalWeb"/>
        <w:spacing w:before="120" w:beforeAutospacing="0" w:after="0" w:afterAutospacing="0"/>
        <w:ind w:left="720"/>
        <w:jc w:val="both"/>
        <w:rPr>
          <w:rFonts w:ascii="Calibri" w:hAnsi="Calibri" w:cs="Calibri"/>
          <w:sz w:val="22"/>
          <w:szCs w:val="22"/>
        </w:rPr>
      </w:pPr>
      <w:r w:rsidRPr="00125F46">
        <w:rPr>
          <w:rFonts w:ascii="Calibri" w:hAnsi="Calibri" w:cs="Calibri"/>
          <w:sz w:val="22"/>
          <w:szCs w:val="22"/>
        </w:rPr>
        <w:t xml:space="preserve">Agente de implementación: </w:t>
      </w:r>
      <w:r w:rsidRPr="00125F46">
        <w:rPr>
          <w:rFonts w:ascii="Calibri" w:hAnsi="Calibri" w:cs="Calibri"/>
          <w:sz w:val="22"/>
          <w:szCs w:val="22"/>
        </w:rPr>
        <w:tab/>
      </w:r>
      <w:r>
        <w:rPr>
          <w:rFonts w:ascii="Calibri" w:hAnsi="Calibri" w:cs="Calibri"/>
          <w:sz w:val="22"/>
          <w:szCs w:val="22"/>
        </w:rPr>
        <w:tab/>
      </w:r>
      <w:r w:rsidRPr="00125F46">
        <w:rPr>
          <w:rFonts w:ascii="Calibri" w:hAnsi="Calibri" w:cs="Calibri"/>
          <w:sz w:val="22"/>
          <w:szCs w:val="22"/>
        </w:rPr>
        <w:t xml:space="preserve">según corresponda </w:t>
      </w:r>
    </w:p>
    <w:p w14:paraId="50185773" w14:textId="76DCF166" w:rsidR="00125F46" w:rsidRPr="00125F46" w:rsidRDefault="00125F46" w:rsidP="00125F46">
      <w:pPr>
        <w:pStyle w:val="NormalWeb"/>
        <w:spacing w:before="120" w:beforeAutospacing="0" w:after="0" w:afterAutospacing="0"/>
        <w:ind w:left="720"/>
        <w:jc w:val="both"/>
        <w:rPr>
          <w:rFonts w:ascii="Calibri" w:hAnsi="Calibri" w:cs="Calibri"/>
          <w:sz w:val="22"/>
          <w:szCs w:val="22"/>
        </w:rPr>
      </w:pPr>
      <w:r w:rsidRPr="00125F46">
        <w:rPr>
          <w:rFonts w:ascii="Calibri" w:hAnsi="Calibri" w:cs="Calibri"/>
          <w:sz w:val="22"/>
          <w:szCs w:val="22"/>
        </w:rPr>
        <w:t xml:space="preserve">Donante: </w:t>
      </w:r>
      <w:r w:rsidRPr="00125F46">
        <w:rPr>
          <w:rFonts w:ascii="Calibri" w:hAnsi="Calibri" w:cs="Calibri"/>
          <w:sz w:val="22"/>
          <w:szCs w:val="22"/>
        </w:rPr>
        <w:tab/>
      </w:r>
      <w:r w:rsidRPr="00125F46">
        <w:rPr>
          <w:rFonts w:ascii="Calibri" w:hAnsi="Calibri" w:cs="Calibri"/>
          <w:sz w:val="22"/>
          <w:szCs w:val="22"/>
        </w:rPr>
        <w:tab/>
      </w:r>
      <w:r w:rsidRPr="00125F46">
        <w:rPr>
          <w:rFonts w:ascii="Calibri" w:hAnsi="Calibri" w:cs="Calibri"/>
          <w:sz w:val="22"/>
          <w:szCs w:val="22"/>
        </w:rPr>
        <w:tab/>
      </w:r>
      <w:r>
        <w:rPr>
          <w:rFonts w:ascii="Calibri" w:hAnsi="Calibri" w:cs="Calibri"/>
          <w:sz w:val="22"/>
          <w:szCs w:val="22"/>
        </w:rPr>
        <w:tab/>
      </w:r>
      <w:r w:rsidRPr="00125F46">
        <w:rPr>
          <w:rFonts w:ascii="Calibri" w:hAnsi="Calibri" w:cs="Calibri"/>
          <w:sz w:val="22"/>
          <w:szCs w:val="22"/>
        </w:rPr>
        <w:t xml:space="preserve">según corresponda </w:t>
      </w:r>
    </w:p>
    <w:p w14:paraId="50DFAEF8" w14:textId="77777777" w:rsidR="00125F46" w:rsidRPr="00125F46" w:rsidRDefault="00125F46" w:rsidP="00125F46">
      <w:pPr>
        <w:pStyle w:val="NormalWeb"/>
        <w:spacing w:before="120" w:beforeAutospacing="0" w:after="0" w:afterAutospacing="0"/>
        <w:ind w:left="720"/>
        <w:jc w:val="both"/>
        <w:rPr>
          <w:rFonts w:ascii="Calibri" w:hAnsi="Calibri" w:cs="Calibri"/>
          <w:sz w:val="22"/>
          <w:szCs w:val="22"/>
        </w:rPr>
      </w:pPr>
      <w:r w:rsidRPr="00125F46">
        <w:rPr>
          <w:rFonts w:ascii="Calibri" w:hAnsi="Calibri" w:cs="Calibri"/>
          <w:sz w:val="22"/>
          <w:szCs w:val="22"/>
        </w:rPr>
        <w:t xml:space="preserve">Clave de </w:t>
      </w:r>
      <w:proofErr w:type="spellStart"/>
      <w:r w:rsidRPr="00125F46">
        <w:rPr>
          <w:rFonts w:ascii="Calibri" w:hAnsi="Calibri" w:cs="Calibri"/>
          <w:sz w:val="22"/>
          <w:szCs w:val="22"/>
        </w:rPr>
        <w:t>partidaelemento</w:t>
      </w:r>
      <w:proofErr w:type="spellEnd"/>
      <w:r w:rsidRPr="00125F46">
        <w:rPr>
          <w:rFonts w:ascii="Calibri" w:hAnsi="Calibri" w:cs="Calibri"/>
          <w:sz w:val="22"/>
          <w:szCs w:val="22"/>
        </w:rPr>
        <w:t xml:space="preserve"> </w:t>
      </w:r>
      <w:proofErr w:type="spellStart"/>
      <w:r w:rsidRPr="00125F46">
        <w:rPr>
          <w:rFonts w:ascii="Calibri" w:hAnsi="Calibri" w:cs="Calibri"/>
          <w:sz w:val="22"/>
          <w:szCs w:val="22"/>
        </w:rPr>
        <w:t>abiertao</w:t>
      </w:r>
      <w:proofErr w:type="spellEnd"/>
      <w:r w:rsidRPr="00125F46">
        <w:rPr>
          <w:rFonts w:ascii="Calibri" w:hAnsi="Calibri" w:cs="Calibri"/>
          <w:sz w:val="22"/>
          <w:szCs w:val="22"/>
        </w:rPr>
        <w:t xml:space="preserve">: </w:t>
      </w:r>
      <w:r w:rsidRPr="00125F46">
        <w:rPr>
          <w:rFonts w:ascii="Calibri" w:hAnsi="Calibri" w:cs="Calibri"/>
          <w:sz w:val="22"/>
          <w:szCs w:val="22"/>
        </w:rPr>
        <w:tab/>
        <w:t xml:space="preserve">ID del índice de personal del Custodio del PCA </w:t>
      </w:r>
    </w:p>
    <w:p w14:paraId="304831EB" w14:textId="2CC0ADEC" w:rsidR="00125F46" w:rsidRPr="00125F46" w:rsidRDefault="00125F46" w:rsidP="00125F46">
      <w:pPr>
        <w:pStyle w:val="NormalWeb"/>
        <w:spacing w:before="120" w:beforeAutospacing="0" w:after="0" w:afterAutospacing="0"/>
        <w:ind w:left="720"/>
        <w:jc w:val="both"/>
        <w:rPr>
          <w:rFonts w:ascii="Calibri" w:hAnsi="Calibri" w:cs="Calibri"/>
          <w:sz w:val="22"/>
          <w:szCs w:val="22"/>
        </w:rPr>
      </w:pPr>
      <w:r w:rsidRPr="00125F46">
        <w:rPr>
          <w:rFonts w:ascii="Calibri" w:hAnsi="Calibri" w:cs="Calibri"/>
          <w:sz w:val="22"/>
          <w:szCs w:val="22"/>
        </w:rPr>
        <w:t>Factura relacionada:</w:t>
      </w:r>
      <w:r w:rsidRPr="00125F46">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125F46">
        <w:rPr>
          <w:rFonts w:ascii="Calibri" w:hAnsi="Calibri" w:cs="Calibri"/>
          <w:sz w:val="22"/>
          <w:szCs w:val="22"/>
        </w:rPr>
        <w:t xml:space="preserve">ID de la factura del anticipo inicial emitido </w:t>
      </w:r>
    </w:p>
    <w:p w14:paraId="5CAFC555" w14:textId="77777777" w:rsidR="00125F46" w:rsidRPr="00125F46" w:rsidRDefault="00125F46" w:rsidP="00125F46">
      <w:pPr>
        <w:pStyle w:val="NormalWeb"/>
        <w:spacing w:before="120" w:beforeAutospacing="0"/>
        <w:jc w:val="both"/>
        <w:rPr>
          <w:rFonts w:ascii="Calibri" w:hAnsi="Calibri" w:cs="Calibri"/>
          <w:sz w:val="22"/>
          <w:szCs w:val="22"/>
        </w:rPr>
      </w:pPr>
      <w:r w:rsidRPr="00125F46">
        <w:rPr>
          <w:rFonts w:ascii="Calibri" w:hAnsi="Calibri" w:cs="Calibri"/>
          <w:sz w:val="22"/>
          <w:szCs w:val="22"/>
        </w:rPr>
        <w:t xml:space="preserve">b. Para registrar los gastos reales del PCA y revertir el PCA original, se debe imputar el APJV en la siguiente COA (no utilizar asientos del libro mayor [GLJE, </w:t>
      </w:r>
      <w:r w:rsidRPr="00125F46">
        <w:rPr>
          <w:rFonts w:ascii="Calibri" w:hAnsi="Calibri" w:cs="Calibri"/>
          <w:i/>
          <w:sz w:val="22"/>
          <w:szCs w:val="22"/>
        </w:rPr>
        <w:t xml:space="preserve">General </w:t>
      </w:r>
      <w:proofErr w:type="spellStart"/>
      <w:r w:rsidRPr="00125F46">
        <w:rPr>
          <w:rFonts w:ascii="Calibri" w:hAnsi="Calibri" w:cs="Calibri"/>
          <w:i/>
          <w:sz w:val="22"/>
          <w:szCs w:val="22"/>
        </w:rPr>
        <w:t>Ledger</w:t>
      </w:r>
      <w:proofErr w:type="spellEnd"/>
      <w:r w:rsidRPr="00125F46">
        <w:rPr>
          <w:rFonts w:ascii="Calibri" w:hAnsi="Calibri" w:cs="Calibri"/>
          <w:i/>
          <w:sz w:val="22"/>
          <w:szCs w:val="22"/>
        </w:rPr>
        <w:t xml:space="preserve"> </w:t>
      </w:r>
      <w:proofErr w:type="spellStart"/>
      <w:r w:rsidRPr="00125F46">
        <w:rPr>
          <w:rFonts w:ascii="Calibri" w:hAnsi="Calibri" w:cs="Calibri"/>
          <w:i/>
          <w:sz w:val="22"/>
          <w:szCs w:val="22"/>
        </w:rPr>
        <w:t>Journal</w:t>
      </w:r>
      <w:proofErr w:type="spellEnd"/>
      <w:r w:rsidRPr="00125F46">
        <w:rPr>
          <w:rFonts w:ascii="Calibri" w:hAnsi="Calibri" w:cs="Calibri"/>
          <w:i/>
          <w:sz w:val="22"/>
          <w:szCs w:val="22"/>
        </w:rPr>
        <w:t xml:space="preserve"> </w:t>
      </w:r>
      <w:proofErr w:type="spellStart"/>
      <w:r w:rsidRPr="00125F46">
        <w:rPr>
          <w:rFonts w:ascii="Calibri" w:hAnsi="Calibri" w:cs="Calibri"/>
          <w:i/>
          <w:sz w:val="22"/>
          <w:szCs w:val="22"/>
        </w:rPr>
        <w:t>Entries</w:t>
      </w:r>
      <w:proofErr w:type="spellEnd"/>
      <w:r w:rsidRPr="00125F46">
        <w:rPr>
          <w:rFonts w:ascii="Calibri" w:hAnsi="Calibri" w:cs="Calibri"/>
          <w:i/>
          <w:sz w:val="22"/>
          <w:szCs w:val="22"/>
        </w:rPr>
        <w:t>,</w:t>
      </w:r>
      <w:r w:rsidRPr="00125F46">
        <w:rPr>
          <w:rFonts w:ascii="Calibri" w:hAnsi="Calibri" w:cs="Calibri"/>
          <w:sz w:val="22"/>
          <w:szCs w:val="22"/>
        </w:rPr>
        <w:t xml:space="preserve"> por sus siglas en inglés]): </w:t>
      </w:r>
    </w:p>
    <w:p w14:paraId="5E323A39" w14:textId="77777777" w:rsidR="00125F46" w:rsidRPr="00125F46" w:rsidRDefault="00125F46" w:rsidP="00125F46">
      <w:pPr>
        <w:pStyle w:val="NormalWeb"/>
        <w:spacing w:before="120" w:beforeAutospacing="0" w:after="0" w:afterAutospacing="0"/>
        <w:ind w:left="720"/>
        <w:jc w:val="both"/>
        <w:rPr>
          <w:rFonts w:ascii="Calibri" w:hAnsi="Calibri" w:cs="Calibri"/>
          <w:sz w:val="22"/>
          <w:szCs w:val="22"/>
        </w:rPr>
      </w:pPr>
      <w:r w:rsidRPr="00125F46">
        <w:rPr>
          <w:rFonts w:ascii="Calibri" w:hAnsi="Calibri" w:cs="Calibri"/>
          <w:sz w:val="22"/>
          <w:szCs w:val="22"/>
        </w:rPr>
        <w:t xml:space="preserve">Cuenta de débito del GL: </w:t>
      </w:r>
      <w:r w:rsidRPr="00125F46">
        <w:rPr>
          <w:rFonts w:ascii="Calibri" w:hAnsi="Calibri" w:cs="Calibri"/>
          <w:sz w:val="22"/>
          <w:szCs w:val="22"/>
        </w:rPr>
        <w:tab/>
        <w:t xml:space="preserve">7XXXX - cuentas de gastos aplicables </w:t>
      </w:r>
    </w:p>
    <w:p w14:paraId="47F08F92" w14:textId="77777777" w:rsidR="00125F46" w:rsidRPr="00125F46" w:rsidRDefault="00125F46" w:rsidP="00125F46">
      <w:pPr>
        <w:pStyle w:val="NormalWeb"/>
        <w:spacing w:before="120" w:beforeAutospacing="0" w:after="0" w:afterAutospacing="0"/>
        <w:ind w:left="720"/>
        <w:jc w:val="both"/>
        <w:rPr>
          <w:rFonts w:ascii="Calibri" w:hAnsi="Calibri" w:cs="Calibri"/>
          <w:sz w:val="22"/>
          <w:szCs w:val="22"/>
        </w:rPr>
      </w:pPr>
      <w:r w:rsidRPr="00125F46">
        <w:rPr>
          <w:rFonts w:ascii="Calibri" w:hAnsi="Calibri" w:cs="Calibri"/>
          <w:sz w:val="22"/>
          <w:szCs w:val="22"/>
        </w:rPr>
        <w:t>Cuenta de crédito del GL:</w:t>
      </w:r>
      <w:r w:rsidRPr="00125F46">
        <w:rPr>
          <w:rFonts w:ascii="Calibri" w:hAnsi="Calibri" w:cs="Calibri"/>
          <w:sz w:val="22"/>
          <w:szCs w:val="22"/>
        </w:rPr>
        <w:tab/>
        <w:t xml:space="preserve">16108 – anticipo de efectivo del proyecto </w:t>
      </w:r>
    </w:p>
    <w:p w14:paraId="72C0BF55" w14:textId="77777777" w:rsidR="00125F46" w:rsidRPr="00125F46" w:rsidRDefault="00125F46" w:rsidP="00125F46">
      <w:pPr>
        <w:pStyle w:val="NormalWeb"/>
        <w:spacing w:before="120" w:beforeAutospacing="0" w:after="0" w:afterAutospacing="0"/>
        <w:ind w:left="720"/>
        <w:jc w:val="both"/>
        <w:rPr>
          <w:rFonts w:ascii="Calibri" w:hAnsi="Calibri" w:cs="Calibri"/>
          <w:sz w:val="22"/>
          <w:szCs w:val="22"/>
        </w:rPr>
      </w:pPr>
      <w:r w:rsidRPr="00125F46">
        <w:rPr>
          <w:rFonts w:ascii="Calibri" w:hAnsi="Calibri" w:cs="Calibri"/>
          <w:sz w:val="22"/>
          <w:szCs w:val="22"/>
        </w:rPr>
        <w:t xml:space="preserve">Fecha de facturación:  </w:t>
      </w:r>
      <w:r w:rsidRPr="00125F46">
        <w:rPr>
          <w:rFonts w:ascii="Calibri" w:hAnsi="Calibri" w:cs="Calibri"/>
          <w:sz w:val="22"/>
          <w:szCs w:val="22"/>
        </w:rPr>
        <w:tab/>
      </w:r>
      <w:r w:rsidRPr="00125F46">
        <w:rPr>
          <w:rFonts w:ascii="Calibri" w:hAnsi="Calibri" w:cs="Calibri"/>
          <w:sz w:val="22"/>
          <w:szCs w:val="22"/>
        </w:rPr>
        <w:tab/>
        <w:t>la misma fecha contable que la del comprobante de AP del anticipo emitido inicial</w:t>
      </w:r>
    </w:p>
    <w:p w14:paraId="67792446" w14:textId="3948DE1F" w:rsidR="00125F46" w:rsidRPr="00125F46" w:rsidRDefault="00125F46" w:rsidP="00125F46">
      <w:pPr>
        <w:pStyle w:val="NormalWeb"/>
        <w:spacing w:before="120" w:beforeAutospacing="0" w:after="0" w:afterAutospacing="0"/>
        <w:ind w:left="720"/>
        <w:jc w:val="both"/>
        <w:rPr>
          <w:rFonts w:ascii="Calibri" w:hAnsi="Calibri" w:cs="Calibri"/>
          <w:sz w:val="22"/>
          <w:szCs w:val="22"/>
        </w:rPr>
      </w:pPr>
      <w:r w:rsidRPr="00125F46">
        <w:rPr>
          <w:rFonts w:ascii="Calibri" w:hAnsi="Calibri" w:cs="Calibri"/>
          <w:sz w:val="22"/>
          <w:szCs w:val="22"/>
        </w:rPr>
        <w:lastRenderedPageBreak/>
        <w:t xml:space="preserve">Unidad operacional: </w:t>
      </w:r>
      <w:r w:rsidRPr="00125F46">
        <w:rPr>
          <w:rFonts w:ascii="Calibri" w:hAnsi="Calibri" w:cs="Calibri"/>
          <w:sz w:val="22"/>
          <w:szCs w:val="22"/>
        </w:rPr>
        <w:tab/>
      </w:r>
      <w:r w:rsidRPr="00125F46">
        <w:rPr>
          <w:rFonts w:ascii="Calibri" w:hAnsi="Calibri" w:cs="Calibri"/>
          <w:sz w:val="22"/>
          <w:szCs w:val="22"/>
        </w:rPr>
        <w:tab/>
      </w:r>
      <w:r>
        <w:rPr>
          <w:rFonts w:ascii="Calibri" w:hAnsi="Calibri" w:cs="Calibri"/>
          <w:sz w:val="22"/>
          <w:szCs w:val="22"/>
        </w:rPr>
        <w:tab/>
      </w:r>
      <w:r w:rsidRPr="00125F46">
        <w:rPr>
          <w:rFonts w:ascii="Calibri" w:hAnsi="Calibri" w:cs="Calibri"/>
          <w:sz w:val="22"/>
          <w:szCs w:val="22"/>
        </w:rPr>
        <w:t xml:space="preserve">unidad operacional de la CO </w:t>
      </w:r>
    </w:p>
    <w:p w14:paraId="2D719023" w14:textId="66E34E89" w:rsidR="00125F46" w:rsidRPr="00125F46" w:rsidRDefault="00125F46" w:rsidP="00125F46">
      <w:pPr>
        <w:pStyle w:val="NormalWeb"/>
        <w:spacing w:before="120" w:beforeAutospacing="0" w:after="0" w:afterAutospacing="0"/>
        <w:ind w:left="720"/>
        <w:jc w:val="both"/>
        <w:rPr>
          <w:rFonts w:ascii="Calibri" w:hAnsi="Calibri" w:cs="Calibri"/>
          <w:sz w:val="22"/>
          <w:szCs w:val="22"/>
        </w:rPr>
      </w:pPr>
      <w:r w:rsidRPr="00125F46">
        <w:rPr>
          <w:rFonts w:ascii="Calibri" w:hAnsi="Calibri" w:cs="Calibri"/>
          <w:sz w:val="22"/>
          <w:szCs w:val="22"/>
        </w:rPr>
        <w:t xml:space="preserve">Código del fondo: </w:t>
      </w:r>
      <w:r w:rsidRPr="00125F46">
        <w:rPr>
          <w:rFonts w:ascii="Calibri" w:hAnsi="Calibri" w:cs="Calibri"/>
          <w:sz w:val="22"/>
          <w:szCs w:val="22"/>
        </w:rPr>
        <w:tab/>
      </w:r>
      <w:r w:rsidRPr="00125F46">
        <w:rPr>
          <w:rFonts w:ascii="Calibri" w:hAnsi="Calibri" w:cs="Calibri"/>
          <w:sz w:val="22"/>
          <w:szCs w:val="22"/>
        </w:rPr>
        <w:tab/>
      </w:r>
      <w:r>
        <w:rPr>
          <w:rFonts w:ascii="Calibri" w:hAnsi="Calibri" w:cs="Calibri"/>
          <w:sz w:val="22"/>
          <w:szCs w:val="22"/>
        </w:rPr>
        <w:tab/>
      </w:r>
      <w:r w:rsidRPr="00125F46">
        <w:rPr>
          <w:rFonts w:ascii="Calibri" w:hAnsi="Calibri" w:cs="Calibri"/>
          <w:sz w:val="22"/>
          <w:szCs w:val="22"/>
        </w:rPr>
        <w:t xml:space="preserve">código de fondo del proyecto pertinente </w:t>
      </w:r>
    </w:p>
    <w:p w14:paraId="78B3481B" w14:textId="6D54BCFE" w:rsidR="00125F46" w:rsidRPr="00125F46" w:rsidRDefault="00125F46" w:rsidP="00125F46">
      <w:pPr>
        <w:pStyle w:val="NormalWeb"/>
        <w:spacing w:before="120" w:beforeAutospacing="0" w:after="0" w:afterAutospacing="0"/>
        <w:ind w:left="720"/>
        <w:jc w:val="both"/>
        <w:rPr>
          <w:rFonts w:ascii="Calibri" w:hAnsi="Calibri" w:cs="Calibri"/>
          <w:sz w:val="22"/>
          <w:szCs w:val="22"/>
        </w:rPr>
      </w:pPr>
      <w:r w:rsidRPr="00125F46">
        <w:rPr>
          <w:rFonts w:ascii="Calibri" w:hAnsi="Calibri" w:cs="Calibri"/>
          <w:sz w:val="22"/>
          <w:szCs w:val="22"/>
        </w:rPr>
        <w:t xml:space="preserve">Departamento: </w:t>
      </w:r>
      <w:r w:rsidRPr="00125F46">
        <w:rPr>
          <w:rFonts w:ascii="Calibri" w:hAnsi="Calibri" w:cs="Calibri"/>
          <w:sz w:val="22"/>
          <w:szCs w:val="22"/>
        </w:rPr>
        <w:tab/>
      </w:r>
      <w:r w:rsidRPr="00125F46">
        <w:rPr>
          <w:rFonts w:ascii="Calibri" w:hAnsi="Calibri" w:cs="Calibri"/>
          <w:sz w:val="22"/>
          <w:szCs w:val="22"/>
        </w:rPr>
        <w:tab/>
      </w:r>
      <w:r w:rsidRPr="00125F46">
        <w:rPr>
          <w:rFonts w:ascii="Calibri" w:hAnsi="Calibri" w:cs="Calibri"/>
          <w:sz w:val="22"/>
          <w:szCs w:val="22"/>
        </w:rPr>
        <w:tab/>
      </w:r>
      <w:r>
        <w:rPr>
          <w:rFonts w:ascii="Calibri" w:hAnsi="Calibri" w:cs="Calibri"/>
          <w:sz w:val="22"/>
          <w:szCs w:val="22"/>
        </w:rPr>
        <w:tab/>
      </w:r>
      <w:r w:rsidRPr="00125F46">
        <w:rPr>
          <w:rFonts w:ascii="Calibri" w:hAnsi="Calibri" w:cs="Calibri"/>
          <w:sz w:val="22"/>
          <w:szCs w:val="22"/>
        </w:rPr>
        <w:t xml:space="preserve">código de departamento respectivo </w:t>
      </w:r>
    </w:p>
    <w:p w14:paraId="10E23942" w14:textId="58707566" w:rsidR="00125F46" w:rsidRPr="00125F46" w:rsidRDefault="00125F46" w:rsidP="00125F46">
      <w:pPr>
        <w:pStyle w:val="NormalWeb"/>
        <w:spacing w:before="120" w:beforeAutospacing="0" w:after="0" w:afterAutospacing="0"/>
        <w:ind w:left="720"/>
        <w:jc w:val="both"/>
        <w:rPr>
          <w:rFonts w:ascii="Calibri" w:hAnsi="Calibri" w:cs="Calibri"/>
          <w:sz w:val="22"/>
          <w:szCs w:val="22"/>
        </w:rPr>
      </w:pPr>
      <w:r w:rsidRPr="00125F46">
        <w:rPr>
          <w:rFonts w:ascii="Calibri" w:hAnsi="Calibri" w:cs="Calibri"/>
          <w:sz w:val="22"/>
          <w:szCs w:val="22"/>
        </w:rPr>
        <w:t xml:space="preserve">ID del proyecto: </w:t>
      </w:r>
      <w:r w:rsidRPr="00125F46">
        <w:rPr>
          <w:rFonts w:ascii="Calibri" w:hAnsi="Calibri" w:cs="Calibri"/>
          <w:sz w:val="22"/>
          <w:szCs w:val="22"/>
        </w:rPr>
        <w:tab/>
      </w:r>
      <w:r w:rsidRPr="00125F46">
        <w:rPr>
          <w:rFonts w:ascii="Calibri" w:hAnsi="Calibri" w:cs="Calibri"/>
          <w:sz w:val="22"/>
          <w:szCs w:val="22"/>
        </w:rPr>
        <w:tab/>
      </w:r>
      <w:r>
        <w:rPr>
          <w:rFonts w:ascii="Calibri" w:hAnsi="Calibri" w:cs="Calibri"/>
          <w:sz w:val="22"/>
          <w:szCs w:val="22"/>
        </w:rPr>
        <w:tab/>
      </w:r>
      <w:r w:rsidRPr="00125F46">
        <w:rPr>
          <w:rFonts w:ascii="Calibri" w:hAnsi="Calibri" w:cs="Calibri"/>
          <w:sz w:val="22"/>
          <w:szCs w:val="22"/>
        </w:rPr>
        <w:t xml:space="preserve">ID del proyecto pertinente </w:t>
      </w:r>
    </w:p>
    <w:p w14:paraId="51BB5FC8" w14:textId="500B3155" w:rsidR="00125F46" w:rsidRPr="00125F46" w:rsidRDefault="00125F46" w:rsidP="00125F46">
      <w:pPr>
        <w:pStyle w:val="NormalWeb"/>
        <w:spacing w:before="120" w:beforeAutospacing="0" w:after="0" w:afterAutospacing="0"/>
        <w:ind w:left="720"/>
        <w:jc w:val="both"/>
        <w:rPr>
          <w:rFonts w:ascii="Calibri" w:hAnsi="Calibri" w:cs="Calibri"/>
          <w:sz w:val="22"/>
          <w:szCs w:val="22"/>
        </w:rPr>
      </w:pPr>
      <w:r w:rsidRPr="00125F46">
        <w:rPr>
          <w:rFonts w:ascii="Calibri" w:hAnsi="Calibri" w:cs="Calibri"/>
          <w:sz w:val="22"/>
          <w:szCs w:val="22"/>
        </w:rPr>
        <w:t xml:space="preserve">Agente de implementación: </w:t>
      </w:r>
      <w:r w:rsidRPr="00125F46">
        <w:rPr>
          <w:rFonts w:ascii="Calibri" w:hAnsi="Calibri" w:cs="Calibri"/>
          <w:sz w:val="22"/>
          <w:szCs w:val="22"/>
        </w:rPr>
        <w:tab/>
      </w:r>
      <w:r>
        <w:rPr>
          <w:rFonts w:ascii="Calibri" w:hAnsi="Calibri" w:cs="Calibri"/>
          <w:sz w:val="22"/>
          <w:szCs w:val="22"/>
        </w:rPr>
        <w:tab/>
      </w:r>
      <w:r w:rsidRPr="00125F46">
        <w:rPr>
          <w:rFonts w:ascii="Calibri" w:hAnsi="Calibri" w:cs="Calibri"/>
          <w:sz w:val="22"/>
          <w:szCs w:val="22"/>
        </w:rPr>
        <w:t xml:space="preserve">según corresponda </w:t>
      </w:r>
    </w:p>
    <w:p w14:paraId="1C566E73" w14:textId="6C3533A5" w:rsidR="00125F46" w:rsidRPr="00125F46" w:rsidRDefault="00125F46" w:rsidP="00125F46">
      <w:pPr>
        <w:pStyle w:val="NormalWeb"/>
        <w:spacing w:before="120" w:beforeAutospacing="0" w:after="0" w:afterAutospacing="0"/>
        <w:ind w:left="720"/>
        <w:jc w:val="both"/>
        <w:rPr>
          <w:rFonts w:ascii="Calibri" w:hAnsi="Calibri" w:cs="Calibri"/>
          <w:sz w:val="22"/>
          <w:szCs w:val="22"/>
        </w:rPr>
      </w:pPr>
      <w:r w:rsidRPr="00125F46">
        <w:rPr>
          <w:rFonts w:ascii="Calibri" w:hAnsi="Calibri" w:cs="Calibri"/>
          <w:sz w:val="22"/>
          <w:szCs w:val="22"/>
        </w:rPr>
        <w:t xml:space="preserve">Donante: </w:t>
      </w:r>
      <w:r w:rsidRPr="00125F46">
        <w:rPr>
          <w:rFonts w:ascii="Calibri" w:hAnsi="Calibri" w:cs="Calibri"/>
          <w:sz w:val="22"/>
          <w:szCs w:val="22"/>
        </w:rPr>
        <w:tab/>
      </w:r>
      <w:r w:rsidRPr="00125F46">
        <w:rPr>
          <w:rFonts w:ascii="Calibri" w:hAnsi="Calibri" w:cs="Calibri"/>
          <w:sz w:val="22"/>
          <w:szCs w:val="22"/>
        </w:rPr>
        <w:tab/>
      </w:r>
      <w:r w:rsidRPr="00125F46">
        <w:rPr>
          <w:rFonts w:ascii="Calibri" w:hAnsi="Calibri" w:cs="Calibri"/>
          <w:sz w:val="22"/>
          <w:szCs w:val="22"/>
        </w:rPr>
        <w:tab/>
      </w:r>
      <w:r>
        <w:rPr>
          <w:rFonts w:ascii="Calibri" w:hAnsi="Calibri" w:cs="Calibri"/>
          <w:sz w:val="22"/>
          <w:szCs w:val="22"/>
        </w:rPr>
        <w:tab/>
      </w:r>
      <w:r w:rsidRPr="00125F46">
        <w:rPr>
          <w:rFonts w:ascii="Calibri" w:hAnsi="Calibri" w:cs="Calibri"/>
          <w:sz w:val="22"/>
          <w:szCs w:val="22"/>
        </w:rPr>
        <w:t xml:space="preserve">según corresponda </w:t>
      </w:r>
    </w:p>
    <w:p w14:paraId="3AD7EFBE" w14:textId="77777777" w:rsidR="00125F46" w:rsidRPr="00125F46" w:rsidRDefault="00125F46" w:rsidP="00125F46">
      <w:pPr>
        <w:pStyle w:val="NormalWeb"/>
        <w:spacing w:before="120" w:beforeAutospacing="0" w:after="0" w:afterAutospacing="0"/>
        <w:ind w:left="720"/>
        <w:jc w:val="both"/>
        <w:rPr>
          <w:rFonts w:ascii="Calibri" w:hAnsi="Calibri" w:cs="Calibri"/>
          <w:sz w:val="22"/>
          <w:szCs w:val="22"/>
        </w:rPr>
      </w:pPr>
      <w:r w:rsidRPr="00125F46">
        <w:rPr>
          <w:rFonts w:ascii="Calibri" w:hAnsi="Calibri" w:cs="Calibri"/>
          <w:sz w:val="22"/>
          <w:szCs w:val="22"/>
        </w:rPr>
        <w:t xml:space="preserve">Clave de </w:t>
      </w:r>
      <w:proofErr w:type="spellStart"/>
      <w:r w:rsidRPr="00125F46">
        <w:rPr>
          <w:rFonts w:ascii="Calibri" w:hAnsi="Calibri" w:cs="Calibri"/>
          <w:sz w:val="22"/>
          <w:szCs w:val="22"/>
        </w:rPr>
        <w:t>partidaelemento</w:t>
      </w:r>
      <w:proofErr w:type="spellEnd"/>
      <w:r w:rsidRPr="00125F46">
        <w:rPr>
          <w:rFonts w:ascii="Calibri" w:hAnsi="Calibri" w:cs="Calibri"/>
          <w:sz w:val="22"/>
          <w:szCs w:val="22"/>
        </w:rPr>
        <w:t xml:space="preserve"> abierta: </w:t>
      </w:r>
      <w:r w:rsidRPr="00125F46">
        <w:rPr>
          <w:rFonts w:ascii="Calibri" w:hAnsi="Calibri" w:cs="Calibri"/>
          <w:sz w:val="22"/>
          <w:szCs w:val="22"/>
        </w:rPr>
        <w:tab/>
        <w:t xml:space="preserve">ID del índice de personal del Custodio del PCA </w:t>
      </w:r>
    </w:p>
    <w:p w14:paraId="09152E2F" w14:textId="0A5EA6E4" w:rsidR="00125F46" w:rsidRPr="00125F46" w:rsidRDefault="00125F46" w:rsidP="00125F46">
      <w:pPr>
        <w:pStyle w:val="NormalWeb"/>
        <w:spacing w:before="120" w:beforeAutospacing="0" w:after="0" w:afterAutospacing="0"/>
        <w:ind w:left="720"/>
        <w:jc w:val="both"/>
        <w:rPr>
          <w:rFonts w:ascii="Calibri" w:hAnsi="Calibri" w:cs="Calibri"/>
          <w:sz w:val="22"/>
          <w:szCs w:val="22"/>
        </w:rPr>
      </w:pPr>
      <w:r w:rsidRPr="00125F46">
        <w:rPr>
          <w:rFonts w:ascii="Calibri" w:hAnsi="Calibri" w:cs="Calibri"/>
          <w:sz w:val="22"/>
          <w:szCs w:val="22"/>
        </w:rPr>
        <w:t>Factura relacionada:</w:t>
      </w:r>
      <w:r w:rsidRPr="00125F46">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125F46">
        <w:rPr>
          <w:rFonts w:ascii="Calibri" w:hAnsi="Calibri" w:cs="Calibri"/>
          <w:sz w:val="22"/>
          <w:szCs w:val="22"/>
        </w:rPr>
        <w:t xml:space="preserve">ID del comprobante de la factura inicial emitida </w:t>
      </w:r>
    </w:p>
    <w:p w14:paraId="0C99729B" w14:textId="77777777" w:rsidR="00125F46" w:rsidRPr="00125F46" w:rsidRDefault="00125F46" w:rsidP="00125F46">
      <w:pPr>
        <w:pStyle w:val="NormalWeb"/>
        <w:spacing w:before="120" w:beforeAutospacing="0"/>
        <w:jc w:val="both"/>
        <w:rPr>
          <w:rFonts w:ascii="Calibri" w:hAnsi="Calibri" w:cs="Calibri"/>
          <w:sz w:val="22"/>
          <w:szCs w:val="22"/>
        </w:rPr>
      </w:pPr>
      <w:r w:rsidRPr="00125F46">
        <w:rPr>
          <w:rFonts w:ascii="Calibri" w:hAnsi="Calibri" w:cs="Calibri"/>
          <w:sz w:val="22"/>
          <w:szCs w:val="22"/>
        </w:rPr>
        <w:t xml:space="preserve">c. Para depositar cualquier saldo del PCA no utilizado, se debe realizar un asiento directo de cuentas por cobrar (AR, </w:t>
      </w:r>
      <w:r w:rsidRPr="00125F46">
        <w:rPr>
          <w:rFonts w:ascii="Calibri" w:hAnsi="Calibri" w:cs="Calibri"/>
          <w:i/>
          <w:sz w:val="22"/>
          <w:szCs w:val="22"/>
        </w:rPr>
        <w:t>Accounts Receivable</w:t>
      </w:r>
      <w:r w:rsidRPr="00125F46">
        <w:rPr>
          <w:rFonts w:ascii="Calibri" w:hAnsi="Calibri" w:cs="Calibri"/>
          <w:sz w:val="22"/>
          <w:szCs w:val="22"/>
        </w:rPr>
        <w:t xml:space="preserve">, por sus siglas en inglés) del libro diario mediante la siguiente COA (no usar GLJE): </w:t>
      </w:r>
    </w:p>
    <w:p w14:paraId="75CE5A41" w14:textId="77777777" w:rsidR="00125F46" w:rsidRPr="00125F46" w:rsidRDefault="00125F46" w:rsidP="00125F46">
      <w:pPr>
        <w:pStyle w:val="NormalWeb"/>
        <w:spacing w:before="120" w:beforeAutospacing="0" w:after="0" w:afterAutospacing="0"/>
        <w:ind w:left="720"/>
        <w:jc w:val="both"/>
        <w:rPr>
          <w:rFonts w:ascii="Calibri" w:hAnsi="Calibri" w:cs="Calibri"/>
          <w:sz w:val="22"/>
          <w:szCs w:val="22"/>
        </w:rPr>
      </w:pPr>
      <w:r w:rsidRPr="00125F46">
        <w:rPr>
          <w:rFonts w:ascii="Calibri" w:hAnsi="Calibri" w:cs="Calibri"/>
          <w:sz w:val="22"/>
          <w:szCs w:val="22"/>
        </w:rPr>
        <w:t>Cuenta de crédito del GL:</w:t>
      </w:r>
      <w:r w:rsidRPr="00125F46">
        <w:rPr>
          <w:rFonts w:ascii="Calibri" w:hAnsi="Calibri" w:cs="Calibri"/>
          <w:sz w:val="22"/>
          <w:szCs w:val="22"/>
        </w:rPr>
        <w:tab/>
      </w:r>
      <w:r w:rsidRPr="00125F46">
        <w:rPr>
          <w:rFonts w:ascii="Calibri" w:hAnsi="Calibri" w:cs="Calibri"/>
          <w:sz w:val="22"/>
          <w:szCs w:val="22"/>
        </w:rPr>
        <w:tab/>
        <w:t xml:space="preserve">16108 </w:t>
      </w:r>
    </w:p>
    <w:p w14:paraId="0869676D" w14:textId="77777777" w:rsidR="00125F46" w:rsidRPr="00125F46" w:rsidRDefault="00125F46" w:rsidP="00125F46">
      <w:pPr>
        <w:pStyle w:val="NormalWeb"/>
        <w:spacing w:before="120" w:beforeAutospacing="0" w:after="0" w:afterAutospacing="0"/>
        <w:ind w:left="720"/>
        <w:jc w:val="both"/>
        <w:rPr>
          <w:rFonts w:ascii="Calibri" w:hAnsi="Calibri" w:cs="Calibri"/>
          <w:sz w:val="22"/>
          <w:szCs w:val="22"/>
        </w:rPr>
      </w:pPr>
      <w:r w:rsidRPr="00125F46">
        <w:rPr>
          <w:rFonts w:ascii="Calibri" w:hAnsi="Calibri" w:cs="Calibri"/>
          <w:sz w:val="22"/>
          <w:szCs w:val="22"/>
        </w:rPr>
        <w:t xml:space="preserve">Unidad operacional: </w:t>
      </w:r>
      <w:r w:rsidRPr="00125F46">
        <w:rPr>
          <w:rFonts w:ascii="Calibri" w:hAnsi="Calibri" w:cs="Calibri"/>
          <w:sz w:val="22"/>
          <w:szCs w:val="22"/>
        </w:rPr>
        <w:tab/>
      </w:r>
      <w:r w:rsidRPr="00125F46">
        <w:rPr>
          <w:rFonts w:ascii="Calibri" w:hAnsi="Calibri" w:cs="Calibri"/>
          <w:sz w:val="22"/>
          <w:szCs w:val="22"/>
        </w:rPr>
        <w:tab/>
      </w:r>
      <w:r w:rsidRPr="00125F46">
        <w:rPr>
          <w:rFonts w:ascii="Calibri" w:hAnsi="Calibri" w:cs="Calibri"/>
          <w:sz w:val="22"/>
          <w:szCs w:val="22"/>
        </w:rPr>
        <w:tab/>
        <w:t xml:space="preserve">unidad operacional de la CO </w:t>
      </w:r>
    </w:p>
    <w:p w14:paraId="4EB18528" w14:textId="77777777" w:rsidR="00125F46" w:rsidRPr="00125F46" w:rsidRDefault="00125F46" w:rsidP="00125F46">
      <w:pPr>
        <w:pStyle w:val="NormalWeb"/>
        <w:spacing w:before="120" w:beforeAutospacing="0" w:after="0" w:afterAutospacing="0"/>
        <w:ind w:left="720"/>
        <w:jc w:val="both"/>
        <w:rPr>
          <w:rFonts w:ascii="Calibri" w:hAnsi="Calibri" w:cs="Calibri"/>
          <w:sz w:val="22"/>
          <w:szCs w:val="22"/>
        </w:rPr>
      </w:pPr>
      <w:r w:rsidRPr="00125F46">
        <w:rPr>
          <w:rFonts w:ascii="Calibri" w:hAnsi="Calibri" w:cs="Calibri"/>
          <w:sz w:val="22"/>
          <w:szCs w:val="22"/>
        </w:rPr>
        <w:t xml:space="preserve">Código del fondo: </w:t>
      </w:r>
      <w:r w:rsidRPr="00125F46">
        <w:rPr>
          <w:rFonts w:ascii="Calibri" w:hAnsi="Calibri" w:cs="Calibri"/>
          <w:sz w:val="22"/>
          <w:szCs w:val="22"/>
        </w:rPr>
        <w:tab/>
      </w:r>
      <w:r w:rsidRPr="00125F46">
        <w:rPr>
          <w:rFonts w:ascii="Calibri" w:hAnsi="Calibri" w:cs="Calibri"/>
          <w:sz w:val="22"/>
          <w:szCs w:val="22"/>
        </w:rPr>
        <w:tab/>
      </w:r>
      <w:r w:rsidRPr="00125F46">
        <w:rPr>
          <w:rFonts w:ascii="Calibri" w:hAnsi="Calibri" w:cs="Calibri"/>
          <w:sz w:val="22"/>
          <w:szCs w:val="22"/>
        </w:rPr>
        <w:tab/>
        <w:t xml:space="preserve">código de fondo del proyecto pertinente </w:t>
      </w:r>
    </w:p>
    <w:p w14:paraId="0B4E3117" w14:textId="77777777" w:rsidR="00125F46" w:rsidRPr="00125F46" w:rsidRDefault="00125F46" w:rsidP="00125F46">
      <w:pPr>
        <w:pStyle w:val="NormalWeb"/>
        <w:spacing w:before="120" w:beforeAutospacing="0" w:after="0" w:afterAutospacing="0"/>
        <w:ind w:left="720"/>
        <w:jc w:val="both"/>
        <w:rPr>
          <w:rFonts w:ascii="Calibri" w:hAnsi="Calibri" w:cs="Calibri"/>
          <w:sz w:val="22"/>
          <w:szCs w:val="22"/>
        </w:rPr>
      </w:pPr>
      <w:r w:rsidRPr="00125F46">
        <w:rPr>
          <w:rFonts w:ascii="Calibri" w:hAnsi="Calibri" w:cs="Calibri"/>
          <w:sz w:val="22"/>
          <w:szCs w:val="22"/>
        </w:rPr>
        <w:t xml:space="preserve">Departamento: </w:t>
      </w:r>
      <w:r w:rsidRPr="00125F46">
        <w:rPr>
          <w:rFonts w:ascii="Calibri" w:hAnsi="Calibri" w:cs="Calibri"/>
          <w:sz w:val="22"/>
          <w:szCs w:val="22"/>
        </w:rPr>
        <w:tab/>
      </w:r>
      <w:r w:rsidRPr="00125F46">
        <w:rPr>
          <w:rFonts w:ascii="Calibri" w:hAnsi="Calibri" w:cs="Calibri"/>
          <w:sz w:val="22"/>
          <w:szCs w:val="22"/>
        </w:rPr>
        <w:tab/>
      </w:r>
      <w:r w:rsidRPr="00125F46">
        <w:rPr>
          <w:rFonts w:ascii="Calibri" w:hAnsi="Calibri" w:cs="Calibri"/>
          <w:sz w:val="22"/>
          <w:szCs w:val="22"/>
        </w:rPr>
        <w:tab/>
      </w:r>
      <w:r w:rsidRPr="00125F46">
        <w:rPr>
          <w:rFonts w:ascii="Calibri" w:hAnsi="Calibri" w:cs="Calibri"/>
          <w:sz w:val="22"/>
          <w:szCs w:val="22"/>
        </w:rPr>
        <w:tab/>
        <w:t xml:space="preserve">código de departamento respectivo </w:t>
      </w:r>
    </w:p>
    <w:p w14:paraId="51BE05DD" w14:textId="77777777" w:rsidR="00125F46" w:rsidRPr="00125F46" w:rsidRDefault="00125F46" w:rsidP="00125F46">
      <w:pPr>
        <w:pStyle w:val="NormalWeb"/>
        <w:spacing w:before="120" w:beforeAutospacing="0" w:after="0" w:afterAutospacing="0"/>
        <w:ind w:left="720"/>
        <w:jc w:val="both"/>
        <w:rPr>
          <w:rFonts w:ascii="Calibri" w:hAnsi="Calibri" w:cs="Calibri"/>
          <w:sz w:val="22"/>
          <w:szCs w:val="22"/>
        </w:rPr>
      </w:pPr>
      <w:r w:rsidRPr="00125F46">
        <w:rPr>
          <w:rFonts w:ascii="Calibri" w:hAnsi="Calibri" w:cs="Calibri"/>
          <w:sz w:val="22"/>
          <w:szCs w:val="22"/>
        </w:rPr>
        <w:t xml:space="preserve">ID del proyecto: </w:t>
      </w:r>
      <w:r w:rsidRPr="00125F46">
        <w:rPr>
          <w:rFonts w:ascii="Calibri" w:hAnsi="Calibri" w:cs="Calibri"/>
          <w:sz w:val="22"/>
          <w:szCs w:val="22"/>
        </w:rPr>
        <w:tab/>
      </w:r>
      <w:r w:rsidRPr="00125F46">
        <w:rPr>
          <w:rFonts w:ascii="Calibri" w:hAnsi="Calibri" w:cs="Calibri"/>
          <w:sz w:val="22"/>
          <w:szCs w:val="22"/>
        </w:rPr>
        <w:tab/>
      </w:r>
      <w:r w:rsidRPr="00125F46">
        <w:rPr>
          <w:rFonts w:ascii="Calibri" w:hAnsi="Calibri" w:cs="Calibri"/>
          <w:sz w:val="22"/>
          <w:szCs w:val="22"/>
        </w:rPr>
        <w:tab/>
        <w:t xml:space="preserve">ID del proyecto pertinente </w:t>
      </w:r>
    </w:p>
    <w:p w14:paraId="01F3C635" w14:textId="77777777" w:rsidR="00125F46" w:rsidRPr="00125F46" w:rsidRDefault="00125F46" w:rsidP="00125F46">
      <w:pPr>
        <w:pStyle w:val="NormalWeb"/>
        <w:spacing w:before="120" w:beforeAutospacing="0" w:after="0" w:afterAutospacing="0"/>
        <w:ind w:left="720"/>
        <w:jc w:val="both"/>
        <w:rPr>
          <w:rFonts w:ascii="Calibri" w:hAnsi="Calibri" w:cs="Calibri"/>
          <w:sz w:val="22"/>
          <w:szCs w:val="22"/>
        </w:rPr>
      </w:pPr>
      <w:r w:rsidRPr="00125F46">
        <w:rPr>
          <w:rFonts w:ascii="Calibri" w:hAnsi="Calibri" w:cs="Calibri"/>
          <w:sz w:val="22"/>
          <w:szCs w:val="22"/>
        </w:rPr>
        <w:t xml:space="preserve">Agente de implementación: </w:t>
      </w:r>
      <w:r w:rsidRPr="00125F46">
        <w:rPr>
          <w:rFonts w:ascii="Calibri" w:hAnsi="Calibri" w:cs="Calibri"/>
          <w:sz w:val="22"/>
          <w:szCs w:val="22"/>
        </w:rPr>
        <w:tab/>
      </w:r>
      <w:r w:rsidRPr="00125F46">
        <w:rPr>
          <w:rFonts w:ascii="Calibri" w:hAnsi="Calibri" w:cs="Calibri"/>
          <w:sz w:val="22"/>
          <w:szCs w:val="22"/>
        </w:rPr>
        <w:tab/>
        <w:t xml:space="preserve">según corresponda </w:t>
      </w:r>
    </w:p>
    <w:p w14:paraId="00078758" w14:textId="77777777" w:rsidR="00125F46" w:rsidRPr="00125F46" w:rsidRDefault="00125F46" w:rsidP="00125F46">
      <w:pPr>
        <w:pStyle w:val="NormalWeb"/>
        <w:spacing w:before="120" w:beforeAutospacing="0" w:after="0" w:afterAutospacing="0"/>
        <w:ind w:left="720"/>
        <w:jc w:val="both"/>
        <w:rPr>
          <w:rFonts w:ascii="Calibri" w:hAnsi="Calibri" w:cs="Calibri"/>
          <w:sz w:val="22"/>
          <w:szCs w:val="22"/>
        </w:rPr>
      </w:pPr>
      <w:r w:rsidRPr="00125F46">
        <w:rPr>
          <w:rFonts w:ascii="Calibri" w:hAnsi="Calibri" w:cs="Calibri"/>
          <w:sz w:val="22"/>
          <w:szCs w:val="22"/>
        </w:rPr>
        <w:t xml:space="preserve">Donante: </w:t>
      </w:r>
      <w:r w:rsidRPr="00125F46">
        <w:rPr>
          <w:rFonts w:ascii="Calibri" w:hAnsi="Calibri" w:cs="Calibri"/>
          <w:sz w:val="22"/>
          <w:szCs w:val="22"/>
        </w:rPr>
        <w:tab/>
      </w:r>
      <w:r w:rsidRPr="00125F46">
        <w:rPr>
          <w:rFonts w:ascii="Calibri" w:hAnsi="Calibri" w:cs="Calibri"/>
          <w:sz w:val="22"/>
          <w:szCs w:val="22"/>
        </w:rPr>
        <w:tab/>
      </w:r>
      <w:r w:rsidRPr="00125F46">
        <w:rPr>
          <w:rFonts w:ascii="Calibri" w:hAnsi="Calibri" w:cs="Calibri"/>
          <w:sz w:val="22"/>
          <w:szCs w:val="22"/>
        </w:rPr>
        <w:tab/>
      </w:r>
      <w:r w:rsidRPr="00125F46">
        <w:rPr>
          <w:rFonts w:ascii="Calibri" w:hAnsi="Calibri" w:cs="Calibri"/>
          <w:sz w:val="22"/>
          <w:szCs w:val="22"/>
        </w:rPr>
        <w:tab/>
        <w:t xml:space="preserve">según corresponda </w:t>
      </w:r>
    </w:p>
    <w:p w14:paraId="3BDFF544" w14:textId="77777777" w:rsidR="00125F46" w:rsidRPr="00125F46" w:rsidRDefault="00125F46" w:rsidP="00125F46">
      <w:pPr>
        <w:pStyle w:val="NormalWeb"/>
        <w:spacing w:before="120" w:beforeAutospacing="0" w:after="0" w:afterAutospacing="0"/>
        <w:ind w:left="720"/>
        <w:jc w:val="both"/>
        <w:rPr>
          <w:rFonts w:ascii="Calibri" w:hAnsi="Calibri" w:cs="Calibri"/>
          <w:sz w:val="22"/>
          <w:szCs w:val="22"/>
        </w:rPr>
      </w:pPr>
      <w:r w:rsidRPr="00125F46">
        <w:rPr>
          <w:rFonts w:ascii="Calibri" w:hAnsi="Calibri" w:cs="Calibri"/>
          <w:sz w:val="22"/>
          <w:szCs w:val="22"/>
        </w:rPr>
        <w:t xml:space="preserve">Clave de </w:t>
      </w:r>
      <w:proofErr w:type="spellStart"/>
      <w:r w:rsidRPr="00125F46">
        <w:rPr>
          <w:rFonts w:ascii="Calibri" w:hAnsi="Calibri" w:cs="Calibri"/>
          <w:sz w:val="22"/>
          <w:szCs w:val="22"/>
        </w:rPr>
        <w:t>partidaelemento</w:t>
      </w:r>
      <w:proofErr w:type="spellEnd"/>
      <w:r w:rsidRPr="00125F46">
        <w:rPr>
          <w:rFonts w:ascii="Calibri" w:hAnsi="Calibri" w:cs="Calibri"/>
          <w:sz w:val="22"/>
          <w:szCs w:val="22"/>
        </w:rPr>
        <w:t xml:space="preserve"> </w:t>
      </w:r>
      <w:proofErr w:type="spellStart"/>
      <w:r w:rsidRPr="00125F46">
        <w:rPr>
          <w:rFonts w:ascii="Calibri" w:hAnsi="Calibri" w:cs="Calibri"/>
          <w:sz w:val="22"/>
          <w:szCs w:val="22"/>
        </w:rPr>
        <w:t>abiertao</w:t>
      </w:r>
      <w:proofErr w:type="spellEnd"/>
      <w:r w:rsidRPr="00125F46">
        <w:rPr>
          <w:rFonts w:ascii="Calibri" w:hAnsi="Calibri" w:cs="Calibri"/>
          <w:sz w:val="22"/>
          <w:szCs w:val="22"/>
        </w:rPr>
        <w:t xml:space="preserve">: </w:t>
      </w:r>
      <w:r w:rsidRPr="00125F46">
        <w:rPr>
          <w:rFonts w:ascii="Calibri" w:hAnsi="Calibri" w:cs="Calibri"/>
          <w:sz w:val="22"/>
          <w:szCs w:val="22"/>
        </w:rPr>
        <w:tab/>
      </w:r>
      <w:r w:rsidRPr="00125F46">
        <w:rPr>
          <w:rFonts w:ascii="Calibri" w:hAnsi="Calibri" w:cs="Calibri"/>
          <w:sz w:val="22"/>
          <w:szCs w:val="22"/>
        </w:rPr>
        <w:tab/>
        <w:t xml:space="preserve">ID del índice de personal del Custodio del PCA </w:t>
      </w:r>
    </w:p>
    <w:p w14:paraId="19D10851" w14:textId="77777777" w:rsidR="00125F46" w:rsidRPr="00125F46" w:rsidRDefault="00125F46" w:rsidP="00125F46">
      <w:pPr>
        <w:pStyle w:val="NormalWeb"/>
        <w:spacing w:before="120" w:beforeAutospacing="0" w:after="0" w:afterAutospacing="0"/>
        <w:ind w:left="720"/>
        <w:jc w:val="both"/>
        <w:rPr>
          <w:rFonts w:ascii="Calibri" w:hAnsi="Calibri" w:cs="Calibri"/>
          <w:sz w:val="22"/>
          <w:szCs w:val="22"/>
        </w:rPr>
      </w:pPr>
      <w:r w:rsidRPr="00125F46">
        <w:rPr>
          <w:rFonts w:ascii="Calibri" w:hAnsi="Calibri" w:cs="Calibri"/>
          <w:sz w:val="22"/>
          <w:szCs w:val="22"/>
        </w:rPr>
        <w:t>Descripción de la línea del libro diario:</w:t>
      </w:r>
      <w:r w:rsidRPr="00125F46">
        <w:rPr>
          <w:rFonts w:ascii="Calibri" w:hAnsi="Calibri" w:cs="Calibri"/>
          <w:sz w:val="22"/>
          <w:szCs w:val="22"/>
        </w:rPr>
        <w:tab/>
        <w:t xml:space="preserve">ID de la factura del anticipo inicial emitido </w:t>
      </w:r>
    </w:p>
    <w:p w14:paraId="0338D370" w14:textId="77777777" w:rsidR="00125F46" w:rsidRPr="00125F46" w:rsidRDefault="00125F46" w:rsidP="00125F46">
      <w:pPr>
        <w:pStyle w:val="NormalWeb"/>
        <w:spacing w:before="120" w:beforeAutospacing="0"/>
        <w:jc w:val="both"/>
        <w:rPr>
          <w:rFonts w:ascii="Calibri" w:hAnsi="Calibri" w:cs="Calibri"/>
          <w:b/>
          <w:bCs/>
          <w:i/>
          <w:iCs/>
          <w:sz w:val="22"/>
          <w:szCs w:val="22"/>
        </w:rPr>
      </w:pPr>
      <w:r w:rsidRPr="00125F46">
        <w:rPr>
          <w:rFonts w:ascii="Calibri" w:hAnsi="Calibri" w:cs="Calibri"/>
          <w:b/>
          <w:bCs/>
          <w:i/>
          <w:iCs/>
          <w:sz w:val="22"/>
          <w:szCs w:val="22"/>
        </w:rPr>
        <w:t xml:space="preserve">Advertencia: Todos los PCA deben estar plenamente cerrados y contabilizados dentro de los 30 días a partir de la fecha de emisión del anticipo para una actividad de proyecto única. Esto es muy importante para la presentación justa y precisa de a) la posición financiera y los resultados operativos del PNUD (reflejados en el balance y en las cuentas del estado de ingresos), y b) el estado de ejecución y saldo del proyecto para la presentación de informes de donantes del PNUD, según las Normas Internacionales de Contabilidad del Sector Público (IPSAS, International </w:t>
      </w:r>
      <w:proofErr w:type="spellStart"/>
      <w:r w:rsidRPr="00125F46">
        <w:rPr>
          <w:rFonts w:ascii="Calibri" w:hAnsi="Calibri" w:cs="Calibri"/>
          <w:b/>
          <w:bCs/>
          <w:i/>
          <w:iCs/>
          <w:sz w:val="22"/>
          <w:szCs w:val="22"/>
        </w:rPr>
        <w:t>Public</w:t>
      </w:r>
      <w:proofErr w:type="spellEnd"/>
      <w:r w:rsidRPr="00125F46">
        <w:rPr>
          <w:rFonts w:ascii="Calibri" w:hAnsi="Calibri" w:cs="Calibri"/>
          <w:b/>
          <w:bCs/>
          <w:i/>
          <w:iCs/>
          <w:sz w:val="22"/>
          <w:szCs w:val="22"/>
        </w:rPr>
        <w:t xml:space="preserve"> Sector </w:t>
      </w:r>
      <w:proofErr w:type="spellStart"/>
      <w:r w:rsidRPr="00125F46">
        <w:rPr>
          <w:rFonts w:ascii="Calibri" w:hAnsi="Calibri" w:cs="Calibri"/>
          <w:b/>
          <w:bCs/>
          <w:i/>
          <w:iCs/>
          <w:sz w:val="22"/>
          <w:szCs w:val="22"/>
        </w:rPr>
        <w:t>Accounting</w:t>
      </w:r>
      <w:proofErr w:type="spellEnd"/>
      <w:r w:rsidRPr="00125F46">
        <w:rPr>
          <w:rFonts w:ascii="Calibri" w:hAnsi="Calibri" w:cs="Calibri"/>
          <w:b/>
          <w:bCs/>
          <w:i/>
          <w:iCs/>
          <w:sz w:val="22"/>
          <w:szCs w:val="22"/>
        </w:rPr>
        <w:t xml:space="preserve"> </w:t>
      </w:r>
      <w:proofErr w:type="spellStart"/>
      <w:r w:rsidRPr="00125F46">
        <w:rPr>
          <w:rFonts w:ascii="Calibri" w:hAnsi="Calibri" w:cs="Calibri"/>
          <w:b/>
          <w:bCs/>
          <w:i/>
          <w:iCs/>
          <w:sz w:val="22"/>
          <w:szCs w:val="22"/>
        </w:rPr>
        <w:t>Standards</w:t>
      </w:r>
      <w:proofErr w:type="spellEnd"/>
      <w:r w:rsidRPr="00125F46">
        <w:rPr>
          <w:rFonts w:ascii="Calibri" w:hAnsi="Calibri" w:cs="Calibri"/>
          <w:b/>
          <w:bCs/>
          <w:i/>
          <w:iCs/>
          <w:sz w:val="22"/>
          <w:szCs w:val="22"/>
        </w:rPr>
        <w:t xml:space="preserve">, por sus siglas en inglés) en todo momento. </w:t>
      </w:r>
    </w:p>
    <w:p w14:paraId="36141228" w14:textId="77777777" w:rsidR="00125F46" w:rsidRPr="00125F46" w:rsidRDefault="00125F46" w:rsidP="00125F46">
      <w:pPr>
        <w:pStyle w:val="NormalWeb"/>
        <w:spacing w:before="120" w:beforeAutospacing="0"/>
        <w:jc w:val="both"/>
        <w:rPr>
          <w:rFonts w:ascii="Calibri" w:hAnsi="Calibri" w:cs="Calibri"/>
          <w:b/>
          <w:bCs/>
          <w:i/>
          <w:iCs/>
          <w:sz w:val="22"/>
          <w:szCs w:val="22"/>
        </w:rPr>
      </w:pPr>
      <w:r w:rsidRPr="00125F46">
        <w:rPr>
          <w:rFonts w:ascii="Calibri" w:hAnsi="Calibri" w:cs="Calibri"/>
          <w:b/>
          <w:bCs/>
          <w:i/>
          <w:iCs/>
          <w:sz w:val="22"/>
          <w:szCs w:val="22"/>
        </w:rPr>
        <w:t xml:space="preserve">Advertencia: El equipo de gestión de tesorería de la SGSSC supervisa mensualmente los asientos de ajuste de ganancias/pérdidas por tipo de cambio (FX, </w:t>
      </w:r>
      <w:proofErr w:type="spellStart"/>
      <w:r w:rsidRPr="00125F46">
        <w:rPr>
          <w:rFonts w:ascii="Calibri" w:hAnsi="Calibri" w:cs="Calibri"/>
          <w:b/>
          <w:bCs/>
          <w:i/>
          <w:iCs/>
          <w:sz w:val="22"/>
          <w:szCs w:val="22"/>
        </w:rPr>
        <w:t>Foreign</w:t>
      </w:r>
      <w:proofErr w:type="spellEnd"/>
      <w:r w:rsidRPr="00125F46">
        <w:rPr>
          <w:rFonts w:ascii="Calibri" w:hAnsi="Calibri" w:cs="Calibri"/>
          <w:b/>
          <w:bCs/>
          <w:i/>
          <w:iCs/>
          <w:sz w:val="22"/>
          <w:szCs w:val="22"/>
        </w:rPr>
        <w:t xml:space="preserve"> Exchange, por sus siglas en inglés). </w:t>
      </w:r>
    </w:p>
    <w:p w14:paraId="3B09514A" w14:textId="77777777" w:rsidR="00125F46" w:rsidRPr="00125F46" w:rsidRDefault="00125F46" w:rsidP="00125F46">
      <w:pPr>
        <w:pStyle w:val="NormalWeb"/>
        <w:spacing w:before="120" w:beforeAutospacing="0"/>
        <w:jc w:val="both"/>
        <w:rPr>
          <w:rFonts w:ascii="Calibri" w:hAnsi="Calibri" w:cs="Calibri"/>
          <w:sz w:val="22"/>
          <w:szCs w:val="22"/>
          <w:u w:val="single"/>
        </w:rPr>
      </w:pPr>
      <w:r w:rsidRPr="00125F46">
        <w:rPr>
          <w:rFonts w:ascii="Calibri" w:hAnsi="Calibri" w:cs="Calibri"/>
          <w:sz w:val="22"/>
          <w:szCs w:val="22"/>
          <w:u w:val="single"/>
        </w:rPr>
        <w:t xml:space="preserve">Conciliación del saldo pendiente del PCA con el saldo del GL para el PCA </w:t>
      </w:r>
    </w:p>
    <w:p w14:paraId="6F805CAC" w14:textId="77777777" w:rsidR="00125F46" w:rsidRPr="00125F46" w:rsidRDefault="00125F46" w:rsidP="00125F46">
      <w:pPr>
        <w:pStyle w:val="NormalWeb"/>
        <w:spacing w:before="120" w:beforeAutospacing="0"/>
        <w:jc w:val="both"/>
        <w:rPr>
          <w:rFonts w:ascii="Calibri" w:hAnsi="Calibri" w:cs="Calibri"/>
          <w:b/>
          <w:bCs/>
          <w:i/>
          <w:iCs/>
          <w:sz w:val="22"/>
          <w:szCs w:val="22"/>
        </w:rPr>
      </w:pPr>
      <w:r w:rsidRPr="00125F46">
        <w:rPr>
          <w:rFonts w:ascii="Calibri" w:hAnsi="Calibri" w:cs="Calibri"/>
          <w:b/>
          <w:bCs/>
          <w:i/>
          <w:iCs/>
          <w:sz w:val="22"/>
          <w:szCs w:val="22"/>
        </w:rPr>
        <w:t xml:space="preserve">Advertencia: Preste atención a la moneda en el GL. La conciliación se debe hacer en la moneda en la que se emite el PCA. Por lo general, esto significa que se utiliza la moneda local para la mayoría de los PCA. </w:t>
      </w:r>
    </w:p>
    <w:p w14:paraId="2A7015B1" w14:textId="77777777" w:rsidR="00125F46" w:rsidRPr="00125F46" w:rsidRDefault="00125F46" w:rsidP="00125F46">
      <w:pPr>
        <w:pStyle w:val="NormalWeb"/>
        <w:numPr>
          <w:ilvl w:val="1"/>
          <w:numId w:val="1"/>
        </w:numPr>
        <w:spacing w:before="120" w:beforeAutospacing="0"/>
        <w:ind w:left="360"/>
        <w:jc w:val="both"/>
        <w:rPr>
          <w:rFonts w:ascii="Calibri" w:hAnsi="Calibri" w:cs="Calibri"/>
          <w:sz w:val="22"/>
          <w:szCs w:val="22"/>
        </w:rPr>
      </w:pPr>
      <w:r w:rsidRPr="00125F46">
        <w:rPr>
          <w:rFonts w:ascii="Calibri" w:hAnsi="Calibri" w:cs="Calibri"/>
          <w:sz w:val="22"/>
          <w:szCs w:val="22"/>
        </w:rPr>
        <w:lastRenderedPageBreak/>
        <w:t xml:space="preserve">El Asociado de Finanzas asignado que supervisa el PCA debe controlar que el APJV y el asiento directo de AR del libro diario utilicen el COA correcto. </w:t>
      </w:r>
    </w:p>
    <w:p w14:paraId="28FCEDA9" w14:textId="77777777" w:rsidR="00125F46" w:rsidRPr="00125F46" w:rsidRDefault="00125F46" w:rsidP="00125F46">
      <w:pPr>
        <w:pStyle w:val="NormalWeb"/>
        <w:numPr>
          <w:ilvl w:val="1"/>
          <w:numId w:val="1"/>
        </w:numPr>
        <w:spacing w:before="120" w:beforeAutospacing="0"/>
        <w:ind w:left="360"/>
        <w:jc w:val="both"/>
        <w:rPr>
          <w:rFonts w:ascii="Calibri" w:hAnsi="Calibri" w:cs="Calibri"/>
          <w:sz w:val="22"/>
          <w:szCs w:val="22"/>
        </w:rPr>
      </w:pPr>
      <w:r w:rsidRPr="00125F46">
        <w:rPr>
          <w:rFonts w:ascii="Calibri" w:hAnsi="Calibri" w:cs="Calibri"/>
          <w:sz w:val="22"/>
          <w:szCs w:val="22"/>
        </w:rPr>
        <w:t xml:space="preserve">El Asociado de Finanzas asignado realiza el informe AAA para la cuenta del GL 16108 para la última fecha de cada mes. Revisa y confirma que el saldo en la cuenta del GL 16108 representa los PCA pendientes que no han concluido al 23 de cada mes. </w:t>
      </w:r>
    </w:p>
    <w:p w14:paraId="0A363561" w14:textId="77777777" w:rsidR="00125F46" w:rsidRPr="00125F46" w:rsidRDefault="00125F46" w:rsidP="00125F46">
      <w:pPr>
        <w:pStyle w:val="NormalWeb"/>
        <w:numPr>
          <w:ilvl w:val="1"/>
          <w:numId w:val="1"/>
        </w:numPr>
        <w:spacing w:before="120" w:beforeAutospacing="0"/>
        <w:ind w:left="360"/>
        <w:jc w:val="both"/>
        <w:rPr>
          <w:rFonts w:ascii="Calibri" w:hAnsi="Calibri" w:cs="Calibri"/>
          <w:sz w:val="22"/>
          <w:szCs w:val="22"/>
        </w:rPr>
      </w:pPr>
      <w:r w:rsidRPr="00125F46">
        <w:rPr>
          <w:rFonts w:ascii="Calibri" w:hAnsi="Calibri" w:cs="Calibri"/>
          <w:sz w:val="22"/>
          <w:szCs w:val="22"/>
        </w:rPr>
        <w:t xml:space="preserve">El Gerente de Operaciones debe revisar la conciliación completada por el Asociado de Finanzas asignado. Si hay alguna duda con respecto a los PCA no cerrados, debe tomar las medidas apropiadas para garantizar que se apliquen los controles internos para los PCA. </w:t>
      </w:r>
    </w:p>
    <w:p w14:paraId="5CAA7A91" w14:textId="77777777" w:rsidR="00125F46" w:rsidRPr="00125F46" w:rsidRDefault="00125F46" w:rsidP="00125F46">
      <w:pPr>
        <w:pStyle w:val="NormalWeb"/>
        <w:numPr>
          <w:ilvl w:val="1"/>
          <w:numId w:val="1"/>
        </w:numPr>
        <w:spacing w:before="120" w:beforeAutospacing="0"/>
        <w:ind w:left="360"/>
        <w:jc w:val="both"/>
        <w:rPr>
          <w:rFonts w:ascii="Calibri" w:hAnsi="Calibri" w:cs="Calibri"/>
          <w:sz w:val="22"/>
          <w:szCs w:val="22"/>
        </w:rPr>
      </w:pPr>
      <w:r w:rsidRPr="00125F46">
        <w:rPr>
          <w:rFonts w:ascii="Calibri" w:hAnsi="Calibri" w:cs="Calibri"/>
          <w:sz w:val="22"/>
          <w:szCs w:val="22"/>
        </w:rPr>
        <w:t xml:space="preserve">En cada cierre de trimestre o en cada fecha de cierre financiero del PNUD, el Asociado de Finanzas asignado prepara el programa de conciliación del PCA (véase el Anexo 7: Programa de conciliación del PCA). El saldo de la cuenta del GL 16108 debe estar justificado en detalle por los PCA que se encuentran pendientes. </w:t>
      </w:r>
    </w:p>
    <w:p w14:paraId="132CEC96" w14:textId="77777777" w:rsidR="00125F46" w:rsidRPr="00125F46" w:rsidRDefault="00125F46" w:rsidP="00125F46">
      <w:pPr>
        <w:pStyle w:val="NormalWeb"/>
        <w:numPr>
          <w:ilvl w:val="1"/>
          <w:numId w:val="1"/>
        </w:numPr>
        <w:spacing w:before="120" w:beforeAutospacing="0"/>
        <w:ind w:left="360"/>
        <w:jc w:val="both"/>
        <w:rPr>
          <w:rFonts w:ascii="Calibri" w:hAnsi="Calibri" w:cs="Calibri"/>
          <w:sz w:val="22"/>
          <w:szCs w:val="22"/>
        </w:rPr>
      </w:pPr>
      <w:r w:rsidRPr="00125F46">
        <w:rPr>
          <w:rFonts w:ascii="Calibri" w:hAnsi="Calibri" w:cs="Calibri"/>
          <w:sz w:val="22"/>
          <w:szCs w:val="22"/>
        </w:rPr>
        <w:t xml:space="preserve">El Gerente de Operaciones debe revisar y certificar el programa de conciliación del PCA. </w:t>
      </w:r>
    </w:p>
    <w:p w14:paraId="3D7CFD26" w14:textId="77777777" w:rsidR="00125F46" w:rsidRPr="00125F46" w:rsidRDefault="00125F46" w:rsidP="00125F46">
      <w:pPr>
        <w:pStyle w:val="NormalWeb"/>
        <w:spacing w:before="120" w:beforeAutospacing="0"/>
        <w:jc w:val="both"/>
        <w:rPr>
          <w:rFonts w:ascii="Calibri" w:hAnsi="Calibri" w:cs="Calibri"/>
          <w:b/>
          <w:bCs/>
          <w:i/>
          <w:iCs/>
          <w:sz w:val="22"/>
          <w:szCs w:val="22"/>
        </w:rPr>
      </w:pPr>
      <w:r w:rsidRPr="00125F46">
        <w:rPr>
          <w:rFonts w:ascii="Calibri" w:hAnsi="Calibri" w:cs="Calibri"/>
          <w:b/>
          <w:bCs/>
          <w:i/>
          <w:iCs/>
          <w:sz w:val="22"/>
          <w:szCs w:val="22"/>
        </w:rPr>
        <w:t xml:space="preserve">Advertencia: Los pasos anteriores son de importancia crítica para garantizar que los anticipos en efectivo del PNUD se contabilicen de manera oportuna y precisa. </w:t>
      </w:r>
    </w:p>
    <w:p w14:paraId="7F087FA8" w14:textId="77777777" w:rsidR="00125F46" w:rsidRPr="00125F46" w:rsidRDefault="00125F46" w:rsidP="00125F46">
      <w:pPr>
        <w:shd w:val="clear" w:color="auto" w:fill="FFFFFF"/>
        <w:spacing w:before="120" w:after="0" w:line="240" w:lineRule="auto"/>
        <w:textAlignment w:val="top"/>
        <w:rPr>
          <w:rFonts w:eastAsia="Times New Roman"/>
          <w:color w:val="333333"/>
        </w:rPr>
      </w:pPr>
    </w:p>
    <w:p w14:paraId="04163C9B" w14:textId="77777777" w:rsidR="00125F46" w:rsidRPr="00125F46" w:rsidRDefault="00125F46" w:rsidP="00125F46">
      <w:pPr>
        <w:shd w:val="clear" w:color="auto" w:fill="FFFFFF"/>
        <w:spacing w:before="120" w:after="0" w:line="240" w:lineRule="auto"/>
        <w:textAlignment w:val="top"/>
        <w:rPr>
          <w:rFonts w:eastAsia="Times New Roman"/>
          <w:color w:val="333333"/>
        </w:rPr>
      </w:pPr>
    </w:p>
    <w:p w14:paraId="641FC16D" w14:textId="77777777" w:rsidR="00125F46" w:rsidRPr="00125F46" w:rsidRDefault="00125F46" w:rsidP="00125F46">
      <w:pPr>
        <w:shd w:val="clear" w:color="auto" w:fill="FFFFFF"/>
        <w:jc w:val="center"/>
        <w:rPr>
          <w:b/>
          <w:bCs/>
          <w:color w:val="201F1E"/>
          <w:sz w:val="23"/>
          <w:szCs w:val="23"/>
          <w:lang w:val="it-IT"/>
        </w:rPr>
      </w:pPr>
      <w:bookmarkStart w:id="1" w:name="RelevantPolicies"/>
      <w:bookmarkEnd w:id="1"/>
    </w:p>
    <w:p w14:paraId="314C5880" w14:textId="77777777" w:rsidR="00125F46" w:rsidRPr="00125F46" w:rsidRDefault="00125F46" w:rsidP="00125F46">
      <w:pPr>
        <w:shd w:val="clear" w:color="auto" w:fill="FFFFFF"/>
        <w:jc w:val="center"/>
        <w:rPr>
          <w:i/>
          <w:iCs/>
          <w:bdr w:val="none" w:sz="0" w:space="0" w:color="auto" w:frame="1"/>
          <w:shd w:val="clear" w:color="auto" w:fill="FFFFFF"/>
          <w:lang w:val="es-UY"/>
        </w:rPr>
      </w:pPr>
      <w:r w:rsidRPr="00125F46">
        <w:rPr>
          <w:b/>
          <w:bCs/>
          <w:i/>
          <w:iCs/>
          <w:u w:val="single"/>
          <w:bdr w:val="none" w:sz="0" w:space="0" w:color="auto" w:frame="1"/>
          <w:shd w:val="clear" w:color="auto" w:fill="FFFFFF"/>
          <w:lang w:val="es-ES_tradnl"/>
        </w:rPr>
        <w:t>Descargo de responsabilidad:</w:t>
      </w:r>
      <w:r w:rsidRPr="00125F46">
        <w:rPr>
          <w:i/>
          <w:iCs/>
          <w:bdr w:val="none" w:sz="0" w:space="0" w:color="auto" w:frame="1"/>
          <w:shd w:val="clear" w:color="auto" w:fill="FFFFFF"/>
          <w:lang w:val="es-ES_tradnl"/>
        </w:rPr>
        <w:t xml:space="preserve"> esta es una traducción de un documento original en inglés. </w:t>
      </w:r>
      <w:r w:rsidRPr="00125F46">
        <w:rPr>
          <w:i/>
          <w:iCs/>
          <w:bdr w:val="none" w:sz="0" w:space="0" w:color="auto" w:frame="1"/>
          <w:shd w:val="clear" w:color="auto" w:fill="FFFFFF"/>
          <w:lang w:val="es-UY"/>
        </w:rPr>
        <w:t>En caso de discrepancias entre esta traducción y el documento original en inglés, prevalecerá el documento original en inglés.</w:t>
      </w:r>
    </w:p>
    <w:p w14:paraId="58EC0189" w14:textId="77777777" w:rsidR="00125F46" w:rsidRPr="00125F46" w:rsidRDefault="00125F46" w:rsidP="00125F46">
      <w:pPr>
        <w:shd w:val="clear" w:color="auto" w:fill="FFFFFF"/>
        <w:jc w:val="center"/>
        <w:rPr>
          <w:color w:val="201F1E"/>
          <w:sz w:val="23"/>
          <w:szCs w:val="23"/>
          <w:lang w:val="es-ES_tradnl"/>
        </w:rPr>
      </w:pPr>
    </w:p>
    <w:p w14:paraId="7103D935" w14:textId="77777777" w:rsidR="00125F46" w:rsidRPr="00125F46" w:rsidRDefault="00125F46" w:rsidP="00125F46">
      <w:pPr>
        <w:shd w:val="clear" w:color="auto" w:fill="FFFFFF"/>
        <w:jc w:val="center"/>
        <w:rPr>
          <w:color w:val="201F1E"/>
          <w:sz w:val="23"/>
          <w:szCs w:val="23"/>
          <w:lang w:val="en-US"/>
        </w:rPr>
      </w:pPr>
      <w:r w:rsidRPr="00125F46">
        <w:rPr>
          <w:b/>
          <w:bCs/>
          <w:i/>
          <w:iCs/>
          <w:u w:val="single"/>
          <w:bdr w:val="none" w:sz="0" w:space="0" w:color="auto" w:frame="1"/>
          <w:lang w:val="en-US"/>
        </w:rPr>
        <w:t>Disclaimer</w:t>
      </w:r>
      <w:r w:rsidRPr="00125F46">
        <w:rPr>
          <w:b/>
          <w:bCs/>
          <w:i/>
          <w:iCs/>
          <w:bdr w:val="none" w:sz="0" w:space="0" w:color="auto" w:frame="1"/>
          <w:lang w:val="en-US"/>
        </w:rPr>
        <w:t>:</w:t>
      </w:r>
      <w:r w:rsidRPr="00125F46">
        <w:rPr>
          <w:i/>
          <w:iCs/>
          <w:bdr w:val="none" w:sz="0" w:space="0" w:color="auto" w:frame="1"/>
          <w:lang w:val="en-US"/>
        </w:rPr>
        <w:t xml:space="preserve"> This document was translated from English into Spanish. In the event of any discrepancy between this translation and the original English document, the original English document shall prevail.</w:t>
      </w:r>
    </w:p>
    <w:p w14:paraId="3BB0AA6F" w14:textId="77777777" w:rsidR="00125F46" w:rsidRPr="000A0E86" w:rsidRDefault="00125F46" w:rsidP="00125F46">
      <w:pPr>
        <w:shd w:val="clear" w:color="auto" w:fill="FFFFFF"/>
        <w:spacing w:after="0" w:line="240" w:lineRule="auto"/>
        <w:ind w:left="0" w:right="0" w:firstLine="0"/>
        <w:jc w:val="center"/>
        <w:rPr>
          <w:rFonts w:eastAsia="Times New Roman"/>
          <w:color w:val="201F1E"/>
          <w:sz w:val="23"/>
          <w:szCs w:val="23"/>
          <w:lang w:val="en-GB"/>
        </w:rPr>
      </w:pPr>
    </w:p>
    <w:p w14:paraId="0387389F" w14:textId="77777777" w:rsidR="00125F46" w:rsidRPr="000A0E86" w:rsidRDefault="00125F46" w:rsidP="00125F46">
      <w:pPr>
        <w:spacing w:before="120" w:after="29" w:line="240" w:lineRule="auto"/>
        <w:ind w:left="0" w:right="0" w:firstLine="0"/>
        <w:rPr>
          <w:lang w:val="en-GB"/>
        </w:rPr>
      </w:pPr>
    </w:p>
    <w:p w14:paraId="7593EC7F" w14:textId="77777777" w:rsidR="00125F46" w:rsidRPr="000A0E86" w:rsidRDefault="00125F46" w:rsidP="00125F46">
      <w:pPr>
        <w:spacing w:before="120" w:after="29" w:line="240" w:lineRule="auto"/>
        <w:ind w:left="806" w:right="0" w:firstLine="0"/>
        <w:rPr>
          <w:lang w:val="en-GB"/>
        </w:rPr>
      </w:pPr>
    </w:p>
    <w:p w14:paraId="453626AB" w14:textId="77777777" w:rsidR="00125F46" w:rsidRPr="000A0E86" w:rsidRDefault="00125F46">
      <w:pPr>
        <w:rPr>
          <w:lang w:val="en-GB"/>
        </w:rPr>
      </w:pPr>
    </w:p>
    <w:sectPr w:rsidR="00125F46" w:rsidRPr="000A0E86" w:rsidSect="00125F46">
      <w:headerReference w:type="default" r:id="rId7"/>
      <w:footerReference w:type="even" r:id="rId8"/>
      <w:footerReference w:type="default" r:id="rId9"/>
      <w:footerReference w:type="first" r:id="rId10"/>
      <w:pgSz w:w="12240" w:h="15840"/>
      <w:pgMar w:top="1440" w:right="1425" w:bottom="1206" w:left="1340" w:header="720" w:footer="9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37462" w14:textId="77777777" w:rsidR="00750F67" w:rsidRDefault="00750F67" w:rsidP="00125F46">
      <w:pPr>
        <w:spacing w:after="0" w:line="240" w:lineRule="auto"/>
      </w:pPr>
      <w:r>
        <w:separator/>
      </w:r>
    </w:p>
  </w:endnote>
  <w:endnote w:type="continuationSeparator" w:id="0">
    <w:p w14:paraId="083F3136" w14:textId="77777777" w:rsidR="00750F67" w:rsidRDefault="00750F67" w:rsidP="00125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5938D" w14:textId="77777777" w:rsidR="00125F46" w:rsidRDefault="00125F46">
    <w:pPr>
      <w:tabs>
        <w:tab w:val="center" w:pos="4784"/>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noProof/>
      </w:rP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8FF1F" w14:textId="77777777" w:rsidR="00125F46" w:rsidRDefault="00125F46">
    <w:pPr>
      <w:tabs>
        <w:tab w:val="center" w:pos="4784"/>
      </w:tabs>
      <w:spacing w:after="0" w:line="259" w:lineRule="auto"/>
      <w:ind w:left="0" w:right="0" w:firstLine="0"/>
      <w:jc w:val="left"/>
    </w:pPr>
    <w:r>
      <w:t xml:space="preserve">Página </w:t>
    </w:r>
    <w:r>
      <w:rPr>
        <w:b/>
      </w:rPr>
      <w:fldChar w:fldCharType="begin"/>
    </w:r>
    <w:r>
      <w:rPr>
        <w:b/>
      </w:rPr>
      <w:instrText xml:space="preserve"> PAGE  \* Arabic  \* MERGEFORMAT </w:instrText>
    </w:r>
    <w:r>
      <w:rPr>
        <w:b/>
      </w:rPr>
      <w:fldChar w:fldCharType="separate"/>
    </w:r>
    <w:r>
      <w:rPr>
        <w:b/>
        <w:noProof/>
      </w:rPr>
      <w:t>7</w:t>
    </w:r>
    <w:r>
      <w:rPr>
        <w:b/>
      </w:rPr>
      <w:fldChar w:fldCharType="end"/>
    </w:r>
    <w:r>
      <w:t xml:space="preserve"> de </w:t>
    </w:r>
    <w:r>
      <w:rPr>
        <w:b/>
      </w:rPr>
      <w:fldChar w:fldCharType="begin"/>
    </w:r>
    <w:r>
      <w:rPr>
        <w:b/>
      </w:rPr>
      <w:instrText xml:space="preserve"> NUMPAGES  \* Arabic  \* MERGEFORMAT </w:instrText>
    </w:r>
    <w:r>
      <w:rPr>
        <w:b/>
      </w:rPr>
      <w:fldChar w:fldCharType="separate"/>
    </w:r>
    <w:r>
      <w:rPr>
        <w:b/>
        <w:noProof/>
      </w:rPr>
      <w:t>7</w:t>
    </w:r>
    <w:r>
      <w:rPr>
        <w:b/>
      </w:rPr>
      <w:fldChar w:fldCharType="end"/>
    </w:r>
    <w:r>
      <w:ptab w:relativeTo="margin" w:alignment="center" w:leader="none"/>
    </w:r>
    <w:r>
      <w:t xml:space="preserve">Fecha de entrada en vigor: </w:t>
    </w:r>
    <w:r w:rsidRPr="008D2201">
      <w:t xml:space="preserve">01/09/2018 </w:t>
    </w:r>
    <w:r>
      <w:ptab w:relativeTo="margin" w:alignment="right" w:leader="none"/>
    </w:r>
    <w:r>
      <w:t>Versión #: 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222B5" w14:textId="77777777" w:rsidR="00125F46" w:rsidRDefault="00125F46">
    <w:pPr>
      <w:tabs>
        <w:tab w:val="center" w:pos="4784"/>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F3776" w14:textId="77777777" w:rsidR="00750F67" w:rsidRDefault="00750F67" w:rsidP="00125F46">
      <w:pPr>
        <w:spacing w:after="0" w:line="240" w:lineRule="auto"/>
      </w:pPr>
      <w:r>
        <w:separator/>
      </w:r>
    </w:p>
  </w:footnote>
  <w:footnote w:type="continuationSeparator" w:id="0">
    <w:p w14:paraId="47CFF0FA" w14:textId="77777777" w:rsidR="00750F67" w:rsidRDefault="00750F67" w:rsidP="00125F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4C1F1" w14:textId="77777777" w:rsidR="00125F46" w:rsidRDefault="00125F46" w:rsidP="00563C0A">
    <w:pPr>
      <w:pStyle w:val="Header"/>
      <w:jc w:val="right"/>
    </w:pPr>
    <w:r>
      <w:rPr>
        <w:noProof/>
        <w:lang w:val="en-US"/>
      </w:rPr>
      <w:drawing>
        <wp:inline distT="0" distB="0" distL="0" distR="0" wp14:anchorId="1445B18A" wp14:editId="50B8AA1D">
          <wp:extent cx="441717" cy="872166"/>
          <wp:effectExtent l="0" t="0" r="0" b="0"/>
          <wp:docPr id="210507293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072932" name="Picture 24"/>
                  <pic:cNvPicPr/>
                </pic:nvPicPr>
                <pic:blipFill>
                  <a:blip r:embed="rId1">
                    <a:extLst>
                      <a:ext uri="{28A0092B-C50C-407E-A947-70E740481C1C}">
                        <a14:useLocalDpi xmlns:a14="http://schemas.microsoft.com/office/drawing/2010/main" val="0"/>
                      </a:ext>
                    </a:extLst>
                  </a:blip>
                  <a:srcRect l="11455" r="11455"/>
                  <a:stretch>
                    <a:fillRect/>
                  </a:stretch>
                </pic:blipFill>
                <pic:spPr bwMode="auto">
                  <a:xfrm>
                    <a:off x="0" y="0"/>
                    <a:ext cx="445709" cy="88004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A7E"/>
    <w:multiLevelType w:val="hybridMultilevel"/>
    <w:tmpl w:val="D88E3770"/>
    <w:lvl w:ilvl="0" w:tplc="C1F44E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38111F"/>
    <w:multiLevelType w:val="hybridMultilevel"/>
    <w:tmpl w:val="20329E74"/>
    <w:lvl w:ilvl="0" w:tplc="76D41C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A32AC9"/>
    <w:multiLevelType w:val="hybridMultilevel"/>
    <w:tmpl w:val="D56080A2"/>
    <w:lvl w:ilvl="0" w:tplc="A1BC3A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A70EC3"/>
    <w:multiLevelType w:val="hybridMultilevel"/>
    <w:tmpl w:val="081A14B6"/>
    <w:lvl w:ilvl="0" w:tplc="3D02DF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E24014"/>
    <w:multiLevelType w:val="hybridMultilevel"/>
    <w:tmpl w:val="21B8F002"/>
    <w:lvl w:ilvl="0" w:tplc="CF78DC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783913"/>
    <w:multiLevelType w:val="hybridMultilevel"/>
    <w:tmpl w:val="CC54524C"/>
    <w:lvl w:ilvl="0" w:tplc="3B242D80">
      <w:start w:val="1"/>
      <w:numFmt w:val="lowerLetter"/>
      <w:lvlText w:val="%1."/>
      <w:lvlJc w:val="left"/>
      <w:pPr>
        <w:ind w:left="720" w:hanging="360"/>
      </w:pPr>
      <w:rPr>
        <w:rFonts w:hint="default"/>
      </w:rPr>
    </w:lvl>
    <w:lvl w:ilvl="1" w:tplc="DDD2690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A7297F"/>
    <w:multiLevelType w:val="hybridMultilevel"/>
    <w:tmpl w:val="A6FA4384"/>
    <w:lvl w:ilvl="0" w:tplc="60B8FA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2966016">
    <w:abstractNumId w:val="5"/>
  </w:num>
  <w:num w:numId="2" w16cid:durableId="1280912760">
    <w:abstractNumId w:val="1"/>
  </w:num>
  <w:num w:numId="3" w16cid:durableId="1642734410">
    <w:abstractNumId w:val="3"/>
  </w:num>
  <w:num w:numId="4" w16cid:durableId="197160160">
    <w:abstractNumId w:val="2"/>
  </w:num>
  <w:num w:numId="5" w16cid:durableId="866136992">
    <w:abstractNumId w:val="6"/>
  </w:num>
  <w:num w:numId="6" w16cid:durableId="382873226">
    <w:abstractNumId w:val="4"/>
  </w:num>
  <w:num w:numId="7" w16cid:durableId="209921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F46"/>
    <w:rsid w:val="000A0E86"/>
    <w:rsid w:val="00125F46"/>
    <w:rsid w:val="001664CB"/>
    <w:rsid w:val="002831E4"/>
    <w:rsid w:val="005C03D2"/>
    <w:rsid w:val="006B3F25"/>
    <w:rsid w:val="00750F67"/>
    <w:rsid w:val="008954A9"/>
    <w:rsid w:val="00C815EA"/>
    <w:rsid w:val="00C91DD3"/>
    <w:rsid w:val="00E87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EDABA"/>
  <w15:chartTrackingRefBased/>
  <w15:docId w15:val="{ADAF7FFB-3239-4E6E-8B99-CD040105A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F46"/>
    <w:pPr>
      <w:spacing w:after="3" w:line="315" w:lineRule="auto"/>
      <w:ind w:left="831" w:right="3" w:hanging="370"/>
      <w:jc w:val="both"/>
    </w:pPr>
    <w:rPr>
      <w:rFonts w:ascii="Calibri" w:eastAsia="Calibri" w:hAnsi="Calibri" w:cs="Calibri"/>
      <w:color w:val="000000"/>
      <w:kern w:val="0"/>
      <w:sz w:val="22"/>
      <w:szCs w:val="22"/>
      <w:lang w:val="es-ES"/>
      <w14:ligatures w14:val="none"/>
    </w:rPr>
  </w:style>
  <w:style w:type="paragraph" w:styleId="Heading1">
    <w:name w:val="heading 1"/>
    <w:basedOn w:val="Normal"/>
    <w:next w:val="Normal"/>
    <w:link w:val="Heading1Char"/>
    <w:uiPriority w:val="9"/>
    <w:qFormat/>
    <w:rsid w:val="00125F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5F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5F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5F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5F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5F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F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F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F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F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5F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5F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5F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F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F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F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F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F46"/>
    <w:rPr>
      <w:rFonts w:eastAsiaTheme="majorEastAsia" w:cstheme="majorBidi"/>
      <w:color w:val="272727" w:themeColor="text1" w:themeTint="D8"/>
    </w:rPr>
  </w:style>
  <w:style w:type="paragraph" w:styleId="Title">
    <w:name w:val="Title"/>
    <w:basedOn w:val="Normal"/>
    <w:next w:val="Normal"/>
    <w:link w:val="TitleChar"/>
    <w:uiPriority w:val="10"/>
    <w:qFormat/>
    <w:rsid w:val="00125F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F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F46"/>
    <w:pPr>
      <w:numPr>
        <w:ilvl w:val="1"/>
      </w:numPr>
      <w:ind w:left="831" w:hanging="37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F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F46"/>
    <w:pPr>
      <w:spacing w:before="160"/>
      <w:jc w:val="center"/>
    </w:pPr>
    <w:rPr>
      <w:i/>
      <w:iCs/>
      <w:color w:val="404040" w:themeColor="text1" w:themeTint="BF"/>
    </w:rPr>
  </w:style>
  <w:style w:type="character" w:customStyle="1" w:styleId="QuoteChar">
    <w:name w:val="Quote Char"/>
    <w:basedOn w:val="DefaultParagraphFont"/>
    <w:link w:val="Quote"/>
    <w:uiPriority w:val="29"/>
    <w:rsid w:val="00125F46"/>
    <w:rPr>
      <w:i/>
      <w:iCs/>
      <w:color w:val="404040" w:themeColor="text1" w:themeTint="BF"/>
    </w:rPr>
  </w:style>
  <w:style w:type="paragraph" w:styleId="ListParagraph">
    <w:name w:val="List Paragraph"/>
    <w:basedOn w:val="Normal"/>
    <w:uiPriority w:val="34"/>
    <w:qFormat/>
    <w:rsid w:val="00125F46"/>
    <w:pPr>
      <w:ind w:left="720"/>
      <w:contextualSpacing/>
    </w:pPr>
  </w:style>
  <w:style w:type="character" w:styleId="IntenseEmphasis">
    <w:name w:val="Intense Emphasis"/>
    <w:basedOn w:val="DefaultParagraphFont"/>
    <w:uiPriority w:val="21"/>
    <w:qFormat/>
    <w:rsid w:val="00125F46"/>
    <w:rPr>
      <w:i/>
      <w:iCs/>
      <w:color w:val="0F4761" w:themeColor="accent1" w:themeShade="BF"/>
    </w:rPr>
  </w:style>
  <w:style w:type="paragraph" w:styleId="IntenseQuote">
    <w:name w:val="Intense Quote"/>
    <w:basedOn w:val="Normal"/>
    <w:next w:val="Normal"/>
    <w:link w:val="IntenseQuoteChar"/>
    <w:uiPriority w:val="30"/>
    <w:qFormat/>
    <w:rsid w:val="00125F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F46"/>
    <w:rPr>
      <w:i/>
      <w:iCs/>
      <w:color w:val="0F4761" w:themeColor="accent1" w:themeShade="BF"/>
    </w:rPr>
  </w:style>
  <w:style w:type="character" w:styleId="IntenseReference">
    <w:name w:val="Intense Reference"/>
    <w:basedOn w:val="DefaultParagraphFont"/>
    <w:uiPriority w:val="32"/>
    <w:qFormat/>
    <w:rsid w:val="00125F46"/>
    <w:rPr>
      <w:b/>
      <w:bCs/>
      <w:smallCaps/>
      <w:color w:val="0F4761" w:themeColor="accent1" w:themeShade="BF"/>
      <w:spacing w:val="5"/>
    </w:rPr>
  </w:style>
  <w:style w:type="paragraph" w:styleId="Header">
    <w:name w:val="header"/>
    <w:basedOn w:val="Normal"/>
    <w:link w:val="HeaderChar"/>
    <w:uiPriority w:val="99"/>
    <w:unhideWhenUsed/>
    <w:rsid w:val="00125F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F46"/>
    <w:rPr>
      <w:rFonts w:ascii="Calibri" w:eastAsia="Calibri" w:hAnsi="Calibri" w:cs="Calibri"/>
      <w:color w:val="000000"/>
      <w:kern w:val="0"/>
      <w:sz w:val="22"/>
      <w:szCs w:val="22"/>
      <w:lang w:val="es-ES"/>
      <w14:ligatures w14:val="none"/>
    </w:rPr>
  </w:style>
  <w:style w:type="paragraph" w:styleId="NormalWeb">
    <w:name w:val="Normal (Web)"/>
    <w:basedOn w:val="Normal"/>
    <w:uiPriority w:val="99"/>
    <w:unhideWhenUsed/>
    <w:rsid w:val="00125F46"/>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styleId="Revision">
    <w:name w:val="Revision"/>
    <w:hidden/>
    <w:uiPriority w:val="99"/>
    <w:semiHidden/>
    <w:rsid w:val="001664CB"/>
    <w:pPr>
      <w:spacing w:after="0" w:line="240" w:lineRule="auto"/>
    </w:pPr>
    <w:rPr>
      <w:rFonts w:ascii="Calibri" w:eastAsia="Calibri" w:hAnsi="Calibri" w:cs="Calibri"/>
      <w:color w:val="000000"/>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2624</Words>
  <Characters>14962</Characters>
  <Application>Microsoft Office Word</Application>
  <DocSecurity>0</DocSecurity>
  <Lines>124</Lines>
  <Paragraphs>35</Paragraphs>
  <ScaleCrop>false</ScaleCrop>
  <Company/>
  <LinksUpToDate>false</LinksUpToDate>
  <CharactersWithSpaces>17551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Emiliana Zhivkova</dc:creator>
  <cp:keywords/>
  <dc:description/>
  <cp:lastModifiedBy>Pablo Morete</cp:lastModifiedBy>
  <cp:revision>6</cp:revision>
  <dcterms:created xsi:type="dcterms:W3CDTF">2025-04-29T21:47:00Z</dcterms:created>
  <dcterms:modified xsi:type="dcterms:W3CDTF">2025-05-05T06:46:00Z</dcterms:modified>
</cp:coreProperties>
</file>