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F359" w14:textId="77777777" w:rsidR="00034DE4" w:rsidRPr="00034DE4" w:rsidRDefault="00034DE4" w:rsidP="00EE7797">
      <w:pPr>
        <w:spacing w:before="120" w:after="101" w:line="240" w:lineRule="auto"/>
        <w:ind w:left="101" w:firstLine="259"/>
        <w:rPr>
          <w:rFonts w:ascii="Calibri" w:eastAsia="Calibri" w:hAnsi="Calibri" w:cs="Calibri"/>
          <w:color w:val="000000"/>
          <w:kern w:val="0"/>
          <w:lang w:val="en-GB"/>
          <w14:ligatures w14:val="none"/>
        </w:rPr>
      </w:pPr>
      <w:r w:rsidRPr="00034DE4">
        <w:rPr>
          <w:rFonts w:ascii="Calibri" w:eastAsia="Calibri" w:hAnsi="Calibri" w:cs="Calibri"/>
          <w:b/>
          <w:color w:val="000000"/>
          <w:kern w:val="0"/>
          <w:sz w:val="28"/>
          <w:lang w:val="en-GB"/>
          <w14:ligatures w14:val="none"/>
        </w:rPr>
        <w:t xml:space="preserve">Project Cash Advance (PCA) </w:t>
      </w:r>
    </w:p>
    <w:p w14:paraId="673F8A5A" w14:textId="50B5D8FE"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PCA is a one-time advance issued to a designated Custodian(s) for a specific project activity. Typically, the project activity consists of</w:t>
      </w:r>
      <w:r w:rsidR="00EE7797">
        <w:rPr>
          <w:rFonts w:ascii="Calibri" w:eastAsia="Times New Roman" w:hAnsi="Calibri" w:cs="Arial"/>
          <w:kern w:val="0"/>
          <w14:ligatures w14:val="none"/>
        </w:rPr>
        <w:t xml:space="preserve"> events such as</w:t>
      </w:r>
      <w:r w:rsidRPr="00034DE4">
        <w:rPr>
          <w:rFonts w:ascii="Calibri" w:eastAsia="Times New Roman" w:hAnsi="Calibri" w:cs="Arial"/>
          <w:kern w:val="0"/>
          <w14:ligatures w14:val="none"/>
        </w:rPr>
        <w:t xml:space="preserve"> workshops, training seminars or conferences relating to certain projects that would take place in various remote locations. The duration for such activities ranges from 2 days to 2 weeks. </w:t>
      </w:r>
    </w:p>
    <w:p w14:paraId="0BAB83A1" w14:textId="3BD28B05"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PCA is a type of cash arrangement to be used only when there are no other alternative options to disburse payments for any one-time project activities. Expenses qualified to be paid from PCA are: 1) Travel related and fuel expenses between the CO main office and remote region where the project activity is held; 2) DSA for participants for workshops, training seminars, or conferences with duration less than two weeks and in a remote region</w:t>
      </w:r>
      <w:r w:rsidR="004021EC">
        <w:rPr>
          <w:rFonts w:ascii="Calibri" w:eastAsia="Times New Roman" w:hAnsi="Calibri" w:cs="Arial"/>
          <w:kern w:val="0"/>
          <w14:ligatures w14:val="none"/>
        </w:rPr>
        <w:t xml:space="preserve"> and </w:t>
      </w:r>
      <w:r w:rsidR="004021EC" w:rsidRPr="004021EC">
        <w:rPr>
          <w:rFonts w:ascii="Calibri" w:eastAsia="Times New Roman" w:hAnsi="Calibri" w:cs="Arial"/>
          <w:kern w:val="0"/>
          <w14:ligatures w14:val="none"/>
        </w:rPr>
        <w:t>3) expenses related to organizing the events</w:t>
      </w:r>
      <w:r w:rsidRPr="00034DE4">
        <w:rPr>
          <w:rFonts w:ascii="Calibri" w:eastAsia="Times New Roman" w:hAnsi="Calibri" w:cs="Arial"/>
          <w:kern w:val="0"/>
          <w14:ligatures w14:val="none"/>
        </w:rPr>
        <w:t>. Note that salary and benefit payments including overtime, advances and allowances cannot be made from the PCA regardless of amount. These payments must be entered in Global Payroll without exception.</w:t>
      </w:r>
    </w:p>
    <w:p w14:paraId="4DE55E4D"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Due to the security and financial risks of carrying cash while traveling, the CO must always seek alternative options first that are available within the local environment to meet the requirement of the one-time project activities. If PCA must be used and the PCA Custodian must travel with cash, DRR(O) is responsible for making appropriate security arrangement to protect the PCA Custodian and UNDP’s cash asset. </w:t>
      </w:r>
    </w:p>
    <w:p w14:paraId="735F8D41" w14:textId="6A445559"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bookmarkStart w:id="0" w:name="_Hlk192498205"/>
      <w:r w:rsidRPr="00034DE4">
        <w:rPr>
          <w:rFonts w:ascii="Calibri" w:eastAsia="Times New Roman" w:hAnsi="Calibri" w:cs="Arial"/>
          <w:kern w:val="0"/>
          <w14:ligatures w14:val="none"/>
        </w:rPr>
        <w:t xml:space="preserve">The maximum limit is $25,000 (or equivalent) for PCA(s) issued at any given point of time for a specific one-time project activity regardless of the number of the custodians appointed for the one activity.  The PCA(s) must be closed and fully accounted for actual expenses within 30 days (one month) from the date advance was issued.  </w:t>
      </w:r>
    </w:p>
    <w:p w14:paraId="33BAFC49" w14:textId="3405CC43"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For any one-time project activity requirement higher than USD 25,000, the DRR(O) must first seek alternative solutions in the country that are more secure and safe to meet the requirements. For example, make arrangement with a reliable and reputable third-party service provider to deliver and distribute the cash payments according to UNDP CO’s authorization and instructions with proper safeguard including the transportation, distribution of the cash, identifying payees, and reporting the disposal of cash at the conclusion of the job. For many CO’s this service can be provided by the local bank. </w:t>
      </w:r>
    </w:p>
    <w:p w14:paraId="276D5829" w14:textId="5D7A00A1"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If such third-party service provider is not available, the DRR(O) must send the request to the Treasurer for approval for amounts above USD 25,000. The request must specify the need, the justifications, and provide details on the security arrangement relating to the PCA with the dual goals of successfully delivering the project requirement and protecting UNDP staff and cash asset. </w:t>
      </w:r>
    </w:p>
    <w:p w14:paraId="28DBD5FE"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Head of Office is responsible for ensuring routine monitoring of GL account 16108 for data quality and completeness. COs should comply with the following: </w:t>
      </w:r>
    </w:p>
    <w:p w14:paraId="14AD347D" w14:textId="0F44EDAB" w:rsidR="00034DE4" w:rsidRPr="00034DE4" w:rsidRDefault="00034DE4" w:rsidP="00034DE4">
      <w:pPr>
        <w:numPr>
          <w:ilvl w:val="0"/>
          <w:numId w:val="2"/>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PCA(s) for any single activity do not exceed $25,000 unless it is authorized by Treasury. </w:t>
      </w:r>
    </w:p>
    <w:p w14:paraId="53C35043" w14:textId="77777777" w:rsidR="00034DE4" w:rsidRPr="00034DE4" w:rsidRDefault="00034DE4" w:rsidP="00034DE4">
      <w:pPr>
        <w:numPr>
          <w:ilvl w:val="0"/>
          <w:numId w:val="2"/>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All PCAs are closed within 30 days from the date advance was issued.  </w:t>
      </w:r>
    </w:p>
    <w:p w14:paraId="06EB04AB" w14:textId="625E70CB" w:rsidR="00034DE4" w:rsidRPr="00034DE4" w:rsidRDefault="00034DE4" w:rsidP="00034DE4">
      <w:pPr>
        <w:numPr>
          <w:ilvl w:val="0"/>
          <w:numId w:val="2"/>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Spreadsheet upload and/or processing of Credit Memo will completely reverse the original PCA amount issued. </w:t>
      </w:r>
    </w:p>
    <w:p w14:paraId="011EBDEF" w14:textId="77777777" w:rsidR="00034DE4" w:rsidRPr="00034DE4" w:rsidRDefault="00034DE4" w:rsidP="00034DE4">
      <w:pPr>
        <w:numPr>
          <w:ilvl w:val="0"/>
          <w:numId w:val="2"/>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Correct currency code is used. </w:t>
      </w:r>
    </w:p>
    <w:p w14:paraId="13693AF1" w14:textId="77777777" w:rsidR="00034DE4" w:rsidRPr="00034DE4" w:rsidRDefault="00034DE4" w:rsidP="00034DE4">
      <w:pPr>
        <w:numPr>
          <w:ilvl w:val="0"/>
          <w:numId w:val="2"/>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PCA GL 16108 account balance at the month end agrees to the PCA Status Monitor. </w:t>
      </w:r>
    </w:p>
    <w:p w14:paraId="4706DD1C"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lastRenderedPageBreak/>
        <w:t xml:space="preserve">Authority for Approving PCA </w:t>
      </w:r>
    </w:p>
    <w:p w14:paraId="6D5D4AEE" w14:textId="6AB2EFE1"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Treasurer delegates his/her authority to DRR(O) or more senior manager for approving the PCA(s) for up to $25,000 per one-time project activity of limited duration, not exceeding two weeks. This delegation provides the flexibility for a specific project requirement that cannot be met by the normal banking arrangement. However, this delegation also demands accountability of the CO that issues PCAs to ensure timely closure of the PCAs. </w:t>
      </w:r>
    </w:p>
    <w:p w14:paraId="2F108732" w14:textId="6DA96DF1"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Treasurer retains the authority to approve PCA(s) higher than $25,000 based on the CO’s request. The key considerations in approving such requests are: </w:t>
      </w:r>
    </w:p>
    <w:p w14:paraId="281F5106" w14:textId="77777777" w:rsidR="00034DE4" w:rsidRPr="00034DE4" w:rsidRDefault="00034DE4" w:rsidP="00034DE4">
      <w:pPr>
        <w:numPr>
          <w:ilvl w:val="0"/>
          <w:numId w:val="3"/>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Business needs. </w:t>
      </w:r>
    </w:p>
    <w:p w14:paraId="54740E13" w14:textId="77777777" w:rsidR="00034DE4" w:rsidRPr="00034DE4" w:rsidRDefault="00034DE4" w:rsidP="00034DE4">
      <w:pPr>
        <w:numPr>
          <w:ilvl w:val="0"/>
          <w:numId w:val="3"/>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Alternative solutions not available </w:t>
      </w:r>
    </w:p>
    <w:p w14:paraId="034CBFE7" w14:textId="77777777" w:rsidR="00034DE4" w:rsidRPr="00034DE4" w:rsidRDefault="00034DE4" w:rsidP="00034DE4">
      <w:pPr>
        <w:numPr>
          <w:ilvl w:val="0"/>
          <w:numId w:val="3"/>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Security assessment and arrangement (must identify secured route for travel and escort). </w:t>
      </w:r>
    </w:p>
    <w:p w14:paraId="326AC1F5" w14:textId="77777777" w:rsidR="00034DE4" w:rsidRPr="00034DE4" w:rsidRDefault="00034DE4" w:rsidP="00034DE4">
      <w:pPr>
        <w:numPr>
          <w:ilvl w:val="0"/>
          <w:numId w:val="3"/>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CO’s track record in timely and accurate closing the PCAs. </w:t>
      </w:r>
    </w:p>
    <w:p w14:paraId="449FA0F5" w14:textId="77777777" w:rsidR="00034DE4" w:rsidRPr="00034DE4" w:rsidRDefault="00034DE4" w:rsidP="00034DE4">
      <w:pPr>
        <w:numPr>
          <w:ilvl w:val="0"/>
          <w:numId w:val="3"/>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CO must submit the AP Data Entry Form signed by respective officers as the supporting documents. </w:t>
      </w:r>
    </w:p>
    <w:p w14:paraId="3AEEB663" w14:textId="77777777" w:rsidR="00034DE4" w:rsidRPr="00034DE4" w:rsidRDefault="00034DE4" w:rsidP="00034DE4">
      <w:pPr>
        <w:spacing w:before="120" w:after="100" w:afterAutospacing="1" w:line="240" w:lineRule="auto"/>
        <w:jc w:val="both"/>
        <w:rPr>
          <w:rFonts w:ascii="Calibri" w:eastAsia="Times New Roman" w:hAnsi="Calibri" w:cs="Arial"/>
          <w:b/>
          <w:i/>
          <w:kern w:val="0"/>
          <w14:ligatures w14:val="none"/>
        </w:rPr>
      </w:pPr>
      <w:r w:rsidRPr="00034DE4">
        <w:rPr>
          <w:rFonts w:ascii="Calibri" w:eastAsia="Times New Roman" w:hAnsi="Calibri" w:cs="Arial"/>
          <w:b/>
          <w:i/>
          <w:kern w:val="0"/>
          <w14:ligatures w14:val="none"/>
        </w:rPr>
        <w:t xml:space="preserve">Caution: Failure to timely and accurately reverse PCA, record the expenses, and reconcile GL PCA Account 16108 may lead to inaccurate valuation in the financial statements. </w:t>
      </w:r>
    </w:p>
    <w:p w14:paraId="72D7D691" w14:textId="77777777" w:rsidR="00034DE4" w:rsidRPr="00034DE4" w:rsidRDefault="00034DE4" w:rsidP="00034DE4">
      <w:pPr>
        <w:spacing w:before="120" w:after="100" w:afterAutospacing="1" w:line="240" w:lineRule="auto"/>
        <w:jc w:val="both"/>
        <w:rPr>
          <w:rFonts w:ascii="Calibri" w:eastAsia="Times New Roman" w:hAnsi="Calibri" w:cs="Arial"/>
          <w:b/>
          <w:i/>
          <w:kern w:val="0"/>
          <w14:ligatures w14:val="none"/>
        </w:rPr>
      </w:pPr>
      <w:r w:rsidRPr="00034DE4">
        <w:rPr>
          <w:rFonts w:ascii="Calibri" w:eastAsia="Times New Roman" w:hAnsi="Calibri" w:cs="Arial"/>
          <w:b/>
          <w:i/>
          <w:kern w:val="0"/>
          <w14:ligatures w14:val="none"/>
        </w:rPr>
        <w:t xml:space="preserve">Caution: Failure to make proper security arrangement may lead to the delay in Treasurer’s approval of higher PCA amount until the situation is corrected by the CO. </w:t>
      </w:r>
    </w:p>
    <w:p w14:paraId="5D4F7A60"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t xml:space="preserve">Qualifying Expenses for PCA </w:t>
      </w:r>
    </w:p>
    <w:p w14:paraId="4D169EE6"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Expenses qualified to be paid from PCA are as follows: </w:t>
      </w:r>
    </w:p>
    <w:p w14:paraId="77DAB837" w14:textId="77777777" w:rsidR="00034DE4" w:rsidRPr="00034DE4" w:rsidRDefault="00034DE4" w:rsidP="00034DE4">
      <w:pPr>
        <w:numPr>
          <w:ilvl w:val="0"/>
          <w:numId w:val="4"/>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Travel related and fuel expenses between the CO’s main office and the remote region where the project activity is held. </w:t>
      </w:r>
    </w:p>
    <w:p w14:paraId="1CDA0DF1" w14:textId="7FA89BD5" w:rsidR="00034DE4" w:rsidRDefault="00034DE4" w:rsidP="00034DE4">
      <w:pPr>
        <w:numPr>
          <w:ilvl w:val="0"/>
          <w:numId w:val="4"/>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DSA for participants </w:t>
      </w:r>
      <w:r w:rsidR="00EE7797">
        <w:rPr>
          <w:rFonts w:ascii="Calibri" w:eastAsia="Times New Roman" w:hAnsi="Calibri" w:cs="Arial"/>
          <w:kern w:val="0"/>
          <w14:ligatures w14:val="none"/>
        </w:rPr>
        <w:t>to events such as</w:t>
      </w:r>
      <w:r w:rsidRPr="00034DE4">
        <w:rPr>
          <w:rFonts w:ascii="Calibri" w:eastAsia="Times New Roman" w:hAnsi="Calibri" w:cs="Arial"/>
          <w:kern w:val="0"/>
          <w14:ligatures w14:val="none"/>
        </w:rPr>
        <w:t xml:space="preserve"> workshops, training seminars, or conferences with duration &lt; 2 weeks and in a remote region. </w:t>
      </w:r>
    </w:p>
    <w:p w14:paraId="7F75D7C9" w14:textId="6F77AA05" w:rsidR="0065411E" w:rsidRPr="00034DE4" w:rsidRDefault="0065411E" w:rsidP="00034DE4">
      <w:pPr>
        <w:numPr>
          <w:ilvl w:val="0"/>
          <w:numId w:val="4"/>
        </w:numPr>
        <w:spacing w:before="120" w:after="100" w:afterAutospacing="1" w:line="240" w:lineRule="auto"/>
        <w:ind w:left="1080" w:right="3"/>
        <w:jc w:val="both"/>
        <w:rPr>
          <w:rFonts w:ascii="Calibri" w:eastAsia="Times New Roman" w:hAnsi="Calibri" w:cs="Arial"/>
          <w:kern w:val="0"/>
          <w14:ligatures w14:val="none"/>
        </w:rPr>
      </w:pPr>
      <w:r w:rsidRPr="0065411E">
        <w:rPr>
          <w:rFonts w:ascii="Calibri" w:eastAsia="Times New Roman" w:hAnsi="Calibri" w:cs="Arial"/>
          <w:kern w:val="0"/>
          <w14:ligatures w14:val="none"/>
        </w:rPr>
        <w:t>Expenses relating to event organization</w:t>
      </w:r>
      <w:r>
        <w:rPr>
          <w:rFonts w:ascii="Calibri" w:eastAsia="Times New Roman" w:hAnsi="Calibri" w:cs="Arial"/>
          <w:kern w:val="0"/>
          <w14:ligatures w14:val="none"/>
        </w:rPr>
        <w:t>.</w:t>
      </w:r>
    </w:p>
    <w:p w14:paraId="7455A90B" w14:textId="77777777" w:rsidR="00034DE4" w:rsidRPr="00034DE4" w:rsidRDefault="00034DE4" w:rsidP="00034DE4">
      <w:pPr>
        <w:spacing w:before="120" w:after="100" w:afterAutospacing="1" w:line="240" w:lineRule="auto"/>
        <w:jc w:val="both"/>
        <w:rPr>
          <w:rFonts w:ascii="Calibri" w:eastAsia="Times New Roman" w:hAnsi="Calibri" w:cs="Arial"/>
          <w:b/>
          <w:i/>
          <w:kern w:val="0"/>
          <w14:ligatures w14:val="none"/>
        </w:rPr>
      </w:pPr>
      <w:r w:rsidRPr="00034DE4">
        <w:rPr>
          <w:rFonts w:ascii="Calibri" w:eastAsia="Times New Roman" w:hAnsi="Calibri" w:cs="Arial"/>
          <w:b/>
          <w:i/>
          <w:kern w:val="0"/>
          <w14:ligatures w14:val="none"/>
        </w:rPr>
        <w:t xml:space="preserve">Caution: Salary and benefit payments including overtime, advances and allowances cannot be made from the PCA regardless of amount. These payments must be entered in Global Payroll without exception. </w:t>
      </w:r>
    </w:p>
    <w:p w14:paraId="15430AAD"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t xml:space="preserve">PCA Custodian Appointment </w:t>
      </w:r>
    </w:p>
    <w:p w14:paraId="47FD561B"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Head of the Office appoints the PCA Custodian with the following Appointment criteria: </w:t>
      </w:r>
    </w:p>
    <w:p w14:paraId="5CDD19AE" w14:textId="17EBA346" w:rsidR="00034DE4" w:rsidRPr="00034DE4" w:rsidRDefault="00034DE4" w:rsidP="00034DE4">
      <w:pPr>
        <w:numPr>
          <w:ilvl w:val="0"/>
          <w:numId w:val="5"/>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Staff holds UNDP Fixed Term Contract (FT).  RR only (not to be further delegated) can appoint a holder of Personnel Services Agreement (NPSA/IPSA) as the custodian </w:t>
      </w:r>
      <w:proofErr w:type="spellStart"/>
      <w:r w:rsidRPr="00034DE4">
        <w:rPr>
          <w:rFonts w:ascii="Calibri" w:eastAsia="Times New Roman" w:hAnsi="Calibri" w:cs="Arial"/>
          <w:kern w:val="0"/>
          <w14:ligatures w14:val="none"/>
        </w:rPr>
        <w:t>upto</w:t>
      </w:r>
      <w:proofErr w:type="spellEnd"/>
      <w:r w:rsidRPr="00034DE4">
        <w:rPr>
          <w:rFonts w:ascii="Calibri" w:eastAsia="Times New Roman" w:hAnsi="Calibri" w:cs="Arial"/>
          <w:kern w:val="0"/>
          <w14:ligatures w14:val="none"/>
        </w:rPr>
        <w:t xml:space="preserve"> the limit of $5,000 only. </w:t>
      </w:r>
    </w:p>
    <w:p w14:paraId="292F1A2E" w14:textId="77777777" w:rsidR="00034DE4" w:rsidRPr="00034DE4" w:rsidRDefault="00034DE4" w:rsidP="00034DE4">
      <w:pPr>
        <w:numPr>
          <w:ilvl w:val="0"/>
          <w:numId w:val="5"/>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lastRenderedPageBreak/>
        <w:t xml:space="preserve">If the CO needs PCA for more than $5,000 to a holder of Personnel Services Agreement  (NPSA/IPSA) as the custodian, the Head of Office must send the request to the Treasurer for approval using Annex 5 (see annex 5) with the proper justifications </w:t>
      </w:r>
    </w:p>
    <w:p w14:paraId="0F0C14C1" w14:textId="77777777" w:rsidR="00034DE4" w:rsidRPr="00034DE4" w:rsidRDefault="00034DE4" w:rsidP="00034DE4">
      <w:pPr>
        <w:numPr>
          <w:ilvl w:val="0"/>
          <w:numId w:val="5"/>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Staff is competent to fulfil the responsibilities including safeguarding, proper use of, and timely accounting for the PCA. </w:t>
      </w:r>
    </w:p>
    <w:p w14:paraId="5D84F2DF" w14:textId="77777777" w:rsidR="00034DE4" w:rsidRPr="00034DE4" w:rsidRDefault="00034DE4" w:rsidP="00034DE4">
      <w:pPr>
        <w:numPr>
          <w:ilvl w:val="0"/>
          <w:numId w:val="5"/>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Staff signs the PCA Appointment Form. </w:t>
      </w:r>
    </w:p>
    <w:p w14:paraId="50664F25" w14:textId="77777777" w:rsidR="00034DE4" w:rsidRPr="00034DE4" w:rsidRDefault="00034DE4" w:rsidP="00034DE4">
      <w:pPr>
        <w:numPr>
          <w:ilvl w:val="0"/>
          <w:numId w:val="5"/>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Staff agrees to fully report and account the PCA within 30 days from  the date  the advance was issued. </w:t>
      </w:r>
    </w:p>
    <w:p w14:paraId="7FF71B20"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t xml:space="preserve">Physical Security for PCA </w:t>
      </w:r>
    </w:p>
    <w:p w14:paraId="45D88EEA"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DRR (P) and DRR(O) (or equivalent and higher, as applicable) are jointly responsible for the security of the PCA as follows: </w:t>
      </w:r>
    </w:p>
    <w:p w14:paraId="1FEF7D41" w14:textId="77777777" w:rsidR="00034DE4" w:rsidRPr="00034DE4" w:rsidRDefault="00034DE4" w:rsidP="00034DE4">
      <w:pPr>
        <w:numPr>
          <w:ilvl w:val="0"/>
          <w:numId w:val="6"/>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DRR (P) is responsible for the security assessment at project activity site and PCA Custodian appointment. </w:t>
      </w:r>
    </w:p>
    <w:p w14:paraId="41A4DCB6" w14:textId="5DF91EF9" w:rsidR="00034DE4" w:rsidRPr="00034DE4" w:rsidRDefault="00034DE4" w:rsidP="00034DE4">
      <w:pPr>
        <w:numPr>
          <w:ilvl w:val="0"/>
          <w:numId w:val="6"/>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DRR (O) is responsible for the security arrangement (working with UNDSS or a </w:t>
      </w:r>
      <w:r w:rsidR="00B06A00" w:rsidRPr="00034DE4">
        <w:rPr>
          <w:rFonts w:ascii="Calibri" w:eastAsia="Times New Roman" w:hAnsi="Calibri" w:cs="Arial"/>
          <w:kern w:val="0"/>
          <w14:ligatures w14:val="none"/>
        </w:rPr>
        <w:t>third-party</w:t>
      </w:r>
      <w:r w:rsidRPr="00034DE4">
        <w:rPr>
          <w:rFonts w:ascii="Calibri" w:eastAsia="Times New Roman" w:hAnsi="Calibri" w:cs="Arial"/>
          <w:kern w:val="0"/>
          <w14:ligatures w14:val="none"/>
        </w:rPr>
        <w:t xml:space="preserve"> escort service if applicable). </w:t>
      </w:r>
    </w:p>
    <w:p w14:paraId="6CB41180" w14:textId="05B07540" w:rsidR="00034DE4" w:rsidRPr="00034DE4" w:rsidRDefault="00034DE4" w:rsidP="00034DE4">
      <w:pPr>
        <w:numPr>
          <w:ilvl w:val="0"/>
          <w:numId w:val="6"/>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PCA Custodian is responsible for the safekeeping of the PCA between the time of the receipt of the cash and final disbursements of the cash (if the </w:t>
      </w:r>
      <w:r w:rsidR="00B06A00" w:rsidRPr="00034DE4">
        <w:rPr>
          <w:rFonts w:ascii="Calibri" w:eastAsia="Times New Roman" w:hAnsi="Calibri" w:cs="Arial"/>
          <w:kern w:val="0"/>
          <w14:ligatures w14:val="none"/>
        </w:rPr>
        <w:t>third-party</w:t>
      </w:r>
      <w:r w:rsidRPr="00034DE4">
        <w:rPr>
          <w:rFonts w:ascii="Calibri" w:eastAsia="Times New Roman" w:hAnsi="Calibri" w:cs="Arial"/>
          <w:kern w:val="0"/>
          <w14:ligatures w14:val="none"/>
        </w:rPr>
        <w:t xml:space="preserve"> provider is not used for transporting and distributing the cash) as well as any unused cash advance until the amount is returned to DRR (O). </w:t>
      </w:r>
    </w:p>
    <w:p w14:paraId="53103E1B"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t xml:space="preserve">Issuance of the PCA </w:t>
      </w:r>
    </w:p>
    <w:p w14:paraId="312B6D26"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one-time PCA Custodian is set up as a ‘Supplier’ in Quantum, </w:t>
      </w:r>
    </w:p>
    <w:p w14:paraId="6A070E63"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An Invoice to the Custodian/supplier will be created as type “prepayment” set up as a “temporary Prepayment” by checking off the flag “Allow prepayment application” Invoice recorded against:</w:t>
      </w:r>
    </w:p>
    <w:p w14:paraId="2BBFE606" w14:textId="77777777" w:rsidR="00034DE4" w:rsidRPr="00034DE4" w:rsidRDefault="00034DE4" w:rsidP="00034DE4">
      <w:pPr>
        <w:spacing w:after="0" w:line="240" w:lineRule="auto"/>
        <w:ind w:left="1080" w:right="3"/>
        <w:jc w:val="both"/>
        <w:rPr>
          <w:rFonts w:ascii="Calibri" w:eastAsia="Times New Roman" w:hAnsi="Calibri" w:cs="Arial"/>
          <w:color w:val="000000"/>
          <w:kern w:val="0"/>
          <w14:ligatures w14:val="none"/>
        </w:rPr>
      </w:pPr>
      <w:r w:rsidRPr="00034DE4">
        <w:rPr>
          <w:rFonts w:ascii="Calibri" w:eastAsia="Times New Roman" w:hAnsi="Calibri" w:cs="Arial"/>
          <w:color w:val="000000"/>
          <w:kern w:val="0"/>
          <w14:ligatures w14:val="none"/>
        </w:rPr>
        <w:t xml:space="preserve">Debit GL Account: </w:t>
      </w:r>
      <w:r w:rsidRPr="00034DE4">
        <w:rPr>
          <w:rFonts w:ascii="Calibri" w:eastAsia="Times New Roman" w:hAnsi="Calibri" w:cs="Arial"/>
          <w:color w:val="000000"/>
          <w:kern w:val="0"/>
          <w14:ligatures w14:val="none"/>
        </w:rPr>
        <w:tab/>
        <w:t xml:space="preserve">16108 – Project Cash Advance </w:t>
      </w:r>
    </w:p>
    <w:p w14:paraId="7BE849E5" w14:textId="1BAC948D" w:rsidR="00034DE4" w:rsidRPr="00034DE4" w:rsidRDefault="00034DE4" w:rsidP="00034DE4">
      <w:pPr>
        <w:spacing w:after="0" w:line="240" w:lineRule="auto"/>
        <w:ind w:left="1080" w:right="3"/>
        <w:jc w:val="both"/>
        <w:rPr>
          <w:rFonts w:ascii="Calibri" w:eastAsia="Times New Roman" w:hAnsi="Calibri" w:cs="Arial"/>
          <w:color w:val="000000"/>
          <w:kern w:val="0"/>
          <w14:ligatures w14:val="none"/>
        </w:rPr>
      </w:pPr>
      <w:r w:rsidRPr="00034DE4">
        <w:rPr>
          <w:rFonts w:ascii="Calibri" w:eastAsia="Times New Roman" w:hAnsi="Calibri" w:cs="Arial"/>
          <w:color w:val="000000"/>
          <w:kern w:val="0"/>
          <w14:ligatures w14:val="none"/>
        </w:rPr>
        <w:t xml:space="preserve">Operating Unit: </w:t>
      </w:r>
      <w:r w:rsidRPr="00034DE4">
        <w:rPr>
          <w:rFonts w:ascii="Calibri" w:eastAsia="Times New Roman" w:hAnsi="Calibri" w:cs="Arial"/>
          <w:color w:val="000000"/>
          <w:kern w:val="0"/>
          <w14:ligatures w14:val="none"/>
        </w:rPr>
        <w:tab/>
        <w:t xml:space="preserve">CO’s operating unit </w:t>
      </w:r>
    </w:p>
    <w:p w14:paraId="1967CE9B" w14:textId="77777777" w:rsidR="00034DE4" w:rsidRPr="00034DE4" w:rsidRDefault="00034DE4" w:rsidP="00034DE4">
      <w:pPr>
        <w:keepNext/>
        <w:spacing w:after="0" w:line="240" w:lineRule="auto"/>
        <w:ind w:left="1080" w:right="3"/>
        <w:jc w:val="both"/>
        <w:outlineLvl w:val="1"/>
        <w:rPr>
          <w:rFonts w:ascii="Calibri" w:eastAsia="Times New Roman" w:hAnsi="Calibri" w:cs="Arial"/>
          <w:color w:val="000000"/>
          <w:kern w:val="0"/>
          <w14:ligatures w14:val="none"/>
        </w:rPr>
      </w:pPr>
      <w:r w:rsidRPr="00034DE4">
        <w:rPr>
          <w:rFonts w:ascii="Calibri" w:eastAsia="Times New Roman" w:hAnsi="Calibri" w:cs="Arial"/>
          <w:color w:val="000000"/>
          <w:kern w:val="0"/>
          <w14:ligatures w14:val="none"/>
        </w:rPr>
        <w:t xml:space="preserve">Fund Code: </w:t>
      </w:r>
      <w:r w:rsidRPr="00034DE4">
        <w:rPr>
          <w:rFonts w:ascii="Calibri" w:eastAsia="Times New Roman" w:hAnsi="Calibri" w:cs="Arial"/>
          <w:color w:val="000000"/>
          <w:kern w:val="0"/>
          <w14:ligatures w14:val="none"/>
        </w:rPr>
        <w:tab/>
      </w:r>
      <w:r w:rsidRPr="00034DE4">
        <w:rPr>
          <w:rFonts w:ascii="Calibri" w:eastAsia="Times New Roman" w:hAnsi="Calibri" w:cs="Arial"/>
          <w:color w:val="000000"/>
          <w:kern w:val="0"/>
          <w14:ligatures w14:val="none"/>
        </w:rPr>
        <w:tab/>
        <w:t xml:space="preserve">Relevant project fund code </w:t>
      </w:r>
    </w:p>
    <w:p w14:paraId="3E6DBFE3" w14:textId="46CBB3BF" w:rsidR="00034DE4" w:rsidRPr="00034DE4" w:rsidRDefault="00034DE4" w:rsidP="00034DE4">
      <w:pPr>
        <w:spacing w:after="0" w:line="240" w:lineRule="auto"/>
        <w:ind w:left="1080" w:right="3"/>
        <w:jc w:val="both"/>
        <w:rPr>
          <w:rFonts w:ascii="Calibri" w:eastAsia="Times New Roman" w:hAnsi="Calibri" w:cs="Arial"/>
          <w:color w:val="000000"/>
          <w:kern w:val="0"/>
          <w14:ligatures w14:val="none"/>
        </w:rPr>
      </w:pPr>
      <w:r w:rsidRPr="00034DE4">
        <w:rPr>
          <w:rFonts w:ascii="Calibri" w:eastAsia="Times New Roman" w:hAnsi="Calibri" w:cs="Arial"/>
          <w:color w:val="000000"/>
          <w:kern w:val="0"/>
          <w14:ligatures w14:val="none"/>
        </w:rPr>
        <w:t xml:space="preserve">Department: </w:t>
      </w:r>
      <w:r w:rsidRPr="00034DE4">
        <w:rPr>
          <w:rFonts w:ascii="Calibri" w:eastAsia="Times New Roman" w:hAnsi="Calibri" w:cs="Arial"/>
          <w:color w:val="000000"/>
          <w:kern w:val="0"/>
          <w14:ligatures w14:val="none"/>
        </w:rPr>
        <w:tab/>
        <w:t xml:space="preserve">Respective department </w:t>
      </w:r>
    </w:p>
    <w:p w14:paraId="13674E6B" w14:textId="77777777" w:rsidR="00034DE4" w:rsidRPr="00034DE4" w:rsidRDefault="00034DE4" w:rsidP="00034DE4">
      <w:pPr>
        <w:spacing w:after="0" w:line="240" w:lineRule="auto"/>
        <w:ind w:left="1080" w:right="3"/>
        <w:jc w:val="both"/>
        <w:rPr>
          <w:rFonts w:ascii="Calibri" w:eastAsia="Times New Roman" w:hAnsi="Calibri" w:cs="Arial"/>
          <w:color w:val="000000"/>
          <w:kern w:val="0"/>
          <w14:ligatures w14:val="none"/>
        </w:rPr>
      </w:pPr>
      <w:r w:rsidRPr="00034DE4">
        <w:rPr>
          <w:rFonts w:ascii="Calibri" w:eastAsia="Times New Roman" w:hAnsi="Calibri" w:cs="Arial"/>
          <w:color w:val="000000"/>
          <w:kern w:val="0"/>
          <w14:ligatures w14:val="none"/>
        </w:rPr>
        <w:t xml:space="preserve">Project ID: </w:t>
      </w:r>
      <w:r w:rsidRPr="00034DE4">
        <w:rPr>
          <w:rFonts w:ascii="Calibri" w:eastAsia="Times New Roman" w:hAnsi="Calibri" w:cs="Arial"/>
          <w:color w:val="000000"/>
          <w:kern w:val="0"/>
          <w14:ligatures w14:val="none"/>
        </w:rPr>
        <w:tab/>
      </w:r>
      <w:r w:rsidRPr="00034DE4">
        <w:rPr>
          <w:rFonts w:ascii="Calibri" w:eastAsia="Times New Roman" w:hAnsi="Calibri" w:cs="Arial"/>
          <w:color w:val="000000"/>
          <w:kern w:val="0"/>
          <w14:ligatures w14:val="none"/>
        </w:rPr>
        <w:tab/>
        <w:t xml:space="preserve">Relevant project ID </w:t>
      </w:r>
    </w:p>
    <w:p w14:paraId="7D38285F" w14:textId="0FBB8E04" w:rsidR="00034DE4" w:rsidRPr="00034DE4" w:rsidRDefault="00034DE4" w:rsidP="00034DE4">
      <w:pPr>
        <w:spacing w:after="0" w:line="240" w:lineRule="auto"/>
        <w:ind w:left="1080" w:right="3"/>
        <w:jc w:val="both"/>
        <w:rPr>
          <w:rFonts w:ascii="Calibri" w:eastAsia="Times New Roman" w:hAnsi="Calibri" w:cs="Arial"/>
          <w:color w:val="000000"/>
          <w:kern w:val="0"/>
          <w14:ligatures w14:val="none"/>
        </w:rPr>
      </w:pPr>
      <w:proofErr w:type="spellStart"/>
      <w:r w:rsidRPr="00034DE4">
        <w:rPr>
          <w:rFonts w:ascii="Calibri" w:eastAsia="Times New Roman" w:hAnsi="Calibri" w:cs="Arial"/>
          <w:color w:val="000000"/>
          <w:kern w:val="0"/>
          <w14:ligatures w14:val="none"/>
        </w:rPr>
        <w:t>Impl</w:t>
      </w:r>
      <w:proofErr w:type="spellEnd"/>
      <w:r w:rsidRPr="00034DE4">
        <w:rPr>
          <w:rFonts w:ascii="Calibri" w:eastAsia="Times New Roman" w:hAnsi="Calibri" w:cs="Arial"/>
          <w:color w:val="000000"/>
          <w:kern w:val="0"/>
          <w14:ligatures w14:val="none"/>
        </w:rPr>
        <w:t xml:space="preserve">. Agent: </w:t>
      </w:r>
      <w:r w:rsidRPr="00034DE4">
        <w:rPr>
          <w:rFonts w:ascii="Calibri" w:eastAsia="Times New Roman" w:hAnsi="Calibri" w:cs="Arial"/>
          <w:color w:val="000000"/>
          <w:kern w:val="0"/>
          <w14:ligatures w14:val="none"/>
        </w:rPr>
        <w:tab/>
        <w:t xml:space="preserve">As appropriate </w:t>
      </w:r>
    </w:p>
    <w:p w14:paraId="6E71CBFB" w14:textId="2943EAF3" w:rsidR="00034DE4" w:rsidRPr="00034DE4" w:rsidRDefault="00034DE4" w:rsidP="00034DE4">
      <w:pPr>
        <w:spacing w:after="0" w:line="240" w:lineRule="auto"/>
        <w:ind w:left="1080" w:right="3"/>
        <w:jc w:val="both"/>
        <w:rPr>
          <w:rFonts w:ascii="Calibri" w:eastAsia="Times New Roman" w:hAnsi="Calibri" w:cs="Arial"/>
          <w:color w:val="000000"/>
          <w:kern w:val="0"/>
          <w14:ligatures w14:val="none"/>
        </w:rPr>
      </w:pPr>
      <w:r w:rsidRPr="00034DE4">
        <w:rPr>
          <w:rFonts w:ascii="Calibri" w:eastAsia="Times New Roman" w:hAnsi="Calibri" w:cs="Arial"/>
          <w:color w:val="000000"/>
          <w:kern w:val="0"/>
          <w14:ligatures w14:val="none"/>
        </w:rPr>
        <w:t xml:space="preserve">Donor: </w:t>
      </w:r>
      <w:r w:rsidRPr="00034DE4">
        <w:rPr>
          <w:rFonts w:ascii="Calibri" w:eastAsia="Times New Roman" w:hAnsi="Calibri" w:cs="Arial"/>
          <w:color w:val="000000"/>
          <w:kern w:val="0"/>
          <w14:ligatures w14:val="none"/>
        </w:rPr>
        <w:tab/>
      </w:r>
      <w:r w:rsidRPr="00034DE4">
        <w:rPr>
          <w:rFonts w:ascii="Calibri" w:eastAsia="Times New Roman" w:hAnsi="Calibri" w:cs="Arial"/>
          <w:color w:val="000000"/>
          <w:kern w:val="0"/>
          <w14:ligatures w14:val="none"/>
        </w:rPr>
        <w:tab/>
        <w:t xml:space="preserve">As appropriate </w:t>
      </w:r>
    </w:p>
    <w:p w14:paraId="1EAB459C" w14:textId="01371CB1" w:rsidR="00034DE4" w:rsidRPr="00034DE4" w:rsidRDefault="00034DE4" w:rsidP="00034DE4">
      <w:pPr>
        <w:spacing w:after="0" w:line="240" w:lineRule="auto"/>
        <w:ind w:left="1080" w:right="3"/>
        <w:jc w:val="both"/>
        <w:rPr>
          <w:rFonts w:ascii="Calibri" w:eastAsia="Times New Roman" w:hAnsi="Calibri" w:cs="Arial"/>
          <w:color w:val="000000"/>
          <w:kern w:val="0"/>
          <w14:ligatures w14:val="none"/>
        </w:rPr>
      </w:pPr>
      <w:r w:rsidRPr="00034DE4">
        <w:rPr>
          <w:rFonts w:ascii="Calibri" w:eastAsia="Times New Roman" w:hAnsi="Calibri" w:cs="Arial"/>
          <w:color w:val="000000"/>
          <w:kern w:val="0"/>
          <w14:ligatures w14:val="none"/>
        </w:rPr>
        <w:t xml:space="preserve">Supplier: </w:t>
      </w:r>
      <w:r w:rsidRPr="00034DE4">
        <w:rPr>
          <w:rFonts w:ascii="Calibri" w:eastAsia="Times New Roman" w:hAnsi="Calibri" w:cs="Arial"/>
          <w:color w:val="000000"/>
          <w:kern w:val="0"/>
          <w14:ligatures w14:val="none"/>
        </w:rPr>
        <w:tab/>
      </w:r>
      <w:r w:rsidRPr="00034DE4">
        <w:rPr>
          <w:rFonts w:ascii="Calibri" w:eastAsia="Times New Roman" w:hAnsi="Calibri" w:cs="Arial"/>
          <w:color w:val="000000"/>
          <w:kern w:val="0"/>
          <w14:ligatures w14:val="none"/>
        </w:rPr>
        <w:tab/>
        <w:t xml:space="preserve">PCA Custodian Staff/Supplier ID </w:t>
      </w:r>
      <w:r w:rsidR="00B06A00">
        <w:rPr>
          <w:rFonts w:ascii="Calibri" w:eastAsia="Times New Roman" w:hAnsi="Calibri" w:cs="Arial"/>
          <w:color w:val="000000"/>
          <w:kern w:val="0"/>
          <w14:ligatures w14:val="none"/>
        </w:rPr>
        <w:t xml:space="preserve"> </w:t>
      </w:r>
    </w:p>
    <w:p w14:paraId="56D74EB6"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A Payment will be processed by GSSC to the PCA Custodian. </w:t>
      </w:r>
    </w:p>
    <w:p w14:paraId="1CF38DC9" w14:textId="77777777" w:rsid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PCA Custodian safe keeps the PCA cash until completing the final disbursements and accounting. </w:t>
      </w:r>
    </w:p>
    <w:p w14:paraId="3905AD7D" w14:textId="77777777" w:rsidR="00A7081B" w:rsidRDefault="00A7081B" w:rsidP="00A7081B">
      <w:pPr>
        <w:spacing w:before="120" w:after="100" w:afterAutospacing="1" w:line="240" w:lineRule="auto"/>
        <w:ind w:right="3"/>
        <w:jc w:val="both"/>
        <w:rPr>
          <w:rFonts w:ascii="Calibri" w:eastAsia="Times New Roman" w:hAnsi="Calibri" w:cs="Arial"/>
          <w:kern w:val="0"/>
          <w14:ligatures w14:val="none"/>
        </w:rPr>
      </w:pPr>
    </w:p>
    <w:p w14:paraId="2ECE6F8B" w14:textId="77777777" w:rsidR="00A7081B" w:rsidRPr="00034DE4" w:rsidRDefault="00A7081B" w:rsidP="00A7081B">
      <w:pPr>
        <w:spacing w:before="120" w:after="100" w:afterAutospacing="1" w:line="240" w:lineRule="auto"/>
        <w:ind w:right="3"/>
        <w:jc w:val="both"/>
        <w:rPr>
          <w:rFonts w:ascii="Calibri" w:eastAsia="Times New Roman" w:hAnsi="Calibri" w:cs="Arial"/>
          <w:kern w:val="0"/>
          <w14:ligatures w14:val="none"/>
        </w:rPr>
      </w:pPr>
    </w:p>
    <w:p w14:paraId="4693208D"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lastRenderedPageBreak/>
        <w:t xml:space="preserve">Disbursing PCA </w:t>
      </w:r>
    </w:p>
    <w:p w14:paraId="15549479"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PCA Custodian is responsible to pay according to the following guidelines: </w:t>
      </w:r>
    </w:p>
    <w:p w14:paraId="68D091DD" w14:textId="77777777" w:rsidR="00034DE4" w:rsidRPr="00034DE4" w:rsidRDefault="00034DE4" w:rsidP="00034DE4">
      <w:pPr>
        <w:numPr>
          <w:ilvl w:val="0"/>
          <w:numId w:val="7"/>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Maintain invoices and receipts for purchases. </w:t>
      </w:r>
    </w:p>
    <w:p w14:paraId="2478B60F" w14:textId="77777777" w:rsidR="00034DE4" w:rsidRPr="00034DE4" w:rsidRDefault="00034DE4" w:rsidP="00034DE4">
      <w:pPr>
        <w:numPr>
          <w:ilvl w:val="0"/>
          <w:numId w:val="7"/>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Maintain the PCA Pay List including the beneficiary name, organization affiliation (if applicable), phone ID name and number, and amount of the cash disbursement. </w:t>
      </w:r>
    </w:p>
    <w:p w14:paraId="45ED3112" w14:textId="77777777" w:rsidR="00034DE4" w:rsidRPr="00034DE4" w:rsidRDefault="00034DE4" w:rsidP="00034DE4">
      <w:pPr>
        <w:numPr>
          <w:ilvl w:val="0"/>
          <w:numId w:val="7"/>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Verify validity of the identification before making cash disbursement to each intended recipient. </w:t>
      </w:r>
    </w:p>
    <w:p w14:paraId="37804E4A" w14:textId="77777777" w:rsidR="00034DE4" w:rsidRPr="00034DE4" w:rsidRDefault="00034DE4" w:rsidP="00034DE4">
      <w:pPr>
        <w:numPr>
          <w:ilvl w:val="0"/>
          <w:numId w:val="7"/>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Collect the signature from each recipient acknowledging the receipt of payment from UNDP. </w:t>
      </w:r>
    </w:p>
    <w:p w14:paraId="5048430D" w14:textId="77777777" w:rsidR="00034DE4" w:rsidRPr="00034DE4" w:rsidRDefault="00034DE4" w:rsidP="00034DE4">
      <w:pPr>
        <w:numPr>
          <w:ilvl w:val="0"/>
          <w:numId w:val="7"/>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Calculate the total for all disbursements made and determine the unused balance for PCA. </w:t>
      </w:r>
    </w:p>
    <w:p w14:paraId="7F411F36" w14:textId="77777777" w:rsidR="00034DE4" w:rsidRPr="00034DE4" w:rsidRDefault="00034DE4" w:rsidP="00034DE4">
      <w:pPr>
        <w:numPr>
          <w:ilvl w:val="0"/>
          <w:numId w:val="7"/>
        </w:numPr>
        <w:spacing w:before="120" w:after="100" w:afterAutospacing="1" w:line="240" w:lineRule="auto"/>
        <w:ind w:left="108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Submit the PCA Pay List, invoice/receipts, along with unused PCA balance, if any, to DRR(O) immediately upon completion of the activity. </w:t>
      </w:r>
    </w:p>
    <w:p w14:paraId="0057647D"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t xml:space="preserve">Internal Controls for PCA </w:t>
      </w:r>
    </w:p>
    <w:p w14:paraId="33B6CB47"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Separation of duties must be maintained at all times for PCA request, PCA approval, Invoice creation and approval, and issuance of PCA. </w:t>
      </w:r>
    </w:p>
    <w:p w14:paraId="06A141A8"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PCA Custodian disburses the cash to authorized beneficiaries for Qualifying PCA Expense only for the specific one-time project activity. </w:t>
      </w:r>
    </w:p>
    <w:p w14:paraId="73608A3E"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PCA Custodian must maintain the Pay List with supporting documents. This will include records to identify who was paid, for example by retaining copies of identification of the beneficiaries. </w:t>
      </w:r>
    </w:p>
    <w:p w14:paraId="59A45FE9"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PCA Custodian must submit all invoices and receipts to the DRR(O). </w:t>
      </w:r>
    </w:p>
    <w:p w14:paraId="1200635C"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PCA must submit the final accounting within 30 days from date of issuance of advance, including returning the unused PCA cash balance and documents listed in 20 and 21 above to DRR(O). </w:t>
      </w:r>
    </w:p>
    <w:p w14:paraId="33F0819C"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Finance/Operations reviews steps 23 above and ascertain the PCA is disbursed according to the procedures and is fully accounted for and proceed to perform the closure accounting entries. The review should include phone calls to beneficiaries selected randomly to verify the actual payments. </w:t>
      </w:r>
    </w:p>
    <w:p w14:paraId="2CA91890"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assigned Finance Associate responsible for tracking PCA status should use the PCA Status Monitor (Annex 6 – PCA Status Monitor) to ensure that all onetime project activities concluded by 23rd do not have outstanding PCAs at the last day of the month. </w:t>
      </w:r>
    </w:p>
    <w:p w14:paraId="6E200C73"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Operations Manager must review the PCA Status and Monitor at each month end. </w:t>
      </w:r>
    </w:p>
    <w:p w14:paraId="5E8A8432" w14:textId="77777777" w:rsidR="00034DE4" w:rsidRDefault="00034DE4" w:rsidP="00034DE4">
      <w:pPr>
        <w:spacing w:before="120" w:after="100" w:afterAutospacing="1" w:line="240" w:lineRule="auto"/>
        <w:jc w:val="both"/>
        <w:rPr>
          <w:rFonts w:ascii="Calibri" w:eastAsia="Times New Roman" w:hAnsi="Calibri" w:cs="Arial"/>
          <w:b/>
          <w:i/>
          <w:kern w:val="0"/>
          <w14:ligatures w14:val="none"/>
        </w:rPr>
      </w:pPr>
      <w:r w:rsidRPr="00034DE4">
        <w:rPr>
          <w:rFonts w:ascii="Calibri" w:eastAsia="Times New Roman" w:hAnsi="Calibri" w:cs="Arial"/>
          <w:b/>
          <w:i/>
          <w:kern w:val="0"/>
          <w14:ligatures w14:val="none"/>
        </w:rPr>
        <w:t xml:space="preserve">Tips: The Operations Manager must assign one Finance Associate the responsibility to monitor all PCAs issued and ensure proper actions listed above take place within the required timeline. </w:t>
      </w:r>
    </w:p>
    <w:p w14:paraId="6CAE2EE1" w14:textId="77777777" w:rsidR="00A7081B" w:rsidRDefault="00A7081B" w:rsidP="00034DE4">
      <w:pPr>
        <w:spacing w:before="120" w:after="100" w:afterAutospacing="1" w:line="240" w:lineRule="auto"/>
        <w:jc w:val="both"/>
        <w:rPr>
          <w:rFonts w:ascii="Calibri" w:eastAsia="Times New Roman" w:hAnsi="Calibri" w:cs="Arial"/>
          <w:b/>
          <w:i/>
          <w:kern w:val="0"/>
          <w14:ligatures w14:val="none"/>
        </w:rPr>
      </w:pPr>
    </w:p>
    <w:p w14:paraId="295644F0" w14:textId="77777777" w:rsidR="00A7081B" w:rsidRDefault="00A7081B" w:rsidP="00034DE4">
      <w:pPr>
        <w:spacing w:before="120" w:after="100" w:afterAutospacing="1" w:line="240" w:lineRule="auto"/>
        <w:jc w:val="both"/>
        <w:rPr>
          <w:rFonts w:ascii="Calibri" w:eastAsia="Times New Roman" w:hAnsi="Calibri" w:cs="Arial"/>
          <w:b/>
          <w:i/>
          <w:kern w:val="0"/>
          <w14:ligatures w14:val="none"/>
        </w:rPr>
      </w:pPr>
    </w:p>
    <w:p w14:paraId="7C6B9A3C" w14:textId="77777777" w:rsidR="006C0D57" w:rsidRPr="00034DE4" w:rsidRDefault="006C0D57" w:rsidP="00034DE4">
      <w:pPr>
        <w:spacing w:before="120" w:after="100" w:afterAutospacing="1" w:line="240" w:lineRule="auto"/>
        <w:jc w:val="both"/>
        <w:rPr>
          <w:rFonts w:ascii="Calibri" w:eastAsia="Times New Roman" w:hAnsi="Calibri" w:cs="Arial"/>
          <w:b/>
          <w:i/>
          <w:kern w:val="0"/>
          <w14:ligatures w14:val="none"/>
        </w:rPr>
      </w:pPr>
    </w:p>
    <w:p w14:paraId="02FE6C14" w14:textId="77777777" w:rsidR="00034DE4" w:rsidRPr="00034DE4" w:rsidRDefault="00034DE4" w:rsidP="00034DE4">
      <w:pPr>
        <w:spacing w:before="120" w:after="100" w:afterAutospacing="1" w:line="240" w:lineRule="auto"/>
        <w:jc w:val="both"/>
        <w:rPr>
          <w:rFonts w:ascii="Calibri" w:eastAsia="Times New Roman" w:hAnsi="Calibri" w:cs="Arial"/>
          <w:kern w:val="0"/>
          <w:u w:val="single"/>
          <w14:ligatures w14:val="none"/>
        </w:rPr>
      </w:pPr>
      <w:r w:rsidRPr="00034DE4">
        <w:rPr>
          <w:rFonts w:ascii="Calibri" w:eastAsia="Times New Roman" w:hAnsi="Calibri" w:cs="Arial"/>
          <w:kern w:val="0"/>
          <w:u w:val="single"/>
          <w14:ligatures w14:val="none"/>
        </w:rPr>
        <w:lastRenderedPageBreak/>
        <w:t xml:space="preserve">Accounting for PCA </w:t>
      </w:r>
    </w:p>
    <w:p w14:paraId="7584DCAE"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CO must record in currency for which the PCA is issued </w:t>
      </w:r>
    </w:p>
    <w:p w14:paraId="0512FFDE" w14:textId="77777777" w:rsidR="00034DE4" w:rsidRPr="00034DE4" w:rsidRDefault="00034DE4" w:rsidP="00034DE4">
      <w:pPr>
        <w:spacing w:before="120" w:after="100" w:afterAutospacing="1" w:line="240" w:lineRule="auto"/>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a. AP non-PO Invoice for issuance of PCA must charge the following Chart of Accounts (COA): </w:t>
      </w:r>
    </w:p>
    <w:p w14:paraId="44EEAD68"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Debit GL Account: </w:t>
      </w:r>
      <w:r w:rsidRPr="00034DE4">
        <w:rPr>
          <w:rFonts w:ascii="Calibri" w:eastAsia="Times New Roman" w:hAnsi="Calibri" w:cs="Arial"/>
          <w:kern w:val="0"/>
          <w14:ligatures w14:val="none"/>
        </w:rPr>
        <w:tab/>
        <w:t xml:space="preserve">16108 – Project Cash Advance </w:t>
      </w:r>
    </w:p>
    <w:p w14:paraId="137F4CBF"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Operating Unit: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CO’s operating unit </w:t>
      </w:r>
    </w:p>
    <w:p w14:paraId="15AFE653"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Fund Code: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Relevant project fund code </w:t>
      </w:r>
    </w:p>
    <w:p w14:paraId="1823B4B4"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Department: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Respective department code </w:t>
      </w:r>
    </w:p>
    <w:p w14:paraId="2CD819DC"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Project ID: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Relevant project ID </w:t>
      </w:r>
    </w:p>
    <w:p w14:paraId="7964D6CC"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proofErr w:type="spellStart"/>
      <w:r w:rsidRPr="00034DE4">
        <w:rPr>
          <w:rFonts w:ascii="Calibri" w:eastAsia="Times New Roman" w:hAnsi="Calibri" w:cs="Arial"/>
          <w:kern w:val="0"/>
          <w14:ligatures w14:val="none"/>
        </w:rPr>
        <w:t>Impl</w:t>
      </w:r>
      <w:proofErr w:type="spellEnd"/>
      <w:r w:rsidRPr="00034DE4">
        <w:rPr>
          <w:rFonts w:ascii="Calibri" w:eastAsia="Times New Roman" w:hAnsi="Calibri" w:cs="Arial"/>
          <w:kern w:val="0"/>
          <w14:ligatures w14:val="none"/>
        </w:rPr>
        <w:t xml:space="preserve">. Agent: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As appropriate </w:t>
      </w:r>
    </w:p>
    <w:p w14:paraId="2C91540F"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Donor: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As appropriate </w:t>
      </w:r>
    </w:p>
    <w:p w14:paraId="5E529857"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Open Item Key: </w:t>
      </w:r>
      <w:r w:rsidRPr="00034DE4">
        <w:rPr>
          <w:rFonts w:ascii="Calibri" w:eastAsia="Times New Roman" w:hAnsi="Calibri" w:cs="Arial"/>
          <w:kern w:val="0"/>
          <w14:ligatures w14:val="none"/>
        </w:rPr>
        <w:tab/>
        <w:t xml:space="preserve">PCA Custodian Staff Index ID </w:t>
      </w:r>
    </w:p>
    <w:p w14:paraId="21AB3A18"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Related Invoice:</w:t>
      </w:r>
      <w:r w:rsidRPr="00034DE4">
        <w:rPr>
          <w:rFonts w:ascii="Calibri" w:eastAsia="Times New Roman" w:hAnsi="Calibri" w:cs="Arial"/>
          <w:kern w:val="0"/>
          <w14:ligatures w14:val="none"/>
        </w:rPr>
        <w:tab/>
        <w:t xml:space="preserve">Invoice ID of initial issued advance </w:t>
      </w:r>
    </w:p>
    <w:p w14:paraId="40E06131" w14:textId="77777777" w:rsidR="00034DE4" w:rsidRPr="00034DE4" w:rsidRDefault="00034DE4" w:rsidP="00034DE4">
      <w:pPr>
        <w:spacing w:before="120" w:after="100" w:afterAutospacing="1" w:line="240" w:lineRule="auto"/>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b. APJV to record PCA actual expenses and reverse the original PCA must charge the following COA (do not use GLJE): </w:t>
      </w:r>
    </w:p>
    <w:p w14:paraId="7AFD70A9"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Debit GL Account: </w:t>
      </w:r>
      <w:r w:rsidRPr="00034DE4">
        <w:rPr>
          <w:rFonts w:ascii="Calibri" w:eastAsia="Times New Roman" w:hAnsi="Calibri" w:cs="Arial"/>
          <w:kern w:val="0"/>
          <w14:ligatures w14:val="none"/>
        </w:rPr>
        <w:tab/>
        <w:t xml:space="preserve">7XXXX – applicable expenses accounts </w:t>
      </w:r>
    </w:p>
    <w:p w14:paraId="67D7F7C2"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Credit GL Account:</w:t>
      </w:r>
      <w:r w:rsidRPr="00034DE4">
        <w:rPr>
          <w:rFonts w:ascii="Calibri" w:eastAsia="Times New Roman" w:hAnsi="Calibri" w:cs="Arial"/>
          <w:kern w:val="0"/>
          <w14:ligatures w14:val="none"/>
        </w:rPr>
        <w:tab/>
        <w:t xml:space="preserve">16108 – Project Cash Advance </w:t>
      </w:r>
    </w:p>
    <w:p w14:paraId="6348AAC3"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Invoice Date: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Same Accounting date as the initial AP Invoice of initial issued advance</w:t>
      </w:r>
    </w:p>
    <w:p w14:paraId="75CBDA25"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Operating Unit: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CO’s operating unit </w:t>
      </w:r>
    </w:p>
    <w:p w14:paraId="287CBF72"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Fund Code: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Relevant project fund code </w:t>
      </w:r>
    </w:p>
    <w:p w14:paraId="54C93195"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Department: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Respective department code </w:t>
      </w:r>
    </w:p>
    <w:p w14:paraId="458011AC"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Project ID: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Relevant project ID </w:t>
      </w:r>
    </w:p>
    <w:p w14:paraId="5D32C694"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proofErr w:type="spellStart"/>
      <w:r w:rsidRPr="00034DE4">
        <w:rPr>
          <w:rFonts w:ascii="Calibri" w:eastAsia="Times New Roman" w:hAnsi="Calibri" w:cs="Arial"/>
          <w:kern w:val="0"/>
          <w14:ligatures w14:val="none"/>
        </w:rPr>
        <w:t>Impl</w:t>
      </w:r>
      <w:proofErr w:type="spellEnd"/>
      <w:r w:rsidRPr="00034DE4">
        <w:rPr>
          <w:rFonts w:ascii="Calibri" w:eastAsia="Times New Roman" w:hAnsi="Calibri" w:cs="Arial"/>
          <w:kern w:val="0"/>
          <w14:ligatures w14:val="none"/>
        </w:rPr>
        <w:t xml:space="preserve">. Agent: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As appropriate </w:t>
      </w:r>
    </w:p>
    <w:p w14:paraId="7FF90676"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Donor: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As appropriate </w:t>
      </w:r>
    </w:p>
    <w:p w14:paraId="0F79CFE3"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Open Item Key: </w:t>
      </w:r>
      <w:r w:rsidRPr="00034DE4">
        <w:rPr>
          <w:rFonts w:ascii="Calibri" w:eastAsia="Times New Roman" w:hAnsi="Calibri" w:cs="Arial"/>
          <w:kern w:val="0"/>
          <w14:ligatures w14:val="none"/>
        </w:rPr>
        <w:tab/>
        <w:t xml:space="preserve">PCA Custodian Staff Index ID </w:t>
      </w:r>
    </w:p>
    <w:p w14:paraId="4F28E40C"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Related Invoice:</w:t>
      </w:r>
      <w:r w:rsidRPr="00034DE4">
        <w:rPr>
          <w:rFonts w:ascii="Calibri" w:eastAsia="Times New Roman" w:hAnsi="Calibri" w:cs="Arial"/>
          <w:kern w:val="0"/>
          <w14:ligatures w14:val="none"/>
        </w:rPr>
        <w:tab/>
        <w:t xml:space="preserve">Invoice ID of initial issued advance </w:t>
      </w:r>
    </w:p>
    <w:p w14:paraId="6EC17D1E" w14:textId="77777777" w:rsidR="00034DE4" w:rsidRPr="00034DE4" w:rsidRDefault="00034DE4" w:rsidP="00034DE4">
      <w:pPr>
        <w:spacing w:before="120" w:after="100" w:afterAutospacing="1" w:line="240" w:lineRule="auto"/>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c. AR Direct Journal for depositing any unused PCA balance must charge the following COA (do not use GLJE): </w:t>
      </w:r>
    </w:p>
    <w:p w14:paraId="0FE9E329" w14:textId="4C9AD283"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Credit GL Account:</w:t>
      </w:r>
      <w:r w:rsidRPr="00034DE4">
        <w:rPr>
          <w:rFonts w:ascii="Calibri" w:eastAsia="Times New Roman" w:hAnsi="Calibri" w:cs="Arial"/>
          <w:kern w:val="0"/>
          <w14:ligatures w14:val="none"/>
        </w:rPr>
        <w:tab/>
        <w:t xml:space="preserve">16108 </w:t>
      </w:r>
    </w:p>
    <w:p w14:paraId="1ABC47BB" w14:textId="6A8ACF8B"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Operating Unit: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CO’s operating unit </w:t>
      </w:r>
    </w:p>
    <w:p w14:paraId="44188E60" w14:textId="6A48ED2C"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Fund Code: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Relevant project fund code </w:t>
      </w:r>
    </w:p>
    <w:p w14:paraId="7D1AD09D" w14:textId="0ABF9D7C"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Department: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Respective department code </w:t>
      </w:r>
    </w:p>
    <w:p w14:paraId="08C20BC7"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lastRenderedPageBreak/>
        <w:t xml:space="preserve">Project ID: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Relevant project ID </w:t>
      </w:r>
    </w:p>
    <w:p w14:paraId="174A84C6"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proofErr w:type="spellStart"/>
      <w:r w:rsidRPr="00034DE4">
        <w:rPr>
          <w:rFonts w:ascii="Calibri" w:eastAsia="Times New Roman" w:hAnsi="Calibri" w:cs="Arial"/>
          <w:kern w:val="0"/>
          <w14:ligatures w14:val="none"/>
        </w:rPr>
        <w:t>Impl</w:t>
      </w:r>
      <w:proofErr w:type="spellEnd"/>
      <w:r w:rsidRPr="00034DE4">
        <w:rPr>
          <w:rFonts w:ascii="Calibri" w:eastAsia="Times New Roman" w:hAnsi="Calibri" w:cs="Arial"/>
          <w:kern w:val="0"/>
          <w14:ligatures w14:val="none"/>
        </w:rPr>
        <w:t xml:space="preserve">. Agent: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As appropriate </w:t>
      </w:r>
    </w:p>
    <w:p w14:paraId="20D44B3E"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Donor: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t xml:space="preserve">As appropriate </w:t>
      </w:r>
    </w:p>
    <w:p w14:paraId="0B573C8E" w14:textId="7409521F"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Open Item Key: </w:t>
      </w:r>
      <w:r w:rsidRPr="00034DE4">
        <w:rPr>
          <w:rFonts w:ascii="Calibri" w:eastAsia="Times New Roman" w:hAnsi="Calibri" w:cs="Arial"/>
          <w:kern w:val="0"/>
          <w14:ligatures w14:val="none"/>
        </w:rPr>
        <w:tab/>
      </w:r>
      <w:r w:rsidRPr="00034DE4">
        <w:rPr>
          <w:rFonts w:ascii="Calibri" w:eastAsia="Times New Roman" w:hAnsi="Calibri" w:cs="Arial"/>
          <w:kern w:val="0"/>
          <w14:ligatures w14:val="none"/>
        </w:rPr>
        <w:tab/>
      </w:r>
      <w:r w:rsidR="003C53B0">
        <w:rPr>
          <w:rFonts w:ascii="Calibri" w:eastAsia="Times New Roman" w:hAnsi="Calibri" w:cs="Arial"/>
          <w:kern w:val="0"/>
          <w14:ligatures w14:val="none"/>
        </w:rPr>
        <w:tab/>
      </w:r>
      <w:r w:rsidRPr="00034DE4">
        <w:rPr>
          <w:rFonts w:ascii="Calibri" w:eastAsia="Times New Roman" w:hAnsi="Calibri" w:cs="Arial"/>
          <w:kern w:val="0"/>
          <w14:ligatures w14:val="none"/>
        </w:rPr>
        <w:t xml:space="preserve">PCA Custodian Staff Index ID </w:t>
      </w:r>
    </w:p>
    <w:p w14:paraId="2CBABB73" w14:textId="77777777" w:rsidR="00034DE4" w:rsidRPr="00034DE4" w:rsidRDefault="00034DE4" w:rsidP="00034DE4">
      <w:pPr>
        <w:spacing w:before="120" w:after="0" w:line="240" w:lineRule="auto"/>
        <w:ind w:left="720"/>
        <w:jc w:val="both"/>
        <w:rPr>
          <w:rFonts w:ascii="Calibri" w:eastAsia="Times New Roman" w:hAnsi="Calibri" w:cs="Arial"/>
          <w:kern w:val="0"/>
          <w14:ligatures w14:val="none"/>
        </w:rPr>
      </w:pPr>
      <w:r w:rsidRPr="00034DE4">
        <w:rPr>
          <w:rFonts w:ascii="Calibri" w:eastAsia="Times New Roman" w:hAnsi="Calibri" w:cs="Arial"/>
          <w:kern w:val="0"/>
          <w14:ligatures w14:val="none"/>
        </w:rPr>
        <w:t>Journal Line Description:</w:t>
      </w:r>
      <w:r w:rsidRPr="00034DE4">
        <w:rPr>
          <w:rFonts w:ascii="Calibri" w:eastAsia="Times New Roman" w:hAnsi="Calibri" w:cs="Arial"/>
          <w:kern w:val="0"/>
          <w14:ligatures w14:val="none"/>
        </w:rPr>
        <w:tab/>
        <w:t xml:space="preserve">Invoice ID of initial issued advance </w:t>
      </w:r>
    </w:p>
    <w:p w14:paraId="12B5F688" w14:textId="77777777" w:rsidR="00034DE4" w:rsidRPr="00B81B81" w:rsidRDefault="00034DE4" w:rsidP="00034DE4">
      <w:pPr>
        <w:spacing w:before="120" w:after="100" w:afterAutospacing="1" w:line="240" w:lineRule="auto"/>
        <w:jc w:val="both"/>
        <w:rPr>
          <w:rFonts w:ascii="Calibri" w:eastAsia="Times New Roman" w:hAnsi="Calibri" w:cs="Calibri"/>
          <w:b/>
          <w:i/>
          <w:kern w:val="0"/>
          <w14:ligatures w14:val="none"/>
        </w:rPr>
      </w:pPr>
      <w:r w:rsidRPr="00B81B81">
        <w:rPr>
          <w:rFonts w:ascii="Calibri" w:eastAsia="Times New Roman" w:hAnsi="Calibri" w:cs="Calibri"/>
          <w:b/>
          <w:i/>
          <w:kern w:val="0"/>
          <w14:ligatures w14:val="none"/>
        </w:rPr>
        <w:t xml:space="preserve">Caution: All PCAs are to be fully closed and accounted for within 30 days from the date of  the issuance of advance, for a one-time project activity. This is very important to the fair and accurate presentation of a) UNDP financial position and operating results (reflected in the Balance Sheet and Income Statement Accounts) and b) UNDP’s project delivery status and balance for donor reporting under IPSAS at all times. </w:t>
      </w:r>
    </w:p>
    <w:p w14:paraId="69BF8B62" w14:textId="77777777" w:rsidR="00034DE4" w:rsidRPr="00B81B81" w:rsidRDefault="00034DE4" w:rsidP="00034DE4">
      <w:pPr>
        <w:spacing w:before="120" w:after="100" w:afterAutospacing="1" w:line="240" w:lineRule="auto"/>
        <w:jc w:val="both"/>
        <w:rPr>
          <w:rFonts w:ascii="Calibri" w:eastAsia="Times New Roman" w:hAnsi="Calibri" w:cs="Calibri"/>
          <w:kern w:val="0"/>
          <w:u w:val="single"/>
          <w14:ligatures w14:val="none"/>
        </w:rPr>
      </w:pPr>
      <w:r w:rsidRPr="00B81B81">
        <w:rPr>
          <w:rFonts w:ascii="Calibri" w:eastAsia="Times New Roman" w:hAnsi="Calibri" w:cs="Calibri"/>
          <w:b/>
          <w:i/>
          <w:kern w:val="0"/>
          <w14:ligatures w14:val="none"/>
        </w:rPr>
        <w:t xml:space="preserve">Caution: </w:t>
      </w:r>
      <w:r w:rsidRPr="00B81B81">
        <w:rPr>
          <w:rFonts w:ascii="Calibri" w:eastAsia="Times New Roman" w:hAnsi="Calibri" w:cs="Calibri"/>
          <w:b/>
          <w:i/>
          <w:kern w:val="0"/>
          <w:sz w:val="24"/>
          <w:szCs w:val="24"/>
          <w14:ligatures w14:val="none"/>
        </w:rPr>
        <w:t xml:space="preserve">FX gain/loss adjustment entries are monitored by GSSC Cash Management team on a monthly basis. </w:t>
      </w:r>
      <w:r w:rsidRPr="00B81B81">
        <w:rPr>
          <w:rFonts w:ascii="Calibri" w:eastAsia="Times New Roman" w:hAnsi="Calibri" w:cs="Calibri"/>
          <w:kern w:val="0"/>
          <w:u w:val="single"/>
          <w14:ligatures w14:val="none"/>
        </w:rPr>
        <w:t xml:space="preserve">Reconciling Outstanding PCA Balance with GL Balance for PCA </w:t>
      </w:r>
    </w:p>
    <w:p w14:paraId="74530F7B" w14:textId="77777777" w:rsidR="00034DE4" w:rsidRPr="00034DE4" w:rsidRDefault="00034DE4" w:rsidP="00034DE4">
      <w:pPr>
        <w:spacing w:before="120" w:after="100" w:afterAutospacing="1" w:line="240" w:lineRule="auto"/>
        <w:jc w:val="both"/>
        <w:rPr>
          <w:rFonts w:ascii="Calibri" w:eastAsia="Times New Roman" w:hAnsi="Calibri" w:cs="Arial"/>
          <w:b/>
          <w:i/>
          <w:kern w:val="0"/>
          <w14:ligatures w14:val="none"/>
        </w:rPr>
      </w:pPr>
      <w:r w:rsidRPr="00034DE4">
        <w:rPr>
          <w:rFonts w:ascii="Calibri" w:eastAsia="Times New Roman" w:hAnsi="Calibri" w:cs="Arial"/>
          <w:b/>
          <w:i/>
          <w:kern w:val="0"/>
          <w14:ligatures w14:val="none"/>
        </w:rPr>
        <w:t xml:space="preserve">Caution: Pay attention to the currency in GL. Reconciliation is to be done for the currency for which the PCA is issued. Typically, this means local currency for majority of the PCAs. </w:t>
      </w:r>
    </w:p>
    <w:p w14:paraId="3185DC91"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assigned Finance Associate who monitors PCA issued must ensure that the APJV and AR Direct Journal use the correct COA. </w:t>
      </w:r>
    </w:p>
    <w:p w14:paraId="776B7C51"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assigned Finance Associate runs AAA report for GL Account 16108 for the last date of each month. He/she reviews and confirms that the balance in GL Account 16108 represents the outstanding PCAs that have not concluded as of the 23rd of each month. </w:t>
      </w:r>
    </w:p>
    <w:p w14:paraId="718D20DD"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Operations Manager must review the reconciliation completed by the assigned Finance Associate. If there any concerns for unclosed PCAs, he/she must take appropriate actions to ensure the internal controls for PCA are followed. </w:t>
      </w:r>
    </w:p>
    <w:p w14:paraId="4E32BEC9"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At each quarter-end or at each UNDP financial closure date, the assigned Finance Associate prepares the PCA Reconciliation Schedule (see Annex 7 – PCA Reconciliation Schedule). The GL Account 16108 balance must be substantiated by the PCAs that are outstanding in details. </w:t>
      </w:r>
    </w:p>
    <w:p w14:paraId="0BCE12A5" w14:textId="77777777" w:rsidR="00034DE4" w:rsidRPr="00034DE4" w:rsidRDefault="00034DE4" w:rsidP="00034DE4">
      <w:pPr>
        <w:numPr>
          <w:ilvl w:val="1"/>
          <w:numId w:val="1"/>
        </w:numPr>
        <w:spacing w:before="120" w:after="100" w:afterAutospacing="1" w:line="240" w:lineRule="auto"/>
        <w:ind w:left="360" w:right="3"/>
        <w:jc w:val="both"/>
        <w:rPr>
          <w:rFonts w:ascii="Calibri" w:eastAsia="Times New Roman" w:hAnsi="Calibri" w:cs="Arial"/>
          <w:kern w:val="0"/>
          <w14:ligatures w14:val="none"/>
        </w:rPr>
      </w:pPr>
      <w:r w:rsidRPr="00034DE4">
        <w:rPr>
          <w:rFonts w:ascii="Calibri" w:eastAsia="Times New Roman" w:hAnsi="Calibri" w:cs="Arial"/>
          <w:kern w:val="0"/>
          <w14:ligatures w14:val="none"/>
        </w:rPr>
        <w:t xml:space="preserve">The Operations Manager must review and certify the PCA Reconciliation Schedule. </w:t>
      </w:r>
    </w:p>
    <w:bookmarkEnd w:id="0"/>
    <w:p w14:paraId="7BADED73" w14:textId="77777777" w:rsidR="00034DE4" w:rsidRPr="00034DE4" w:rsidRDefault="00034DE4" w:rsidP="00034DE4">
      <w:pPr>
        <w:spacing w:before="120" w:after="100" w:afterAutospacing="1" w:line="240" w:lineRule="auto"/>
        <w:jc w:val="both"/>
        <w:rPr>
          <w:rFonts w:ascii="Calibri" w:eastAsia="Times New Roman" w:hAnsi="Calibri" w:cs="Arial"/>
          <w:b/>
          <w:i/>
          <w:kern w:val="0"/>
          <w14:ligatures w14:val="none"/>
        </w:rPr>
      </w:pPr>
      <w:r w:rsidRPr="00034DE4">
        <w:rPr>
          <w:rFonts w:ascii="Calibri" w:eastAsia="Times New Roman" w:hAnsi="Calibri" w:cs="Arial"/>
          <w:b/>
          <w:i/>
          <w:kern w:val="0"/>
          <w14:ligatures w14:val="none"/>
        </w:rPr>
        <w:t xml:space="preserve">Caution: The above steps are critically important to ensure UNDP cash advances are accounted for timely and accurately. </w:t>
      </w:r>
    </w:p>
    <w:p w14:paraId="5A7B46BE" w14:textId="77777777" w:rsidR="00034DE4" w:rsidRPr="00034DE4" w:rsidRDefault="00034DE4" w:rsidP="00034DE4">
      <w:pPr>
        <w:shd w:val="clear" w:color="auto" w:fill="FFFFFF"/>
        <w:spacing w:before="120" w:after="0" w:line="240" w:lineRule="auto"/>
        <w:ind w:left="831" w:right="3" w:hanging="370"/>
        <w:jc w:val="both"/>
        <w:textAlignment w:val="top"/>
        <w:rPr>
          <w:rFonts w:ascii="Calibri" w:eastAsia="Times New Roman" w:hAnsi="Calibri" w:cs="Arial"/>
          <w:color w:val="333333"/>
          <w:kern w:val="0"/>
          <w14:ligatures w14:val="none"/>
        </w:rPr>
      </w:pPr>
    </w:p>
    <w:p w14:paraId="4655CB81" w14:textId="77777777" w:rsidR="00034DE4" w:rsidRPr="00034DE4" w:rsidRDefault="00034DE4" w:rsidP="00034DE4">
      <w:pPr>
        <w:spacing w:before="120" w:after="29" w:line="240" w:lineRule="auto"/>
        <w:jc w:val="both"/>
        <w:rPr>
          <w:rFonts w:ascii="Calibri" w:eastAsia="Calibri" w:hAnsi="Calibri" w:cs="Calibri"/>
          <w:color w:val="000000"/>
          <w:kern w:val="0"/>
          <w:lang w:val="en-GB"/>
          <w14:ligatures w14:val="none"/>
        </w:rPr>
      </w:pPr>
      <w:bookmarkStart w:id="1" w:name="RelevantPolicies"/>
      <w:bookmarkEnd w:id="1"/>
      <w:r w:rsidRPr="00034DE4">
        <w:rPr>
          <w:rFonts w:ascii="Calibri" w:eastAsia="Calibri" w:hAnsi="Calibri" w:cs="Calibri"/>
          <w:color w:val="000000"/>
          <w:kern w:val="0"/>
          <w:lang w:val="en-GB"/>
          <w14:ligatures w14:val="none"/>
        </w:rPr>
        <w:t xml:space="preserve"> </w:t>
      </w:r>
    </w:p>
    <w:p w14:paraId="646CDD97" w14:textId="77777777" w:rsidR="00034DE4" w:rsidRPr="00034DE4" w:rsidRDefault="00034DE4" w:rsidP="00034DE4">
      <w:pPr>
        <w:rPr>
          <w:rFonts w:ascii="Calibri" w:eastAsia="Calibri" w:hAnsi="Calibri" w:cs="Calibri"/>
          <w:color w:val="000000"/>
          <w:kern w:val="0"/>
          <w:lang w:val="en-GB"/>
          <w14:ligatures w14:val="none"/>
        </w:rPr>
      </w:pPr>
    </w:p>
    <w:p w14:paraId="0B28A1FE" w14:textId="77777777" w:rsidR="00A31C56" w:rsidRPr="00034DE4" w:rsidRDefault="00A31C56">
      <w:pPr>
        <w:rPr>
          <w:lang w:val="en-GB"/>
        </w:rPr>
      </w:pPr>
    </w:p>
    <w:sectPr w:rsidR="00A31C56" w:rsidRPr="00034DE4" w:rsidSect="00034DE4">
      <w:headerReference w:type="default" r:id="rId7"/>
      <w:footerReference w:type="even" r:id="rId8"/>
      <w:footerReference w:type="default" r:id="rId9"/>
      <w:footerReference w:type="first" r:id="rId10"/>
      <w:pgSz w:w="12240" w:h="15840"/>
      <w:pgMar w:top="1440" w:right="1425" w:bottom="1206" w:left="1340" w:header="72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80F5" w14:textId="77777777" w:rsidR="008F0385" w:rsidRDefault="008F0385">
      <w:pPr>
        <w:spacing w:after="0" w:line="240" w:lineRule="auto"/>
      </w:pPr>
      <w:r>
        <w:separator/>
      </w:r>
    </w:p>
  </w:endnote>
  <w:endnote w:type="continuationSeparator" w:id="0">
    <w:p w14:paraId="7BE983A5" w14:textId="77777777" w:rsidR="008F0385" w:rsidRDefault="008F0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EA51" w14:textId="77777777" w:rsidR="004B3B8E" w:rsidRDefault="0023439D">
    <w:pPr>
      <w:tabs>
        <w:tab w:val="center" w:pos="4784"/>
      </w:tabs>
      <w:spacing w:after="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1D9E" w14:textId="61E5631A" w:rsidR="004B3B8E" w:rsidRPr="0023439D" w:rsidRDefault="0023439D">
    <w:pPr>
      <w:tabs>
        <w:tab w:val="center" w:pos="4784"/>
      </w:tabs>
      <w:spacing w:after="0"/>
      <w:rPr>
        <w:rFonts w:ascii="Calibri" w:hAnsi="Calibri" w:cs="Calibri"/>
      </w:rPr>
    </w:pPr>
    <w:r w:rsidRPr="0023439D">
      <w:rPr>
        <w:rFonts w:ascii="Calibri" w:hAnsi="Calibri" w:cs="Calibri"/>
      </w:rPr>
      <w:t xml:space="preserve">Page </w:t>
    </w:r>
    <w:r w:rsidRPr="0023439D">
      <w:rPr>
        <w:rFonts w:ascii="Calibri" w:hAnsi="Calibri" w:cs="Calibri"/>
        <w:b/>
      </w:rPr>
      <w:fldChar w:fldCharType="begin"/>
    </w:r>
    <w:r w:rsidRPr="0023439D">
      <w:rPr>
        <w:rFonts w:ascii="Calibri" w:hAnsi="Calibri" w:cs="Calibri"/>
        <w:b/>
      </w:rPr>
      <w:instrText xml:space="preserve"> PAGE  \* Arabic  \* MERGEFORMAT </w:instrText>
    </w:r>
    <w:r w:rsidRPr="0023439D">
      <w:rPr>
        <w:rFonts w:ascii="Calibri" w:hAnsi="Calibri" w:cs="Calibri"/>
        <w:b/>
      </w:rPr>
      <w:fldChar w:fldCharType="separate"/>
    </w:r>
    <w:r w:rsidRPr="0023439D">
      <w:rPr>
        <w:rFonts w:ascii="Calibri" w:hAnsi="Calibri" w:cs="Calibri"/>
        <w:b/>
        <w:noProof/>
      </w:rPr>
      <w:t>6</w:t>
    </w:r>
    <w:r w:rsidRPr="0023439D">
      <w:rPr>
        <w:rFonts w:ascii="Calibri" w:hAnsi="Calibri" w:cs="Calibri"/>
        <w:b/>
      </w:rPr>
      <w:fldChar w:fldCharType="end"/>
    </w:r>
    <w:r w:rsidRPr="0023439D">
      <w:rPr>
        <w:rFonts w:ascii="Calibri" w:hAnsi="Calibri" w:cs="Calibri"/>
      </w:rPr>
      <w:t xml:space="preserve"> of </w:t>
    </w:r>
    <w:r w:rsidRPr="0023439D">
      <w:rPr>
        <w:rFonts w:ascii="Calibri" w:hAnsi="Calibri" w:cs="Calibri"/>
        <w:b/>
      </w:rPr>
      <w:fldChar w:fldCharType="begin"/>
    </w:r>
    <w:r w:rsidRPr="0023439D">
      <w:rPr>
        <w:rFonts w:ascii="Calibri" w:hAnsi="Calibri" w:cs="Calibri"/>
        <w:b/>
      </w:rPr>
      <w:instrText xml:space="preserve"> NUMPAGES  \* Arabic  \* MERGEFORMAT </w:instrText>
    </w:r>
    <w:r w:rsidRPr="0023439D">
      <w:rPr>
        <w:rFonts w:ascii="Calibri" w:hAnsi="Calibri" w:cs="Calibri"/>
        <w:b/>
      </w:rPr>
      <w:fldChar w:fldCharType="separate"/>
    </w:r>
    <w:r w:rsidRPr="0023439D">
      <w:rPr>
        <w:rFonts w:ascii="Calibri" w:hAnsi="Calibri" w:cs="Calibri"/>
        <w:b/>
        <w:noProof/>
      </w:rPr>
      <w:t>6</w:t>
    </w:r>
    <w:r w:rsidRPr="0023439D">
      <w:rPr>
        <w:rFonts w:ascii="Calibri" w:hAnsi="Calibri" w:cs="Calibri"/>
        <w:b/>
      </w:rPr>
      <w:fldChar w:fldCharType="end"/>
    </w:r>
    <w:r w:rsidRPr="0023439D">
      <w:rPr>
        <w:rFonts w:ascii="Calibri" w:hAnsi="Calibri" w:cs="Calibri"/>
      </w:rPr>
      <w:ptab w:relativeTo="margin" w:alignment="center" w:leader="none"/>
    </w:r>
    <w:r w:rsidRPr="0023439D">
      <w:rPr>
        <w:rFonts w:ascii="Calibri" w:hAnsi="Calibri" w:cs="Calibri"/>
      </w:rPr>
      <w:t xml:space="preserve">Effective Date: </w:t>
    </w:r>
    <w:sdt>
      <w:sdtPr>
        <w:rPr>
          <w:rFonts w:ascii="Calibri" w:hAnsi="Calibri" w:cs="Calibri"/>
        </w:rPr>
        <w:alias w:val="Effective Date"/>
        <w:tag w:val="UNDP_POPP_EFFECTIVEDATE"/>
        <w:id w:val="153607622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4FD107D-96F1-45F3-9A27-FB4D4FAD43C8}"/>
        <w:date w:fullDate="2018-09-01T00:00:00Z">
          <w:dateFormat w:val="dd/MM/yyyy"/>
          <w:lid w:val="en-US"/>
          <w:storeMappedDataAs w:val="dateTime"/>
          <w:calendar w:val="gregorian"/>
        </w:date>
      </w:sdtPr>
      <w:sdtContent>
        <w:r w:rsidRPr="0023439D">
          <w:rPr>
            <w:rFonts w:ascii="Calibri" w:hAnsi="Calibri" w:cs="Calibri"/>
          </w:rPr>
          <w:t>01/09/2018</w:t>
        </w:r>
      </w:sdtContent>
    </w:sdt>
    <w:r w:rsidRPr="0023439D">
      <w:rPr>
        <w:rFonts w:ascii="Calibri" w:hAnsi="Calibri" w:cs="Calibri"/>
      </w:rPr>
      <w:ptab w:relativeTo="margin" w:alignment="right" w:leader="none"/>
    </w:r>
    <w:r w:rsidRPr="0023439D">
      <w:rPr>
        <w:rFonts w:ascii="Calibri" w:hAnsi="Calibri" w:cs="Calibri"/>
      </w:rPr>
      <w:t xml:space="preserve">Version #: </w:t>
    </w:r>
    <w:sdt>
      <w:sdtPr>
        <w:rPr>
          <w:rFonts w:ascii="Calibri" w:hAnsi="Calibri" w:cs="Calibri"/>
        </w:rPr>
        <w:alias w:val="POPPRefItemVersion"/>
        <w:tag w:val="UNDP_POPP_REFITEM_VERSION"/>
        <w:id w:val="62289343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4FD107D-96F1-45F3-9A27-FB4D4FAD43C8}"/>
        <w:text/>
      </w:sdtPr>
      <w:sdtContent>
        <w:r w:rsidRPr="0023439D">
          <w:rPr>
            <w:rFonts w:ascii="Calibri" w:hAnsi="Calibri" w:cs="Calibri"/>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2417" w14:textId="77777777" w:rsidR="004B3B8E" w:rsidRDefault="0023439D">
    <w:pPr>
      <w:tabs>
        <w:tab w:val="center" w:pos="4784"/>
      </w:tabs>
      <w:spacing w:after="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D1B1" w14:textId="77777777" w:rsidR="008F0385" w:rsidRDefault="008F0385">
      <w:pPr>
        <w:spacing w:after="0" w:line="240" w:lineRule="auto"/>
      </w:pPr>
      <w:r>
        <w:separator/>
      </w:r>
    </w:p>
  </w:footnote>
  <w:footnote w:type="continuationSeparator" w:id="0">
    <w:p w14:paraId="4816ED6C" w14:textId="77777777" w:rsidR="008F0385" w:rsidRDefault="008F0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DFDE" w14:textId="77777777" w:rsidR="004B3B8E" w:rsidRDefault="0023439D" w:rsidP="00C86C58">
    <w:pPr>
      <w:pStyle w:val="Header"/>
      <w:jc w:val="right"/>
    </w:pPr>
    <w:r>
      <w:rPr>
        <w:noProof/>
      </w:rPr>
      <w:drawing>
        <wp:inline distT="0" distB="0" distL="0" distR="0" wp14:anchorId="55B2E56B" wp14:editId="4B181F06">
          <wp:extent cx="304165" cy="589376"/>
          <wp:effectExtent l="0" t="0" r="63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996"/>
                  <a:stretch/>
                </pic:blipFill>
                <pic:spPr bwMode="auto">
                  <a:xfrm>
                    <a:off x="0" y="0"/>
                    <a:ext cx="317677" cy="615558"/>
                  </a:xfrm>
                  <a:prstGeom prst="rect">
                    <a:avLst/>
                  </a:prstGeom>
                  <a:ln>
                    <a:noFill/>
                  </a:ln>
                  <a:extLst>
                    <a:ext uri="{53640926-AAD7-44D8-BBD7-CCE9431645EC}">
                      <a14:shadowObscured xmlns:a14="http://schemas.microsoft.com/office/drawing/2010/main"/>
                    </a:ext>
                  </a:extLst>
                </pic:spPr>
              </pic:pic>
            </a:graphicData>
          </a:graphic>
        </wp:inline>
      </w:drawing>
    </w:r>
  </w:p>
  <w:p w14:paraId="5B0224B5" w14:textId="77777777" w:rsidR="004B3B8E" w:rsidRDefault="004B3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A7E"/>
    <w:multiLevelType w:val="hybridMultilevel"/>
    <w:tmpl w:val="D88E3770"/>
    <w:lvl w:ilvl="0" w:tplc="C1F44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8111F"/>
    <w:multiLevelType w:val="hybridMultilevel"/>
    <w:tmpl w:val="20329E74"/>
    <w:lvl w:ilvl="0" w:tplc="76D41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32AC9"/>
    <w:multiLevelType w:val="hybridMultilevel"/>
    <w:tmpl w:val="D56080A2"/>
    <w:lvl w:ilvl="0" w:tplc="A1BC3A30">
      <w:start w:val="1"/>
      <w:numFmt w:val="lowerLetter"/>
      <w:lvlText w:val="%1."/>
      <w:lvlJc w:val="left"/>
      <w:pPr>
        <w:ind w:left="4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70EC3"/>
    <w:multiLevelType w:val="hybridMultilevel"/>
    <w:tmpl w:val="081A14B6"/>
    <w:lvl w:ilvl="0" w:tplc="3D02D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24014"/>
    <w:multiLevelType w:val="hybridMultilevel"/>
    <w:tmpl w:val="21B8F002"/>
    <w:lvl w:ilvl="0" w:tplc="CF78D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7297F"/>
    <w:multiLevelType w:val="hybridMultilevel"/>
    <w:tmpl w:val="A6FA4384"/>
    <w:lvl w:ilvl="0" w:tplc="60B8F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871922">
    <w:abstractNumId w:val="5"/>
  </w:num>
  <w:num w:numId="2" w16cid:durableId="1915318512">
    <w:abstractNumId w:val="1"/>
  </w:num>
  <w:num w:numId="3" w16cid:durableId="1951206508">
    <w:abstractNumId w:val="3"/>
  </w:num>
  <w:num w:numId="4" w16cid:durableId="282351754">
    <w:abstractNumId w:val="2"/>
  </w:num>
  <w:num w:numId="5" w16cid:durableId="1146093988">
    <w:abstractNumId w:val="6"/>
  </w:num>
  <w:num w:numId="6" w16cid:durableId="891430857">
    <w:abstractNumId w:val="4"/>
  </w:num>
  <w:num w:numId="7" w16cid:durableId="157169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E4"/>
    <w:rsid w:val="00034DE4"/>
    <w:rsid w:val="000C0236"/>
    <w:rsid w:val="00153DE0"/>
    <w:rsid w:val="001577BB"/>
    <w:rsid w:val="001B7C21"/>
    <w:rsid w:val="0023439D"/>
    <w:rsid w:val="00246AA8"/>
    <w:rsid w:val="00315815"/>
    <w:rsid w:val="00344A5E"/>
    <w:rsid w:val="003C53B0"/>
    <w:rsid w:val="004021EC"/>
    <w:rsid w:val="00405CA5"/>
    <w:rsid w:val="00487C63"/>
    <w:rsid w:val="004B3B8E"/>
    <w:rsid w:val="0053635A"/>
    <w:rsid w:val="00567B64"/>
    <w:rsid w:val="005C03D2"/>
    <w:rsid w:val="0065411E"/>
    <w:rsid w:val="006C0D57"/>
    <w:rsid w:val="006D640F"/>
    <w:rsid w:val="00705B20"/>
    <w:rsid w:val="00750156"/>
    <w:rsid w:val="008F0385"/>
    <w:rsid w:val="009A13F0"/>
    <w:rsid w:val="00A31C56"/>
    <w:rsid w:val="00A7081B"/>
    <w:rsid w:val="00A9366F"/>
    <w:rsid w:val="00AE5AA3"/>
    <w:rsid w:val="00B06A00"/>
    <w:rsid w:val="00B81B81"/>
    <w:rsid w:val="00C91DD3"/>
    <w:rsid w:val="00D02677"/>
    <w:rsid w:val="00E1356D"/>
    <w:rsid w:val="00EE7797"/>
    <w:rsid w:val="00F02551"/>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2E1B"/>
  <w15:chartTrackingRefBased/>
  <w15:docId w15:val="{7729BE51-5C08-4AAE-96E6-81382763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DE4"/>
    <w:rPr>
      <w:rFonts w:eastAsiaTheme="majorEastAsia" w:cstheme="majorBidi"/>
      <w:color w:val="272727" w:themeColor="text1" w:themeTint="D8"/>
    </w:rPr>
  </w:style>
  <w:style w:type="paragraph" w:styleId="Title">
    <w:name w:val="Title"/>
    <w:basedOn w:val="Normal"/>
    <w:next w:val="Normal"/>
    <w:link w:val="TitleChar"/>
    <w:uiPriority w:val="10"/>
    <w:qFormat/>
    <w:rsid w:val="0003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DE4"/>
    <w:pPr>
      <w:spacing w:before="160"/>
      <w:jc w:val="center"/>
    </w:pPr>
    <w:rPr>
      <w:i/>
      <w:iCs/>
      <w:color w:val="404040" w:themeColor="text1" w:themeTint="BF"/>
    </w:rPr>
  </w:style>
  <w:style w:type="character" w:customStyle="1" w:styleId="QuoteChar">
    <w:name w:val="Quote Char"/>
    <w:basedOn w:val="DefaultParagraphFont"/>
    <w:link w:val="Quote"/>
    <w:uiPriority w:val="29"/>
    <w:rsid w:val="00034DE4"/>
    <w:rPr>
      <w:i/>
      <w:iCs/>
      <w:color w:val="404040" w:themeColor="text1" w:themeTint="BF"/>
    </w:rPr>
  </w:style>
  <w:style w:type="paragraph" w:styleId="ListParagraph">
    <w:name w:val="List Paragraph"/>
    <w:basedOn w:val="Normal"/>
    <w:uiPriority w:val="34"/>
    <w:qFormat/>
    <w:rsid w:val="00034DE4"/>
    <w:pPr>
      <w:ind w:left="720"/>
      <w:contextualSpacing/>
    </w:pPr>
  </w:style>
  <w:style w:type="character" w:styleId="IntenseEmphasis">
    <w:name w:val="Intense Emphasis"/>
    <w:basedOn w:val="DefaultParagraphFont"/>
    <w:uiPriority w:val="21"/>
    <w:qFormat/>
    <w:rsid w:val="00034DE4"/>
    <w:rPr>
      <w:i/>
      <w:iCs/>
      <w:color w:val="0F4761" w:themeColor="accent1" w:themeShade="BF"/>
    </w:rPr>
  </w:style>
  <w:style w:type="paragraph" w:styleId="IntenseQuote">
    <w:name w:val="Intense Quote"/>
    <w:basedOn w:val="Normal"/>
    <w:next w:val="Normal"/>
    <w:link w:val="IntenseQuoteChar"/>
    <w:uiPriority w:val="30"/>
    <w:qFormat/>
    <w:rsid w:val="0003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DE4"/>
    <w:rPr>
      <w:i/>
      <w:iCs/>
      <w:color w:val="0F4761" w:themeColor="accent1" w:themeShade="BF"/>
    </w:rPr>
  </w:style>
  <w:style w:type="character" w:styleId="IntenseReference">
    <w:name w:val="Intense Reference"/>
    <w:basedOn w:val="DefaultParagraphFont"/>
    <w:uiPriority w:val="32"/>
    <w:qFormat/>
    <w:rsid w:val="00034DE4"/>
    <w:rPr>
      <w:b/>
      <w:bCs/>
      <w:smallCaps/>
      <w:color w:val="0F4761" w:themeColor="accent1" w:themeShade="BF"/>
      <w:spacing w:val="5"/>
    </w:rPr>
  </w:style>
  <w:style w:type="paragraph" w:styleId="Header">
    <w:name w:val="header"/>
    <w:basedOn w:val="Normal"/>
    <w:link w:val="HeaderChar"/>
    <w:uiPriority w:val="99"/>
    <w:unhideWhenUsed/>
    <w:rsid w:val="00034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DE4"/>
  </w:style>
  <w:style w:type="paragraph" w:styleId="Revision">
    <w:name w:val="Revision"/>
    <w:hidden/>
    <w:uiPriority w:val="99"/>
    <w:semiHidden/>
    <w:rsid w:val="00402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1980</Words>
  <Characters>11290</Characters>
  <Application>Microsoft Office Word</Application>
  <DocSecurity>0</DocSecurity>
  <Lines>94</Lines>
  <Paragraphs>26</Paragraphs>
  <ScaleCrop>false</ScaleCrop>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15</cp:revision>
  <dcterms:created xsi:type="dcterms:W3CDTF">2025-04-29T20:54:00Z</dcterms:created>
  <dcterms:modified xsi:type="dcterms:W3CDTF">2025-05-05T06:25:00Z</dcterms:modified>
</cp:coreProperties>
</file>