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6331" w14:textId="77777777" w:rsidR="00DB0FE6" w:rsidRPr="00DB0FE6" w:rsidRDefault="00DB0FE6" w:rsidP="00DB0FE6">
      <w:pPr>
        <w:spacing w:after="157" w:line="259" w:lineRule="auto"/>
        <w:rPr>
          <w:rFonts w:ascii="Calibri" w:eastAsia="Calibri" w:hAnsi="Calibri" w:cs="Calibri"/>
          <w:color w:val="000000"/>
          <w:kern w:val="0"/>
          <w:sz w:val="22"/>
          <w:szCs w:val="22"/>
          <w14:ligatures w14:val="none"/>
        </w:rPr>
      </w:pPr>
      <w:r w:rsidRPr="00DB0FE6">
        <w:rPr>
          <w:rFonts w:ascii="Calibri" w:eastAsia="Calibri" w:hAnsi="Calibri" w:cs="Calibri"/>
          <w:b/>
          <w:color w:val="000000"/>
          <w:kern w:val="0"/>
          <w:sz w:val="28"/>
          <w:szCs w:val="22"/>
          <w14:ligatures w14:val="none"/>
        </w:rPr>
        <w:t xml:space="preserve">Maintenance and Usage of the Chart of Accounts </w:t>
      </w:r>
    </w:p>
    <w:p w14:paraId="5DF1244B" w14:textId="77777777" w:rsidR="00DB0FE6" w:rsidRPr="00DB0FE6" w:rsidRDefault="00DB0FE6" w:rsidP="00DB0FE6">
      <w:pPr>
        <w:numPr>
          <w:ilvl w:val="0"/>
          <w:numId w:val="1"/>
        </w:numPr>
        <w:spacing w:after="4" w:line="250" w:lineRule="auto"/>
        <w:ind w:right="3" w:hanging="358"/>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Chart of Accounts (COA) plays a role in Quantum financial systems for control, budgeting and reporting.  The correct use of the COA is critical for accurate financial, management and donor reporting. The individual values, which in combination, describe a specific financial activity, are referred to as </w:t>
      </w:r>
      <w:r w:rsidRPr="00DB0FE6">
        <w:rPr>
          <w:rFonts w:ascii="Calibri" w:eastAsia="Calibri" w:hAnsi="Calibri" w:cs="Calibri"/>
          <w:b/>
          <w:color w:val="000000"/>
          <w:kern w:val="0"/>
          <w:sz w:val="22"/>
          <w:szCs w:val="22"/>
          <w14:ligatures w14:val="none"/>
        </w:rPr>
        <w:t>“chart field”.</w:t>
      </w:r>
      <w:r w:rsidRPr="00DB0FE6">
        <w:rPr>
          <w:rFonts w:ascii="Calibri" w:eastAsia="Calibri" w:hAnsi="Calibri" w:cs="Calibri"/>
          <w:color w:val="000000"/>
          <w:kern w:val="0"/>
          <w:sz w:val="22"/>
          <w:szCs w:val="22"/>
          <w14:ligatures w14:val="none"/>
        </w:rPr>
        <w:t xml:space="preserve">  All Quantum Financial Users should have a good understanding of chart fields and fully understand the purpose of each chart field. </w:t>
      </w:r>
    </w:p>
    <w:p w14:paraId="070A34C1"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2D968BFC" w14:textId="77777777" w:rsidR="00DB0FE6" w:rsidRPr="00DB0FE6" w:rsidRDefault="00DB0FE6" w:rsidP="00DB0FE6">
      <w:pPr>
        <w:numPr>
          <w:ilvl w:val="0"/>
          <w:numId w:val="1"/>
        </w:numPr>
        <w:spacing w:after="4" w:line="250" w:lineRule="auto"/>
        <w:ind w:right="3" w:hanging="358"/>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Transaction level data is recorded at a chart field level in all Quantum financial systems, and ultimately as the data pass from one system to another, it is summarized by chart field in the </w:t>
      </w:r>
      <w:r w:rsidRPr="00DB0FE6">
        <w:rPr>
          <w:rFonts w:ascii="Calibri" w:eastAsia="Calibri" w:hAnsi="Calibri" w:cs="Calibri"/>
          <w:b/>
          <w:color w:val="000000"/>
          <w:kern w:val="0"/>
          <w:sz w:val="22"/>
          <w:szCs w:val="22"/>
          <w14:ligatures w14:val="none"/>
        </w:rPr>
        <w:t>General Ledger</w:t>
      </w:r>
      <w:r w:rsidRPr="00DB0FE6">
        <w:rPr>
          <w:rFonts w:ascii="Calibri" w:eastAsia="Calibri" w:hAnsi="Calibri" w:cs="Calibri"/>
          <w:color w:val="000000"/>
          <w:kern w:val="0"/>
          <w:sz w:val="22"/>
          <w:szCs w:val="22"/>
          <w14:ligatures w14:val="none"/>
        </w:rPr>
        <w:t xml:space="preserve">. The General Ledger is a repository of all monetary transactions processed directly in the General Ledger or in sub-systems such as Accounts Payable (subledger used primarily for disbursements), Accounts Receivable (subledger used for recording receipts), Global Payroll, and all other subledgers in Quantum. The General Ledger is the final record from which financial statements are prepared.  </w:t>
      </w:r>
    </w:p>
    <w:p w14:paraId="0384FB0C"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1F9FAD30" w14:textId="77777777" w:rsidR="00DB0FE6" w:rsidRPr="00DB0FE6" w:rsidRDefault="00DB0FE6" w:rsidP="00DB0FE6">
      <w:pPr>
        <w:numPr>
          <w:ilvl w:val="0"/>
          <w:numId w:val="1"/>
        </w:numPr>
        <w:spacing w:after="4" w:line="250" w:lineRule="auto"/>
        <w:ind w:right="3" w:hanging="358"/>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With reporting and analytic tools, chart fields provide access to accounting data needed for budget control, management reporting, and statutory (or formal and final financial) reporting.  Reporting tools reference chart fields directly or indirectly through the rollup mechanisms available with trees (see Chart </w:t>
      </w:r>
      <w:proofErr w:type="gramStart"/>
      <w:r w:rsidRPr="00DB0FE6">
        <w:rPr>
          <w:rFonts w:ascii="Calibri" w:eastAsia="Calibri" w:hAnsi="Calibri" w:cs="Calibri"/>
          <w:color w:val="000000"/>
          <w:kern w:val="0"/>
          <w:sz w:val="22"/>
          <w:szCs w:val="22"/>
          <w14:ligatures w14:val="none"/>
        </w:rPr>
        <w:t>field</w:t>
      </w:r>
      <w:proofErr w:type="gramEnd"/>
      <w:r w:rsidRPr="00DB0FE6">
        <w:rPr>
          <w:rFonts w:ascii="Calibri" w:eastAsia="Calibri" w:hAnsi="Calibri" w:cs="Calibri"/>
          <w:color w:val="000000"/>
          <w:kern w:val="0"/>
          <w:sz w:val="22"/>
          <w:szCs w:val="22"/>
          <w14:ligatures w14:val="none"/>
        </w:rPr>
        <w:t xml:space="preserve"> Tree Structures below).  In addition, chart fields are used in the definition of budget control and journal edit combination rules either directly, by referencing specific values, or indirectly, through trees.  </w:t>
      </w:r>
    </w:p>
    <w:p w14:paraId="4BC3DC42"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33E5B74E" w14:textId="77777777" w:rsidR="00DB0FE6" w:rsidRPr="00DB0FE6" w:rsidRDefault="00DB0FE6" w:rsidP="00DB0FE6">
      <w:pPr>
        <w:numPr>
          <w:ilvl w:val="0"/>
          <w:numId w:val="1"/>
        </w:numPr>
        <w:spacing w:after="4" w:line="250" w:lineRule="auto"/>
        <w:ind w:right="3" w:hanging="358"/>
        <w:jc w:val="both"/>
        <w:rPr>
          <w:rFonts w:ascii="Calibri" w:eastAsia="Calibri" w:hAnsi="Calibri" w:cs="Calibri"/>
          <w:color w:val="000000"/>
          <w:kern w:val="0"/>
          <w:sz w:val="22"/>
          <w:szCs w:val="22"/>
          <w14:ligatures w14:val="none"/>
        </w:rPr>
      </w:pPr>
      <w:r w:rsidRPr="00DB0FE6">
        <w:rPr>
          <w:rFonts w:ascii="Calibri" w:eastAsia="Calibri" w:hAnsi="Calibri" w:cs="Calibri"/>
          <w:b/>
          <w:color w:val="000000"/>
          <w:kern w:val="0"/>
          <w:sz w:val="22"/>
          <w:szCs w:val="22"/>
          <w14:ligatures w14:val="none"/>
        </w:rPr>
        <w:t>Chart field Tree Structures</w:t>
      </w:r>
      <w:r w:rsidRPr="00DB0FE6">
        <w:rPr>
          <w:rFonts w:ascii="Calibri" w:eastAsia="Calibri" w:hAnsi="Calibri" w:cs="Calibri"/>
          <w:color w:val="000000"/>
          <w:kern w:val="0"/>
          <w:sz w:val="22"/>
          <w:szCs w:val="22"/>
          <w14:ligatures w14:val="none"/>
        </w:rPr>
        <w:t xml:space="preserve"> are used to establish a hierarchical structure, which visually represent a set of summarization rules for a particular chart field.  For instance, </w:t>
      </w:r>
      <w:proofErr w:type="gramStart"/>
      <w:r w:rsidRPr="00DB0FE6">
        <w:rPr>
          <w:rFonts w:ascii="Calibri" w:eastAsia="Calibri" w:hAnsi="Calibri" w:cs="Calibri"/>
          <w:color w:val="000000"/>
          <w:kern w:val="0"/>
          <w:sz w:val="22"/>
          <w:szCs w:val="22"/>
          <w14:ligatures w14:val="none"/>
        </w:rPr>
        <w:t>an UN</w:t>
      </w:r>
      <w:proofErr w:type="gramEnd"/>
      <w:r w:rsidRPr="00DB0FE6">
        <w:rPr>
          <w:rFonts w:ascii="Calibri" w:eastAsia="Calibri" w:hAnsi="Calibri" w:cs="Calibri"/>
          <w:color w:val="000000"/>
          <w:kern w:val="0"/>
          <w:sz w:val="22"/>
          <w:szCs w:val="22"/>
          <w14:ligatures w14:val="none"/>
        </w:rPr>
        <w:t xml:space="preserve"> Account Tree has 5 </w:t>
      </w:r>
      <w:proofErr w:type="gramStart"/>
      <w:r w:rsidRPr="00DB0FE6">
        <w:rPr>
          <w:rFonts w:ascii="Calibri" w:eastAsia="Calibri" w:hAnsi="Calibri" w:cs="Calibri"/>
          <w:color w:val="000000"/>
          <w:kern w:val="0"/>
          <w:sz w:val="22"/>
          <w:szCs w:val="22"/>
          <w14:ligatures w14:val="none"/>
        </w:rPr>
        <w:t>level</w:t>
      </w:r>
      <w:proofErr w:type="gramEnd"/>
      <w:r w:rsidRPr="00DB0FE6">
        <w:rPr>
          <w:rFonts w:ascii="Calibri" w:eastAsia="Calibri" w:hAnsi="Calibri" w:cs="Calibri"/>
          <w:color w:val="000000"/>
          <w:kern w:val="0"/>
          <w:sz w:val="22"/>
          <w:szCs w:val="22"/>
          <w14:ligatures w14:val="none"/>
        </w:rPr>
        <w:t xml:space="preserve"> of parent nodes as illustrated </w:t>
      </w:r>
      <w:proofErr w:type="gramStart"/>
      <w:r w:rsidRPr="00DB0FE6">
        <w:rPr>
          <w:rFonts w:ascii="Calibri" w:eastAsia="Calibri" w:hAnsi="Calibri" w:cs="Calibri"/>
          <w:color w:val="000000"/>
          <w:kern w:val="0"/>
          <w:sz w:val="22"/>
          <w:szCs w:val="22"/>
          <w14:ligatures w14:val="none"/>
        </w:rPr>
        <w:t>below:-</w:t>
      </w:r>
      <w:proofErr w:type="gramEnd"/>
    </w:p>
    <w:p w14:paraId="0EB5F153" w14:textId="77777777" w:rsidR="00DB0FE6" w:rsidRPr="00DB0FE6" w:rsidRDefault="00DB0FE6" w:rsidP="00DB0FE6">
      <w:pPr>
        <w:spacing w:after="4" w:line="250" w:lineRule="auto"/>
        <w:ind w:left="720" w:right="3" w:hanging="11"/>
        <w:contextualSpacing/>
        <w:jc w:val="both"/>
        <w:rPr>
          <w:rFonts w:ascii="Calibri" w:eastAsia="Calibri" w:hAnsi="Calibri" w:cs="Calibri"/>
          <w:color w:val="000000"/>
          <w:kern w:val="0"/>
          <w:sz w:val="22"/>
          <w:szCs w:val="22"/>
          <w14:ligatures w14:val="none"/>
        </w:rPr>
      </w:pPr>
      <w:r w:rsidRPr="00DB0FE6">
        <w:rPr>
          <w:rFonts w:ascii="Calibri" w:eastAsia="Calibri" w:hAnsi="Calibri" w:cs="Calibri"/>
          <w:noProof/>
          <w:color w:val="000000"/>
          <w:kern w:val="0"/>
          <w:sz w:val="22"/>
          <w:szCs w:val="22"/>
          <w14:ligatures w14:val="none"/>
        </w:rPr>
        <w:drawing>
          <wp:inline distT="0" distB="0" distL="0" distR="0" wp14:anchorId="6786AF75" wp14:editId="35060527">
            <wp:extent cx="4107180" cy="13030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7180" cy="1303020"/>
                    </a:xfrm>
                    <a:prstGeom prst="rect">
                      <a:avLst/>
                    </a:prstGeom>
                    <a:noFill/>
                    <a:ln>
                      <a:noFill/>
                    </a:ln>
                  </pic:spPr>
                </pic:pic>
              </a:graphicData>
            </a:graphic>
          </wp:inline>
        </w:drawing>
      </w:r>
    </w:p>
    <w:p w14:paraId="74F7A34A"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5B40392E" w14:textId="77777777" w:rsidR="00DB0FE6" w:rsidRPr="00DB0FE6" w:rsidRDefault="00DB0FE6" w:rsidP="00DB0FE6">
      <w:pPr>
        <w:numPr>
          <w:ilvl w:val="0"/>
          <w:numId w:val="1"/>
        </w:numPr>
        <w:spacing w:after="4" w:line="250" w:lineRule="auto"/>
        <w:ind w:right="3" w:hanging="358"/>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Similarly, user-defined logic on account could summarize details of assets, liabilities, reimbursements and other revenue in ways meaningful for selection of items for various reporting requirements. Trees do not store amount data but provide the summarization hierarchy for reporting, by summarizing amounts from their components.  </w:t>
      </w:r>
    </w:p>
    <w:p w14:paraId="49DE77BF"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76A4B2A6" w14:textId="77777777" w:rsidR="00DB0FE6" w:rsidRPr="00DB0FE6" w:rsidRDefault="00DB0FE6" w:rsidP="00DB0FE6">
      <w:pPr>
        <w:spacing w:after="0" w:line="259" w:lineRule="auto"/>
        <w:ind w:left="703"/>
        <w:rPr>
          <w:rFonts w:ascii="Calibri" w:eastAsia="Calibri" w:hAnsi="Calibri" w:cs="Calibri"/>
          <w:b/>
          <w:color w:val="000000"/>
          <w:kern w:val="0"/>
          <w:sz w:val="22"/>
          <w:szCs w:val="22"/>
          <w14:ligatures w14:val="none"/>
        </w:rPr>
      </w:pPr>
    </w:p>
    <w:p w14:paraId="27668976" w14:textId="77777777" w:rsidR="00DB0FE6" w:rsidRPr="00DB0FE6" w:rsidRDefault="00DB0FE6" w:rsidP="00DB0FE6">
      <w:pPr>
        <w:spacing w:after="0" w:line="259" w:lineRule="auto"/>
        <w:rPr>
          <w:rFonts w:ascii="Calibri" w:eastAsia="Calibri" w:hAnsi="Calibri" w:cs="Calibri"/>
          <w:b/>
          <w:color w:val="000000"/>
          <w:kern w:val="0"/>
          <w:sz w:val="22"/>
          <w:szCs w:val="22"/>
          <w14:ligatures w14:val="none"/>
        </w:rPr>
      </w:pPr>
    </w:p>
    <w:p w14:paraId="23B430C9" w14:textId="77777777" w:rsidR="00DB0FE6" w:rsidRPr="00DB0FE6" w:rsidRDefault="00DB0FE6" w:rsidP="00DB0FE6">
      <w:pPr>
        <w:spacing w:after="0" w:line="259" w:lineRule="auto"/>
        <w:rPr>
          <w:rFonts w:ascii="Calibri" w:eastAsia="Calibri" w:hAnsi="Calibri" w:cs="Calibri"/>
          <w:b/>
          <w:color w:val="000000"/>
          <w:kern w:val="0"/>
          <w:sz w:val="22"/>
          <w:szCs w:val="22"/>
          <w14:ligatures w14:val="none"/>
        </w:rPr>
      </w:pPr>
    </w:p>
    <w:p w14:paraId="52C05C58" w14:textId="77777777" w:rsidR="00DB0FE6" w:rsidRPr="00DB0FE6" w:rsidRDefault="00DB0FE6" w:rsidP="00DB0FE6">
      <w:pPr>
        <w:spacing w:after="0" w:line="259" w:lineRule="auto"/>
        <w:rPr>
          <w:rFonts w:ascii="Calibri" w:eastAsia="Calibri" w:hAnsi="Calibri" w:cs="Calibri"/>
          <w:b/>
          <w:color w:val="000000"/>
          <w:kern w:val="0"/>
          <w:sz w:val="22"/>
          <w:szCs w:val="22"/>
          <w14:ligatures w14:val="none"/>
        </w:rPr>
      </w:pPr>
    </w:p>
    <w:p w14:paraId="38A38731" w14:textId="77777777" w:rsidR="00DB0FE6" w:rsidRPr="00DB0FE6" w:rsidRDefault="00DB0FE6" w:rsidP="00DB0FE6">
      <w:pPr>
        <w:spacing w:after="0" w:line="259" w:lineRule="auto"/>
        <w:rPr>
          <w:rFonts w:ascii="Calibri" w:eastAsia="Calibri" w:hAnsi="Calibri" w:cs="Calibri"/>
          <w:b/>
          <w:color w:val="000000"/>
          <w:kern w:val="0"/>
          <w:sz w:val="22"/>
          <w:szCs w:val="22"/>
          <w14:ligatures w14:val="none"/>
        </w:rPr>
      </w:pPr>
    </w:p>
    <w:p w14:paraId="748639DD" w14:textId="77777777" w:rsidR="00DB0FE6" w:rsidRPr="00DB0FE6" w:rsidRDefault="00DB0FE6" w:rsidP="00DB0FE6">
      <w:pPr>
        <w:spacing w:after="0" w:line="259" w:lineRule="auto"/>
        <w:rPr>
          <w:rFonts w:ascii="Calibri" w:eastAsia="Calibri" w:hAnsi="Calibri" w:cs="Calibri"/>
          <w:b/>
          <w:color w:val="000000"/>
          <w:kern w:val="0"/>
          <w:sz w:val="22"/>
          <w:szCs w:val="22"/>
          <w14:ligatures w14:val="none"/>
        </w:rPr>
      </w:pPr>
    </w:p>
    <w:p w14:paraId="5C66D609" w14:textId="77777777" w:rsidR="00DB0FE6" w:rsidRPr="00DB0FE6" w:rsidRDefault="00DB0FE6" w:rsidP="00DB0FE6">
      <w:pPr>
        <w:spacing w:after="0" w:line="259" w:lineRule="auto"/>
        <w:rPr>
          <w:rFonts w:ascii="Calibri" w:eastAsia="Calibri" w:hAnsi="Calibri" w:cs="Calibri"/>
          <w:b/>
          <w:color w:val="000000"/>
          <w:kern w:val="0"/>
          <w:sz w:val="22"/>
          <w:szCs w:val="22"/>
          <w14:ligatures w14:val="none"/>
        </w:rPr>
      </w:pPr>
    </w:p>
    <w:p w14:paraId="03D915D5"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p>
    <w:p w14:paraId="3A272D7F" w14:textId="77777777" w:rsidR="00DB0FE6" w:rsidRPr="00DB0FE6" w:rsidRDefault="00DB0FE6" w:rsidP="00DB0FE6">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DB0FE6">
        <w:rPr>
          <w:rFonts w:ascii="Calibri" w:eastAsia="Calibri" w:hAnsi="Calibri" w:cs="Calibri"/>
          <w:b/>
          <w:color w:val="000000"/>
          <w:kern w:val="0"/>
          <w:sz w:val="22"/>
          <w:szCs w:val="22"/>
          <w14:ligatures w14:val="none"/>
        </w:rPr>
        <w:lastRenderedPageBreak/>
        <w:t>Chart field Descriptions</w:t>
      </w:r>
      <w:r w:rsidRPr="00DB0FE6">
        <w:rPr>
          <w:rFonts w:ascii="Calibri" w:eastAsia="Calibri" w:hAnsi="Calibri" w:cs="Calibri"/>
          <w:color w:val="000000"/>
          <w:kern w:val="0"/>
          <w:sz w:val="22"/>
          <w:szCs w:val="22"/>
          <w14:ligatures w14:val="none"/>
        </w:rPr>
        <w:t xml:space="preserve">  </w:t>
      </w:r>
    </w:p>
    <w:p w14:paraId="0C0945EB"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5ACC079C" w14:textId="6E82CB30" w:rsidR="00DB0FE6" w:rsidRPr="00DB0FE6" w:rsidRDefault="00DB0FE6" w:rsidP="00DB0FE6">
      <w:pPr>
        <w:pStyle w:val="ListParagraph"/>
        <w:numPr>
          <w:ilvl w:val="0"/>
          <w:numId w:val="1"/>
        </w:numPr>
        <w:spacing w:after="4" w:line="250" w:lineRule="auto"/>
        <w:ind w:left="270" w:hanging="360"/>
        <w:jc w:val="both"/>
        <w:rPr>
          <w:rFonts w:ascii="Calibri" w:eastAsia="Calibri" w:hAnsi="Calibri" w:cs="Calibri"/>
          <w:color w:val="000000"/>
          <w:kern w:val="0"/>
          <w:sz w:val="22"/>
          <w:szCs w:val="22"/>
          <w14:ligatures w14:val="none"/>
        </w:rPr>
      </w:pPr>
      <w:r w:rsidRPr="00DB0FE6">
        <w:rPr>
          <w:rFonts w:ascii="Arial" w:eastAsia="Arial" w:hAnsi="Arial" w:cs="Arial"/>
          <w:color w:val="000000"/>
          <w:kern w:val="0"/>
          <w:sz w:val="22"/>
          <w:szCs w:val="22"/>
          <w14:ligatures w14:val="none"/>
        </w:rPr>
        <w:t xml:space="preserve"> The</w:t>
      </w:r>
      <w:r w:rsidRPr="00DB0FE6">
        <w:rPr>
          <w:rFonts w:ascii="Calibri" w:eastAsia="Calibri" w:hAnsi="Calibri" w:cs="Calibri"/>
          <w:color w:val="000000"/>
          <w:kern w:val="0"/>
          <w:sz w:val="22"/>
          <w:szCs w:val="22"/>
          <w14:ligatures w14:val="none"/>
        </w:rPr>
        <w:t xml:space="preserve"> field structure under Quantum Chart of Accounts consists of the following: </w:t>
      </w:r>
    </w:p>
    <w:p w14:paraId="604CD133"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7E027015" w14:textId="77777777" w:rsidR="00DB0FE6" w:rsidRPr="00DB0FE6" w:rsidRDefault="00DB0FE6" w:rsidP="00DB0FE6">
      <w:pPr>
        <w:spacing w:after="0" w:line="259" w:lineRule="auto"/>
        <w:ind w:left="47"/>
        <w:jc w:val="center"/>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3E92DEAC" w14:textId="77777777" w:rsidR="00DB0FE6" w:rsidRPr="00DB0FE6" w:rsidRDefault="00DB0FE6" w:rsidP="00DB0FE6">
      <w:pPr>
        <w:spacing w:after="0" w:line="259" w:lineRule="auto"/>
        <w:ind w:right="87"/>
        <w:jc w:val="right"/>
        <w:rPr>
          <w:rFonts w:ascii="Calibri" w:eastAsia="Calibri" w:hAnsi="Calibri" w:cs="Calibri"/>
          <w:color w:val="000000"/>
          <w:kern w:val="0"/>
          <w:sz w:val="22"/>
          <w:szCs w:val="22"/>
          <w14:ligatures w14:val="none"/>
        </w:rPr>
      </w:pPr>
      <w:r w:rsidRPr="00DB0FE6">
        <w:rPr>
          <w:rFonts w:ascii="Calibri" w:eastAsia="Calibri" w:hAnsi="Calibri" w:cs="Calibri"/>
          <w:noProof/>
          <w:color w:val="000000"/>
          <w:kern w:val="0"/>
          <w:sz w:val="22"/>
          <w:szCs w:val="22"/>
          <w14:ligatures w14:val="none"/>
        </w:rPr>
        <w:drawing>
          <wp:inline distT="0" distB="0" distL="0" distR="0" wp14:anchorId="4300875A" wp14:editId="06556DE7">
            <wp:extent cx="5731510" cy="22872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287270"/>
                    </a:xfrm>
                    <a:prstGeom prst="rect">
                      <a:avLst/>
                    </a:prstGeom>
                  </pic:spPr>
                </pic:pic>
              </a:graphicData>
            </a:graphic>
          </wp:inline>
        </w:drawing>
      </w:r>
      <w:hyperlink r:id="rId9">
        <w:r w:rsidRPr="00DB0FE6">
          <w:rPr>
            <w:rFonts w:ascii="Calibri" w:eastAsia="Calibri" w:hAnsi="Calibri" w:cs="Calibri"/>
            <w:color w:val="000000"/>
            <w:kern w:val="0"/>
            <w:sz w:val="22"/>
            <w:szCs w:val="22"/>
            <w14:ligatures w14:val="none"/>
          </w:rPr>
          <w:t xml:space="preserve"> </w:t>
        </w:r>
      </w:hyperlink>
    </w:p>
    <w:p w14:paraId="23754EDE" w14:textId="77777777" w:rsidR="00DB0FE6" w:rsidRPr="00DB0FE6" w:rsidRDefault="00DB0FE6" w:rsidP="00DB0FE6">
      <w:pPr>
        <w:spacing w:after="0" w:line="259" w:lineRule="auto"/>
        <w:ind w:left="47"/>
        <w:jc w:val="center"/>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665F6114" w14:textId="77777777" w:rsidR="00DB0FE6" w:rsidRPr="00DB0FE6" w:rsidRDefault="00DB0FE6" w:rsidP="00DB0FE6">
      <w:pPr>
        <w:keepNext/>
        <w:keepLines/>
        <w:spacing w:after="0" w:line="259" w:lineRule="auto"/>
        <w:ind w:right="2"/>
        <w:outlineLvl w:val="1"/>
        <w:rPr>
          <w:rFonts w:ascii="Calibri" w:eastAsia="Calibri" w:hAnsi="Calibri" w:cs="Calibri"/>
          <w:color w:val="000000"/>
          <w:kern w:val="0"/>
          <w:sz w:val="22"/>
          <w:szCs w:val="22"/>
          <w:u w:val="single" w:color="000000"/>
          <w14:ligatures w14:val="none"/>
        </w:rPr>
      </w:pPr>
      <w:r w:rsidRPr="00DB0FE6">
        <w:rPr>
          <w:rFonts w:ascii="Calibri" w:eastAsia="Calibri" w:hAnsi="Calibri" w:cs="Calibri"/>
          <w:color w:val="000000"/>
          <w:kern w:val="0"/>
          <w:sz w:val="22"/>
          <w:szCs w:val="22"/>
          <w:u w:val="single" w:color="000000"/>
          <w14:ligatures w14:val="none"/>
        </w:rPr>
        <w:t>Agency</w:t>
      </w:r>
      <w:r w:rsidRPr="00DB0FE6">
        <w:rPr>
          <w:rFonts w:ascii="Calibri" w:eastAsia="Calibri" w:hAnsi="Calibri" w:cs="Calibri"/>
          <w:color w:val="000000"/>
          <w:kern w:val="0"/>
          <w:sz w:val="22"/>
          <w:szCs w:val="22"/>
          <w:u w:color="000000"/>
          <w14:ligatures w14:val="none"/>
        </w:rPr>
        <w:t xml:space="preserve"> </w:t>
      </w:r>
    </w:p>
    <w:p w14:paraId="741C3293"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78CD2A55" w14:textId="77777777" w:rsidR="00DB0FE6" w:rsidRPr="00DB0FE6" w:rsidRDefault="00DB0FE6" w:rsidP="00DB0FE6">
      <w:pPr>
        <w:numPr>
          <w:ilvl w:val="0"/>
          <w:numId w:val="2"/>
        </w:numPr>
        <w:spacing w:after="4" w:line="250" w:lineRule="auto"/>
        <w:ind w:left="270" w:right="3" w:hanging="45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The Agency chart field represents a “separate set of books” for a legal entity requiring separate accounting and operational information in the General Ledger (GL).  Agency is currently identified for Quantum implementation use as UNDP, UNV, UNCDF, UN Women, MPTF, UNU, UNSSC, UNITAR and UNFPA.</w:t>
      </w:r>
    </w:p>
    <w:p w14:paraId="71DE05AC" w14:textId="77777777" w:rsidR="00DB0FE6" w:rsidRPr="00DB0FE6" w:rsidRDefault="00DB0FE6" w:rsidP="00DB0FE6">
      <w:pPr>
        <w:spacing w:after="21"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6D8C8EFE" w14:textId="77777777" w:rsidR="00DB0FE6" w:rsidRPr="00DB0FE6" w:rsidRDefault="00DB0FE6" w:rsidP="00DB0FE6">
      <w:pPr>
        <w:numPr>
          <w:ilvl w:val="0"/>
          <w:numId w:val="2"/>
        </w:numPr>
        <w:spacing w:after="4" w:line="250" w:lineRule="auto"/>
        <w:ind w:left="284" w:right="3" w:hanging="358"/>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implications of the General Ledger Agency concept in Quantum are the following: </w:t>
      </w:r>
      <w:r w:rsidRPr="00DB0FE6">
        <w:rPr>
          <w:rFonts w:ascii="Arial" w:eastAsia="Arial" w:hAnsi="Arial" w:cs="Arial"/>
          <w:color w:val="000000"/>
          <w:kern w:val="0"/>
          <w:sz w:val="22"/>
          <w:szCs w:val="22"/>
          <w14:ligatures w14:val="none"/>
        </w:rPr>
        <w:t xml:space="preserve"> </w:t>
      </w:r>
      <w:r w:rsidRPr="00DB0FE6">
        <w:rPr>
          <w:rFonts w:ascii="Arial" w:eastAsia="Arial" w:hAnsi="Arial" w:cs="Arial"/>
          <w:color w:val="000000"/>
          <w:kern w:val="0"/>
          <w:sz w:val="22"/>
          <w:szCs w:val="22"/>
          <w14:ligatures w14:val="none"/>
        </w:rPr>
        <w:tab/>
      </w:r>
      <w:r w:rsidRPr="00DB0FE6">
        <w:rPr>
          <w:rFonts w:ascii="Calibri" w:eastAsia="Calibri" w:hAnsi="Calibri" w:cs="Calibri"/>
          <w:color w:val="000000"/>
          <w:kern w:val="0"/>
          <w:sz w:val="22"/>
          <w:szCs w:val="22"/>
          <w14:ligatures w14:val="none"/>
        </w:rPr>
        <w:t xml:space="preserve"> </w:t>
      </w:r>
    </w:p>
    <w:p w14:paraId="44569BB0" w14:textId="77777777" w:rsidR="00DB0FE6" w:rsidRPr="00DB0FE6" w:rsidRDefault="00DB0FE6" w:rsidP="00DB0FE6">
      <w:pPr>
        <w:numPr>
          <w:ilvl w:val="1"/>
          <w:numId w:val="4"/>
        </w:numPr>
        <w:spacing w:after="11" w:line="277" w:lineRule="auto"/>
        <w:ind w:right="3"/>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Agency is the primary balancing segment</w:t>
      </w:r>
    </w:p>
    <w:p w14:paraId="499F7AB1" w14:textId="77777777" w:rsidR="00DB0FE6" w:rsidRPr="00DB0FE6" w:rsidRDefault="00DB0FE6" w:rsidP="00DB0FE6">
      <w:pPr>
        <w:numPr>
          <w:ilvl w:val="1"/>
          <w:numId w:val="4"/>
        </w:numPr>
        <w:spacing w:after="11" w:line="277" w:lineRule="auto"/>
        <w:ind w:right="3"/>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Transactions are </w:t>
      </w:r>
      <w:proofErr w:type="gramStart"/>
      <w:r w:rsidRPr="00DB0FE6">
        <w:rPr>
          <w:rFonts w:ascii="Calibri" w:eastAsia="Calibri" w:hAnsi="Calibri" w:cs="Calibri"/>
          <w:color w:val="000000"/>
          <w:kern w:val="0"/>
          <w:sz w:val="22"/>
          <w:szCs w:val="22"/>
          <w14:ligatures w14:val="none"/>
        </w:rPr>
        <w:t>entered</w:t>
      </w:r>
      <w:proofErr w:type="gramEnd"/>
      <w:r w:rsidRPr="00DB0FE6">
        <w:rPr>
          <w:rFonts w:ascii="Calibri" w:eastAsia="Calibri" w:hAnsi="Calibri" w:cs="Calibri"/>
          <w:color w:val="000000"/>
          <w:kern w:val="0"/>
          <w:sz w:val="22"/>
          <w:szCs w:val="22"/>
          <w14:ligatures w14:val="none"/>
        </w:rPr>
        <w:t xml:space="preserve"> and stored under agencies;  </w:t>
      </w:r>
    </w:p>
    <w:p w14:paraId="0632A448" w14:textId="77777777" w:rsidR="00DB0FE6" w:rsidRPr="00DB0FE6" w:rsidRDefault="00DB0FE6" w:rsidP="00DB0FE6">
      <w:pPr>
        <w:numPr>
          <w:ilvl w:val="1"/>
          <w:numId w:val="4"/>
        </w:numPr>
        <w:spacing w:after="11" w:line="277" w:lineRule="auto"/>
        <w:ind w:right="3"/>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Operators for GL-related transactions are granted security access by agency;</w:t>
      </w:r>
    </w:p>
    <w:p w14:paraId="5FD518AC" w14:textId="77777777" w:rsidR="00DB0FE6" w:rsidRPr="00DB0FE6" w:rsidRDefault="00DB0FE6" w:rsidP="00DB0FE6">
      <w:pPr>
        <w:numPr>
          <w:ilvl w:val="1"/>
          <w:numId w:val="4"/>
        </w:numPr>
        <w:spacing w:after="11" w:line="277" w:lineRule="auto"/>
        <w:ind w:right="3"/>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Budget checking and spending authority is established by GL agency; </w:t>
      </w:r>
    </w:p>
    <w:p w14:paraId="0D20795F" w14:textId="77777777" w:rsidR="00DB0FE6" w:rsidRPr="00DB0FE6" w:rsidRDefault="00DB0FE6" w:rsidP="00DB0FE6">
      <w:pPr>
        <w:numPr>
          <w:ilvl w:val="1"/>
          <w:numId w:val="4"/>
        </w:numPr>
        <w:spacing w:after="11" w:line="277" w:lineRule="auto"/>
        <w:ind w:right="3"/>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Report generation is defined by GL agency;  </w:t>
      </w:r>
    </w:p>
    <w:p w14:paraId="31DCE0CB" w14:textId="77777777" w:rsidR="00DB0FE6" w:rsidRPr="00DB0FE6" w:rsidRDefault="00DB0FE6" w:rsidP="00DB0FE6">
      <w:pPr>
        <w:numPr>
          <w:ilvl w:val="1"/>
          <w:numId w:val="4"/>
        </w:numPr>
        <w:spacing w:after="4" w:line="250" w:lineRule="auto"/>
        <w:ind w:right="3"/>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Batch processing is defined by GL agency; </w:t>
      </w:r>
    </w:p>
    <w:p w14:paraId="01A896D4" w14:textId="77777777" w:rsidR="00DB0FE6" w:rsidRPr="00DB0FE6" w:rsidRDefault="00DB0FE6" w:rsidP="00DB0FE6">
      <w:pPr>
        <w:numPr>
          <w:ilvl w:val="1"/>
          <w:numId w:val="4"/>
        </w:numPr>
        <w:spacing w:after="35" w:line="250" w:lineRule="auto"/>
        <w:ind w:right="3"/>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handling of journal entries error processing (i.e. whether errors are posted to a suspense account or recycled) is set up at an agency level; </w:t>
      </w:r>
    </w:p>
    <w:p w14:paraId="3BAEF6A4" w14:textId="77777777" w:rsidR="00DB0FE6" w:rsidRPr="00DB0FE6" w:rsidRDefault="00DB0FE6" w:rsidP="00DB0FE6">
      <w:pPr>
        <w:numPr>
          <w:ilvl w:val="1"/>
          <w:numId w:val="4"/>
        </w:numPr>
        <w:spacing w:after="88" w:line="250" w:lineRule="auto"/>
        <w:ind w:right="3"/>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Base currency is also set up at a GL agency level. </w:t>
      </w:r>
    </w:p>
    <w:p w14:paraId="4238D130" w14:textId="77777777" w:rsidR="00DB0FE6" w:rsidRPr="00DB0FE6" w:rsidRDefault="00DB0FE6" w:rsidP="00DB0FE6">
      <w:pPr>
        <w:spacing w:after="88" w:line="250" w:lineRule="auto"/>
        <w:ind w:left="1082"/>
        <w:jc w:val="both"/>
        <w:rPr>
          <w:rFonts w:ascii="Calibri" w:eastAsia="Calibri" w:hAnsi="Calibri" w:cs="Calibri"/>
          <w:color w:val="000000"/>
          <w:kern w:val="0"/>
          <w:sz w:val="22"/>
          <w:szCs w:val="22"/>
          <w14:ligatures w14:val="none"/>
        </w:rPr>
      </w:pPr>
    </w:p>
    <w:p w14:paraId="18BDFB0D" w14:textId="77777777" w:rsidR="00DB0FE6" w:rsidRPr="00DB0FE6" w:rsidRDefault="00DB0FE6" w:rsidP="00DB0FE6">
      <w:pPr>
        <w:spacing w:after="0" w:line="259" w:lineRule="auto"/>
        <w:ind w:left="703" w:hanging="10"/>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u w:val="single" w:color="000000"/>
          <w14:ligatures w14:val="none"/>
        </w:rPr>
        <w:t>Account</w:t>
      </w:r>
      <w:r w:rsidRPr="00DB0FE6">
        <w:rPr>
          <w:rFonts w:ascii="Calibri" w:eastAsia="Calibri" w:hAnsi="Calibri" w:cs="Calibri"/>
          <w:color w:val="000000"/>
          <w:kern w:val="0"/>
          <w:sz w:val="22"/>
          <w:szCs w:val="22"/>
          <w14:ligatures w14:val="none"/>
        </w:rPr>
        <w:t xml:space="preserve">  </w:t>
      </w:r>
    </w:p>
    <w:p w14:paraId="4B54E8AE"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136F3594"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The Account</w:t>
      </w:r>
      <w:r w:rsidRPr="00DB0FE6">
        <w:rPr>
          <w:rFonts w:ascii="Calibri" w:eastAsia="Calibri" w:hAnsi="Calibri" w:cs="Calibri"/>
          <w:b/>
          <w:i/>
          <w:color w:val="000000"/>
          <w:kern w:val="0"/>
          <w:sz w:val="22"/>
          <w:szCs w:val="22"/>
          <w14:ligatures w14:val="none"/>
        </w:rPr>
        <w:t xml:space="preserve"> </w:t>
      </w:r>
      <w:proofErr w:type="gramStart"/>
      <w:r w:rsidRPr="00DB0FE6">
        <w:rPr>
          <w:rFonts w:ascii="Calibri" w:eastAsia="Calibri" w:hAnsi="Calibri" w:cs="Calibri"/>
          <w:color w:val="000000"/>
          <w:kern w:val="0"/>
          <w:sz w:val="22"/>
          <w:szCs w:val="22"/>
          <w14:ligatures w14:val="none"/>
        </w:rPr>
        <w:t>chart field</w:t>
      </w:r>
      <w:proofErr w:type="gramEnd"/>
      <w:r w:rsidRPr="00DB0FE6">
        <w:rPr>
          <w:rFonts w:ascii="Calibri" w:eastAsia="Calibri" w:hAnsi="Calibri" w:cs="Calibri"/>
          <w:color w:val="000000"/>
          <w:kern w:val="0"/>
          <w:sz w:val="22"/>
          <w:szCs w:val="22"/>
          <w14:ligatures w14:val="none"/>
        </w:rPr>
        <w:t xml:space="preserve"> identifies a unique asset, liability, equity, revenue or expense account.  It is a required field that is primarily used for financial and management reports.   </w:t>
      </w:r>
    </w:p>
    <w:p w14:paraId="2C67247E"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0BEFB252"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It is used in combination with other chart fields to process transactions.  It classifies the nature of operational transactions. In other words, it shows how a transaction would be reported on the balance sheet or income statements.  It is also important for the year-end closing process </w:t>
      </w:r>
      <w:r w:rsidRPr="00DB0FE6">
        <w:rPr>
          <w:rFonts w:ascii="Calibri" w:eastAsia="Calibri" w:hAnsi="Calibri" w:cs="Calibri"/>
          <w:color w:val="000000"/>
          <w:kern w:val="0"/>
          <w:sz w:val="22"/>
          <w:szCs w:val="22"/>
          <w14:ligatures w14:val="none"/>
        </w:rPr>
        <w:lastRenderedPageBreak/>
        <w:t xml:space="preserve">to identify accounts with balances which should be taken forward or those revenue and expense accounts that do not have carried forward balances. There are three types of accounts: </w:t>
      </w:r>
    </w:p>
    <w:p w14:paraId="05989E47" w14:textId="77777777" w:rsidR="00DB0FE6" w:rsidRPr="00DB0FE6" w:rsidRDefault="00DB0FE6" w:rsidP="00DB0FE6">
      <w:pPr>
        <w:numPr>
          <w:ilvl w:val="2"/>
          <w:numId w:val="5"/>
        </w:numPr>
        <w:spacing w:after="29" w:line="250" w:lineRule="auto"/>
        <w:ind w:right="3" w:hanging="374"/>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Balance Sheet accounts include assets, liabilities and fund equity/net assets accounts;</w:t>
      </w:r>
    </w:p>
    <w:p w14:paraId="4AFCBCE5" w14:textId="77777777" w:rsidR="00DB0FE6" w:rsidRPr="00DB0FE6" w:rsidRDefault="00DB0FE6" w:rsidP="00DB0FE6">
      <w:pPr>
        <w:numPr>
          <w:ilvl w:val="2"/>
          <w:numId w:val="5"/>
        </w:numPr>
        <w:spacing w:after="29" w:line="250" w:lineRule="auto"/>
        <w:ind w:right="3" w:hanging="374"/>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Revenue accounts include financing sources.  Revenue accounts are usually created for each revenue category; </w:t>
      </w:r>
    </w:p>
    <w:p w14:paraId="5CE77262" w14:textId="77777777" w:rsidR="00DB0FE6" w:rsidRPr="00DB0FE6" w:rsidRDefault="00DB0FE6" w:rsidP="00DB0FE6">
      <w:pPr>
        <w:numPr>
          <w:ilvl w:val="2"/>
          <w:numId w:val="5"/>
        </w:numPr>
        <w:spacing w:after="64" w:line="250" w:lineRule="auto"/>
        <w:ind w:right="3" w:hanging="374"/>
        <w:jc w:val="both"/>
        <w:rPr>
          <w:rFonts w:ascii="Calibri" w:eastAsia="Calibri" w:hAnsi="Calibri" w:cs="Calibri"/>
          <w:color w:val="000000"/>
          <w:kern w:val="0"/>
          <w:sz w:val="22"/>
          <w:szCs w:val="22"/>
          <w14:ligatures w14:val="none"/>
        </w:rPr>
      </w:pPr>
      <w:proofErr w:type="gramStart"/>
      <w:r w:rsidRPr="00DB0FE6">
        <w:rPr>
          <w:rFonts w:ascii="Calibri" w:eastAsia="Calibri" w:hAnsi="Calibri" w:cs="Calibri"/>
          <w:color w:val="000000"/>
          <w:kern w:val="0"/>
          <w:sz w:val="22"/>
          <w:szCs w:val="22"/>
          <w14:ligatures w14:val="none"/>
        </w:rPr>
        <w:t>Expense/Expenditure</w:t>
      </w:r>
      <w:proofErr w:type="gramEnd"/>
      <w:r w:rsidRPr="00DB0FE6">
        <w:rPr>
          <w:rFonts w:ascii="Calibri" w:eastAsia="Calibri" w:hAnsi="Calibri" w:cs="Calibri"/>
          <w:color w:val="000000"/>
          <w:kern w:val="0"/>
          <w:sz w:val="22"/>
          <w:szCs w:val="22"/>
          <w14:ligatures w14:val="none"/>
        </w:rPr>
        <w:t xml:space="preserve"> accounts include financing uses.  </w:t>
      </w:r>
    </w:p>
    <w:p w14:paraId="361C0799" w14:textId="77777777" w:rsidR="00DB0FE6" w:rsidRPr="00DB0FE6" w:rsidRDefault="00DB0FE6" w:rsidP="00DB0FE6">
      <w:pPr>
        <w:spacing w:after="0" w:line="259" w:lineRule="auto"/>
        <w:ind w:left="703" w:hanging="10"/>
        <w:rPr>
          <w:rFonts w:ascii="Calibri" w:eastAsia="Calibri" w:hAnsi="Calibri" w:cs="Calibri"/>
          <w:color w:val="000000"/>
          <w:kern w:val="0"/>
          <w:sz w:val="22"/>
          <w:szCs w:val="22"/>
          <w:u w:val="single" w:color="000000"/>
          <w14:ligatures w14:val="none"/>
        </w:rPr>
      </w:pPr>
    </w:p>
    <w:p w14:paraId="6C5C44EE" w14:textId="77777777" w:rsidR="00DB0FE6" w:rsidRPr="00DB0FE6" w:rsidRDefault="00DB0FE6" w:rsidP="00DB0FE6">
      <w:pPr>
        <w:spacing w:after="0" w:line="259" w:lineRule="auto"/>
        <w:ind w:left="703" w:hanging="10"/>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u w:val="single" w:color="000000"/>
          <w14:ligatures w14:val="none"/>
        </w:rPr>
        <w:t>Fund</w:t>
      </w:r>
      <w:r w:rsidRPr="00DB0FE6">
        <w:rPr>
          <w:rFonts w:ascii="Calibri" w:eastAsia="Calibri" w:hAnsi="Calibri" w:cs="Calibri"/>
          <w:color w:val="000000"/>
          <w:kern w:val="0"/>
          <w:sz w:val="22"/>
          <w:szCs w:val="22"/>
          <w14:ligatures w14:val="none"/>
        </w:rPr>
        <w:t xml:space="preserve">   </w:t>
      </w:r>
    </w:p>
    <w:p w14:paraId="2ACD6230" w14:textId="77777777" w:rsidR="00DB0FE6" w:rsidRPr="00DB0FE6" w:rsidRDefault="00DB0FE6" w:rsidP="00DB0FE6">
      <w:pPr>
        <w:spacing w:after="2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243C8B81"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Fund chart field is used to classify funding resources.  Funds are segregated for the purpose of conducting specific activities or attaining certain objectives in accordance with special regulations, restrictions, or limitations.  This chart field is also used to control spending in UNDP.   </w:t>
      </w:r>
    </w:p>
    <w:p w14:paraId="41C092F4"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13D2723C"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inclusion of the donor chart field for budgeting cost-sharing funds has been requested to ensure alignment of donor funds for such funds to income and expenditure.   This has been implemented in 2006 for all cost-sharing funds, as well as “closed trust funds” that are controlled by cash for budget control purposes.  </w:t>
      </w:r>
    </w:p>
    <w:p w14:paraId="0B75283D" w14:textId="77777777" w:rsidR="00DB0FE6" w:rsidRPr="00DB0FE6" w:rsidRDefault="00DB0FE6" w:rsidP="00DB0FE6">
      <w:pPr>
        <w:spacing w:after="19"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289567BB"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Fund chart field in Quantum maintains the fiscal and accounting entities for financial resources. It is a secondary balancing segment, meaning balance sheet and income statement can be produced by fund.  </w:t>
      </w:r>
    </w:p>
    <w:p w14:paraId="06B933EC" w14:textId="77777777" w:rsidR="00DB0FE6" w:rsidRPr="00DB0FE6" w:rsidRDefault="00DB0FE6" w:rsidP="00DB0FE6">
      <w:pPr>
        <w:spacing w:after="21"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0A09A70D" w14:textId="77777777" w:rsidR="00DB0FE6" w:rsidRPr="00DB0FE6" w:rsidRDefault="00DB0FE6" w:rsidP="00DB0FE6">
      <w:pPr>
        <w:numPr>
          <w:ilvl w:val="0"/>
          <w:numId w:val="2"/>
        </w:numPr>
        <w:spacing w:after="33"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main funding categories in UNDP are:  </w:t>
      </w:r>
    </w:p>
    <w:p w14:paraId="2F5A47AF" w14:textId="77777777" w:rsidR="00DB0FE6" w:rsidRPr="00DB0FE6" w:rsidRDefault="00DB0FE6" w:rsidP="00DB0FE6">
      <w:pPr>
        <w:numPr>
          <w:ilvl w:val="2"/>
          <w:numId w:val="6"/>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Regular Resources;  </w:t>
      </w:r>
    </w:p>
    <w:p w14:paraId="357CD3A0" w14:textId="77777777" w:rsidR="00DB0FE6" w:rsidRPr="00DB0FE6" w:rsidRDefault="00DB0FE6" w:rsidP="00DB0FE6">
      <w:pPr>
        <w:numPr>
          <w:ilvl w:val="2"/>
          <w:numId w:val="6"/>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Other Resources that are further categorized into the following:    </w:t>
      </w:r>
    </w:p>
    <w:p w14:paraId="10CF6CCE" w14:textId="77777777" w:rsidR="00DB0FE6" w:rsidRPr="00DB0FE6" w:rsidRDefault="00DB0FE6" w:rsidP="00DB0FE6">
      <w:pPr>
        <w:numPr>
          <w:ilvl w:val="3"/>
          <w:numId w:val="7"/>
        </w:numPr>
        <w:spacing w:after="32" w:line="250" w:lineRule="auto"/>
        <w:ind w:right="3"/>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Cost sharing; </w:t>
      </w:r>
    </w:p>
    <w:p w14:paraId="008DDFD9" w14:textId="77777777" w:rsidR="00DB0FE6" w:rsidRPr="00DB0FE6" w:rsidRDefault="00DB0FE6" w:rsidP="00DB0FE6">
      <w:pPr>
        <w:numPr>
          <w:ilvl w:val="3"/>
          <w:numId w:val="7"/>
        </w:numPr>
        <w:spacing w:after="32" w:line="250" w:lineRule="auto"/>
        <w:ind w:right="3"/>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Trust funds; </w:t>
      </w:r>
    </w:p>
    <w:p w14:paraId="5DD14678" w14:textId="77777777" w:rsidR="00DB0FE6" w:rsidRPr="00DB0FE6" w:rsidRDefault="00DB0FE6" w:rsidP="00DB0FE6">
      <w:pPr>
        <w:numPr>
          <w:ilvl w:val="3"/>
          <w:numId w:val="7"/>
        </w:numPr>
        <w:spacing w:after="4" w:line="250" w:lineRule="auto"/>
        <w:ind w:right="3"/>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Others: government cash counterpart, United Nations Volunteers (UNV), Junior Professional Officers (JPO) and Management Service Agreements (MSAs).  </w:t>
      </w:r>
    </w:p>
    <w:p w14:paraId="4089641A"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71D21E12" w14:textId="77777777" w:rsidR="00DB0FE6" w:rsidRPr="00DB0FE6" w:rsidRDefault="00DB0FE6" w:rsidP="00DB0FE6">
      <w:pPr>
        <w:spacing w:after="0" w:line="259" w:lineRule="auto"/>
        <w:ind w:left="703" w:hanging="10"/>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u w:val="single" w:color="000000"/>
          <w14:ligatures w14:val="none"/>
        </w:rPr>
        <w:t>Operating Unit</w:t>
      </w:r>
      <w:r w:rsidRPr="00DB0FE6">
        <w:rPr>
          <w:rFonts w:ascii="Calibri" w:eastAsia="Calibri" w:hAnsi="Calibri" w:cs="Calibri"/>
          <w:color w:val="000000"/>
          <w:kern w:val="0"/>
          <w:sz w:val="22"/>
          <w:szCs w:val="22"/>
          <w14:ligatures w14:val="none"/>
        </w:rPr>
        <w:t xml:space="preserve"> </w:t>
      </w:r>
    </w:p>
    <w:p w14:paraId="24D89692" w14:textId="77777777" w:rsidR="00DB0FE6" w:rsidRPr="00DB0FE6" w:rsidRDefault="00DB0FE6" w:rsidP="00DB0FE6">
      <w:pPr>
        <w:spacing w:after="21"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24152699"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Operating Unit chart field lies between the Agency and the Cost Center. It is useful for identifying units responsible and accountable for financial transactions. For UNDP, an operating unit could be a regional bureau, a country office, or a similar functional area.  The relationship of the operating units (e.g. regional grouping) is established using the tree structure.   </w:t>
      </w:r>
    </w:p>
    <w:p w14:paraId="5A7680F7"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0F3E6537" w14:textId="77777777" w:rsidR="00DB0FE6" w:rsidRPr="00DB0FE6" w:rsidRDefault="00DB0FE6" w:rsidP="00DB0FE6">
      <w:pPr>
        <w:spacing w:after="0" w:line="259" w:lineRule="auto"/>
        <w:ind w:left="703" w:hanging="10"/>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u w:val="single" w:color="000000"/>
          <w14:ligatures w14:val="none"/>
        </w:rPr>
        <w:t>Cost Centre</w:t>
      </w:r>
      <w:r w:rsidRPr="00DB0FE6">
        <w:rPr>
          <w:rFonts w:ascii="Calibri" w:eastAsia="Calibri" w:hAnsi="Calibri" w:cs="Calibri"/>
          <w:color w:val="000000"/>
          <w:kern w:val="0"/>
          <w:sz w:val="22"/>
          <w:szCs w:val="22"/>
          <w14:ligatures w14:val="none"/>
        </w:rPr>
        <w:t xml:space="preserve"> </w:t>
      </w:r>
    </w:p>
    <w:p w14:paraId="67BDAE84"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72DCFF5A"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Cost Centre chart field is maintained for departmental expenses, budgets and cost groupings and rolled up to country and bureau.  It represents the financial management view of the organization. Quantum financial system subledgers use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as defined in the human resources system and maintained by the Office of Financial Management (OFM). </w:t>
      </w:r>
      <w:r w:rsidRPr="00DB0FE6">
        <w:rPr>
          <w:rFonts w:ascii="Calibri" w:eastAsia="Calibri" w:hAnsi="Calibri" w:cs="Calibri"/>
          <w:color w:val="000000"/>
          <w:kern w:val="0"/>
          <w:sz w:val="22"/>
          <w:szCs w:val="22"/>
          <w14:ligatures w14:val="none"/>
        </w:rPr>
        <w:lastRenderedPageBreak/>
        <w:t xml:space="preserve">PeopleSoft technology is used to ensure that the two databases remain in sync.  Typically, an operating unit would be the country office (e.g. ‘AFG' for UNDP Afghanistan) and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would be the various units set up in the country office (e.g. Afghanistan </w:t>
      </w:r>
    </w:p>
    <w:p w14:paraId="233D1423" w14:textId="77777777" w:rsidR="00DB0FE6" w:rsidRPr="00DB0FE6" w:rsidRDefault="00DB0FE6" w:rsidP="00DB0FE6">
      <w:pPr>
        <w:spacing w:after="4" w:line="250" w:lineRule="auto"/>
        <w:ind w:left="72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Central Department; Democratic Governance Department, Finance Department, Human Resources Department, etc.).  </w:t>
      </w:r>
    </w:p>
    <w:p w14:paraId="793A40AD" w14:textId="77777777" w:rsidR="00DB0FE6" w:rsidRPr="00DB0FE6" w:rsidRDefault="00DB0FE6" w:rsidP="00DB0FE6">
      <w:pPr>
        <w:spacing w:after="21"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4AD0355E" w14:textId="77777777" w:rsidR="00DB0FE6" w:rsidRPr="00DB0FE6" w:rsidRDefault="00DB0FE6" w:rsidP="00DB0FE6">
      <w:pPr>
        <w:numPr>
          <w:ilvl w:val="0"/>
          <w:numId w:val="2"/>
        </w:numPr>
        <w:spacing w:after="32"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There are two types of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chart field values: </w:t>
      </w:r>
    </w:p>
    <w:p w14:paraId="309C2F31" w14:textId="77777777" w:rsidR="00DB0FE6" w:rsidRPr="00DB0FE6" w:rsidRDefault="00DB0FE6" w:rsidP="00DB0FE6">
      <w:pPr>
        <w:numPr>
          <w:ilvl w:val="2"/>
          <w:numId w:val="8"/>
        </w:numPr>
        <w:spacing w:after="4" w:line="250" w:lineRule="auto"/>
        <w:ind w:right="3" w:hanging="374"/>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Budgetary Cost Centre </w:t>
      </w:r>
    </w:p>
    <w:p w14:paraId="72CB2EAF" w14:textId="77777777" w:rsidR="00DB0FE6" w:rsidRPr="00DB0FE6" w:rsidRDefault="00DB0FE6" w:rsidP="00DB0FE6">
      <w:pPr>
        <w:numPr>
          <w:ilvl w:val="2"/>
          <w:numId w:val="8"/>
        </w:numPr>
        <w:spacing w:after="4" w:line="250" w:lineRule="auto"/>
        <w:ind w:right="3" w:hanging="374"/>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Expenditure Cost Centre </w:t>
      </w:r>
    </w:p>
    <w:p w14:paraId="77CADF24" w14:textId="77777777" w:rsidR="00DB0FE6" w:rsidRPr="00DB0FE6" w:rsidRDefault="00DB0FE6" w:rsidP="00DB0FE6">
      <w:pPr>
        <w:spacing w:after="0" w:line="259" w:lineRule="auto"/>
        <w:ind w:left="720"/>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3CDF53C0"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Budgetary Cost Centre codes start with a “B”, preceding the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code, while the Expenditure Cost Centre codes are five-digit numeric.  The first three numbers of the expenditure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code are the same as the last three numbers of the budgetary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code.  </w:t>
      </w:r>
    </w:p>
    <w:p w14:paraId="5E9CC756"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3F981F3C"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Budgetary cost </w:t>
      </w:r>
      <w:proofErr w:type="spellStart"/>
      <w:r w:rsidRPr="00DB0FE6">
        <w:rPr>
          <w:rFonts w:ascii="Calibri" w:eastAsia="Calibri" w:hAnsi="Calibri" w:cs="Calibri"/>
          <w:color w:val="000000"/>
          <w:kern w:val="0"/>
          <w:sz w:val="22"/>
          <w:szCs w:val="22"/>
          <w14:ligatures w14:val="none"/>
        </w:rPr>
        <w:t>centres</w:t>
      </w:r>
      <w:proofErr w:type="spellEnd"/>
      <w:r w:rsidRPr="00DB0FE6">
        <w:rPr>
          <w:rFonts w:ascii="Calibri" w:eastAsia="Calibri" w:hAnsi="Calibri" w:cs="Calibri"/>
          <w:color w:val="000000"/>
          <w:kern w:val="0"/>
          <w:sz w:val="22"/>
          <w:szCs w:val="22"/>
          <w14:ligatures w14:val="none"/>
        </w:rPr>
        <w:t xml:space="preserve"> are used for budgeting only.  They represent a group of expenditure cost </w:t>
      </w:r>
      <w:proofErr w:type="spellStart"/>
      <w:r w:rsidRPr="00DB0FE6">
        <w:rPr>
          <w:rFonts w:ascii="Calibri" w:eastAsia="Calibri" w:hAnsi="Calibri" w:cs="Calibri"/>
          <w:color w:val="000000"/>
          <w:kern w:val="0"/>
          <w:sz w:val="22"/>
          <w:szCs w:val="22"/>
          <w14:ligatures w14:val="none"/>
        </w:rPr>
        <w:t>centres</w:t>
      </w:r>
      <w:proofErr w:type="spellEnd"/>
      <w:r w:rsidRPr="00DB0FE6">
        <w:rPr>
          <w:rFonts w:ascii="Calibri" w:eastAsia="Calibri" w:hAnsi="Calibri" w:cs="Calibri"/>
          <w:color w:val="000000"/>
          <w:kern w:val="0"/>
          <w:sz w:val="22"/>
          <w:szCs w:val="22"/>
          <w14:ligatures w14:val="none"/>
        </w:rPr>
        <w:t xml:space="preserve">.  Funds are allocated at budgetary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level and any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within a group of expenditure cost </w:t>
      </w:r>
      <w:proofErr w:type="spellStart"/>
      <w:r w:rsidRPr="00DB0FE6">
        <w:rPr>
          <w:rFonts w:ascii="Calibri" w:eastAsia="Calibri" w:hAnsi="Calibri" w:cs="Calibri"/>
          <w:color w:val="000000"/>
          <w:kern w:val="0"/>
          <w:sz w:val="22"/>
          <w:szCs w:val="22"/>
          <w14:ligatures w14:val="none"/>
        </w:rPr>
        <w:t>centres</w:t>
      </w:r>
      <w:proofErr w:type="spellEnd"/>
      <w:r w:rsidRPr="00DB0FE6">
        <w:rPr>
          <w:rFonts w:ascii="Calibri" w:eastAsia="Calibri" w:hAnsi="Calibri" w:cs="Calibri"/>
          <w:color w:val="000000"/>
          <w:kern w:val="0"/>
          <w:sz w:val="22"/>
          <w:szCs w:val="22"/>
          <w14:ligatures w14:val="none"/>
        </w:rPr>
        <w:t xml:space="preserve"> rolling up to the budgetary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can spend funds assigned to that budgetary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w:t>
      </w:r>
    </w:p>
    <w:p w14:paraId="49F31757" w14:textId="77777777" w:rsidR="00DB0FE6" w:rsidRPr="00DB0FE6" w:rsidRDefault="00DB0FE6" w:rsidP="00DB0FE6">
      <w:pPr>
        <w:spacing w:after="23"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0DD33695"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For example, budgetary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code B0300 has been issued a budget of $100,000.  Expenditure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codes ranging from 30001 to 30099 can </w:t>
      </w:r>
      <w:proofErr w:type="gramStart"/>
      <w:r w:rsidRPr="00DB0FE6">
        <w:rPr>
          <w:rFonts w:ascii="Calibri" w:eastAsia="Calibri" w:hAnsi="Calibri" w:cs="Calibri"/>
          <w:color w:val="000000"/>
          <w:kern w:val="0"/>
          <w:sz w:val="22"/>
          <w:szCs w:val="22"/>
          <w14:ligatures w14:val="none"/>
        </w:rPr>
        <w:t>spend</w:t>
      </w:r>
      <w:proofErr w:type="gramEnd"/>
      <w:r w:rsidRPr="00DB0FE6">
        <w:rPr>
          <w:rFonts w:ascii="Calibri" w:eastAsia="Calibri" w:hAnsi="Calibri" w:cs="Calibri"/>
          <w:color w:val="000000"/>
          <w:kern w:val="0"/>
          <w:sz w:val="22"/>
          <w:szCs w:val="22"/>
          <w14:ligatures w14:val="none"/>
        </w:rPr>
        <w:t xml:space="preserve"> up to $100,000 - the funds allocated to budgetary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B0300. </w:t>
      </w:r>
    </w:p>
    <w:p w14:paraId="7AE19AA9"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3BF74FDD" w14:textId="77777777" w:rsidR="00DB0FE6" w:rsidRPr="00DB0FE6" w:rsidRDefault="00DB0FE6" w:rsidP="00DB0FE6">
      <w:pPr>
        <w:spacing w:after="0" w:line="259" w:lineRule="auto"/>
        <w:ind w:left="703" w:hanging="10"/>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u w:val="single" w:color="000000"/>
          <w14:ligatures w14:val="none"/>
        </w:rPr>
        <w:t>Project</w:t>
      </w:r>
      <w:r w:rsidRPr="00DB0FE6">
        <w:rPr>
          <w:rFonts w:ascii="Calibri" w:eastAsia="Calibri" w:hAnsi="Calibri" w:cs="Calibri"/>
          <w:color w:val="000000"/>
          <w:kern w:val="0"/>
          <w:sz w:val="22"/>
          <w:szCs w:val="22"/>
          <w14:ligatures w14:val="none"/>
        </w:rPr>
        <w:t xml:space="preserve"> </w:t>
      </w:r>
    </w:p>
    <w:p w14:paraId="19BF9E8A"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6731D206"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Project chart field is tied to the Quantum Project and Portfolio Management (PPM) subledger and used for project accounting.  The Project chart field identifies objectives for projects to which funding sources are applied.  It is essentially used for activities that are temporary in duration and for which revenues and expenditures may be accumulated over more than one fiscal year.  Projects start and end dates may not correspond to a fiscal year.  Beginning and ending dates are entered for the project values that limit financial activity. </w:t>
      </w:r>
    </w:p>
    <w:p w14:paraId="7D530B5D"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75E7F128"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Project chart field is also broken down into specific activities.  This feature facilitates the tracking of project financial information without changing the chart of accounts.  </w:t>
      </w:r>
    </w:p>
    <w:p w14:paraId="5E1B8DD4" w14:textId="77777777" w:rsidR="00DB0FE6" w:rsidRPr="00DB0FE6" w:rsidRDefault="00DB0FE6" w:rsidP="00DB0FE6">
      <w:pPr>
        <w:spacing w:after="21" w:line="259" w:lineRule="auto"/>
        <w:ind w:left="720"/>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621CF96C"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Project is the top level at which budget and expenditure can be </w:t>
      </w:r>
      <w:proofErr w:type="gramStart"/>
      <w:r w:rsidRPr="00DB0FE6">
        <w:rPr>
          <w:rFonts w:ascii="Calibri" w:eastAsia="Calibri" w:hAnsi="Calibri" w:cs="Calibri"/>
          <w:color w:val="000000"/>
          <w:kern w:val="0"/>
          <w:sz w:val="22"/>
          <w:szCs w:val="22"/>
          <w14:ligatures w14:val="none"/>
        </w:rPr>
        <w:t>recorded</w:t>
      </w:r>
      <w:proofErr w:type="gramEnd"/>
      <w:r w:rsidRPr="00DB0FE6">
        <w:rPr>
          <w:rFonts w:ascii="Calibri" w:eastAsia="Calibri" w:hAnsi="Calibri" w:cs="Calibri"/>
          <w:color w:val="000000"/>
          <w:kern w:val="0"/>
          <w:sz w:val="22"/>
          <w:szCs w:val="22"/>
          <w14:ligatures w14:val="none"/>
        </w:rPr>
        <w:t xml:space="preserve"> and Activity is the lowest budgeting and reporting level for projects. </w:t>
      </w:r>
    </w:p>
    <w:p w14:paraId="0C99844C" w14:textId="77777777" w:rsidR="00DB0FE6" w:rsidRPr="00DB0FE6" w:rsidRDefault="00DB0FE6" w:rsidP="00DB0FE6">
      <w:pPr>
        <w:spacing w:after="21"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787505D6" w14:textId="52F6AFDB"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Detailed project data (including all chart field values) are maintained in the Quantum PPM subledger and tracked at project summary level in the General Ledger. However, the data maintained in the PPM subledger is classified by business unit defined at the sub-ledger level, providing </w:t>
      </w:r>
      <w:proofErr w:type="gramStart"/>
      <w:r w:rsidRPr="00DB0FE6">
        <w:rPr>
          <w:rFonts w:ascii="Calibri" w:eastAsia="Calibri" w:hAnsi="Calibri" w:cs="Calibri"/>
          <w:color w:val="000000"/>
          <w:kern w:val="0"/>
          <w:sz w:val="22"/>
          <w:szCs w:val="22"/>
          <w14:ligatures w14:val="none"/>
        </w:rPr>
        <w:t>the flexibility</w:t>
      </w:r>
      <w:proofErr w:type="gramEnd"/>
      <w:r w:rsidRPr="00DB0FE6">
        <w:rPr>
          <w:rFonts w:ascii="Calibri" w:eastAsia="Calibri" w:hAnsi="Calibri" w:cs="Calibri"/>
          <w:color w:val="000000"/>
          <w:kern w:val="0"/>
          <w:sz w:val="22"/>
          <w:szCs w:val="22"/>
          <w14:ligatures w14:val="none"/>
        </w:rPr>
        <w:t xml:space="preserve"> of using different </w:t>
      </w:r>
      <w:proofErr w:type="gramStart"/>
      <w:r w:rsidRPr="00DB0FE6">
        <w:rPr>
          <w:rFonts w:ascii="Calibri" w:eastAsia="Calibri" w:hAnsi="Calibri" w:cs="Calibri"/>
          <w:color w:val="000000"/>
          <w:kern w:val="0"/>
          <w:sz w:val="22"/>
          <w:szCs w:val="22"/>
          <w14:ligatures w14:val="none"/>
        </w:rPr>
        <w:t>level</w:t>
      </w:r>
      <w:proofErr w:type="gramEnd"/>
      <w:r w:rsidRPr="00DB0FE6">
        <w:rPr>
          <w:rFonts w:ascii="Calibri" w:eastAsia="Calibri" w:hAnsi="Calibri" w:cs="Calibri"/>
          <w:color w:val="000000"/>
          <w:kern w:val="0"/>
          <w:sz w:val="22"/>
          <w:szCs w:val="22"/>
          <w14:ligatures w14:val="none"/>
        </w:rPr>
        <w:t xml:space="preserve"> of project activity based on the requirements of each business unit.   For instance, using the project business unit feature, projects are classified by project owners (i.e. country office and Headquarters, UNV, etc.) </w:t>
      </w:r>
    </w:p>
    <w:p w14:paraId="3C6DE5B8" w14:textId="77777777" w:rsidR="00DB0FE6" w:rsidRPr="00DB0FE6" w:rsidRDefault="00DB0FE6" w:rsidP="00DB0FE6">
      <w:pPr>
        <w:spacing w:after="2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5F128ACD" w14:textId="77777777" w:rsidR="00DB0FE6" w:rsidRPr="00DB0FE6" w:rsidRDefault="00DB0FE6" w:rsidP="00DB0FE6">
      <w:pPr>
        <w:numPr>
          <w:ilvl w:val="0"/>
          <w:numId w:val="2"/>
        </w:numPr>
        <w:spacing w:after="3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lastRenderedPageBreak/>
        <w:t xml:space="preserve">There are generally three types of projects: </w:t>
      </w:r>
    </w:p>
    <w:p w14:paraId="6563B4D6" w14:textId="77777777" w:rsidR="00DB0FE6" w:rsidRPr="00DB0FE6" w:rsidRDefault="00DB0FE6" w:rsidP="00DB0FE6">
      <w:pPr>
        <w:numPr>
          <w:ilvl w:val="1"/>
          <w:numId w:val="9"/>
        </w:numPr>
        <w:spacing w:after="4" w:line="250" w:lineRule="auto"/>
        <w:ind w:left="1350"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Development Projects - funded from core, trust fund or cost sharing resources;  </w:t>
      </w:r>
    </w:p>
    <w:p w14:paraId="3D1D51D4" w14:textId="77777777" w:rsidR="00DB0FE6" w:rsidRPr="00DB0FE6" w:rsidRDefault="00DB0FE6" w:rsidP="00DB0FE6">
      <w:pPr>
        <w:numPr>
          <w:ilvl w:val="1"/>
          <w:numId w:val="9"/>
        </w:numPr>
        <w:spacing w:after="34" w:line="250" w:lineRule="auto"/>
        <w:ind w:left="1350"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Management Projects - mostly funded from biennial support budget or extra-budgetary funds;  </w:t>
      </w:r>
    </w:p>
    <w:p w14:paraId="28D914EC" w14:textId="77777777" w:rsidR="00DB0FE6" w:rsidRPr="00DB0FE6" w:rsidRDefault="00DB0FE6" w:rsidP="00DB0FE6">
      <w:pPr>
        <w:numPr>
          <w:ilvl w:val="1"/>
          <w:numId w:val="9"/>
        </w:numPr>
        <w:spacing w:after="63" w:line="250" w:lineRule="auto"/>
        <w:ind w:left="1350"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Cost Recovery Projects -used for transactions processed on behalf of UN agencies. </w:t>
      </w:r>
    </w:p>
    <w:p w14:paraId="2B047295" w14:textId="77777777" w:rsidR="00DB0FE6" w:rsidRPr="00DB0FE6" w:rsidRDefault="00DB0FE6" w:rsidP="00DB0FE6">
      <w:pPr>
        <w:spacing w:after="0" w:line="259" w:lineRule="auto"/>
        <w:ind w:left="703" w:hanging="10"/>
        <w:rPr>
          <w:rFonts w:ascii="Calibri" w:eastAsia="Calibri" w:hAnsi="Calibri" w:cs="Calibri"/>
          <w:color w:val="000000"/>
          <w:kern w:val="0"/>
          <w:sz w:val="22"/>
          <w:szCs w:val="22"/>
          <w:u w:val="single" w:color="000000"/>
          <w14:ligatures w14:val="none"/>
        </w:rPr>
      </w:pPr>
    </w:p>
    <w:p w14:paraId="64AC9797" w14:textId="77777777" w:rsidR="00DB0FE6" w:rsidRPr="00DB0FE6" w:rsidRDefault="00DB0FE6" w:rsidP="00DB0FE6">
      <w:pPr>
        <w:spacing w:after="0" w:line="259" w:lineRule="auto"/>
        <w:ind w:left="703" w:hanging="10"/>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u w:val="single" w:color="000000"/>
          <w14:ligatures w14:val="none"/>
        </w:rPr>
        <w:t>Interagency</w:t>
      </w:r>
      <w:r w:rsidRPr="00DB0FE6">
        <w:rPr>
          <w:rFonts w:ascii="Calibri" w:eastAsia="Calibri" w:hAnsi="Calibri" w:cs="Calibri"/>
          <w:color w:val="000000"/>
          <w:kern w:val="0"/>
          <w:sz w:val="22"/>
          <w:szCs w:val="22"/>
          <w14:ligatures w14:val="none"/>
        </w:rPr>
        <w:t xml:space="preserve">  </w:t>
      </w:r>
    </w:p>
    <w:p w14:paraId="4C407769" w14:textId="77777777" w:rsidR="00DB0FE6" w:rsidRPr="00DB0FE6" w:rsidRDefault="00DB0FE6" w:rsidP="00DB0FE6">
      <w:pPr>
        <w:spacing w:after="21"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6031E523"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Inter Agency chart field is used for inter-unit accounting and is populated during journal processing, when inter-office or inter-fund transactions are being processed. Quantum provides the capability to record all inter-office or inter-fund generated journals in a single intra-fund, intra-operating unit or inter-unit with other GL Agency and track the interagency fund, office or agency using the interagency field.  For instance, if UNDP makes </w:t>
      </w:r>
      <w:proofErr w:type="gramStart"/>
      <w:r w:rsidRPr="00DB0FE6">
        <w:rPr>
          <w:rFonts w:ascii="Calibri" w:eastAsia="Calibri" w:hAnsi="Calibri" w:cs="Calibri"/>
          <w:color w:val="000000"/>
          <w:kern w:val="0"/>
          <w:sz w:val="22"/>
          <w:szCs w:val="22"/>
          <w14:ligatures w14:val="none"/>
        </w:rPr>
        <w:t>payment</w:t>
      </w:r>
      <w:proofErr w:type="gramEnd"/>
      <w:r w:rsidRPr="00DB0FE6">
        <w:rPr>
          <w:rFonts w:ascii="Calibri" w:eastAsia="Calibri" w:hAnsi="Calibri" w:cs="Calibri"/>
          <w:color w:val="000000"/>
          <w:kern w:val="0"/>
          <w:sz w:val="22"/>
          <w:szCs w:val="22"/>
          <w14:ligatures w14:val="none"/>
        </w:rPr>
        <w:t xml:space="preserve"> out of its bank on behalf of another UN agency, the inter-agency chart field in UNDP records would capture the name of another agency.  </w:t>
      </w:r>
    </w:p>
    <w:p w14:paraId="7530626D"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5C3CF352" w14:textId="77777777" w:rsidR="00DB0FE6" w:rsidRPr="00DB0FE6" w:rsidRDefault="00DB0FE6" w:rsidP="00DB0FE6">
      <w:pPr>
        <w:spacing w:after="0" w:line="259" w:lineRule="auto"/>
        <w:ind w:left="703" w:hanging="10"/>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u w:val="single" w:color="000000"/>
          <w14:ligatures w14:val="none"/>
        </w:rPr>
        <w:t>Donor</w:t>
      </w:r>
      <w:r w:rsidRPr="00DB0FE6">
        <w:rPr>
          <w:rFonts w:ascii="Calibri" w:eastAsia="Calibri" w:hAnsi="Calibri" w:cs="Calibri"/>
          <w:color w:val="000000"/>
          <w:kern w:val="0"/>
          <w:sz w:val="22"/>
          <w:szCs w:val="22"/>
          <w14:ligatures w14:val="none"/>
        </w:rPr>
        <w:t xml:space="preserve">  </w:t>
      </w:r>
    </w:p>
    <w:p w14:paraId="294F7738"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689D5E6E"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Donor chart field is used to track donors' revenue as well as expenses apportioned to different donors/funding sources and to facilitate donor reporting. All projects funded on cost sharing basis (or project level co-financing) should </w:t>
      </w:r>
      <w:proofErr w:type="gramStart"/>
      <w:r w:rsidRPr="00DB0FE6">
        <w:rPr>
          <w:rFonts w:ascii="Calibri" w:eastAsia="Calibri" w:hAnsi="Calibri" w:cs="Calibri"/>
          <w:color w:val="000000"/>
          <w:kern w:val="0"/>
          <w:sz w:val="22"/>
          <w:szCs w:val="22"/>
          <w14:ligatures w14:val="none"/>
        </w:rPr>
        <w:t>show the correct donor at all times</w:t>
      </w:r>
      <w:proofErr w:type="gramEnd"/>
      <w:r w:rsidRPr="00DB0FE6">
        <w:rPr>
          <w:rFonts w:ascii="Calibri" w:eastAsia="Calibri" w:hAnsi="Calibri" w:cs="Calibri"/>
          <w:color w:val="000000"/>
          <w:kern w:val="0"/>
          <w:sz w:val="22"/>
          <w:szCs w:val="22"/>
          <w14:ligatures w14:val="none"/>
        </w:rPr>
        <w:t xml:space="preserve">.  This is critical for donor reporting.   </w:t>
      </w:r>
    </w:p>
    <w:p w14:paraId="783C9FEA" w14:textId="77777777" w:rsidR="00DB0FE6" w:rsidRPr="00DB0FE6" w:rsidRDefault="00DB0FE6" w:rsidP="00DB0FE6">
      <w:pPr>
        <w:spacing w:after="21"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48CFBACF" w14:textId="77777777" w:rsidR="00DB0FE6" w:rsidRPr="00DB0FE6" w:rsidRDefault="00DB0FE6" w:rsidP="00DB0FE6">
      <w:pPr>
        <w:numPr>
          <w:ilvl w:val="0"/>
          <w:numId w:val="2"/>
        </w:numPr>
        <w:spacing w:after="4" w:line="250" w:lineRule="auto"/>
        <w:ind w:right="3" w:hanging="360"/>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Starting from 2006, the donor code for cost-sharing, as well as certain trust funds (e.g. European Commission) is also part of the chart-fields used for budgetary control.  Other funds, viz. regular resources and the other trust funds (or fund level co-financing) are managed through allocation.  The donor field for such funds would be ‘UNDP' donor, i.</w:t>
      </w:r>
      <w:proofErr w:type="gramStart"/>
      <w:r w:rsidRPr="00DB0FE6">
        <w:rPr>
          <w:rFonts w:ascii="Calibri" w:eastAsia="Calibri" w:hAnsi="Calibri" w:cs="Calibri"/>
          <w:color w:val="000000"/>
          <w:kern w:val="0"/>
          <w:sz w:val="22"/>
          <w:szCs w:val="22"/>
          <w14:ligatures w14:val="none"/>
        </w:rPr>
        <w:t>e. ‘</w:t>
      </w:r>
      <w:proofErr w:type="gramEnd"/>
      <w:r w:rsidRPr="00DB0FE6">
        <w:rPr>
          <w:rFonts w:ascii="Calibri" w:eastAsia="Calibri" w:hAnsi="Calibri" w:cs="Calibri"/>
          <w:color w:val="000000"/>
          <w:kern w:val="0"/>
          <w:sz w:val="22"/>
          <w:szCs w:val="22"/>
          <w14:ligatures w14:val="none"/>
        </w:rPr>
        <w:t xml:space="preserve">000012'.   </w:t>
      </w:r>
    </w:p>
    <w:p w14:paraId="643E7921"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4BB9D056" w14:textId="77777777" w:rsidR="00DB0FE6" w:rsidRPr="00DB0FE6" w:rsidRDefault="00DB0FE6" w:rsidP="00DB0FE6">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DB0FE6">
        <w:rPr>
          <w:rFonts w:ascii="Calibri" w:eastAsia="Calibri" w:hAnsi="Calibri" w:cs="Calibri"/>
          <w:b/>
          <w:color w:val="000000"/>
          <w:kern w:val="0"/>
          <w:sz w:val="22"/>
          <w:szCs w:val="22"/>
          <w14:ligatures w14:val="none"/>
        </w:rPr>
        <w:t>Other important fields</w:t>
      </w:r>
      <w:r w:rsidRPr="00DB0FE6">
        <w:rPr>
          <w:rFonts w:ascii="Calibri" w:eastAsia="Calibri" w:hAnsi="Calibri" w:cs="Calibri"/>
          <w:color w:val="000000"/>
          <w:kern w:val="0"/>
          <w:sz w:val="22"/>
          <w:szCs w:val="22"/>
          <w14:ligatures w14:val="none"/>
        </w:rPr>
        <w:t xml:space="preserve">    </w:t>
      </w:r>
    </w:p>
    <w:p w14:paraId="327A5BEB"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1B2516B2" w14:textId="77777777" w:rsidR="00DB0FE6" w:rsidRPr="00DB0FE6" w:rsidRDefault="00DB0FE6" w:rsidP="00DB0FE6">
      <w:pPr>
        <w:spacing w:after="0" w:line="259" w:lineRule="auto"/>
        <w:ind w:left="703" w:hanging="10"/>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u w:val="single" w:color="000000"/>
          <w14:ligatures w14:val="none"/>
        </w:rPr>
        <w:t>Budget Period</w:t>
      </w:r>
      <w:r w:rsidRPr="00DB0FE6">
        <w:rPr>
          <w:rFonts w:ascii="Calibri" w:eastAsia="Calibri" w:hAnsi="Calibri" w:cs="Calibri"/>
          <w:color w:val="000000"/>
          <w:kern w:val="0"/>
          <w:sz w:val="22"/>
          <w:szCs w:val="22"/>
          <w14:ligatures w14:val="none"/>
        </w:rPr>
        <w:t xml:space="preserve">  </w:t>
      </w:r>
    </w:p>
    <w:p w14:paraId="78E479B6" w14:textId="77777777" w:rsidR="00DB0FE6" w:rsidRPr="00DB0FE6" w:rsidRDefault="00DB0FE6" w:rsidP="00DB0FE6">
      <w:pPr>
        <w:spacing w:after="22"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701E2D28" w14:textId="77777777" w:rsidR="00DB0FE6" w:rsidRPr="00DB0FE6" w:rsidRDefault="00DB0FE6" w:rsidP="00DB0FE6">
      <w:pPr>
        <w:numPr>
          <w:ilvl w:val="0"/>
          <w:numId w:val="3"/>
        </w:numPr>
        <w:spacing w:after="4" w:line="250" w:lineRule="auto"/>
        <w:ind w:right="3" w:hanging="435"/>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Budget Period field is required for maintaining budget entries and identifying a period for budgeting purposes. The Budget Period will ensure that those transactions that affect budgets fall within the defined start and end dates.   </w:t>
      </w:r>
    </w:p>
    <w:p w14:paraId="50B7430D"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p>
    <w:p w14:paraId="21943CBD" w14:textId="77777777" w:rsidR="00DB0FE6" w:rsidRPr="00DB0FE6" w:rsidRDefault="00DB0FE6" w:rsidP="00DB0FE6">
      <w:pPr>
        <w:spacing w:after="0" w:line="259" w:lineRule="auto"/>
        <w:ind w:left="703" w:hanging="10"/>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u w:val="single" w:color="000000"/>
          <w14:ligatures w14:val="none"/>
        </w:rPr>
        <w:t>Currency Code</w:t>
      </w:r>
      <w:r w:rsidRPr="00DB0FE6">
        <w:rPr>
          <w:rFonts w:ascii="Calibri" w:eastAsia="Calibri" w:hAnsi="Calibri" w:cs="Calibri"/>
          <w:color w:val="000000"/>
          <w:kern w:val="0"/>
          <w:sz w:val="22"/>
          <w:szCs w:val="22"/>
          <w14:ligatures w14:val="none"/>
        </w:rPr>
        <w:t xml:space="preserve">  </w:t>
      </w:r>
    </w:p>
    <w:p w14:paraId="4EEAF188" w14:textId="77777777" w:rsidR="00DB0FE6" w:rsidRPr="00DB0FE6" w:rsidRDefault="00DB0FE6" w:rsidP="00DB0FE6">
      <w:pPr>
        <w:spacing w:after="23"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2640C433" w14:textId="77777777" w:rsidR="00DB0FE6" w:rsidRPr="00DB0FE6" w:rsidRDefault="00DB0FE6" w:rsidP="00DB0FE6">
      <w:pPr>
        <w:numPr>
          <w:ilvl w:val="0"/>
          <w:numId w:val="3"/>
        </w:numPr>
        <w:spacing w:after="4" w:line="250" w:lineRule="auto"/>
        <w:ind w:right="3" w:hanging="435"/>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Currency code is a PeopleSoft-delivered field used to facilitate multi-currency processing.  Multicurrency will be used in all Quantum financial subledgers.  </w:t>
      </w:r>
    </w:p>
    <w:p w14:paraId="1DB3B18B"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11AEF33F" w14:textId="77777777" w:rsidR="00DB0FE6" w:rsidRPr="00DB0FE6" w:rsidRDefault="00DB0FE6" w:rsidP="00DB0FE6">
      <w:pPr>
        <w:spacing w:after="0" w:line="259" w:lineRule="auto"/>
        <w:ind w:left="703" w:hanging="10"/>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u w:val="single" w:color="000000"/>
          <w14:ligatures w14:val="none"/>
        </w:rPr>
        <w:t>Fiscal Year and Accounting Period</w:t>
      </w:r>
      <w:r w:rsidRPr="00DB0FE6">
        <w:rPr>
          <w:rFonts w:ascii="Calibri" w:eastAsia="Calibri" w:hAnsi="Calibri" w:cs="Calibri"/>
          <w:color w:val="000000"/>
          <w:kern w:val="0"/>
          <w:sz w:val="22"/>
          <w:szCs w:val="22"/>
          <w14:ligatures w14:val="none"/>
        </w:rPr>
        <w:t xml:space="preserve"> </w:t>
      </w:r>
    </w:p>
    <w:p w14:paraId="7FB671E1" w14:textId="77777777" w:rsidR="00DB0FE6" w:rsidRPr="00DB0FE6" w:rsidRDefault="00DB0FE6" w:rsidP="00DB0FE6">
      <w:pPr>
        <w:spacing w:after="2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153BB535" w14:textId="77777777" w:rsidR="00DB0FE6" w:rsidRPr="00DB0FE6" w:rsidRDefault="00DB0FE6" w:rsidP="00DB0FE6">
      <w:pPr>
        <w:numPr>
          <w:ilvl w:val="0"/>
          <w:numId w:val="3"/>
        </w:numPr>
        <w:spacing w:after="4" w:line="250" w:lineRule="auto"/>
        <w:ind w:right="3" w:hanging="345"/>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All transactions within PeopleSoft are posted by fiscal year and accounting period, based on user-defined processing calendars.  There is only one calendar identified in Quantum - a fiscal </w:t>
      </w:r>
      <w:r w:rsidRPr="00DB0FE6">
        <w:rPr>
          <w:rFonts w:ascii="Calibri" w:eastAsia="Calibri" w:hAnsi="Calibri" w:cs="Calibri"/>
          <w:color w:val="000000"/>
          <w:kern w:val="0"/>
          <w:sz w:val="22"/>
          <w:szCs w:val="22"/>
          <w14:ligatures w14:val="none"/>
        </w:rPr>
        <w:lastRenderedPageBreak/>
        <w:t xml:space="preserve">year (January 1 to December 31).  Other calendars may be built as needed and will be used for appropriate reporting. </w:t>
      </w:r>
    </w:p>
    <w:p w14:paraId="2EA37E75"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51371DED" w14:textId="77777777" w:rsidR="00DB0FE6" w:rsidRPr="00DB0FE6" w:rsidRDefault="00DB0FE6" w:rsidP="00DB0FE6">
      <w:pPr>
        <w:spacing w:after="0" w:line="259" w:lineRule="auto"/>
        <w:ind w:left="703" w:hanging="10"/>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u w:val="single" w:color="000000"/>
          <w14:ligatures w14:val="none"/>
        </w:rPr>
        <w:t>Ledgers</w:t>
      </w:r>
      <w:r w:rsidRPr="00DB0FE6">
        <w:rPr>
          <w:rFonts w:ascii="Calibri" w:eastAsia="Calibri" w:hAnsi="Calibri" w:cs="Calibri"/>
          <w:color w:val="000000"/>
          <w:kern w:val="0"/>
          <w:sz w:val="22"/>
          <w:szCs w:val="22"/>
          <w14:ligatures w14:val="none"/>
        </w:rPr>
        <w:t xml:space="preserve"> </w:t>
      </w:r>
    </w:p>
    <w:p w14:paraId="4A83FB9E" w14:textId="77777777" w:rsidR="00DB0FE6" w:rsidRPr="00DB0FE6" w:rsidRDefault="00DB0FE6" w:rsidP="00DB0FE6">
      <w:pPr>
        <w:spacing w:after="2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4458B32A" w14:textId="77777777" w:rsidR="00DB0FE6" w:rsidRPr="00DB0FE6" w:rsidRDefault="00DB0FE6" w:rsidP="00DB0FE6">
      <w:pPr>
        <w:numPr>
          <w:ilvl w:val="0"/>
          <w:numId w:val="3"/>
        </w:numPr>
        <w:spacing w:after="4" w:line="250" w:lineRule="auto"/>
        <w:ind w:right="3" w:hanging="345"/>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Ledgers are associated directly with an agency and store posted amounts by ledger classification.  In Quantum, UNDP has USD primary ledger to record financial transactions from all subledgers (payables, fixed assets, project, receivables, payroll and cash management) and USD secondary ledger limit to record corporate transactions only. </w:t>
      </w:r>
    </w:p>
    <w:p w14:paraId="19DE3923" w14:textId="77777777" w:rsidR="00DB0FE6" w:rsidRPr="00DB0FE6" w:rsidRDefault="00DB0FE6" w:rsidP="00DB0FE6">
      <w:pPr>
        <w:spacing w:after="44" w:line="259" w:lineRule="auto"/>
        <w:ind w:left="720" w:hanging="345"/>
        <w:rPr>
          <w:rFonts w:ascii="Calibri" w:eastAsia="Calibri" w:hAnsi="Calibri" w:cs="Calibri"/>
          <w:color w:val="000000"/>
          <w:kern w:val="0"/>
          <w:sz w:val="22"/>
          <w:szCs w:val="22"/>
          <w14:ligatures w14:val="none"/>
        </w:rPr>
      </w:pPr>
    </w:p>
    <w:p w14:paraId="7D42B63F" w14:textId="77777777" w:rsidR="00DB0FE6" w:rsidRPr="00DB0FE6" w:rsidRDefault="00DB0FE6" w:rsidP="00DB0FE6">
      <w:pPr>
        <w:numPr>
          <w:ilvl w:val="0"/>
          <w:numId w:val="3"/>
        </w:numPr>
        <w:spacing w:after="4" w:line="250" w:lineRule="auto"/>
        <w:ind w:right="3" w:hanging="345"/>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Ledgers are defined as “balanced”, so the system will enforce edits to ensure that dollar journals are in balance for “Actuals”. The period(s) open for journal processing is (are) also defined at the ledger level by agency. Journal error handling, combination edit processing options, currency options and approval options are also defined at this level. </w:t>
      </w:r>
    </w:p>
    <w:p w14:paraId="03569A7B" w14:textId="77777777" w:rsidR="00DB0FE6" w:rsidRPr="00DB0FE6" w:rsidRDefault="00DB0FE6" w:rsidP="00DB0FE6">
      <w:pPr>
        <w:spacing w:after="4" w:line="250" w:lineRule="auto"/>
        <w:ind w:left="705" w:hanging="345"/>
        <w:jc w:val="both"/>
        <w:rPr>
          <w:rFonts w:ascii="Calibri" w:eastAsia="Calibri" w:hAnsi="Calibri" w:cs="Calibri"/>
          <w:color w:val="000000"/>
          <w:kern w:val="0"/>
          <w:sz w:val="22"/>
          <w:szCs w:val="22"/>
          <w14:ligatures w14:val="none"/>
        </w:rPr>
      </w:pPr>
    </w:p>
    <w:p w14:paraId="2C712372" w14:textId="77777777" w:rsidR="00DB0FE6" w:rsidRPr="00DB0FE6" w:rsidRDefault="00DB0FE6" w:rsidP="00DB0FE6">
      <w:pPr>
        <w:spacing w:after="0" w:line="259" w:lineRule="auto"/>
        <w:ind w:left="703" w:hanging="345"/>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u w:val="single" w:color="000000"/>
          <w14:ligatures w14:val="none"/>
        </w:rPr>
        <w:t>Responsible Party</w:t>
      </w:r>
      <w:r w:rsidRPr="00DB0FE6">
        <w:rPr>
          <w:rFonts w:ascii="Calibri" w:eastAsia="Calibri" w:hAnsi="Calibri" w:cs="Calibri"/>
          <w:color w:val="000000"/>
          <w:kern w:val="0"/>
          <w:sz w:val="22"/>
          <w:szCs w:val="22"/>
          <w14:ligatures w14:val="none"/>
        </w:rPr>
        <w:t xml:space="preserve"> </w:t>
      </w:r>
    </w:p>
    <w:p w14:paraId="0B69A030" w14:textId="77777777" w:rsidR="00DB0FE6" w:rsidRPr="00DB0FE6" w:rsidRDefault="00DB0FE6" w:rsidP="00DB0FE6">
      <w:pPr>
        <w:numPr>
          <w:ilvl w:val="0"/>
          <w:numId w:val="3"/>
        </w:numPr>
        <w:spacing w:after="4" w:line="250" w:lineRule="auto"/>
        <w:ind w:right="3" w:hanging="345"/>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w:t>
      </w:r>
      <w:proofErr w:type="gramStart"/>
      <w:r w:rsidRPr="00DB0FE6">
        <w:rPr>
          <w:rFonts w:ascii="Calibri" w:eastAsia="Calibri" w:hAnsi="Calibri" w:cs="Calibri"/>
          <w:color w:val="000000"/>
          <w:kern w:val="0"/>
          <w:sz w:val="22"/>
          <w:szCs w:val="22"/>
          <w14:ligatures w14:val="none"/>
        </w:rPr>
        <w:t>responsible party</w:t>
      </w:r>
      <w:proofErr w:type="gramEnd"/>
      <w:r w:rsidRPr="00DB0FE6">
        <w:rPr>
          <w:rFonts w:ascii="Calibri" w:eastAsia="Calibri" w:hAnsi="Calibri" w:cs="Calibri"/>
          <w:color w:val="000000"/>
          <w:kern w:val="0"/>
          <w:sz w:val="22"/>
          <w:szCs w:val="22"/>
          <w14:ligatures w14:val="none"/>
        </w:rPr>
        <w:t xml:space="preserve"> (or implementing agent as was known in ATLAS) is used to track advances and payments made to the implementing agency. This is a required field for expenses charged to all UNDP projects. In Quantum, this field is no longer a GL COA but modelled as vendor in Project and Portfolio Management (PPM)</w:t>
      </w:r>
    </w:p>
    <w:p w14:paraId="6E3307C2" w14:textId="77777777" w:rsidR="00DB0FE6" w:rsidRPr="00DB0FE6" w:rsidRDefault="00DB0FE6" w:rsidP="00DB0FE6">
      <w:pPr>
        <w:spacing w:after="4" w:line="250" w:lineRule="auto"/>
        <w:ind w:left="705" w:hanging="345"/>
        <w:jc w:val="both"/>
        <w:rPr>
          <w:rFonts w:ascii="Calibri" w:eastAsia="Calibri" w:hAnsi="Calibri" w:cs="Calibri"/>
          <w:color w:val="000000"/>
          <w:kern w:val="0"/>
          <w:sz w:val="22"/>
          <w:szCs w:val="22"/>
          <w14:ligatures w14:val="none"/>
        </w:rPr>
      </w:pPr>
    </w:p>
    <w:p w14:paraId="36BD91C4" w14:textId="77777777" w:rsidR="00DB0FE6" w:rsidRPr="00DB0FE6" w:rsidRDefault="00DB0FE6" w:rsidP="00DB0FE6">
      <w:pPr>
        <w:spacing w:after="0" w:line="259" w:lineRule="auto"/>
        <w:ind w:left="703" w:hanging="345"/>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u w:val="single" w:color="000000"/>
          <w14:ligatures w14:val="none"/>
        </w:rPr>
        <w:t>Task id</w:t>
      </w:r>
      <w:r w:rsidRPr="00DB0FE6">
        <w:rPr>
          <w:rFonts w:ascii="Calibri" w:eastAsia="Calibri" w:hAnsi="Calibri" w:cs="Calibri"/>
          <w:color w:val="000000"/>
          <w:kern w:val="0"/>
          <w:sz w:val="22"/>
          <w:szCs w:val="22"/>
          <w14:ligatures w14:val="none"/>
        </w:rPr>
        <w:t xml:space="preserve"> </w:t>
      </w:r>
    </w:p>
    <w:p w14:paraId="218DE273" w14:textId="77777777" w:rsidR="00DB0FE6" w:rsidRPr="00DB0FE6" w:rsidRDefault="00DB0FE6" w:rsidP="00DB0FE6">
      <w:pPr>
        <w:numPr>
          <w:ilvl w:val="0"/>
          <w:numId w:val="3"/>
        </w:numPr>
        <w:spacing w:after="4" w:line="250" w:lineRule="auto"/>
        <w:ind w:right="3" w:hanging="345"/>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task id (or activity id as was known in ATLAS) details the task breakdown of the project and output. In Quantum, this field is no longer </w:t>
      </w:r>
      <w:proofErr w:type="gramStart"/>
      <w:r w:rsidRPr="00DB0FE6">
        <w:rPr>
          <w:rFonts w:ascii="Calibri" w:eastAsia="Calibri" w:hAnsi="Calibri" w:cs="Calibri"/>
          <w:color w:val="000000"/>
          <w:kern w:val="0"/>
          <w:sz w:val="22"/>
          <w:szCs w:val="22"/>
          <w14:ligatures w14:val="none"/>
        </w:rPr>
        <w:t>a GL</w:t>
      </w:r>
      <w:proofErr w:type="gramEnd"/>
      <w:r w:rsidRPr="00DB0FE6">
        <w:rPr>
          <w:rFonts w:ascii="Calibri" w:eastAsia="Calibri" w:hAnsi="Calibri" w:cs="Calibri"/>
          <w:color w:val="000000"/>
          <w:kern w:val="0"/>
          <w:sz w:val="22"/>
          <w:szCs w:val="22"/>
          <w14:ligatures w14:val="none"/>
        </w:rPr>
        <w:t xml:space="preserve"> COA but will be tracked in Project and Portfolio Management (PPM).</w:t>
      </w:r>
    </w:p>
    <w:p w14:paraId="5B350BE0"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Calibri" w:eastAsia="Calibri" w:hAnsi="Calibri" w:cs="Calibri"/>
          <w:b/>
          <w:color w:val="000000"/>
          <w:kern w:val="0"/>
          <w:sz w:val="22"/>
          <w:szCs w:val="22"/>
          <w14:ligatures w14:val="none"/>
        </w:rPr>
        <w:t xml:space="preserve"> </w:t>
      </w:r>
    </w:p>
    <w:p w14:paraId="1D156FC3" w14:textId="77777777" w:rsidR="00DB0FE6" w:rsidRPr="00DB0FE6" w:rsidRDefault="00DB0FE6" w:rsidP="00DB0FE6">
      <w:pPr>
        <w:spacing w:after="0" w:line="259" w:lineRule="auto"/>
        <w:ind w:left="-5" w:hanging="10"/>
        <w:rPr>
          <w:rFonts w:ascii="Calibri" w:eastAsia="Calibri" w:hAnsi="Calibri" w:cs="Calibri"/>
          <w:color w:val="000000"/>
          <w:kern w:val="0"/>
          <w:sz w:val="22"/>
          <w:szCs w:val="22"/>
          <w14:ligatures w14:val="none"/>
        </w:rPr>
      </w:pPr>
      <w:r w:rsidRPr="00DB0FE6">
        <w:rPr>
          <w:rFonts w:ascii="Calibri" w:eastAsia="Calibri" w:hAnsi="Calibri" w:cs="Calibri"/>
          <w:b/>
          <w:color w:val="000000"/>
          <w:kern w:val="0"/>
          <w:sz w:val="22"/>
          <w:szCs w:val="22"/>
          <w14:ligatures w14:val="none"/>
        </w:rPr>
        <w:t>Chart fields</w:t>
      </w:r>
      <w:r w:rsidRPr="00DB0FE6">
        <w:rPr>
          <w:rFonts w:ascii="Calibri" w:eastAsia="Calibri" w:hAnsi="Calibri" w:cs="Calibri"/>
          <w:color w:val="000000"/>
          <w:kern w:val="0"/>
          <w:sz w:val="22"/>
          <w:szCs w:val="22"/>
          <w14:ligatures w14:val="none"/>
        </w:rPr>
        <w:t xml:space="preserve"> </w:t>
      </w:r>
    </w:p>
    <w:p w14:paraId="5A6D4815" w14:textId="77777777" w:rsidR="00DB0FE6" w:rsidRPr="00DB0FE6" w:rsidRDefault="00DB0FE6" w:rsidP="00DB0FE6">
      <w:pPr>
        <w:spacing w:after="19"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2D7328F8" w14:textId="77777777" w:rsidR="00DB0FE6" w:rsidRPr="00DB0FE6" w:rsidRDefault="00DB0FE6" w:rsidP="00DB0FE6">
      <w:pPr>
        <w:numPr>
          <w:ilvl w:val="0"/>
          <w:numId w:val="3"/>
        </w:numPr>
        <w:spacing w:after="4" w:line="250" w:lineRule="auto"/>
        <w:ind w:right="3" w:hanging="345"/>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Any changes to the chart fields must be approved by OFM.  </w:t>
      </w:r>
    </w:p>
    <w:p w14:paraId="35F775AE"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716A67E7" w14:textId="77777777" w:rsidR="00DB0FE6" w:rsidRPr="00DB0FE6" w:rsidRDefault="00DB0FE6" w:rsidP="00DB0FE6">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DB0FE6">
        <w:rPr>
          <w:rFonts w:ascii="Calibri" w:eastAsia="Calibri" w:hAnsi="Calibri" w:cs="Calibri"/>
          <w:b/>
          <w:color w:val="000000"/>
          <w:kern w:val="0"/>
          <w:sz w:val="22"/>
          <w:szCs w:val="22"/>
          <w14:ligatures w14:val="none"/>
        </w:rPr>
        <w:t>Account Code</w:t>
      </w:r>
      <w:r w:rsidRPr="00DB0FE6">
        <w:rPr>
          <w:rFonts w:ascii="Calibri" w:eastAsia="Calibri" w:hAnsi="Calibri" w:cs="Calibri"/>
          <w:color w:val="000000"/>
          <w:kern w:val="0"/>
          <w:sz w:val="22"/>
          <w:szCs w:val="22"/>
          <w14:ligatures w14:val="none"/>
        </w:rPr>
        <w:t xml:space="preserve"> </w:t>
      </w:r>
    </w:p>
    <w:p w14:paraId="1A210500" w14:textId="77777777" w:rsidR="00DB0FE6" w:rsidRPr="00DB0FE6" w:rsidRDefault="00DB0FE6" w:rsidP="00DB0FE6">
      <w:pPr>
        <w:spacing w:after="16"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7FC9A30B" w14:textId="77777777" w:rsidR="00DB0FE6" w:rsidRPr="00DB0FE6" w:rsidRDefault="00DB0FE6" w:rsidP="00DB0FE6">
      <w:pPr>
        <w:numPr>
          <w:ilvl w:val="0"/>
          <w:numId w:val="3"/>
        </w:numPr>
        <w:spacing w:after="4" w:line="250" w:lineRule="auto"/>
        <w:ind w:left="709" w:right="3" w:hanging="439"/>
        <w:contextualSpacing/>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The chart field table for account codes is local segment for all Agencies in Quantum, hence, each </w:t>
      </w:r>
      <w:proofErr w:type="gramStart"/>
      <w:r w:rsidRPr="00DB0FE6">
        <w:rPr>
          <w:rFonts w:ascii="Calibri" w:eastAsia="Calibri" w:hAnsi="Calibri" w:cs="Calibri"/>
          <w:color w:val="000000"/>
          <w:kern w:val="0"/>
          <w:sz w:val="22"/>
          <w:szCs w:val="22"/>
          <w14:ligatures w14:val="none"/>
        </w:rPr>
        <w:t>agencies</w:t>
      </w:r>
      <w:proofErr w:type="gramEnd"/>
      <w:r w:rsidRPr="00DB0FE6">
        <w:rPr>
          <w:rFonts w:ascii="Calibri" w:eastAsia="Calibri" w:hAnsi="Calibri" w:cs="Calibri"/>
          <w:color w:val="000000"/>
          <w:kern w:val="0"/>
          <w:sz w:val="22"/>
          <w:szCs w:val="22"/>
          <w14:ligatures w14:val="none"/>
        </w:rPr>
        <w:t xml:space="preserve"> can add, modify or delete the account code.</w:t>
      </w:r>
      <w:r w:rsidRPr="00DB0FE6">
        <w:rPr>
          <w:rFonts w:ascii="Calibri" w:eastAsia="Calibri" w:hAnsi="Calibri" w:cs="Calibri"/>
          <w:b/>
          <w:color w:val="000000"/>
          <w:kern w:val="0"/>
          <w:sz w:val="22"/>
          <w:szCs w:val="22"/>
          <w14:ligatures w14:val="none"/>
        </w:rPr>
        <w:t xml:space="preserve"> </w:t>
      </w:r>
    </w:p>
    <w:p w14:paraId="7580D939" w14:textId="77777777" w:rsidR="00DB0FE6" w:rsidRPr="00DB0FE6" w:rsidRDefault="00DB0FE6" w:rsidP="00DB0FE6">
      <w:pPr>
        <w:spacing w:after="22" w:line="259" w:lineRule="auto"/>
        <w:ind w:hanging="439"/>
        <w:rPr>
          <w:rFonts w:ascii="Calibri" w:eastAsia="Calibri" w:hAnsi="Calibri" w:cs="Calibri"/>
          <w:color w:val="000000"/>
          <w:kern w:val="0"/>
          <w:sz w:val="22"/>
          <w:szCs w:val="22"/>
          <w14:ligatures w14:val="none"/>
        </w:rPr>
      </w:pPr>
      <w:r w:rsidRPr="00DB0FE6">
        <w:rPr>
          <w:rFonts w:ascii="Calibri" w:eastAsia="Calibri" w:hAnsi="Calibri" w:cs="Calibri"/>
          <w:b/>
          <w:color w:val="000000"/>
          <w:kern w:val="0"/>
          <w:sz w:val="22"/>
          <w:szCs w:val="22"/>
          <w14:ligatures w14:val="none"/>
        </w:rPr>
        <w:t xml:space="preserve"> </w:t>
      </w:r>
    </w:p>
    <w:p w14:paraId="6B1A6633" w14:textId="77777777" w:rsidR="00DB0FE6" w:rsidRPr="00DB0FE6" w:rsidRDefault="00DB0FE6" w:rsidP="00DB0FE6">
      <w:pPr>
        <w:numPr>
          <w:ilvl w:val="0"/>
          <w:numId w:val="3"/>
        </w:numPr>
        <w:spacing w:after="4" w:line="250" w:lineRule="auto"/>
        <w:ind w:right="3" w:hanging="439"/>
        <w:contextualSpacing/>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Users are required to do the following: </w:t>
      </w:r>
    </w:p>
    <w:p w14:paraId="6ECFB487" w14:textId="77777777" w:rsidR="00DB0FE6" w:rsidRPr="00DB0FE6" w:rsidRDefault="00DB0FE6" w:rsidP="00DB0FE6">
      <w:pPr>
        <w:numPr>
          <w:ilvl w:val="0"/>
          <w:numId w:val="10"/>
        </w:numPr>
        <w:spacing w:after="4" w:line="250" w:lineRule="auto"/>
        <w:ind w:right="3"/>
        <w:contextualSpacing/>
        <w:jc w:val="both"/>
        <w:rPr>
          <w:rFonts w:ascii="Calibri" w:eastAsia="Calibri" w:hAnsi="Calibri" w:cs="Calibri"/>
          <w:color w:val="000000"/>
          <w:kern w:val="0"/>
          <w:sz w:val="22"/>
          <w:szCs w:val="22"/>
          <w14:ligatures w14:val="none"/>
        </w:rPr>
      </w:pPr>
      <w:r w:rsidRPr="00DB0FE6">
        <w:rPr>
          <w:rFonts w:ascii="Calibri" w:eastAsia="Calibri" w:hAnsi="Calibri" w:cs="Calibri"/>
          <w:b/>
          <w:i/>
          <w:color w:val="000000"/>
          <w:kern w:val="0"/>
          <w:sz w:val="22"/>
          <w:szCs w:val="22"/>
          <w14:ligatures w14:val="none"/>
        </w:rPr>
        <w:t xml:space="preserve">Revenue </w:t>
      </w:r>
      <w:r w:rsidRPr="00DB0FE6">
        <w:rPr>
          <w:rFonts w:ascii="Calibri" w:eastAsia="Calibri" w:hAnsi="Calibri" w:cs="Calibri"/>
          <w:color w:val="000000"/>
          <w:kern w:val="0"/>
          <w:sz w:val="22"/>
          <w:szCs w:val="22"/>
          <w14:ligatures w14:val="none"/>
        </w:rPr>
        <w:t xml:space="preserve">- contributions received from donors should always be recorded using account 51005 and entering the relevant operating unit,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fund ID and the donor code.  If the fund code is cost-sharing or project level co-financing, the project ID, project business unit and a default activity should also be entered. </w:t>
      </w:r>
    </w:p>
    <w:p w14:paraId="314D7E94" w14:textId="77777777" w:rsidR="00DB0FE6" w:rsidRPr="00DB0FE6" w:rsidRDefault="00DB0FE6" w:rsidP="00DB0FE6">
      <w:pPr>
        <w:numPr>
          <w:ilvl w:val="0"/>
          <w:numId w:val="10"/>
        </w:numPr>
        <w:spacing w:after="4" w:line="250" w:lineRule="auto"/>
        <w:ind w:right="3"/>
        <w:contextualSpacing/>
        <w:jc w:val="both"/>
        <w:rPr>
          <w:rFonts w:ascii="Calibri" w:eastAsia="Calibri" w:hAnsi="Calibri" w:cs="Calibri"/>
          <w:color w:val="000000"/>
          <w:kern w:val="0"/>
          <w:sz w:val="22"/>
          <w:szCs w:val="22"/>
          <w14:ligatures w14:val="none"/>
        </w:rPr>
      </w:pPr>
      <w:r w:rsidRPr="00DB0FE6">
        <w:rPr>
          <w:rFonts w:ascii="Calibri" w:eastAsia="Calibri" w:hAnsi="Calibri" w:cs="Calibri"/>
          <w:b/>
          <w:i/>
          <w:color w:val="000000"/>
          <w:kern w:val="0"/>
          <w:sz w:val="22"/>
          <w:szCs w:val="22"/>
          <w14:ligatures w14:val="none"/>
        </w:rPr>
        <w:t>Expenses</w:t>
      </w:r>
      <w:r w:rsidRPr="00DB0FE6">
        <w:rPr>
          <w:rFonts w:ascii="Calibri" w:eastAsia="Calibri" w:hAnsi="Calibri" w:cs="Calibri"/>
          <w:color w:val="000000"/>
          <w:kern w:val="0"/>
          <w:sz w:val="22"/>
          <w:szCs w:val="22"/>
          <w14:ligatures w14:val="none"/>
        </w:rPr>
        <w:t xml:space="preserve"> - are recorded using appropriate expenditure account in the 6xxxx or 7xxxx series.  All expenses should include all chart fields without any exception.  The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entered for expenses should be the expenditure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(not the budgetary cost </w:t>
      </w:r>
      <w:proofErr w:type="spellStart"/>
      <w:r w:rsidRPr="00DB0FE6">
        <w:rPr>
          <w:rFonts w:ascii="Calibri" w:eastAsia="Calibri" w:hAnsi="Calibri" w:cs="Calibri"/>
          <w:color w:val="000000"/>
          <w:kern w:val="0"/>
          <w:sz w:val="22"/>
          <w:szCs w:val="22"/>
          <w14:ligatures w14:val="none"/>
        </w:rPr>
        <w:t>centre</w:t>
      </w:r>
      <w:proofErr w:type="spellEnd"/>
      <w:proofErr w:type="gramStart"/>
      <w:r w:rsidRPr="00DB0FE6">
        <w:rPr>
          <w:rFonts w:ascii="Calibri" w:eastAsia="Calibri" w:hAnsi="Calibri" w:cs="Calibri"/>
          <w:color w:val="000000"/>
          <w:kern w:val="0"/>
          <w:sz w:val="22"/>
          <w:szCs w:val="22"/>
          <w14:ligatures w14:val="none"/>
        </w:rPr>
        <w:t>).Other</w:t>
      </w:r>
      <w:proofErr w:type="gramEnd"/>
      <w:r w:rsidRPr="00DB0FE6">
        <w:rPr>
          <w:rFonts w:ascii="Calibri" w:eastAsia="Calibri" w:hAnsi="Calibri" w:cs="Calibri"/>
          <w:color w:val="000000"/>
          <w:kern w:val="0"/>
          <w:sz w:val="22"/>
          <w:szCs w:val="22"/>
          <w14:ligatures w14:val="none"/>
        </w:rPr>
        <w:t xml:space="preserve"> asset or liability accounts in the </w:t>
      </w:r>
      <w:r w:rsidRPr="00DB0FE6">
        <w:rPr>
          <w:rFonts w:ascii="Calibri" w:eastAsia="Calibri" w:hAnsi="Calibri" w:cs="Calibri"/>
          <w:b/>
          <w:i/>
          <w:color w:val="000000"/>
          <w:kern w:val="0"/>
          <w:sz w:val="22"/>
          <w:szCs w:val="22"/>
          <w14:ligatures w14:val="none"/>
        </w:rPr>
        <w:t>1xxxxx or 2xxxx series</w:t>
      </w:r>
      <w:r w:rsidRPr="00DB0FE6">
        <w:rPr>
          <w:rFonts w:ascii="Calibri" w:eastAsia="Calibri" w:hAnsi="Calibri" w:cs="Calibri"/>
          <w:color w:val="000000"/>
          <w:kern w:val="0"/>
          <w:sz w:val="22"/>
          <w:szCs w:val="22"/>
          <w14:ligatures w14:val="none"/>
        </w:rPr>
        <w:t xml:space="preserve"> should include, as a minimum, the following chart field values</w:t>
      </w:r>
      <w:proofErr w:type="gramStart"/>
      <w:r w:rsidRPr="00DB0FE6">
        <w:rPr>
          <w:rFonts w:ascii="Calibri" w:eastAsia="Calibri" w:hAnsi="Calibri" w:cs="Calibri"/>
          <w:color w:val="000000"/>
          <w:kern w:val="0"/>
          <w:sz w:val="22"/>
          <w:szCs w:val="22"/>
          <w14:ligatures w14:val="none"/>
        </w:rPr>
        <w:t>:  account</w:t>
      </w:r>
      <w:proofErr w:type="gramEnd"/>
      <w:r w:rsidRPr="00DB0FE6">
        <w:rPr>
          <w:rFonts w:ascii="Calibri" w:eastAsia="Calibri" w:hAnsi="Calibri" w:cs="Calibri"/>
          <w:color w:val="000000"/>
          <w:kern w:val="0"/>
          <w:sz w:val="22"/>
          <w:szCs w:val="22"/>
          <w14:ligatures w14:val="none"/>
        </w:rPr>
        <w:t xml:space="preserve">, operating unit, fund and cost </w:t>
      </w:r>
      <w:proofErr w:type="spellStart"/>
      <w:r w:rsidRPr="00DB0FE6">
        <w:rPr>
          <w:rFonts w:ascii="Calibri" w:eastAsia="Calibri" w:hAnsi="Calibri" w:cs="Calibri"/>
          <w:color w:val="000000"/>
          <w:kern w:val="0"/>
          <w:sz w:val="22"/>
          <w:szCs w:val="22"/>
          <w14:ligatures w14:val="none"/>
        </w:rPr>
        <w:t>centre</w:t>
      </w:r>
      <w:proofErr w:type="spellEnd"/>
      <w:r w:rsidRPr="00DB0FE6">
        <w:rPr>
          <w:rFonts w:ascii="Calibri" w:eastAsia="Calibri" w:hAnsi="Calibri" w:cs="Calibri"/>
          <w:color w:val="000000"/>
          <w:kern w:val="0"/>
          <w:sz w:val="22"/>
          <w:szCs w:val="22"/>
          <w14:ligatures w14:val="none"/>
        </w:rPr>
        <w:t xml:space="preserve">. </w:t>
      </w:r>
    </w:p>
    <w:p w14:paraId="04FDBE06" w14:textId="77777777" w:rsidR="00DB0FE6" w:rsidRPr="00DB0FE6" w:rsidRDefault="00DB0FE6" w:rsidP="00DB0FE6">
      <w:pPr>
        <w:numPr>
          <w:ilvl w:val="0"/>
          <w:numId w:val="10"/>
        </w:numPr>
        <w:spacing w:after="4" w:line="250" w:lineRule="auto"/>
        <w:ind w:right="3"/>
        <w:contextualSpacing/>
        <w:jc w:val="both"/>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lastRenderedPageBreak/>
        <w:t xml:space="preserve">Business Owners for the various chart fields need to make sure that no duplicate values exist. A review of the donor chart field values should be regularly undertaken by the business owners to “inactivate” the duplicated values.   </w:t>
      </w:r>
    </w:p>
    <w:p w14:paraId="156F9FE2"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Calibri" w:eastAsia="Calibri" w:hAnsi="Calibri" w:cs="Calibri"/>
          <w:color w:val="000000"/>
          <w:kern w:val="0"/>
          <w:sz w:val="22"/>
          <w:szCs w:val="22"/>
          <w14:ligatures w14:val="none"/>
        </w:rPr>
        <w:t xml:space="preserve"> </w:t>
      </w:r>
    </w:p>
    <w:p w14:paraId="76556150"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p>
    <w:p w14:paraId="44832D74" w14:textId="77777777" w:rsidR="00DB0FE6" w:rsidRPr="00DB0FE6" w:rsidRDefault="00DB0FE6" w:rsidP="00DB0FE6">
      <w:pPr>
        <w:keepNext/>
        <w:keepLines/>
        <w:spacing w:after="0" w:line="259" w:lineRule="auto"/>
        <w:ind w:left="-5" w:hanging="10"/>
        <w:outlineLvl w:val="0"/>
        <w:rPr>
          <w:rFonts w:ascii="Calibri" w:eastAsia="Calibri" w:hAnsi="Calibri" w:cs="Calibri"/>
          <w:b/>
          <w:color w:val="000000"/>
          <w:kern w:val="0"/>
          <w:sz w:val="22"/>
          <w:szCs w:val="22"/>
          <w14:ligatures w14:val="none"/>
        </w:rPr>
      </w:pPr>
      <w:r w:rsidRPr="00DB0FE6">
        <w:rPr>
          <w:rFonts w:ascii="Calibri" w:eastAsia="Calibri" w:hAnsi="Calibri" w:cs="Calibri"/>
          <w:b/>
          <w:color w:val="000000"/>
          <w:kern w:val="0"/>
          <w:sz w:val="22"/>
          <w:szCs w:val="22"/>
          <w14:ligatures w14:val="none"/>
        </w:rPr>
        <w:t>Summary Table of Chart fields</w:t>
      </w:r>
      <w:r w:rsidRPr="00DB0FE6">
        <w:rPr>
          <w:rFonts w:ascii="Calibri" w:eastAsia="Calibri" w:hAnsi="Calibri" w:cs="Calibri"/>
          <w:color w:val="000000"/>
          <w:kern w:val="0"/>
          <w:sz w:val="22"/>
          <w:szCs w:val="22"/>
          <w14:ligatures w14:val="none"/>
        </w:rPr>
        <w:t xml:space="preserve"> </w:t>
      </w:r>
    </w:p>
    <w:p w14:paraId="77738A7D" w14:textId="77777777" w:rsidR="00DB0FE6" w:rsidRPr="00DB0FE6" w:rsidRDefault="00DB0FE6" w:rsidP="00DB0FE6">
      <w:pPr>
        <w:spacing w:after="0" w:line="259" w:lineRule="auto"/>
        <w:rPr>
          <w:rFonts w:ascii="Calibri" w:eastAsia="Calibri" w:hAnsi="Calibri" w:cs="Calibri"/>
          <w:color w:val="000000"/>
          <w:kern w:val="0"/>
          <w:sz w:val="22"/>
          <w:szCs w:val="22"/>
          <w14:ligatures w14:val="none"/>
        </w:rPr>
      </w:pPr>
      <w:r w:rsidRPr="00DB0FE6">
        <w:rPr>
          <w:rFonts w:ascii="Arial" w:eastAsia="Arial" w:hAnsi="Arial" w:cs="Arial"/>
          <w:color w:val="333333"/>
          <w:kern w:val="0"/>
          <w:sz w:val="20"/>
          <w:szCs w:val="22"/>
          <w14:ligatures w14:val="none"/>
        </w:rPr>
        <w:t xml:space="preserve">  </w:t>
      </w:r>
    </w:p>
    <w:tbl>
      <w:tblPr>
        <w:tblStyle w:val="TableGrid"/>
        <w:tblW w:w="9307" w:type="dxa"/>
        <w:tblInd w:w="-34" w:type="dxa"/>
        <w:tblCellMar>
          <w:top w:w="46" w:type="dxa"/>
          <w:left w:w="106" w:type="dxa"/>
          <w:bottom w:w="6" w:type="dxa"/>
          <w:right w:w="65" w:type="dxa"/>
        </w:tblCellMar>
        <w:tblLook w:val="04A0" w:firstRow="1" w:lastRow="0" w:firstColumn="1" w:lastColumn="0" w:noHBand="0" w:noVBand="1"/>
      </w:tblPr>
      <w:tblGrid>
        <w:gridCol w:w="231"/>
        <w:gridCol w:w="1543"/>
        <w:gridCol w:w="98"/>
        <w:gridCol w:w="1251"/>
        <w:gridCol w:w="60"/>
        <w:gridCol w:w="3378"/>
        <w:gridCol w:w="131"/>
        <w:gridCol w:w="2280"/>
        <w:gridCol w:w="335"/>
      </w:tblGrid>
      <w:tr w:rsidR="00DB0FE6" w:rsidRPr="00DB0FE6" w14:paraId="410B3EE1" w14:textId="77777777" w:rsidTr="002914CE">
        <w:trPr>
          <w:gridBefore w:val="1"/>
          <w:gridAfter w:val="1"/>
          <w:wBefore w:w="231" w:type="dxa"/>
          <w:wAfter w:w="335" w:type="dxa"/>
          <w:trHeight w:val="547"/>
        </w:trPr>
        <w:tc>
          <w:tcPr>
            <w:tcW w:w="1641" w:type="dxa"/>
            <w:gridSpan w:val="2"/>
            <w:tcBorders>
              <w:top w:val="single" w:sz="4" w:space="0" w:color="000000"/>
              <w:left w:val="single" w:sz="4" w:space="0" w:color="000000"/>
              <w:bottom w:val="single" w:sz="4" w:space="0" w:color="000000"/>
              <w:right w:val="single" w:sz="4" w:space="0" w:color="000000"/>
            </w:tcBorders>
            <w:vAlign w:val="center"/>
          </w:tcPr>
          <w:p w14:paraId="2694C4F7" w14:textId="77777777" w:rsidR="00DB0FE6" w:rsidRPr="00DB0FE6" w:rsidRDefault="00DB0FE6" w:rsidP="00DB0FE6">
            <w:pPr>
              <w:spacing w:line="259" w:lineRule="auto"/>
              <w:rPr>
                <w:rFonts w:ascii="Calibri" w:eastAsia="Calibri" w:hAnsi="Calibri" w:cs="Calibri"/>
                <w:color w:val="000000"/>
              </w:rPr>
            </w:pPr>
            <w:proofErr w:type="spellStart"/>
            <w:r w:rsidRPr="00DB0FE6">
              <w:rPr>
                <w:rFonts w:ascii="Calibri" w:eastAsia="Calibri" w:hAnsi="Calibri" w:cs="Calibri"/>
                <w:b/>
                <w:color w:val="000000"/>
              </w:rPr>
              <w:t>Chartfield</w:t>
            </w:r>
            <w:proofErr w:type="spellEnd"/>
            <w:r w:rsidRPr="00DB0FE6">
              <w:rPr>
                <w:rFonts w:ascii="Calibri" w:eastAsia="Calibri" w:hAnsi="Calibri" w:cs="Calibri"/>
                <w:color w:val="000000"/>
              </w:rPr>
              <w:t xml:space="preserve"> </w:t>
            </w:r>
          </w:p>
        </w:tc>
        <w:tc>
          <w:tcPr>
            <w:tcW w:w="1311" w:type="dxa"/>
            <w:gridSpan w:val="2"/>
            <w:tcBorders>
              <w:top w:val="single" w:sz="4" w:space="0" w:color="000000"/>
              <w:left w:val="single" w:sz="4" w:space="0" w:color="000000"/>
              <w:bottom w:val="single" w:sz="4" w:space="0" w:color="000000"/>
              <w:right w:val="single" w:sz="4" w:space="0" w:color="000000"/>
            </w:tcBorders>
          </w:tcPr>
          <w:p w14:paraId="3454EC68"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b/>
                <w:color w:val="000000"/>
              </w:rPr>
              <w:t>Number of Characters</w:t>
            </w:r>
            <w:r w:rsidRPr="00DB0FE6">
              <w:rPr>
                <w:rFonts w:ascii="Calibri" w:eastAsia="Calibri" w:hAnsi="Calibri" w:cs="Calibri"/>
                <w:color w:val="000000"/>
              </w:rPr>
              <w:t xml:space="preserve"> </w:t>
            </w:r>
          </w:p>
        </w:tc>
        <w:tc>
          <w:tcPr>
            <w:tcW w:w="3378" w:type="dxa"/>
            <w:tcBorders>
              <w:top w:val="single" w:sz="4" w:space="0" w:color="000000"/>
              <w:left w:val="single" w:sz="4" w:space="0" w:color="000000"/>
              <w:bottom w:val="single" w:sz="4" w:space="0" w:color="000000"/>
              <w:right w:val="single" w:sz="4" w:space="0" w:color="000000"/>
            </w:tcBorders>
            <w:vAlign w:val="center"/>
          </w:tcPr>
          <w:p w14:paraId="38FE1FDB" w14:textId="77777777" w:rsidR="00DB0FE6" w:rsidRPr="00DB0FE6" w:rsidRDefault="00DB0FE6" w:rsidP="00DB0FE6">
            <w:pPr>
              <w:spacing w:line="259" w:lineRule="auto"/>
              <w:ind w:left="2"/>
              <w:rPr>
                <w:rFonts w:ascii="Calibri" w:eastAsia="Calibri" w:hAnsi="Calibri" w:cs="Calibri"/>
                <w:color w:val="000000"/>
              </w:rPr>
            </w:pPr>
            <w:r w:rsidRPr="00DB0FE6">
              <w:rPr>
                <w:rFonts w:ascii="Calibri" w:eastAsia="Calibri" w:hAnsi="Calibri" w:cs="Calibri"/>
                <w:b/>
                <w:color w:val="000000"/>
              </w:rPr>
              <w:t>Description</w:t>
            </w:r>
            <w:r w:rsidRPr="00DB0FE6">
              <w:rPr>
                <w:rFonts w:ascii="Calibri" w:eastAsia="Calibri" w:hAnsi="Calibri" w:cs="Calibri"/>
                <w:color w:val="000000"/>
              </w:rPr>
              <w:t xml:space="preserve"> </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14:paraId="0818F8BE" w14:textId="77777777" w:rsidR="00DB0FE6" w:rsidRPr="00DB0FE6" w:rsidRDefault="00DB0FE6" w:rsidP="00DB0FE6">
            <w:pPr>
              <w:spacing w:line="259" w:lineRule="auto"/>
              <w:ind w:left="3"/>
              <w:rPr>
                <w:rFonts w:ascii="Calibri" w:eastAsia="Calibri" w:hAnsi="Calibri" w:cs="Calibri"/>
                <w:color w:val="000000"/>
              </w:rPr>
            </w:pPr>
            <w:r w:rsidRPr="00DB0FE6">
              <w:rPr>
                <w:rFonts w:ascii="Calibri" w:eastAsia="Calibri" w:hAnsi="Calibri" w:cs="Calibri"/>
                <w:b/>
                <w:color w:val="000000"/>
              </w:rPr>
              <w:t>Business Owner</w:t>
            </w:r>
            <w:r w:rsidRPr="00DB0FE6">
              <w:rPr>
                <w:rFonts w:ascii="Calibri" w:eastAsia="Calibri" w:hAnsi="Calibri" w:cs="Calibri"/>
                <w:color w:val="000000"/>
              </w:rPr>
              <w:t xml:space="preserve"> </w:t>
            </w:r>
          </w:p>
        </w:tc>
      </w:tr>
      <w:tr w:rsidR="00DB0FE6" w:rsidRPr="00DB0FE6" w14:paraId="3422C586" w14:textId="77777777" w:rsidTr="002914CE">
        <w:trPr>
          <w:gridBefore w:val="1"/>
          <w:gridAfter w:val="1"/>
          <w:wBefore w:w="231" w:type="dxa"/>
          <w:wAfter w:w="335" w:type="dxa"/>
          <w:trHeight w:val="273"/>
        </w:trPr>
        <w:tc>
          <w:tcPr>
            <w:tcW w:w="1641" w:type="dxa"/>
            <w:gridSpan w:val="2"/>
            <w:tcBorders>
              <w:top w:val="single" w:sz="4" w:space="0" w:color="000000"/>
              <w:left w:val="single" w:sz="4" w:space="0" w:color="000000"/>
              <w:bottom w:val="single" w:sz="4" w:space="0" w:color="000000"/>
              <w:right w:val="single" w:sz="4" w:space="0" w:color="000000"/>
            </w:tcBorders>
            <w:vAlign w:val="bottom"/>
          </w:tcPr>
          <w:p w14:paraId="67781DDF"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 xml:space="preserve">Agency </w:t>
            </w:r>
          </w:p>
        </w:tc>
        <w:tc>
          <w:tcPr>
            <w:tcW w:w="1311" w:type="dxa"/>
            <w:gridSpan w:val="2"/>
            <w:tcBorders>
              <w:top w:val="single" w:sz="4" w:space="0" w:color="000000"/>
              <w:left w:val="single" w:sz="4" w:space="0" w:color="000000"/>
              <w:bottom w:val="single" w:sz="4" w:space="0" w:color="000000"/>
              <w:right w:val="single" w:sz="4" w:space="0" w:color="000000"/>
            </w:tcBorders>
            <w:vAlign w:val="center"/>
          </w:tcPr>
          <w:p w14:paraId="061ECF94" w14:textId="77777777" w:rsidR="00DB0FE6" w:rsidRPr="00DB0FE6" w:rsidRDefault="00DB0FE6" w:rsidP="00DB0FE6">
            <w:pPr>
              <w:spacing w:line="259" w:lineRule="auto"/>
              <w:rPr>
                <w:rFonts w:ascii="Calibri" w:eastAsia="Calibri" w:hAnsi="Calibri" w:cs="Calibri"/>
                <w:color w:val="000000"/>
              </w:rPr>
            </w:pPr>
          </w:p>
        </w:tc>
        <w:tc>
          <w:tcPr>
            <w:tcW w:w="3378" w:type="dxa"/>
            <w:tcBorders>
              <w:top w:val="single" w:sz="4" w:space="0" w:color="000000"/>
              <w:left w:val="single" w:sz="4" w:space="0" w:color="000000"/>
              <w:bottom w:val="single" w:sz="4" w:space="0" w:color="000000"/>
              <w:right w:val="single" w:sz="4" w:space="0" w:color="000000"/>
            </w:tcBorders>
          </w:tcPr>
          <w:p w14:paraId="670E12E4" w14:textId="77777777" w:rsidR="00DB0FE6" w:rsidRPr="00DB0FE6" w:rsidRDefault="00DB0FE6" w:rsidP="00DB0FE6">
            <w:pPr>
              <w:spacing w:line="259" w:lineRule="auto"/>
              <w:ind w:left="2"/>
              <w:rPr>
                <w:rFonts w:ascii="Calibri" w:eastAsia="Calibri" w:hAnsi="Calibri" w:cs="Calibri"/>
                <w:color w:val="000000"/>
              </w:rPr>
            </w:pPr>
            <w:r w:rsidRPr="00DB0FE6">
              <w:rPr>
                <w:rFonts w:ascii="Calibri" w:eastAsia="Calibri" w:hAnsi="Calibri" w:cs="Calibri"/>
                <w:color w:val="000000"/>
              </w:rPr>
              <w:t>For USD UNDP PL - UNDP, UNV</w:t>
            </w:r>
          </w:p>
        </w:tc>
        <w:tc>
          <w:tcPr>
            <w:tcW w:w="2411" w:type="dxa"/>
            <w:gridSpan w:val="2"/>
            <w:tcBorders>
              <w:top w:val="single" w:sz="4" w:space="0" w:color="000000"/>
              <w:left w:val="single" w:sz="4" w:space="0" w:color="000000"/>
              <w:bottom w:val="single" w:sz="4" w:space="0" w:color="000000"/>
              <w:right w:val="single" w:sz="4" w:space="0" w:color="000000"/>
            </w:tcBorders>
          </w:tcPr>
          <w:p w14:paraId="21F7A286" w14:textId="77777777" w:rsidR="00DB0FE6" w:rsidRPr="00DB0FE6" w:rsidRDefault="00DB0FE6" w:rsidP="00DB0FE6">
            <w:pPr>
              <w:spacing w:line="259" w:lineRule="auto"/>
              <w:ind w:left="3"/>
              <w:rPr>
                <w:rFonts w:ascii="Calibri" w:eastAsia="Calibri" w:hAnsi="Calibri" w:cs="Calibri"/>
                <w:color w:val="000000"/>
              </w:rPr>
            </w:pPr>
            <w:r w:rsidRPr="00DB0FE6">
              <w:rPr>
                <w:rFonts w:ascii="Calibri" w:eastAsia="Calibri" w:hAnsi="Calibri" w:cs="Calibri"/>
                <w:color w:val="000000"/>
              </w:rPr>
              <w:t xml:space="preserve">   </w:t>
            </w:r>
          </w:p>
        </w:tc>
      </w:tr>
      <w:tr w:rsidR="00DB0FE6" w:rsidRPr="00DB0FE6" w14:paraId="6C3CCFE0" w14:textId="77777777" w:rsidTr="002914CE">
        <w:trPr>
          <w:gridBefore w:val="1"/>
          <w:gridAfter w:val="1"/>
          <w:wBefore w:w="231" w:type="dxa"/>
          <w:wAfter w:w="335" w:type="dxa"/>
          <w:trHeight w:val="816"/>
        </w:trPr>
        <w:tc>
          <w:tcPr>
            <w:tcW w:w="1641" w:type="dxa"/>
            <w:gridSpan w:val="2"/>
            <w:tcBorders>
              <w:top w:val="single" w:sz="4" w:space="0" w:color="000000"/>
              <w:left w:val="single" w:sz="4" w:space="0" w:color="000000"/>
              <w:bottom w:val="single" w:sz="4" w:space="0" w:color="000000"/>
              <w:right w:val="single" w:sz="4" w:space="0" w:color="000000"/>
            </w:tcBorders>
          </w:tcPr>
          <w:p w14:paraId="35006D2A"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 xml:space="preserve">Operating Unit </w:t>
            </w:r>
          </w:p>
        </w:tc>
        <w:tc>
          <w:tcPr>
            <w:tcW w:w="1311" w:type="dxa"/>
            <w:gridSpan w:val="2"/>
            <w:tcBorders>
              <w:top w:val="single" w:sz="4" w:space="0" w:color="000000"/>
              <w:left w:val="single" w:sz="4" w:space="0" w:color="000000"/>
              <w:bottom w:val="single" w:sz="4" w:space="0" w:color="000000"/>
              <w:right w:val="single" w:sz="4" w:space="0" w:color="000000"/>
            </w:tcBorders>
            <w:vAlign w:val="center"/>
          </w:tcPr>
          <w:p w14:paraId="6C68A2AC"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 xml:space="preserve">3 </w:t>
            </w:r>
          </w:p>
        </w:tc>
        <w:tc>
          <w:tcPr>
            <w:tcW w:w="3378" w:type="dxa"/>
            <w:tcBorders>
              <w:top w:val="single" w:sz="4" w:space="0" w:color="000000"/>
              <w:left w:val="single" w:sz="4" w:space="0" w:color="000000"/>
              <w:bottom w:val="single" w:sz="4" w:space="0" w:color="000000"/>
              <w:right w:val="single" w:sz="4" w:space="0" w:color="000000"/>
            </w:tcBorders>
          </w:tcPr>
          <w:p w14:paraId="05358617" w14:textId="77777777" w:rsidR="00DB0FE6" w:rsidRPr="00DB0FE6" w:rsidRDefault="00DB0FE6" w:rsidP="00DB0FE6">
            <w:pPr>
              <w:spacing w:line="259" w:lineRule="auto"/>
              <w:ind w:left="2"/>
              <w:rPr>
                <w:rFonts w:ascii="Calibri" w:eastAsia="Calibri" w:hAnsi="Calibri" w:cs="Calibri"/>
                <w:color w:val="000000"/>
              </w:rPr>
            </w:pPr>
            <w:r w:rsidRPr="00DB0FE6">
              <w:rPr>
                <w:rFonts w:ascii="Calibri" w:eastAsia="Calibri" w:hAnsi="Calibri" w:cs="Calibri"/>
                <w:color w:val="000000"/>
              </w:rPr>
              <w:t xml:space="preserve">Operating Unit </w:t>
            </w:r>
          </w:p>
        </w:tc>
        <w:tc>
          <w:tcPr>
            <w:tcW w:w="2411" w:type="dxa"/>
            <w:gridSpan w:val="2"/>
            <w:tcBorders>
              <w:top w:val="single" w:sz="4" w:space="0" w:color="000000"/>
              <w:left w:val="single" w:sz="4" w:space="0" w:color="000000"/>
              <w:bottom w:val="single" w:sz="4" w:space="0" w:color="000000"/>
              <w:right w:val="single" w:sz="4" w:space="0" w:color="000000"/>
            </w:tcBorders>
          </w:tcPr>
          <w:p w14:paraId="7165DF84" w14:textId="77777777" w:rsidR="00DB0FE6" w:rsidRPr="00DB0FE6" w:rsidRDefault="00DB0FE6" w:rsidP="00DB0FE6">
            <w:pPr>
              <w:spacing w:line="259" w:lineRule="auto"/>
              <w:ind w:left="3"/>
              <w:rPr>
                <w:rFonts w:ascii="Calibri" w:eastAsia="Calibri" w:hAnsi="Calibri" w:cs="Calibri"/>
                <w:color w:val="000000"/>
              </w:rPr>
            </w:pPr>
            <w:r w:rsidRPr="00DB0FE6">
              <w:rPr>
                <w:rFonts w:ascii="Calibri" w:eastAsia="Calibri" w:hAnsi="Calibri" w:cs="Calibri"/>
                <w:color w:val="000000"/>
              </w:rPr>
              <w:t xml:space="preserve">Office of Human Resource (OHR) </w:t>
            </w:r>
          </w:p>
        </w:tc>
      </w:tr>
      <w:tr w:rsidR="00DB0FE6" w:rsidRPr="00DB0FE6" w14:paraId="73761601" w14:textId="77777777" w:rsidTr="002914CE">
        <w:trPr>
          <w:gridBefore w:val="1"/>
          <w:gridAfter w:val="1"/>
          <w:wBefore w:w="231" w:type="dxa"/>
          <w:wAfter w:w="335" w:type="dxa"/>
          <w:trHeight w:val="1085"/>
        </w:trPr>
        <w:tc>
          <w:tcPr>
            <w:tcW w:w="1641" w:type="dxa"/>
            <w:gridSpan w:val="2"/>
            <w:tcBorders>
              <w:top w:val="single" w:sz="4" w:space="0" w:color="000000"/>
              <w:left w:val="single" w:sz="4" w:space="0" w:color="000000"/>
              <w:bottom w:val="single" w:sz="4" w:space="0" w:color="000000"/>
              <w:right w:val="single" w:sz="4" w:space="0" w:color="000000"/>
            </w:tcBorders>
          </w:tcPr>
          <w:p w14:paraId="73FFA734"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 xml:space="preserve">Account </w:t>
            </w:r>
          </w:p>
        </w:tc>
        <w:tc>
          <w:tcPr>
            <w:tcW w:w="1311" w:type="dxa"/>
            <w:gridSpan w:val="2"/>
            <w:tcBorders>
              <w:top w:val="single" w:sz="4" w:space="0" w:color="000000"/>
              <w:left w:val="single" w:sz="4" w:space="0" w:color="000000"/>
              <w:bottom w:val="single" w:sz="4" w:space="0" w:color="000000"/>
              <w:right w:val="single" w:sz="4" w:space="0" w:color="000000"/>
            </w:tcBorders>
            <w:vAlign w:val="center"/>
          </w:tcPr>
          <w:p w14:paraId="31BE6636"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5</w:t>
            </w:r>
          </w:p>
        </w:tc>
        <w:tc>
          <w:tcPr>
            <w:tcW w:w="3378" w:type="dxa"/>
            <w:tcBorders>
              <w:top w:val="single" w:sz="4" w:space="0" w:color="000000"/>
              <w:left w:val="single" w:sz="4" w:space="0" w:color="000000"/>
              <w:bottom w:val="single" w:sz="4" w:space="0" w:color="000000"/>
              <w:right w:val="single" w:sz="4" w:space="0" w:color="000000"/>
            </w:tcBorders>
          </w:tcPr>
          <w:p w14:paraId="7063E3E1" w14:textId="77777777" w:rsidR="00DB0FE6" w:rsidRPr="00DB0FE6" w:rsidRDefault="00DB0FE6" w:rsidP="00DB0FE6">
            <w:pPr>
              <w:spacing w:line="239" w:lineRule="auto"/>
              <w:ind w:left="2" w:right="16"/>
              <w:rPr>
                <w:rFonts w:ascii="Calibri" w:eastAsia="Calibri" w:hAnsi="Calibri" w:cs="Calibri"/>
                <w:color w:val="000000"/>
              </w:rPr>
            </w:pPr>
            <w:r w:rsidRPr="00DB0FE6">
              <w:rPr>
                <w:rFonts w:ascii="Calibri" w:eastAsia="Calibri" w:hAnsi="Calibri" w:cs="Calibri"/>
                <w:color w:val="000000"/>
              </w:rPr>
              <w:t xml:space="preserve">Accounting element to classify assets, liabilities, equity, </w:t>
            </w:r>
          </w:p>
          <w:p w14:paraId="432A2CC5" w14:textId="77777777" w:rsidR="00DB0FE6" w:rsidRPr="00DB0FE6" w:rsidRDefault="00DB0FE6" w:rsidP="00DB0FE6">
            <w:pPr>
              <w:spacing w:line="259" w:lineRule="auto"/>
              <w:ind w:left="2"/>
              <w:rPr>
                <w:rFonts w:ascii="Calibri" w:eastAsia="Calibri" w:hAnsi="Calibri" w:cs="Calibri"/>
                <w:color w:val="000000"/>
              </w:rPr>
            </w:pPr>
            <w:r w:rsidRPr="00DB0FE6">
              <w:rPr>
                <w:rFonts w:ascii="Calibri" w:eastAsia="Calibri" w:hAnsi="Calibri" w:cs="Calibri"/>
                <w:color w:val="000000"/>
              </w:rPr>
              <w:t xml:space="preserve">revenue and expense </w:t>
            </w:r>
          </w:p>
        </w:tc>
        <w:tc>
          <w:tcPr>
            <w:tcW w:w="2411" w:type="dxa"/>
            <w:gridSpan w:val="2"/>
            <w:tcBorders>
              <w:top w:val="single" w:sz="4" w:space="0" w:color="000000"/>
              <w:left w:val="single" w:sz="4" w:space="0" w:color="000000"/>
              <w:bottom w:val="single" w:sz="4" w:space="0" w:color="000000"/>
              <w:right w:val="single" w:sz="4" w:space="0" w:color="000000"/>
            </w:tcBorders>
          </w:tcPr>
          <w:p w14:paraId="4404491F" w14:textId="77777777" w:rsidR="00DB0FE6" w:rsidRPr="00DB0FE6" w:rsidRDefault="00DB0FE6" w:rsidP="00DB0FE6">
            <w:pPr>
              <w:spacing w:line="259" w:lineRule="auto"/>
              <w:ind w:left="3"/>
              <w:rPr>
                <w:rFonts w:ascii="Calibri" w:eastAsia="Calibri" w:hAnsi="Calibri" w:cs="Calibri"/>
                <w:color w:val="000000"/>
              </w:rPr>
            </w:pPr>
            <w:r w:rsidRPr="00DB0FE6">
              <w:rPr>
                <w:rFonts w:ascii="Calibri" w:eastAsia="Calibri" w:hAnsi="Calibri" w:cs="Calibri"/>
                <w:color w:val="000000"/>
              </w:rPr>
              <w:t xml:space="preserve">Office of Financial Management (OFM)  </w:t>
            </w:r>
          </w:p>
        </w:tc>
      </w:tr>
      <w:tr w:rsidR="00DB0FE6" w:rsidRPr="00DB0FE6" w14:paraId="6B119FFD" w14:textId="77777777" w:rsidTr="002914CE">
        <w:trPr>
          <w:gridBefore w:val="1"/>
          <w:gridAfter w:val="1"/>
          <w:wBefore w:w="231" w:type="dxa"/>
          <w:wAfter w:w="335" w:type="dxa"/>
          <w:trHeight w:val="478"/>
        </w:trPr>
        <w:tc>
          <w:tcPr>
            <w:tcW w:w="1641" w:type="dxa"/>
            <w:gridSpan w:val="2"/>
            <w:tcBorders>
              <w:top w:val="single" w:sz="4" w:space="0" w:color="000000"/>
              <w:left w:val="single" w:sz="4" w:space="0" w:color="000000"/>
              <w:bottom w:val="single" w:sz="4" w:space="0" w:color="000000"/>
              <w:right w:val="single" w:sz="4" w:space="0" w:color="000000"/>
            </w:tcBorders>
          </w:tcPr>
          <w:p w14:paraId="14372C36"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 xml:space="preserve">Fund </w:t>
            </w:r>
          </w:p>
        </w:tc>
        <w:tc>
          <w:tcPr>
            <w:tcW w:w="1311" w:type="dxa"/>
            <w:gridSpan w:val="2"/>
            <w:tcBorders>
              <w:top w:val="single" w:sz="4" w:space="0" w:color="000000"/>
              <w:left w:val="single" w:sz="4" w:space="0" w:color="000000"/>
              <w:bottom w:val="single" w:sz="4" w:space="0" w:color="000000"/>
              <w:right w:val="single" w:sz="4" w:space="0" w:color="000000"/>
            </w:tcBorders>
            <w:vAlign w:val="center"/>
          </w:tcPr>
          <w:p w14:paraId="23A7D33C"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 xml:space="preserve">5 </w:t>
            </w:r>
          </w:p>
        </w:tc>
        <w:tc>
          <w:tcPr>
            <w:tcW w:w="3378" w:type="dxa"/>
            <w:tcBorders>
              <w:top w:val="single" w:sz="4" w:space="0" w:color="000000"/>
              <w:left w:val="single" w:sz="4" w:space="0" w:color="000000"/>
              <w:bottom w:val="single" w:sz="4" w:space="0" w:color="000000"/>
              <w:right w:val="single" w:sz="4" w:space="0" w:color="000000"/>
            </w:tcBorders>
          </w:tcPr>
          <w:p w14:paraId="785F6070" w14:textId="77777777" w:rsidR="00DB0FE6" w:rsidRPr="00DB0FE6" w:rsidRDefault="00DB0FE6" w:rsidP="00DB0FE6">
            <w:pPr>
              <w:spacing w:line="259" w:lineRule="auto"/>
              <w:ind w:left="2"/>
              <w:rPr>
                <w:rFonts w:ascii="Calibri" w:eastAsia="Calibri" w:hAnsi="Calibri" w:cs="Calibri"/>
                <w:color w:val="000000"/>
              </w:rPr>
            </w:pPr>
            <w:r w:rsidRPr="00DB0FE6">
              <w:rPr>
                <w:rFonts w:ascii="Calibri" w:eastAsia="Calibri" w:hAnsi="Calibri" w:cs="Calibri"/>
                <w:color w:val="000000"/>
              </w:rPr>
              <w:t xml:space="preserve">Fund  </w:t>
            </w:r>
          </w:p>
        </w:tc>
        <w:tc>
          <w:tcPr>
            <w:tcW w:w="2411" w:type="dxa"/>
            <w:gridSpan w:val="2"/>
            <w:tcBorders>
              <w:top w:val="single" w:sz="4" w:space="0" w:color="000000"/>
              <w:left w:val="single" w:sz="4" w:space="0" w:color="000000"/>
              <w:bottom w:val="single" w:sz="4" w:space="0" w:color="000000"/>
              <w:right w:val="single" w:sz="4" w:space="0" w:color="000000"/>
            </w:tcBorders>
            <w:vAlign w:val="bottom"/>
          </w:tcPr>
          <w:p w14:paraId="7E039900" w14:textId="77777777" w:rsidR="00DB0FE6" w:rsidRPr="00DB0FE6" w:rsidRDefault="00DB0FE6" w:rsidP="00DB0FE6">
            <w:pPr>
              <w:spacing w:line="259" w:lineRule="auto"/>
              <w:ind w:left="3"/>
              <w:rPr>
                <w:rFonts w:ascii="Calibri" w:eastAsia="Calibri" w:hAnsi="Calibri" w:cs="Calibri"/>
                <w:color w:val="000000"/>
              </w:rPr>
            </w:pPr>
            <w:r w:rsidRPr="00DB0FE6">
              <w:rPr>
                <w:rFonts w:ascii="Calibri" w:eastAsia="Calibri" w:hAnsi="Calibri" w:cs="Calibri"/>
                <w:color w:val="000000"/>
              </w:rPr>
              <w:t xml:space="preserve">OFM </w:t>
            </w:r>
          </w:p>
        </w:tc>
      </w:tr>
      <w:tr w:rsidR="00DB0FE6" w:rsidRPr="00DB0FE6" w14:paraId="4700103F" w14:textId="77777777" w:rsidTr="002914CE">
        <w:trPr>
          <w:gridBefore w:val="1"/>
          <w:gridAfter w:val="1"/>
          <w:wBefore w:w="231" w:type="dxa"/>
          <w:wAfter w:w="335" w:type="dxa"/>
          <w:trHeight w:val="314"/>
        </w:trPr>
        <w:tc>
          <w:tcPr>
            <w:tcW w:w="1641" w:type="dxa"/>
            <w:gridSpan w:val="2"/>
            <w:tcBorders>
              <w:top w:val="single" w:sz="4" w:space="0" w:color="000000"/>
              <w:left w:val="single" w:sz="4" w:space="0" w:color="000000"/>
              <w:bottom w:val="single" w:sz="4" w:space="0" w:color="000000"/>
              <w:right w:val="single" w:sz="4" w:space="0" w:color="000000"/>
            </w:tcBorders>
          </w:tcPr>
          <w:p w14:paraId="1E33AB04"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Cost Centre</w:t>
            </w:r>
          </w:p>
        </w:tc>
        <w:tc>
          <w:tcPr>
            <w:tcW w:w="1311" w:type="dxa"/>
            <w:gridSpan w:val="2"/>
            <w:tcBorders>
              <w:top w:val="single" w:sz="4" w:space="0" w:color="000000"/>
              <w:left w:val="single" w:sz="4" w:space="0" w:color="000000"/>
              <w:bottom w:val="single" w:sz="4" w:space="0" w:color="000000"/>
              <w:right w:val="single" w:sz="4" w:space="0" w:color="000000"/>
            </w:tcBorders>
          </w:tcPr>
          <w:p w14:paraId="3F3486E7"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 xml:space="preserve">5 </w:t>
            </w:r>
          </w:p>
        </w:tc>
        <w:tc>
          <w:tcPr>
            <w:tcW w:w="3378" w:type="dxa"/>
            <w:tcBorders>
              <w:top w:val="single" w:sz="4" w:space="0" w:color="000000"/>
              <w:left w:val="single" w:sz="4" w:space="0" w:color="000000"/>
              <w:bottom w:val="single" w:sz="4" w:space="0" w:color="000000"/>
              <w:right w:val="single" w:sz="4" w:space="0" w:color="000000"/>
            </w:tcBorders>
          </w:tcPr>
          <w:p w14:paraId="5D282C93" w14:textId="77777777" w:rsidR="00DB0FE6" w:rsidRPr="00DB0FE6" w:rsidRDefault="00DB0FE6" w:rsidP="00DB0FE6">
            <w:pPr>
              <w:spacing w:line="259" w:lineRule="auto"/>
              <w:ind w:left="2"/>
              <w:rPr>
                <w:rFonts w:ascii="Calibri" w:eastAsia="Calibri" w:hAnsi="Calibri" w:cs="Calibri"/>
                <w:color w:val="000000"/>
              </w:rPr>
            </w:pPr>
            <w:r w:rsidRPr="00DB0FE6">
              <w:rPr>
                <w:rFonts w:ascii="Calibri" w:eastAsia="Calibri" w:hAnsi="Calibri" w:cs="Calibri"/>
                <w:color w:val="000000"/>
              </w:rPr>
              <w:t xml:space="preserve">Organizational element  </w:t>
            </w:r>
          </w:p>
        </w:tc>
        <w:tc>
          <w:tcPr>
            <w:tcW w:w="2411" w:type="dxa"/>
            <w:gridSpan w:val="2"/>
            <w:tcBorders>
              <w:top w:val="single" w:sz="4" w:space="0" w:color="000000"/>
              <w:left w:val="single" w:sz="4" w:space="0" w:color="000000"/>
              <w:bottom w:val="single" w:sz="4" w:space="0" w:color="000000"/>
              <w:right w:val="single" w:sz="4" w:space="0" w:color="000000"/>
            </w:tcBorders>
          </w:tcPr>
          <w:p w14:paraId="6942E961" w14:textId="77777777" w:rsidR="00DB0FE6" w:rsidRPr="00DB0FE6" w:rsidRDefault="00DB0FE6" w:rsidP="00DB0FE6">
            <w:pPr>
              <w:spacing w:line="259" w:lineRule="auto"/>
              <w:ind w:left="3"/>
              <w:rPr>
                <w:rFonts w:ascii="Calibri" w:eastAsia="Calibri" w:hAnsi="Calibri" w:cs="Calibri"/>
                <w:color w:val="000000"/>
              </w:rPr>
            </w:pPr>
            <w:r w:rsidRPr="00DB0FE6">
              <w:rPr>
                <w:rFonts w:ascii="Calibri" w:eastAsia="Calibri" w:hAnsi="Calibri" w:cs="Calibri"/>
                <w:color w:val="000000"/>
              </w:rPr>
              <w:t xml:space="preserve">OHR  </w:t>
            </w:r>
          </w:p>
        </w:tc>
      </w:tr>
      <w:tr w:rsidR="00DB0FE6" w:rsidRPr="00DB0FE6" w14:paraId="03777C32" w14:textId="77777777" w:rsidTr="002914CE">
        <w:trPr>
          <w:gridBefore w:val="1"/>
          <w:gridAfter w:val="1"/>
          <w:wBefore w:w="231" w:type="dxa"/>
          <w:wAfter w:w="335" w:type="dxa"/>
          <w:trHeight w:val="281"/>
        </w:trPr>
        <w:tc>
          <w:tcPr>
            <w:tcW w:w="1641" w:type="dxa"/>
            <w:gridSpan w:val="2"/>
            <w:tcBorders>
              <w:top w:val="single" w:sz="4" w:space="0" w:color="000000"/>
              <w:left w:val="single" w:sz="4" w:space="0" w:color="000000"/>
              <w:bottom w:val="single" w:sz="4" w:space="0" w:color="000000"/>
              <w:right w:val="single" w:sz="4" w:space="0" w:color="000000"/>
            </w:tcBorders>
          </w:tcPr>
          <w:p w14:paraId="687C0AD7"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 xml:space="preserve">Project  </w:t>
            </w:r>
          </w:p>
        </w:tc>
        <w:tc>
          <w:tcPr>
            <w:tcW w:w="1311" w:type="dxa"/>
            <w:gridSpan w:val="2"/>
            <w:tcBorders>
              <w:top w:val="single" w:sz="4" w:space="0" w:color="000000"/>
              <w:left w:val="single" w:sz="4" w:space="0" w:color="000000"/>
              <w:bottom w:val="single" w:sz="4" w:space="0" w:color="000000"/>
              <w:right w:val="single" w:sz="4" w:space="0" w:color="000000"/>
            </w:tcBorders>
          </w:tcPr>
          <w:p w14:paraId="79B8BEA8"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 xml:space="preserve">8 </w:t>
            </w:r>
          </w:p>
        </w:tc>
        <w:tc>
          <w:tcPr>
            <w:tcW w:w="3378" w:type="dxa"/>
            <w:tcBorders>
              <w:top w:val="single" w:sz="4" w:space="0" w:color="000000"/>
              <w:left w:val="single" w:sz="4" w:space="0" w:color="000000"/>
              <w:bottom w:val="single" w:sz="4" w:space="0" w:color="000000"/>
              <w:right w:val="single" w:sz="4" w:space="0" w:color="000000"/>
            </w:tcBorders>
          </w:tcPr>
          <w:p w14:paraId="3F772A18" w14:textId="77777777" w:rsidR="00DB0FE6" w:rsidRPr="00DB0FE6" w:rsidRDefault="00DB0FE6" w:rsidP="00DB0FE6">
            <w:pPr>
              <w:spacing w:line="259" w:lineRule="auto"/>
              <w:ind w:left="2"/>
              <w:rPr>
                <w:rFonts w:ascii="Calibri" w:eastAsia="Calibri" w:hAnsi="Calibri" w:cs="Calibri"/>
                <w:color w:val="000000"/>
              </w:rPr>
            </w:pPr>
            <w:r w:rsidRPr="00DB0FE6">
              <w:rPr>
                <w:rFonts w:ascii="Calibri" w:eastAsia="Calibri" w:hAnsi="Calibri" w:cs="Calibri"/>
                <w:color w:val="000000"/>
              </w:rPr>
              <w:t xml:space="preserve">Project identifier </w:t>
            </w:r>
          </w:p>
        </w:tc>
        <w:tc>
          <w:tcPr>
            <w:tcW w:w="2411" w:type="dxa"/>
            <w:gridSpan w:val="2"/>
            <w:tcBorders>
              <w:top w:val="single" w:sz="4" w:space="0" w:color="000000"/>
              <w:left w:val="single" w:sz="4" w:space="0" w:color="000000"/>
              <w:bottom w:val="single" w:sz="4" w:space="0" w:color="000000"/>
              <w:right w:val="single" w:sz="4" w:space="0" w:color="000000"/>
            </w:tcBorders>
          </w:tcPr>
          <w:p w14:paraId="5996A652" w14:textId="77777777" w:rsidR="00DB0FE6" w:rsidRPr="00DB0FE6" w:rsidRDefault="00DB0FE6" w:rsidP="00DB0FE6">
            <w:pPr>
              <w:spacing w:line="259" w:lineRule="auto"/>
              <w:ind w:left="3"/>
              <w:rPr>
                <w:rFonts w:ascii="Calibri" w:eastAsia="Calibri" w:hAnsi="Calibri" w:cs="Calibri"/>
                <w:color w:val="000000"/>
              </w:rPr>
            </w:pPr>
            <w:r w:rsidRPr="00DB0FE6">
              <w:rPr>
                <w:rFonts w:ascii="Calibri" w:eastAsia="Calibri" w:hAnsi="Calibri" w:cs="Calibri"/>
                <w:color w:val="000000"/>
              </w:rPr>
              <w:t>Finance Business Advisor (FBA)</w:t>
            </w:r>
          </w:p>
        </w:tc>
      </w:tr>
      <w:tr w:rsidR="00DB0FE6" w:rsidRPr="00DB0FE6" w14:paraId="47233CDD" w14:textId="77777777" w:rsidTr="002914CE">
        <w:trPr>
          <w:gridBefore w:val="1"/>
          <w:gridAfter w:val="1"/>
          <w:wBefore w:w="231" w:type="dxa"/>
          <w:wAfter w:w="335" w:type="dxa"/>
          <w:trHeight w:val="281"/>
        </w:trPr>
        <w:tc>
          <w:tcPr>
            <w:tcW w:w="1641" w:type="dxa"/>
            <w:gridSpan w:val="2"/>
            <w:tcBorders>
              <w:top w:val="single" w:sz="4" w:space="0" w:color="000000"/>
              <w:left w:val="single" w:sz="4" w:space="0" w:color="000000"/>
              <w:bottom w:val="single" w:sz="4" w:space="0" w:color="000000"/>
              <w:right w:val="single" w:sz="4" w:space="0" w:color="000000"/>
            </w:tcBorders>
          </w:tcPr>
          <w:p w14:paraId="19E44CEE"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Donor</w:t>
            </w:r>
          </w:p>
        </w:tc>
        <w:tc>
          <w:tcPr>
            <w:tcW w:w="1311" w:type="dxa"/>
            <w:gridSpan w:val="2"/>
            <w:tcBorders>
              <w:top w:val="single" w:sz="4" w:space="0" w:color="000000"/>
              <w:left w:val="single" w:sz="4" w:space="0" w:color="000000"/>
              <w:bottom w:val="single" w:sz="4" w:space="0" w:color="000000"/>
              <w:right w:val="single" w:sz="4" w:space="0" w:color="000000"/>
            </w:tcBorders>
          </w:tcPr>
          <w:p w14:paraId="6667F3DE"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6</w:t>
            </w:r>
          </w:p>
        </w:tc>
        <w:tc>
          <w:tcPr>
            <w:tcW w:w="3378" w:type="dxa"/>
            <w:tcBorders>
              <w:top w:val="single" w:sz="4" w:space="0" w:color="000000"/>
              <w:left w:val="single" w:sz="4" w:space="0" w:color="000000"/>
              <w:bottom w:val="single" w:sz="4" w:space="0" w:color="000000"/>
              <w:right w:val="single" w:sz="4" w:space="0" w:color="000000"/>
            </w:tcBorders>
          </w:tcPr>
          <w:p w14:paraId="3D036856" w14:textId="77777777" w:rsidR="00DB0FE6" w:rsidRPr="00DB0FE6" w:rsidRDefault="00DB0FE6" w:rsidP="00DB0FE6">
            <w:pPr>
              <w:spacing w:line="259" w:lineRule="auto"/>
              <w:ind w:left="2"/>
              <w:rPr>
                <w:rFonts w:ascii="Calibri" w:eastAsia="Calibri" w:hAnsi="Calibri" w:cs="Calibri"/>
                <w:color w:val="000000"/>
              </w:rPr>
            </w:pPr>
            <w:r w:rsidRPr="00DB0FE6">
              <w:rPr>
                <w:rFonts w:ascii="Calibri" w:eastAsia="Calibri" w:hAnsi="Calibri" w:cs="Calibri"/>
                <w:color w:val="000000"/>
              </w:rPr>
              <w:t>Donor</w:t>
            </w:r>
          </w:p>
        </w:tc>
        <w:tc>
          <w:tcPr>
            <w:tcW w:w="2411" w:type="dxa"/>
            <w:gridSpan w:val="2"/>
            <w:tcBorders>
              <w:top w:val="single" w:sz="4" w:space="0" w:color="000000"/>
              <w:left w:val="single" w:sz="4" w:space="0" w:color="000000"/>
              <w:bottom w:val="single" w:sz="4" w:space="0" w:color="000000"/>
              <w:right w:val="single" w:sz="4" w:space="0" w:color="000000"/>
            </w:tcBorders>
          </w:tcPr>
          <w:p w14:paraId="46C6792B" w14:textId="77777777" w:rsidR="00DB0FE6" w:rsidRPr="00DB0FE6" w:rsidRDefault="00DB0FE6" w:rsidP="00DB0FE6">
            <w:pPr>
              <w:spacing w:line="259" w:lineRule="auto"/>
              <w:ind w:left="3"/>
              <w:rPr>
                <w:rFonts w:ascii="Calibri" w:eastAsia="Calibri" w:hAnsi="Calibri" w:cs="Calibri"/>
                <w:color w:val="000000"/>
              </w:rPr>
            </w:pPr>
            <w:proofErr w:type="spellStart"/>
            <w:r w:rsidRPr="00DB0FE6">
              <w:rPr>
                <w:rFonts w:ascii="Calibri" w:eastAsia="Calibri" w:hAnsi="Calibri" w:cs="Calibri"/>
                <w:color w:val="000000"/>
              </w:rPr>
              <w:t>Parnter</w:t>
            </w:r>
            <w:proofErr w:type="spellEnd"/>
            <w:r w:rsidRPr="00DB0FE6">
              <w:rPr>
                <w:rFonts w:ascii="Calibri" w:eastAsia="Calibri" w:hAnsi="Calibri" w:cs="Calibri"/>
                <w:color w:val="000000"/>
              </w:rPr>
              <w:t xml:space="preserve"> and Donor Interactive (PDI)</w:t>
            </w:r>
          </w:p>
        </w:tc>
      </w:tr>
      <w:tr w:rsidR="00DB0FE6" w:rsidRPr="00DB0FE6" w14:paraId="4F5CBEBD" w14:textId="77777777" w:rsidTr="002914CE">
        <w:trPr>
          <w:gridBefore w:val="1"/>
          <w:gridAfter w:val="1"/>
          <w:wBefore w:w="231" w:type="dxa"/>
          <w:wAfter w:w="335" w:type="dxa"/>
          <w:trHeight w:val="281"/>
        </w:trPr>
        <w:tc>
          <w:tcPr>
            <w:tcW w:w="1641" w:type="dxa"/>
            <w:gridSpan w:val="2"/>
            <w:tcBorders>
              <w:top w:val="single" w:sz="4" w:space="0" w:color="000000"/>
              <w:left w:val="single" w:sz="4" w:space="0" w:color="000000"/>
              <w:bottom w:val="single" w:sz="4" w:space="0" w:color="000000"/>
              <w:right w:val="single" w:sz="4" w:space="0" w:color="000000"/>
            </w:tcBorders>
          </w:tcPr>
          <w:p w14:paraId="2DE2C6C0"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Currency Code</w:t>
            </w:r>
          </w:p>
        </w:tc>
        <w:tc>
          <w:tcPr>
            <w:tcW w:w="1311" w:type="dxa"/>
            <w:gridSpan w:val="2"/>
            <w:tcBorders>
              <w:top w:val="single" w:sz="4" w:space="0" w:color="000000"/>
              <w:left w:val="single" w:sz="4" w:space="0" w:color="000000"/>
              <w:bottom w:val="single" w:sz="4" w:space="0" w:color="000000"/>
              <w:right w:val="single" w:sz="4" w:space="0" w:color="000000"/>
            </w:tcBorders>
          </w:tcPr>
          <w:p w14:paraId="6FEF6CC5"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3</w:t>
            </w:r>
          </w:p>
        </w:tc>
        <w:tc>
          <w:tcPr>
            <w:tcW w:w="3378" w:type="dxa"/>
            <w:tcBorders>
              <w:top w:val="single" w:sz="4" w:space="0" w:color="000000"/>
              <w:left w:val="single" w:sz="4" w:space="0" w:color="000000"/>
              <w:bottom w:val="single" w:sz="4" w:space="0" w:color="000000"/>
              <w:right w:val="single" w:sz="4" w:space="0" w:color="000000"/>
            </w:tcBorders>
          </w:tcPr>
          <w:p w14:paraId="4F2CA42C" w14:textId="77777777" w:rsidR="00DB0FE6" w:rsidRPr="00DB0FE6" w:rsidRDefault="00DB0FE6" w:rsidP="00DB0FE6">
            <w:pPr>
              <w:spacing w:line="259" w:lineRule="auto"/>
              <w:ind w:left="2"/>
              <w:rPr>
                <w:rFonts w:ascii="Calibri" w:eastAsia="Calibri" w:hAnsi="Calibri" w:cs="Calibri"/>
                <w:color w:val="000000"/>
              </w:rPr>
            </w:pPr>
            <w:r w:rsidRPr="00DB0FE6">
              <w:rPr>
                <w:rFonts w:ascii="Calibri" w:eastAsia="Calibri" w:hAnsi="Calibri" w:cs="Calibri"/>
                <w:color w:val="000000"/>
              </w:rPr>
              <w:t>Local currency</w:t>
            </w:r>
          </w:p>
        </w:tc>
        <w:tc>
          <w:tcPr>
            <w:tcW w:w="2411" w:type="dxa"/>
            <w:gridSpan w:val="2"/>
            <w:tcBorders>
              <w:top w:val="single" w:sz="4" w:space="0" w:color="000000"/>
              <w:left w:val="single" w:sz="4" w:space="0" w:color="000000"/>
              <w:bottom w:val="single" w:sz="4" w:space="0" w:color="000000"/>
              <w:right w:val="single" w:sz="4" w:space="0" w:color="000000"/>
            </w:tcBorders>
          </w:tcPr>
          <w:p w14:paraId="7EA30752" w14:textId="77777777" w:rsidR="00DB0FE6" w:rsidRPr="00DB0FE6" w:rsidRDefault="00DB0FE6" w:rsidP="00DB0FE6">
            <w:pPr>
              <w:spacing w:line="259" w:lineRule="auto"/>
              <w:ind w:left="3"/>
              <w:rPr>
                <w:rFonts w:ascii="Calibri" w:eastAsia="Calibri" w:hAnsi="Calibri" w:cs="Calibri"/>
                <w:color w:val="000000"/>
              </w:rPr>
            </w:pPr>
            <w:r w:rsidRPr="00DB0FE6">
              <w:rPr>
                <w:rFonts w:ascii="Calibri" w:eastAsia="Calibri" w:hAnsi="Calibri" w:cs="Calibri"/>
                <w:color w:val="000000"/>
              </w:rPr>
              <w:t>Treasury</w:t>
            </w:r>
          </w:p>
        </w:tc>
      </w:tr>
      <w:tr w:rsidR="00DB0FE6" w:rsidRPr="00DB0FE6" w14:paraId="53F9BBAD" w14:textId="77777777" w:rsidTr="002914CE">
        <w:trPr>
          <w:gridBefore w:val="1"/>
          <w:gridAfter w:val="1"/>
          <w:wBefore w:w="231" w:type="dxa"/>
          <w:wAfter w:w="335" w:type="dxa"/>
          <w:trHeight w:val="281"/>
        </w:trPr>
        <w:tc>
          <w:tcPr>
            <w:tcW w:w="1641" w:type="dxa"/>
            <w:gridSpan w:val="2"/>
            <w:tcBorders>
              <w:top w:val="single" w:sz="4" w:space="0" w:color="000000"/>
              <w:left w:val="single" w:sz="4" w:space="0" w:color="000000"/>
              <w:bottom w:val="single" w:sz="4" w:space="0" w:color="000000"/>
              <w:right w:val="single" w:sz="4" w:space="0" w:color="000000"/>
            </w:tcBorders>
          </w:tcPr>
          <w:p w14:paraId="340E2C82"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Fiscal Year</w:t>
            </w:r>
          </w:p>
        </w:tc>
        <w:tc>
          <w:tcPr>
            <w:tcW w:w="1311" w:type="dxa"/>
            <w:gridSpan w:val="2"/>
            <w:tcBorders>
              <w:top w:val="single" w:sz="4" w:space="0" w:color="000000"/>
              <w:left w:val="single" w:sz="4" w:space="0" w:color="000000"/>
              <w:bottom w:val="single" w:sz="4" w:space="0" w:color="000000"/>
              <w:right w:val="single" w:sz="4" w:space="0" w:color="000000"/>
            </w:tcBorders>
          </w:tcPr>
          <w:p w14:paraId="1ECE3485"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4</w:t>
            </w:r>
          </w:p>
        </w:tc>
        <w:tc>
          <w:tcPr>
            <w:tcW w:w="3378" w:type="dxa"/>
            <w:tcBorders>
              <w:top w:val="single" w:sz="4" w:space="0" w:color="000000"/>
              <w:left w:val="single" w:sz="4" w:space="0" w:color="000000"/>
              <w:bottom w:val="single" w:sz="4" w:space="0" w:color="000000"/>
              <w:right w:val="single" w:sz="4" w:space="0" w:color="000000"/>
            </w:tcBorders>
          </w:tcPr>
          <w:p w14:paraId="67C19C1E" w14:textId="77777777" w:rsidR="00DB0FE6" w:rsidRPr="00DB0FE6" w:rsidRDefault="00DB0FE6" w:rsidP="00DB0FE6">
            <w:pPr>
              <w:spacing w:line="259" w:lineRule="auto"/>
              <w:ind w:left="2"/>
              <w:rPr>
                <w:rFonts w:ascii="Calibri" w:eastAsia="Calibri" w:hAnsi="Calibri" w:cs="Calibri"/>
                <w:color w:val="000000"/>
              </w:rPr>
            </w:pPr>
            <w:r w:rsidRPr="00DB0FE6">
              <w:rPr>
                <w:rFonts w:ascii="Calibri" w:eastAsia="Calibri" w:hAnsi="Calibri" w:cs="Calibri"/>
                <w:color w:val="000000"/>
              </w:rPr>
              <w:t>Fiscal year of ledger balance</w:t>
            </w:r>
          </w:p>
        </w:tc>
        <w:tc>
          <w:tcPr>
            <w:tcW w:w="2411" w:type="dxa"/>
            <w:gridSpan w:val="2"/>
            <w:tcBorders>
              <w:top w:val="single" w:sz="4" w:space="0" w:color="000000"/>
              <w:left w:val="single" w:sz="4" w:space="0" w:color="000000"/>
              <w:bottom w:val="single" w:sz="4" w:space="0" w:color="000000"/>
              <w:right w:val="single" w:sz="4" w:space="0" w:color="000000"/>
            </w:tcBorders>
          </w:tcPr>
          <w:p w14:paraId="098F27E2" w14:textId="77777777" w:rsidR="00DB0FE6" w:rsidRPr="00DB0FE6" w:rsidRDefault="00DB0FE6" w:rsidP="00DB0FE6">
            <w:pPr>
              <w:spacing w:line="259" w:lineRule="auto"/>
              <w:ind w:left="3"/>
              <w:rPr>
                <w:rFonts w:ascii="Calibri" w:eastAsia="Calibri" w:hAnsi="Calibri" w:cs="Calibri"/>
                <w:color w:val="000000"/>
              </w:rPr>
            </w:pPr>
            <w:r w:rsidRPr="00DB0FE6">
              <w:rPr>
                <w:rFonts w:ascii="Calibri" w:eastAsia="Calibri" w:hAnsi="Calibri" w:cs="Calibri"/>
                <w:color w:val="000000"/>
              </w:rPr>
              <w:t>OFM</w:t>
            </w:r>
          </w:p>
        </w:tc>
      </w:tr>
      <w:tr w:rsidR="00DB0FE6" w:rsidRPr="00DB0FE6" w14:paraId="5DD91724" w14:textId="77777777" w:rsidTr="002914CE">
        <w:trPr>
          <w:gridBefore w:val="1"/>
          <w:gridAfter w:val="1"/>
          <w:wBefore w:w="231" w:type="dxa"/>
          <w:wAfter w:w="335" w:type="dxa"/>
          <w:trHeight w:val="281"/>
        </w:trPr>
        <w:tc>
          <w:tcPr>
            <w:tcW w:w="1641" w:type="dxa"/>
            <w:gridSpan w:val="2"/>
            <w:tcBorders>
              <w:top w:val="single" w:sz="4" w:space="0" w:color="000000"/>
              <w:left w:val="single" w:sz="4" w:space="0" w:color="000000"/>
              <w:bottom w:val="single" w:sz="4" w:space="0" w:color="000000"/>
              <w:right w:val="single" w:sz="4" w:space="0" w:color="000000"/>
            </w:tcBorders>
          </w:tcPr>
          <w:p w14:paraId="2EA1CCFE"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Accounting Period</w:t>
            </w:r>
          </w:p>
        </w:tc>
        <w:tc>
          <w:tcPr>
            <w:tcW w:w="1311" w:type="dxa"/>
            <w:gridSpan w:val="2"/>
            <w:tcBorders>
              <w:top w:val="single" w:sz="4" w:space="0" w:color="000000"/>
              <w:left w:val="single" w:sz="4" w:space="0" w:color="000000"/>
              <w:bottom w:val="single" w:sz="4" w:space="0" w:color="000000"/>
              <w:right w:val="single" w:sz="4" w:space="0" w:color="000000"/>
            </w:tcBorders>
          </w:tcPr>
          <w:p w14:paraId="1041EA64"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8</w:t>
            </w:r>
          </w:p>
        </w:tc>
        <w:tc>
          <w:tcPr>
            <w:tcW w:w="3378" w:type="dxa"/>
            <w:tcBorders>
              <w:top w:val="single" w:sz="4" w:space="0" w:color="000000"/>
              <w:left w:val="single" w:sz="4" w:space="0" w:color="000000"/>
              <w:bottom w:val="single" w:sz="4" w:space="0" w:color="000000"/>
              <w:right w:val="single" w:sz="4" w:space="0" w:color="000000"/>
            </w:tcBorders>
          </w:tcPr>
          <w:p w14:paraId="4BC9C80F" w14:textId="77777777" w:rsidR="00DB0FE6" w:rsidRPr="00DB0FE6" w:rsidRDefault="00DB0FE6" w:rsidP="00DB0FE6">
            <w:pPr>
              <w:spacing w:line="259" w:lineRule="auto"/>
              <w:ind w:left="2"/>
              <w:rPr>
                <w:rFonts w:ascii="Calibri" w:eastAsia="Calibri" w:hAnsi="Calibri" w:cs="Calibri"/>
                <w:color w:val="000000"/>
              </w:rPr>
            </w:pPr>
            <w:r w:rsidRPr="00DB0FE6">
              <w:rPr>
                <w:rFonts w:ascii="Calibri" w:eastAsia="Calibri" w:hAnsi="Calibri" w:cs="Calibri"/>
                <w:color w:val="000000"/>
              </w:rPr>
              <w:t>Accounting period of ledger transaction</w:t>
            </w:r>
          </w:p>
        </w:tc>
        <w:tc>
          <w:tcPr>
            <w:tcW w:w="2411" w:type="dxa"/>
            <w:gridSpan w:val="2"/>
            <w:tcBorders>
              <w:top w:val="single" w:sz="4" w:space="0" w:color="000000"/>
              <w:left w:val="single" w:sz="4" w:space="0" w:color="000000"/>
              <w:bottom w:val="single" w:sz="4" w:space="0" w:color="000000"/>
              <w:right w:val="single" w:sz="4" w:space="0" w:color="000000"/>
            </w:tcBorders>
          </w:tcPr>
          <w:p w14:paraId="170CB71A" w14:textId="77777777" w:rsidR="00DB0FE6" w:rsidRPr="00DB0FE6" w:rsidRDefault="00DB0FE6" w:rsidP="00DB0FE6">
            <w:pPr>
              <w:spacing w:line="259" w:lineRule="auto"/>
              <w:ind w:left="3"/>
              <w:rPr>
                <w:rFonts w:ascii="Calibri" w:eastAsia="Calibri" w:hAnsi="Calibri" w:cs="Calibri"/>
                <w:color w:val="000000"/>
              </w:rPr>
            </w:pPr>
            <w:r w:rsidRPr="00DB0FE6">
              <w:rPr>
                <w:rFonts w:ascii="Calibri" w:eastAsia="Calibri" w:hAnsi="Calibri" w:cs="Calibri"/>
                <w:color w:val="000000"/>
              </w:rPr>
              <w:t>OFM</w:t>
            </w:r>
          </w:p>
        </w:tc>
      </w:tr>
      <w:tr w:rsidR="00DB0FE6" w:rsidRPr="00DB0FE6" w14:paraId="4989F377" w14:textId="77777777" w:rsidTr="002914CE">
        <w:tblPrEx>
          <w:tblCellMar>
            <w:left w:w="29" w:type="dxa"/>
            <w:bottom w:w="1" w:type="dxa"/>
            <w:right w:w="80" w:type="dxa"/>
          </w:tblCellMar>
        </w:tblPrEx>
        <w:trPr>
          <w:trHeight w:val="272"/>
        </w:trPr>
        <w:tc>
          <w:tcPr>
            <w:tcW w:w="1774" w:type="dxa"/>
            <w:gridSpan w:val="2"/>
            <w:tcBorders>
              <w:top w:val="nil"/>
              <w:left w:val="nil"/>
              <w:bottom w:val="nil"/>
              <w:right w:val="nil"/>
            </w:tcBorders>
            <w:shd w:val="clear" w:color="auto" w:fill="FFFFFF"/>
          </w:tcPr>
          <w:p w14:paraId="6C59B0D8" w14:textId="77777777" w:rsidR="00DB0FE6" w:rsidRPr="00DB0FE6" w:rsidRDefault="00DB0FE6" w:rsidP="00DB0FE6">
            <w:pPr>
              <w:spacing w:line="259" w:lineRule="auto"/>
              <w:rPr>
                <w:rFonts w:ascii="Calibri" w:eastAsia="Calibri" w:hAnsi="Calibri" w:cs="Calibri"/>
                <w:color w:val="000000"/>
              </w:rPr>
            </w:pPr>
            <w:r w:rsidRPr="00DB0FE6">
              <w:rPr>
                <w:rFonts w:ascii="Calibri" w:eastAsia="Calibri" w:hAnsi="Calibri" w:cs="Calibri"/>
                <w:color w:val="000000"/>
              </w:rPr>
              <w:t xml:space="preserve"> </w:t>
            </w:r>
          </w:p>
        </w:tc>
        <w:tc>
          <w:tcPr>
            <w:tcW w:w="1349" w:type="dxa"/>
            <w:gridSpan w:val="2"/>
            <w:tcBorders>
              <w:top w:val="single" w:sz="4" w:space="0" w:color="000000"/>
              <w:left w:val="nil"/>
              <w:bottom w:val="nil"/>
              <w:right w:val="nil"/>
            </w:tcBorders>
            <w:shd w:val="clear" w:color="auto" w:fill="FFFFFF"/>
            <w:vAlign w:val="bottom"/>
          </w:tcPr>
          <w:p w14:paraId="47E23678" w14:textId="77777777" w:rsidR="00DB0FE6" w:rsidRPr="00DB0FE6" w:rsidRDefault="00DB0FE6" w:rsidP="00DB0FE6">
            <w:pPr>
              <w:spacing w:line="259" w:lineRule="auto"/>
              <w:rPr>
                <w:rFonts w:ascii="Calibri" w:eastAsia="Calibri" w:hAnsi="Calibri" w:cs="Calibri"/>
                <w:color w:val="000000"/>
              </w:rPr>
            </w:pPr>
          </w:p>
        </w:tc>
        <w:tc>
          <w:tcPr>
            <w:tcW w:w="3569" w:type="dxa"/>
            <w:gridSpan w:val="3"/>
            <w:tcBorders>
              <w:top w:val="single" w:sz="4" w:space="0" w:color="000000"/>
              <w:left w:val="nil"/>
              <w:bottom w:val="nil"/>
              <w:right w:val="nil"/>
            </w:tcBorders>
            <w:shd w:val="clear" w:color="auto" w:fill="FFFFFF"/>
            <w:vAlign w:val="bottom"/>
          </w:tcPr>
          <w:p w14:paraId="4C5077EE" w14:textId="77777777" w:rsidR="00DB0FE6" w:rsidRPr="00DB0FE6" w:rsidRDefault="00DB0FE6" w:rsidP="00DB0FE6">
            <w:pPr>
              <w:spacing w:line="259" w:lineRule="auto"/>
              <w:rPr>
                <w:rFonts w:ascii="Calibri" w:eastAsia="Calibri" w:hAnsi="Calibri" w:cs="Calibri"/>
                <w:color w:val="000000"/>
              </w:rPr>
            </w:pPr>
          </w:p>
        </w:tc>
        <w:tc>
          <w:tcPr>
            <w:tcW w:w="2615" w:type="dxa"/>
            <w:gridSpan w:val="2"/>
            <w:tcBorders>
              <w:top w:val="single" w:sz="4" w:space="0" w:color="000000"/>
              <w:left w:val="nil"/>
              <w:bottom w:val="nil"/>
              <w:right w:val="nil"/>
            </w:tcBorders>
            <w:shd w:val="clear" w:color="auto" w:fill="FFFFFF"/>
            <w:vAlign w:val="center"/>
          </w:tcPr>
          <w:p w14:paraId="4615B33D" w14:textId="77777777" w:rsidR="00DB0FE6" w:rsidRPr="00DB0FE6" w:rsidRDefault="00DB0FE6" w:rsidP="00DB0FE6">
            <w:pPr>
              <w:spacing w:line="259" w:lineRule="auto"/>
              <w:rPr>
                <w:rFonts w:ascii="Calibri" w:eastAsia="Calibri" w:hAnsi="Calibri" w:cs="Calibri"/>
                <w:color w:val="000000"/>
              </w:rPr>
            </w:pPr>
          </w:p>
        </w:tc>
      </w:tr>
    </w:tbl>
    <w:p w14:paraId="4C4E00EF" w14:textId="77777777" w:rsidR="00DB0FE6" w:rsidRPr="00DB0FE6" w:rsidRDefault="00DB0FE6" w:rsidP="00DB0FE6">
      <w:pPr>
        <w:spacing w:after="4" w:line="250" w:lineRule="auto"/>
        <w:ind w:left="360" w:right="3"/>
        <w:jc w:val="both"/>
        <w:rPr>
          <w:rFonts w:ascii="Calibri" w:eastAsia="Calibri" w:hAnsi="Calibri" w:cs="Calibri"/>
          <w:color w:val="000000"/>
          <w:kern w:val="0"/>
          <w:sz w:val="22"/>
          <w:szCs w:val="22"/>
          <w14:ligatures w14:val="none"/>
        </w:rPr>
      </w:pPr>
    </w:p>
    <w:p w14:paraId="4015552E" w14:textId="77777777" w:rsidR="00DA504D" w:rsidRDefault="00DA504D"/>
    <w:sectPr w:rsidR="00DA504D" w:rsidSect="00DB0FE6">
      <w:headerReference w:type="default" r:id="rId10"/>
      <w:footerReference w:type="even" r:id="rId11"/>
      <w:footerReference w:type="default" r:id="rId12"/>
      <w:footerReference w:type="first" r:id="rId13"/>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4704" w14:textId="77777777" w:rsidR="00E35709" w:rsidRDefault="00E35709" w:rsidP="00DB0FE6">
      <w:pPr>
        <w:spacing w:after="0" w:line="240" w:lineRule="auto"/>
      </w:pPr>
      <w:r>
        <w:separator/>
      </w:r>
    </w:p>
  </w:endnote>
  <w:endnote w:type="continuationSeparator" w:id="0">
    <w:p w14:paraId="41EFA384" w14:textId="77777777" w:rsidR="00E35709" w:rsidRDefault="00E35709" w:rsidP="00DB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D03A" w14:textId="77777777" w:rsidR="00DB0FE6" w:rsidRDefault="00DB0FE6">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6D061703" w14:textId="77777777" w:rsidR="00DB0FE6" w:rsidRDefault="00DB0FE6">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30A7" w14:textId="77777777" w:rsidR="00DB0FE6" w:rsidRPr="00DB0FE6" w:rsidRDefault="00DB0FE6">
    <w:pPr>
      <w:spacing w:after="0" w:line="259" w:lineRule="auto"/>
      <w:rPr>
        <w:rFonts w:ascii="Calibri" w:hAnsi="Calibri" w:cs="Calibri"/>
        <w:sz w:val="22"/>
        <w:szCs w:val="22"/>
      </w:rPr>
    </w:pPr>
    <w:r w:rsidRPr="00DB0FE6">
      <w:rPr>
        <w:rFonts w:ascii="Calibri" w:hAnsi="Calibri" w:cs="Calibri"/>
        <w:sz w:val="22"/>
        <w:szCs w:val="22"/>
      </w:rPr>
      <w:t xml:space="preserve">Page </w:t>
    </w:r>
    <w:r w:rsidRPr="00DB0FE6">
      <w:rPr>
        <w:rFonts w:ascii="Calibri" w:hAnsi="Calibri" w:cs="Calibri"/>
        <w:b/>
        <w:bCs/>
        <w:sz w:val="22"/>
        <w:szCs w:val="22"/>
      </w:rPr>
      <w:fldChar w:fldCharType="begin"/>
    </w:r>
    <w:r w:rsidRPr="00DB0FE6">
      <w:rPr>
        <w:rFonts w:ascii="Calibri" w:hAnsi="Calibri" w:cs="Calibri"/>
        <w:b/>
        <w:bCs/>
        <w:sz w:val="22"/>
        <w:szCs w:val="22"/>
      </w:rPr>
      <w:instrText xml:space="preserve"> PAGE  \* Arabic  \* MERGEFORMAT </w:instrText>
    </w:r>
    <w:r w:rsidRPr="00DB0FE6">
      <w:rPr>
        <w:rFonts w:ascii="Calibri" w:hAnsi="Calibri" w:cs="Calibri"/>
        <w:b/>
        <w:bCs/>
        <w:sz w:val="22"/>
        <w:szCs w:val="22"/>
      </w:rPr>
      <w:fldChar w:fldCharType="separate"/>
    </w:r>
    <w:r w:rsidRPr="00DB0FE6">
      <w:rPr>
        <w:rFonts w:ascii="Calibri" w:hAnsi="Calibri" w:cs="Calibri"/>
        <w:b/>
        <w:bCs/>
        <w:noProof/>
        <w:sz w:val="22"/>
        <w:szCs w:val="22"/>
      </w:rPr>
      <w:t>7</w:t>
    </w:r>
    <w:r w:rsidRPr="00DB0FE6">
      <w:rPr>
        <w:rFonts w:ascii="Calibri" w:hAnsi="Calibri" w:cs="Calibri"/>
        <w:b/>
        <w:bCs/>
        <w:sz w:val="22"/>
        <w:szCs w:val="22"/>
      </w:rPr>
      <w:fldChar w:fldCharType="end"/>
    </w:r>
    <w:r w:rsidRPr="00DB0FE6">
      <w:rPr>
        <w:rFonts w:ascii="Calibri" w:hAnsi="Calibri" w:cs="Calibri"/>
        <w:sz w:val="22"/>
        <w:szCs w:val="22"/>
      </w:rPr>
      <w:t xml:space="preserve"> of </w:t>
    </w:r>
    <w:r w:rsidRPr="00DB0FE6">
      <w:rPr>
        <w:rFonts w:ascii="Calibri" w:hAnsi="Calibri" w:cs="Calibri"/>
        <w:b/>
        <w:bCs/>
        <w:sz w:val="22"/>
        <w:szCs w:val="22"/>
      </w:rPr>
      <w:fldChar w:fldCharType="begin"/>
    </w:r>
    <w:r w:rsidRPr="00DB0FE6">
      <w:rPr>
        <w:rFonts w:ascii="Calibri" w:hAnsi="Calibri" w:cs="Calibri"/>
        <w:b/>
        <w:bCs/>
        <w:sz w:val="22"/>
        <w:szCs w:val="22"/>
      </w:rPr>
      <w:instrText xml:space="preserve"> NUMPAGES  \* Arabic  \* MERGEFORMAT </w:instrText>
    </w:r>
    <w:r w:rsidRPr="00DB0FE6">
      <w:rPr>
        <w:rFonts w:ascii="Calibri" w:hAnsi="Calibri" w:cs="Calibri"/>
        <w:b/>
        <w:bCs/>
        <w:sz w:val="22"/>
        <w:szCs w:val="22"/>
      </w:rPr>
      <w:fldChar w:fldCharType="separate"/>
    </w:r>
    <w:r w:rsidRPr="00DB0FE6">
      <w:rPr>
        <w:rFonts w:ascii="Calibri" w:hAnsi="Calibri" w:cs="Calibri"/>
        <w:b/>
        <w:bCs/>
        <w:noProof/>
        <w:sz w:val="22"/>
        <w:szCs w:val="22"/>
      </w:rPr>
      <w:t>8</w:t>
    </w:r>
    <w:r w:rsidRPr="00DB0FE6">
      <w:rPr>
        <w:rFonts w:ascii="Calibri" w:hAnsi="Calibri" w:cs="Calibri"/>
        <w:b/>
        <w:bCs/>
        <w:sz w:val="22"/>
        <w:szCs w:val="22"/>
      </w:rPr>
      <w:fldChar w:fldCharType="end"/>
    </w:r>
    <w:r w:rsidRPr="00DB0FE6">
      <w:rPr>
        <w:rFonts w:ascii="Calibri" w:hAnsi="Calibri" w:cs="Calibri"/>
        <w:sz w:val="22"/>
        <w:szCs w:val="22"/>
      </w:rPr>
      <w:ptab w:relativeTo="margin" w:alignment="center" w:leader="none"/>
    </w:r>
    <w:r w:rsidRPr="00DB0FE6">
      <w:rPr>
        <w:rFonts w:ascii="Calibri" w:hAnsi="Calibri" w:cs="Calibri"/>
        <w:sz w:val="22"/>
        <w:szCs w:val="22"/>
      </w:rPr>
      <w:t xml:space="preserve">Effective Date: </w:t>
    </w:r>
    <w:sdt>
      <w:sdtPr>
        <w:rPr>
          <w:rFonts w:ascii="Calibri" w:hAnsi="Calibri" w:cs="Calibri"/>
          <w:sz w:val="22"/>
          <w:szCs w:val="22"/>
        </w:rPr>
        <w:alias w:val="Date d’entrée en vigueur"/>
        <w:tag w:val="UNDP_POPP_EFFECTIVEDATE"/>
        <w:id w:val="155296086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8F5AED72-0909-434A-B6AB-08F1ED7EDDF8}"/>
        <w:date w:fullDate="2012-01-01T00:00:00Z">
          <w:dateFormat w:val="dd/MM/yyyy"/>
          <w:lid w:val="fr-FR"/>
          <w:storeMappedDataAs w:val="dateTime"/>
          <w:calendar w:val="gregorian"/>
        </w:date>
      </w:sdtPr>
      <w:sdtContent>
        <w:r w:rsidRPr="00DB0FE6">
          <w:rPr>
            <w:rFonts w:ascii="Calibri" w:hAnsi="Calibri" w:cs="Calibri"/>
            <w:sz w:val="22"/>
            <w:szCs w:val="22"/>
            <w:lang w:val="fr-FR"/>
          </w:rPr>
          <w:t>01/01/2012</w:t>
        </w:r>
      </w:sdtContent>
    </w:sdt>
    <w:r w:rsidRPr="00DB0FE6">
      <w:rPr>
        <w:rFonts w:ascii="Calibri" w:hAnsi="Calibri" w:cs="Calibri"/>
        <w:sz w:val="22"/>
        <w:szCs w:val="22"/>
      </w:rPr>
      <w:ptab w:relativeTo="margin" w:alignment="right" w:leader="none"/>
    </w:r>
    <w:r w:rsidRPr="00DB0FE6">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84492854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F5AED72-0909-434A-B6AB-08F1ED7EDDF8}"/>
        <w:text/>
      </w:sdtPr>
      <w:sdtContent>
        <w:r w:rsidRPr="00DB0FE6">
          <w:rPr>
            <w:rFonts w:ascii="Calibri" w:hAnsi="Calibri" w:cs="Calibri"/>
            <w:sz w:val="22"/>
            <w:szCs w:val="2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9FB4" w14:textId="77777777" w:rsidR="00DB0FE6" w:rsidRDefault="00DB0FE6">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44DBAF55" w14:textId="77777777" w:rsidR="00DB0FE6" w:rsidRDefault="00DB0FE6">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54EB" w14:textId="77777777" w:rsidR="00E35709" w:rsidRDefault="00E35709" w:rsidP="00DB0FE6">
      <w:pPr>
        <w:spacing w:after="0" w:line="240" w:lineRule="auto"/>
      </w:pPr>
      <w:r>
        <w:separator/>
      </w:r>
    </w:p>
  </w:footnote>
  <w:footnote w:type="continuationSeparator" w:id="0">
    <w:p w14:paraId="20D5E809" w14:textId="77777777" w:rsidR="00E35709" w:rsidRDefault="00E35709" w:rsidP="00DB0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DCBC" w14:textId="77777777" w:rsidR="00DB0FE6" w:rsidRDefault="00DB0FE6" w:rsidP="00D92E79">
    <w:pPr>
      <w:pStyle w:val="Header"/>
      <w:jc w:val="right"/>
    </w:pPr>
    <w:r>
      <w:rPr>
        <w:noProof/>
      </w:rPr>
      <w:drawing>
        <wp:inline distT="0" distB="0" distL="0" distR="0" wp14:anchorId="55F5B81C" wp14:editId="4EA4E8F5">
          <wp:extent cx="304800" cy="59804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923"/>
                  <a:stretch/>
                </pic:blipFill>
                <pic:spPr bwMode="auto">
                  <a:xfrm>
                    <a:off x="0" y="0"/>
                    <a:ext cx="309373" cy="607015"/>
                  </a:xfrm>
                  <a:prstGeom prst="rect">
                    <a:avLst/>
                  </a:prstGeom>
                  <a:ln>
                    <a:noFill/>
                  </a:ln>
                  <a:extLst>
                    <a:ext uri="{53640926-AAD7-44D8-BBD7-CCE9431645EC}">
                      <a14:shadowObscured xmlns:a14="http://schemas.microsoft.com/office/drawing/2010/main"/>
                    </a:ext>
                  </a:extLst>
                </pic:spPr>
              </pic:pic>
            </a:graphicData>
          </a:graphic>
        </wp:inline>
      </w:drawing>
    </w:r>
  </w:p>
  <w:p w14:paraId="3991DE6E" w14:textId="77777777" w:rsidR="00DB0FE6" w:rsidRDefault="00DB0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E5A"/>
    <w:multiLevelType w:val="hybridMultilevel"/>
    <w:tmpl w:val="630EA4CE"/>
    <w:lvl w:ilvl="0" w:tplc="DC1CD17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E25000">
      <w:start w:val="1"/>
      <w:numFmt w:val="bullet"/>
      <w:lvlText w:val="o"/>
      <w:lvlJc w:val="left"/>
      <w:pPr>
        <w:ind w:left="9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C48A358">
      <w:start w:val="1"/>
      <w:numFmt w:val="bullet"/>
      <w:lvlText w:val="▪"/>
      <w:lvlJc w:val="left"/>
      <w:pPr>
        <w:ind w:left="1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09001B">
      <w:start w:val="1"/>
      <w:numFmt w:val="lowerRoman"/>
      <w:lvlText w:val="%4."/>
      <w:lvlJc w:val="right"/>
      <w:pPr>
        <w:ind w:left="1985"/>
      </w:pPr>
      <w:rPr>
        <w:b w:val="0"/>
        <w:i w:val="0"/>
        <w:strike w:val="0"/>
        <w:dstrike w:val="0"/>
        <w:color w:val="000000"/>
        <w:sz w:val="22"/>
        <w:szCs w:val="22"/>
        <w:u w:val="none" w:color="000000"/>
        <w:bdr w:val="none" w:sz="0" w:space="0" w:color="auto"/>
        <w:shd w:val="clear" w:color="auto" w:fill="auto"/>
        <w:vertAlign w:val="baseline"/>
      </w:rPr>
    </w:lvl>
    <w:lvl w:ilvl="4" w:tplc="92EA9850">
      <w:start w:val="1"/>
      <w:numFmt w:val="bullet"/>
      <w:lvlText w:val="o"/>
      <w:lvlJc w:val="left"/>
      <w:pPr>
        <w:ind w:left="2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5C6120">
      <w:start w:val="1"/>
      <w:numFmt w:val="bullet"/>
      <w:lvlText w:val="▪"/>
      <w:lvlJc w:val="left"/>
      <w:pPr>
        <w:ind w:left="3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3A08DE">
      <w:start w:val="1"/>
      <w:numFmt w:val="bullet"/>
      <w:lvlText w:val="•"/>
      <w:lvlJc w:val="left"/>
      <w:pPr>
        <w:ind w:left="4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6645C4">
      <w:start w:val="1"/>
      <w:numFmt w:val="bullet"/>
      <w:lvlText w:val="o"/>
      <w:lvlJc w:val="left"/>
      <w:pPr>
        <w:ind w:left="4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B8DD30">
      <w:start w:val="1"/>
      <w:numFmt w:val="bullet"/>
      <w:lvlText w:val="▪"/>
      <w:lvlJc w:val="left"/>
      <w:pPr>
        <w:ind w:left="55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BD164A"/>
    <w:multiLevelType w:val="hybridMultilevel"/>
    <w:tmpl w:val="9D869CFA"/>
    <w:lvl w:ilvl="0" w:tplc="8CD8D2EA">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D649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DE96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015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EA77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A206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8CA4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16DF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C0073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7967F2"/>
    <w:multiLevelType w:val="hybridMultilevel"/>
    <w:tmpl w:val="064A9D54"/>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82"/>
      </w:pPr>
      <w:rPr>
        <w:b w:val="0"/>
        <w:i w:val="0"/>
        <w:strike w:val="0"/>
        <w:dstrike w:val="0"/>
        <w:color w:val="000000"/>
        <w:sz w:val="22"/>
        <w:szCs w:val="22"/>
        <w:u w:val="none" w:color="000000"/>
        <w:bdr w:val="none" w:sz="0" w:space="0" w:color="auto"/>
        <w:shd w:val="clear" w:color="auto" w:fill="auto"/>
        <w:vertAlign w:val="baseline"/>
      </w:r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3E63A6"/>
    <w:multiLevelType w:val="hybridMultilevel"/>
    <w:tmpl w:val="6292E494"/>
    <w:lvl w:ilvl="0" w:tplc="B810DF60">
      <w:start w:val="1"/>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7AE4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E0EA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CABF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DEBE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6BA0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6C22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4413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88B89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D26794"/>
    <w:multiLevelType w:val="hybridMultilevel"/>
    <w:tmpl w:val="EF7611F4"/>
    <w:lvl w:ilvl="0" w:tplc="5C98C88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165110">
      <w:start w:val="1"/>
      <w:numFmt w:val="bullet"/>
      <w:lvlText w:val="o"/>
      <w:lvlJc w:val="left"/>
      <w:pPr>
        <w:ind w:left="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291"/>
      </w:pPr>
      <w:rPr>
        <w:b w:val="0"/>
        <w:i w:val="0"/>
        <w:strike w:val="0"/>
        <w:dstrike w:val="0"/>
        <w:color w:val="000000"/>
        <w:sz w:val="22"/>
        <w:szCs w:val="22"/>
        <w:u w:val="none" w:color="000000"/>
        <w:bdr w:val="none" w:sz="0" w:space="0" w:color="auto"/>
        <w:shd w:val="clear" w:color="auto" w:fill="auto"/>
        <w:vertAlign w:val="baseline"/>
      </w:rPr>
    </w:lvl>
    <w:lvl w:ilvl="3" w:tplc="2820A210">
      <w:start w:val="1"/>
      <w:numFmt w:val="bullet"/>
      <w:lvlText w:val="•"/>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125936">
      <w:start w:val="1"/>
      <w:numFmt w:val="bullet"/>
      <w:lvlText w:val="o"/>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070AA">
      <w:start w:val="1"/>
      <w:numFmt w:val="bullet"/>
      <w:lvlText w:val="▪"/>
      <w:lvlJc w:val="left"/>
      <w:pPr>
        <w:ind w:left="3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654F2">
      <w:start w:val="1"/>
      <w:numFmt w:val="bullet"/>
      <w:lvlText w:val="•"/>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6A4C4">
      <w:start w:val="1"/>
      <w:numFmt w:val="bullet"/>
      <w:lvlText w:val="o"/>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C6A3D8">
      <w:start w:val="1"/>
      <w:numFmt w:val="bullet"/>
      <w:lvlText w:val="▪"/>
      <w:lvlJc w:val="left"/>
      <w:pPr>
        <w:ind w:left="5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5155BE"/>
    <w:multiLevelType w:val="hybridMultilevel"/>
    <w:tmpl w:val="5ECC145C"/>
    <w:lvl w:ilvl="0" w:tplc="7248B8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458DA">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2"/>
        <w:szCs w:val="22"/>
        <w:u w:val="none" w:color="000000"/>
        <w:bdr w:val="none" w:sz="0" w:space="0" w:color="auto"/>
        <w:shd w:val="clear" w:color="auto" w:fill="auto"/>
        <w:vertAlign w:val="baseline"/>
      </w:rPr>
    </w:lvl>
    <w:lvl w:ilvl="3" w:tplc="59CC71E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5ADD2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60F62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80212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E602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7C60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E63151"/>
    <w:multiLevelType w:val="hybridMultilevel"/>
    <w:tmpl w:val="4EA44EC6"/>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82"/>
      </w:pPr>
      <w:rPr>
        <w:b w:val="0"/>
        <w:i w:val="0"/>
        <w:strike w:val="0"/>
        <w:dstrike w:val="0"/>
        <w:color w:val="000000"/>
        <w:sz w:val="22"/>
        <w:szCs w:val="22"/>
        <w:u w:val="none" w:color="000000"/>
        <w:bdr w:val="none" w:sz="0" w:space="0" w:color="auto"/>
        <w:shd w:val="clear" w:color="auto" w:fill="auto"/>
        <w:vertAlign w:val="baseline"/>
      </w:r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DA6D09"/>
    <w:multiLevelType w:val="hybridMultilevel"/>
    <w:tmpl w:val="80CC8B00"/>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A20482">
      <w:start w:val="1"/>
      <w:numFmt w:val="bullet"/>
      <w:lvlText w:val="•"/>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F66DAF"/>
    <w:multiLevelType w:val="hybridMultilevel"/>
    <w:tmpl w:val="1D825978"/>
    <w:lvl w:ilvl="0" w:tplc="E0F475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9AC56E">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454"/>
      </w:pPr>
      <w:rPr>
        <w:b w:val="0"/>
        <w:i w:val="0"/>
        <w:strike w:val="0"/>
        <w:dstrike w:val="0"/>
        <w:color w:val="000000"/>
        <w:sz w:val="22"/>
        <w:szCs w:val="22"/>
        <w:u w:val="none" w:color="000000"/>
        <w:bdr w:val="none" w:sz="0" w:space="0" w:color="auto"/>
        <w:shd w:val="clear" w:color="auto" w:fill="auto"/>
        <w:vertAlign w:val="baseline"/>
      </w:rPr>
    </w:lvl>
    <w:lvl w:ilvl="3" w:tplc="693CA1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7CA5F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765BD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0FD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87EE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70057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64684E"/>
    <w:multiLevelType w:val="hybridMultilevel"/>
    <w:tmpl w:val="795891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8207467">
    <w:abstractNumId w:val="3"/>
  </w:num>
  <w:num w:numId="2" w16cid:durableId="2108888365">
    <w:abstractNumId w:val="7"/>
  </w:num>
  <w:num w:numId="3" w16cid:durableId="134371056">
    <w:abstractNumId w:val="1"/>
  </w:num>
  <w:num w:numId="4" w16cid:durableId="1380205584">
    <w:abstractNumId w:val="2"/>
  </w:num>
  <w:num w:numId="5" w16cid:durableId="728965713">
    <w:abstractNumId w:val="4"/>
  </w:num>
  <w:num w:numId="6" w16cid:durableId="2145341944">
    <w:abstractNumId w:val="5"/>
  </w:num>
  <w:num w:numId="7" w16cid:durableId="1677414927">
    <w:abstractNumId w:val="0"/>
  </w:num>
  <w:num w:numId="8" w16cid:durableId="145556860">
    <w:abstractNumId w:val="8"/>
  </w:num>
  <w:num w:numId="9" w16cid:durableId="1997880062">
    <w:abstractNumId w:val="6"/>
  </w:num>
  <w:num w:numId="10" w16cid:durableId="1027219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E6"/>
    <w:rsid w:val="001C7367"/>
    <w:rsid w:val="00B04BC4"/>
    <w:rsid w:val="00BB7F94"/>
    <w:rsid w:val="00C61B9D"/>
    <w:rsid w:val="00D11499"/>
    <w:rsid w:val="00DA504D"/>
    <w:rsid w:val="00DB0FE6"/>
    <w:rsid w:val="00E3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F53E"/>
  <w15:chartTrackingRefBased/>
  <w15:docId w15:val="{476693D9-579E-409F-B9D8-F7753116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FE6"/>
    <w:rPr>
      <w:rFonts w:eastAsiaTheme="majorEastAsia" w:cstheme="majorBidi"/>
      <w:color w:val="272727" w:themeColor="text1" w:themeTint="D8"/>
    </w:rPr>
  </w:style>
  <w:style w:type="paragraph" w:styleId="Title">
    <w:name w:val="Title"/>
    <w:basedOn w:val="Normal"/>
    <w:next w:val="Normal"/>
    <w:link w:val="TitleChar"/>
    <w:uiPriority w:val="10"/>
    <w:qFormat/>
    <w:rsid w:val="00DB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FE6"/>
    <w:pPr>
      <w:spacing w:before="160"/>
      <w:jc w:val="center"/>
    </w:pPr>
    <w:rPr>
      <w:i/>
      <w:iCs/>
      <w:color w:val="404040" w:themeColor="text1" w:themeTint="BF"/>
    </w:rPr>
  </w:style>
  <w:style w:type="character" w:customStyle="1" w:styleId="QuoteChar">
    <w:name w:val="Quote Char"/>
    <w:basedOn w:val="DefaultParagraphFont"/>
    <w:link w:val="Quote"/>
    <w:uiPriority w:val="29"/>
    <w:rsid w:val="00DB0FE6"/>
    <w:rPr>
      <w:i/>
      <w:iCs/>
      <w:color w:val="404040" w:themeColor="text1" w:themeTint="BF"/>
    </w:rPr>
  </w:style>
  <w:style w:type="paragraph" w:styleId="ListParagraph">
    <w:name w:val="List Paragraph"/>
    <w:basedOn w:val="Normal"/>
    <w:uiPriority w:val="34"/>
    <w:qFormat/>
    <w:rsid w:val="00DB0FE6"/>
    <w:pPr>
      <w:ind w:left="720"/>
      <w:contextualSpacing/>
    </w:pPr>
  </w:style>
  <w:style w:type="character" w:styleId="IntenseEmphasis">
    <w:name w:val="Intense Emphasis"/>
    <w:basedOn w:val="DefaultParagraphFont"/>
    <w:uiPriority w:val="21"/>
    <w:qFormat/>
    <w:rsid w:val="00DB0FE6"/>
    <w:rPr>
      <w:i/>
      <w:iCs/>
      <w:color w:val="0F4761" w:themeColor="accent1" w:themeShade="BF"/>
    </w:rPr>
  </w:style>
  <w:style w:type="paragraph" w:styleId="IntenseQuote">
    <w:name w:val="Intense Quote"/>
    <w:basedOn w:val="Normal"/>
    <w:next w:val="Normal"/>
    <w:link w:val="IntenseQuoteChar"/>
    <w:uiPriority w:val="30"/>
    <w:qFormat/>
    <w:rsid w:val="00DB0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FE6"/>
    <w:rPr>
      <w:i/>
      <w:iCs/>
      <w:color w:val="0F4761" w:themeColor="accent1" w:themeShade="BF"/>
    </w:rPr>
  </w:style>
  <w:style w:type="character" w:styleId="IntenseReference">
    <w:name w:val="Intense Reference"/>
    <w:basedOn w:val="DefaultParagraphFont"/>
    <w:uiPriority w:val="32"/>
    <w:qFormat/>
    <w:rsid w:val="00DB0FE6"/>
    <w:rPr>
      <w:b/>
      <w:bCs/>
      <w:smallCaps/>
      <w:color w:val="0F4761" w:themeColor="accent1" w:themeShade="BF"/>
      <w:spacing w:val="5"/>
    </w:rPr>
  </w:style>
  <w:style w:type="table" w:customStyle="1" w:styleId="TableGrid">
    <w:name w:val="TableGrid"/>
    <w:rsid w:val="00DB0FE6"/>
    <w:pPr>
      <w:spacing w:after="0" w:line="240" w:lineRule="auto"/>
    </w:pPr>
    <w:rPr>
      <w:rFonts w:eastAsia="SimSun"/>
      <w:kern w:val="0"/>
      <w:sz w:val="22"/>
      <w:szCs w:val="22"/>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DB0FE6"/>
    <w:pPr>
      <w:tabs>
        <w:tab w:val="center" w:pos="4680"/>
        <w:tab w:val="right" w:pos="9360"/>
      </w:tabs>
      <w:spacing w:after="0" w:line="240" w:lineRule="auto"/>
      <w:ind w:left="718" w:right="3" w:hanging="358"/>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DB0FE6"/>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ranet.undp.org/global/popp/frm/PublishingImages/maintenance-and-usage-of-the-chart-of-accounts_P1.jp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2199</Words>
  <Characters>12540</Characters>
  <Application>Microsoft Office Word</Application>
  <DocSecurity>0</DocSecurity>
  <Lines>104</Lines>
  <Paragraphs>29</Paragraphs>
  <ScaleCrop>false</ScaleCrop>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2026-05-06T11:59:00Z</dcterms:created>
  <dcterms:modified xsi:type="dcterms:W3CDTF">2026-05-06T12:13:00Z</dcterms:modified>
</cp:coreProperties>
</file>