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8288" w14:textId="77777777" w:rsidR="004026C7" w:rsidRPr="004026C7" w:rsidRDefault="004026C7" w:rsidP="004026C7">
      <w:pPr>
        <w:spacing w:after="121" w:line="259" w:lineRule="auto"/>
        <w:rPr>
          <w:rFonts w:ascii="Calibri" w:eastAsia="Calibri" w:hAnsi="Calibri" w:cs="Calibri"/>
          <w:color w:val="000000"/>
          <w:kern w:val="0"/>
          <w:sz w:val="22"/>
          <w:szCs w:val="22"/>
          <w:lang w:val="es-ES" w:eastAsia="en-GB"/>
          <w14:ligatures w14:val="none"/>
        </w:rPr>
      </w:pPr>
      <w:r w:rsidRPr="004026C7">
        <w:rPr>
          <w:rFonts w:ascii="Calibri" w:eastAsia="Calibri" w:hAnsi="Calibri" w:cs="Calibri"/>
          <w:b/>
          <w:color w:val="000000"/>
          <w:kern w:val="0"/>
          <w:sz w:val="28"/>
          <w:szCs w:val="22"/>
          <w:lang w:val="es-ES" w:eastAsia="en-GB"/>
          <w14:ligatures w14:val="none"/>
        </w:rPr>
        <w:t xml:space="preserve">Desembolso de fondos (realizar pagos)  </w:t>
      </w:r>
    </w:p>
    <w:p w14:paraId="33766CC8" w14:textId="77777777" w:rsidR="004026C7" w:rsidRPr="004026C7" w:rsidRDefault="004026C7" w:rsidP="004026C7">
      <w:pPr>
        <w:numPr>
          <w:ilvl w:val="0"/>
          <w:numId w:val="1"/>
        </w:numPr>
        <w:spacing w:after="30" w:line="249" w:lineRule="auto"/>
        <w:ind w:hanging="360"/>
        <w:jc w:val="both"/>
        <w:rPr>
          <w:rFonts w:ascii="Calibri" w:eastAsia="Calibri" w:hAnsi="Calibri" w:cs="Calibri"/>
          <w:color w:val="000000"/>
          <w:kern w:val="0"/>
          <w:sz w:val="22"/>
          <w:szCs w:val="22"/>
          <w:lang w:val="es-ES" w:eastAsia="en-GB"/>
          <w14:ligatures w14:val="none"/>
        </w:rPr>
      </w:pPr>
      <w:r w:rsidRPr="004026C7">
        <w:rPr>
          <w:rFonts w:ascii="Calibri" w:eastAsia="Calibri" w:hAnsi="Calibri" w:cs="Calibri"/>
          <w:color w:val="000000"/>
          <w:kern w:val="0"/>
          <w:sz w:val="22"/>
          <w:szCs w:val="22"/>
          <w:lang w:val="es-ES" w:eastAsia="en-GB"/>
          <w14:ligatures w14:val="none"/>
        </w:rPr>
        <w:t xml:space="preserve">Un desembolso es la entrega de efectivo a un proveedor en QUANTUM.  Todos los desembolsos en Quantum se realizan a partir de comprobantes de cuentas por pagar (AP, </w:t>
      </w:r>
      <w:proofErr w:type="spellStart"/>
      <w:r w:rsidRPr="004026C7">
        <w:rPr>
          <w:rFonts w:ascii="Calibri" w:eastAsia="Calibri" w:hAnsi="Calibri" w:cs="Calibri"/>
          <w:i/>
          <w:color w:val="000000"/>
          <w:kern w:val="0"/>
          <w:sz w:val="22"/>
          <w:szCs w:val="22"/>
          <w:lang w:val="es-ES" w:eastAsia="en-GB"/>
          <w14:ligatures w14:val="none"/>
        </w:rPr>
        <w:t>Accounts</w:t>
      </w:r>
      <w:proofErr w:type="spellEnd"/>
      <w:r w:rsidRPr="004026C7">
        <w:rPr>
          <w:rFonts w:ascii="Calibri" w:eastAsia="Calibri" w:hAnsi="Calibri" w:cs="Calibri"/>
          <w:i/>
          <w:color w:val="000000"/>
          <w:kern w:val="0"/>
          <w:sz w:val="22"/>
          <w:szCs w:val="22"/>
          <w:lang w:val="es-ES" w:eastAsia="en-GB"/>
          <w14:ligatures w14:val="none"/>
        </w:rPr>
        <w:t xml:space="preserve"> </w:t>
      </w:r>
      <w:proofErr w:type="spellStart"/>
      <w:r w:rsidRPr="004026C7">
        <w:rPr>
          <w:rFonts w:ascii="Calibri" w:eastAsia="Calibri" w:hAnsi="Calibri" w:cs="Calibri"/>
          <w:i/>
          <w:color w:val="000000"/>
          <w:kern w:val="0"/>
          <w:sz w:val="22"/>
          <w:szCs w:val="22"/>
          <w:lang w:val="es-ES" w:eastAsia="en-GB"/>
          <w14:ligatures w14:val="none"/>
        </w:rPr>
        <w:t>Payable</w:t>
      </w:r>
      <w:proofErr w:type="spellEnd"/>
      <w:r w:rsidRPr="004026C7">
        <w:rPr>
          <w:rFonts w:ascii="Calibri" w:eastAsia="Calibri" w:hAnsi="Calibri" w:cs="Calibri"/>
          <w:color w:val="000000"/>
          <w:kern w:val="0"/>
          <w:sz w:val="22"/>
          <w:szCs w:val="22"/>
          <w:lang w:val="es-ES" w:eastAsia="en-GB"/>
          <w14:ligatures w14:val="none"/>
        </w:rPr>
        <w:t xml:space="preserve">, por sus siglas en inglés) y comprobantes de pagos anticipados aprobados y verificados en el presupuesto.  El desembolso se efectúa de dos maneras: </w:t>
      </w:r>
    </w:p>
    <w:p w14:paraId="6137F22C" w14:textId="77777777" w:rsidR="004026C7" w:rsidRPr="001571CA" w:rsidRDefault="004026C7" w:rsidP="001571CA">
      <w:pPr>
        <w:pStyle w:val="ListParagraph"/>
        <w:numPr>
          <w:ilvl w:val="0"/>
          <w:numId w:val="2"/>
        </w:numPr>
        <w:spacing w:after="30" w:line="249" w:lineRule="auto"/>
        <w:jc w:val="both"/>
        <w:rPr>
          <w:rFonts w:ascii="Calibri" w:eastAsia="Calibri" w:hAnsi="Calibri" w:cs="Calibri"/>
          <w:color w:val="000000"/>
          <w:kern w:val="0"/>
          <w:sz w:val="22"/>
          <w:szCs w:val="22"/>
          <w:lang w:val="es-ES" w:eastAsia="en-GB"/>
          <w14:ligatures w14:val="none"/>
        </w:rPr>
      </w:pPr>
      <w:r w:rsidRPr="001571CA">
        <w:rPr>
          <w:rFonts w:ascii="Calibri" w:eastAsia="Calibri" w:hAnsi="Calibri" w:cs="Calibri"/>
          <w:b/>
          <w:color w:val="000000"/>
          <w:kern w:val="0"/>
          <w:sz w:val="22"/>
          <w:szCs w:val="22"/>
          <w:lang w:val="es-ES" w:eastAsia="en-GB"/>
          <w14:ligatures w14:val="none"/>
        </w:rPr>
        <w:t xml:space="preserve">Proceso de pedido de pago </w:t>
      </w:r>
      <w:r w:rsidRPr="001571CA">
        <w:rPr>
          <w:rFonts w:ascii="Calibri" w:eastAsia="Calibri" w:hAnsi="Calibri" w:cs="Calibri"/>
          <w:bCs/>
          <w:color w:val="000000"/>
          <w:kern w:val="0"/>
          <w:sz w:val="22"/>
          <w:szCs w:val="22"/>
          <w:lang w:val="es-ES" w:eastAsia="en-GB"/>
          <w14:ligatures w14:val="none"/>
        </w:rPr>
        <w:t>(PPR</w:t>
      </w:r>
      <w:r w:rsidRPr="001571CA">
        <w:rPr>
          <w:rFonts w:ascii="Calibri" w:eastAsia="Calibri" w:hAnsi="Calibri" w:cs="Calibri"/>
          <w:b/>
          <w:color w:val="000000"/>
          <w:kern w:val="0"/>
          <w:sz w:val="22"/>
          <w:szCs w:val="22"/>
          <w:lang w:val="es-ES" w:eastAsia="en-GB"/>
          <w14:ligatures w14:val="none"/>
        </w:rPr>
        <w:t xml:space="preserve">, </w:t>
      </w:r>
      <w:r w:rsidRPr="001571CA">
        <w:rPr>
          <w:rFonts w:ascii="Calibri" w:eastAsia="Calibri" w:hAnsi="Calibri" w:cs="Calibri"/>
          <w:bCs/>
          <w:color w:val="000000"/>
          <w:kern w:val="0"/>
          <w:sz w:val="22"/>
          <w:szCs w:val="22"/>
          <w:lang w:val="es-ES" w:eastAsia="en-GB"/>
          <w14:ligatures w14:val="none"/>
        </w:rPr>
        <w:t xml:space="preserve">del inglés </w:t>
      </w:r>
      <w:proofErr w:type="spellStart"/>
      <w:r w:rsidRPr="001571CA">
        <w:rPr>
          <w:rFonts w:ascii="Calibri" w:eastAsia="Calibri" w:hAnsi="Calibri" w:cs="Calibri"/>
          <w:bCs/>
          <w:color w:val="000000"/>
          <w:kern w:val="0"/>
          <w:sz w:val="22"/>
          <w:szCs w:val="22"/>
          <w:lang w:val="es-ES" w:eastAsia="en-GB"/>
          <w14:ligatures w14:val="none"/>
        </w:rPr>
        <w:t>payment</w:t>
      </w:r>
      <w:proofErr w:type="spellEnd"/>
      <w:r w:rsidRPr="001571CA">
        <w:rPr>
          <w:rFonts w:ascii="Calibri" w:eastAsia="Calibri" w:hAnsi="Calibri" w:cs="Calibri"/>
          <w:bCs/>
          <w:color w:val="000000"/>
          <w:kern w:val="0"/>
          <w:sz w:val="22"/>
          <w:szCs w:val="22"/>
          <w:lang w:val="es-ES" w:eastAsia="en-GB"/>
          <w14:ligatures w14:val="none"/>
        </w:rPr>
        <w:t xml:space="preserve"> </w:t>
      </w:r>
      <w:proofErr w:type="spellStart"/>
      <w:r w:rsidRPr="001571CA">
        <w:rPr>
          <w:rFonts w:ascii="Calibri" w:eastAsia="Calibri" w:hAnsi="Calibri" w:cs="Calibri"/>
          <w:bCs/>
          <w:color w:val="000000"/>
          <w:kern w:val="0"/>
          <w:sz w:val="22"/>
          <w:szCs w:val="22"/>
          <w:lang w:val="es-ES" w:eastAsia="en-GB"/>
          <w14:ligatures w14:val="none"/>
        </w:rPr>
        <w:t>process</w:t>
      </w:r>
      <w:proofErr w:type="spellEnd"/>
      <w:r w:rsidRPr="001571CA">
        <w:rPr>
          <w:rFonts w:ascii="Calibri" w:eastAsia="Calibri" w:hAnsi="Calibri" w:cs="Calibri"/>
          <w:bCs/>
          <w:color w:val="000000"/>
          <w:kern w:val="0"/>
          <w:sz w:val="22"/>
          <w:szCs w:val="22"/>
          <w:lang w:val="es-ES" w:eastAsia="en-GB"/>
          <w14:ligatures w14:val="none"/>
        </w:rPr>
        <w:t xml:space="preserve"> </w:t>
      </w:r>
      <w:proofErr w:type="spellStart"/>
      <w:r w:rsidRPr="001571CA">
        <w:rPr>
          <w:rFonts w:ascii="Calibri" w:eastAsia="Calibri" w:hAnsi="Calibri" w:cs="Calibri"/>
          <w:bCs/>
          <w:color w:val="000000"/>
          <w:kern w:val="0"/>
          <w:sz w:val="22"/>
          <w:szCs w:val="22"/>
          <w:lang w:val="es-ES" w:eastAsia="en-GB"/>
          <w14:ligatures w14:val="none"/>
        </w:rPr>
        <w:t>request</w:t>
      </w:r>
      <w:proofErr w:type="spellEnd"/>
      <w:r w:rsidRPr="001571CA">
        <w:rPr>
          <w:rFonts w:ascii="Calibri" w:eastAsia="Calibri" w:hAnsi="Calibri" w:cs="Calibri"/>
          <w:bCs/>
          <w:color w:val="000000"/>
          <w:kern w:val="0"/>
          <w:sz w:val="22"/>
          <w:szCs w:val="22"/>
          <w:lang w:val="es-ES" w:eastAsia="en-GB"/>
          <w14:ligatures w14:val="none"/>
        </w:rPr>
        <w:t>)</w:t>
      </w:r>
      <w:r w:rsidRPr="001571CA">
        <w:rPr>
          <w:rFonts w:ascii="Calibri" w:eastAsia="Calibri" w:hAnsi="Calibri" w:cs="Calibri"/>
          <w:b/>
          <w:color w:val="000000"/>
          <w:kern w:val="0"/>
          <w:sz w:val="22"/>
          <w:szCs w:val="22"/>
          <w:lang w:val="es-ES" w:eastAsia="en-GB"/>
          <w14:ligatures w14:val="none"/>
        </w:rPr>
        <w:t>:</w:t>
      </w:r>
      <w:r w:rsidRPr="001571CA">
        <w:rPr>
          <w:rFonts w:ascii="Calibri" w:eastAsia="Calibri" w:hAnsi="Calibri" w:cs="Calibri"/>
          <w:color w:val="000000"/>
          <w:kern w:val="0"/>
          <w:sz w:val="22"/>
          <w:szCs w:val="22"/>
          <w:lang w:val="es-ES" w:eastAsia="en-GB"/>
          <w14:ligatures w14:val="none"/>
        </w:rPr>
        <w:t xml:space="preserve"> este es un proceso por lotes automatizado que crea un conjunto predefinido de pagos.  Estos pueden ser cheques (CHK, </w:t>
      </w:r>
      <w:r w:rsidRPr="001571CA">
        <w:rPr>
          <w:rFonts w:ascii="Calibri" w:eastAsia="Calibri" w:hAnsi="Calibri" w:cs="Calibri"/>
          <w:i/>
          <w:color w:val="000000"/>
          <w:kern w:val="0"/>
          <w:sz w:val="22"/>
          <w:szCs w:val="22"/>
          <w:lang w:val="es-ES" w:eastAsia="en-GB"/>
          <w14:ligatures w14:val="none"/>
        </w:rPr>
        <w:t>Cheques</w:t>
      </w:r>
      <w:r w:rsidRPr="001571CA">
        <w:rPr>
          <w:rFonts w:ascii="Calibri" w:eastAsia="Calibri" w:hAnsi="Calibri" w:cs="Calibri"/>
          <w:color w:val="000000"/>
          <w:kern w:val="0"/>
          <w:sz w:val="22"/>
          <w:szCs w:val="22"/>
          <w:lang w:val="es-ES" w:eastAsia="en-GB"/>
          <w14:ligatures w14:val="none"/>
        </w:rPr>
        <w:t xml:space="preserve">, por sus siglas en inglés) del sistema, cuando se produce un lote de cheques, o transferencias electrónicas de fondos (TEF), que generan pagos en línea en tiempo real.  Quantum crea los asientos contables y, en el caso de las TEF, instrucciones al banco para transferir efectivo.  </w:t>
      </w:r>
    </w:p>
    <w:p w14:paraId="3A5260B2" w14:textId="77777777" w:rsidR="004026C7" w:rsidRPr="001571CA" w:rsidRDefault="004026C7" w:rsidP="001571CA">
      <w:pPr>
        <w:pStyle w:val="ListParagraph"/>
        <w:numPr>
          <w:ilvl w:val="0"/>
          <w:numId w:val="2"/>
        </w:numPr>
        <w:spacing w:after="30" w:line="249" w:lineRule="auto"/>
        <w:jc w:val="both"/>
        <w:rPr>
          <w:rFonts w:ascii="Calibri" w:eastAsia="Calibri" w:hAnsi="Calibri" w:cs="Calibri"/>
          <w:color w:val="000000"/>
          <w:kern w:val="0"/>
          <w:sz w:val="22"/>
          <w:szCs w:val="22"/>
          <w:lang w:val="es-ES" w:eastAsia="en-GB"/>
          <w14:ligatures w14:val="none"/>
        </w:rPr>
      </w:pPr>
      <w:r w:rsidRPr="001571CA">
        <w:rPr>
          <w:rFonts w:ascii="Calibri" w:eastAsia="Calibri" w:hAnsi="Calibri" w:cs="Calibri"/>
          <w:b/>
          <w:bCs/>
          <w:color w:val="000000"/>
          <w:kern w:val="0"/>
          <w:sz w:val="22"/>
          <w:szCs w:val="22"/>
          <w:lang w:val="es-ES" w:eastAsia="en-GB"/>
          <w14:ligatures w14:val="none"/>
        </w:rPr>
        <w:t xml:space="preserve">Transferencias electrónicas de fondos TEF (o EFT, del inglés Electronic </w:t>
      </w:r>
      <w:proofErr w:type="spellStart"/>
      <w:r w:rsidRPr="001571CA">
        <w:rPr>
          <w:rFonts w:ascii="Calibri" w:eastAsia="Calibri" w:hAnsi="Calibri" w:cs="Calibri"/>
          <w:b/>
          <w:bCs/>
          <w:color w:val="000000"/>
          <w:kern w:val="0"/>
          <w:sz w:val="22"/>
          <w:szCs w:val="22"/>
          <w:lang w:val="es-ES" w:eastAsia="en-GB"/>
          <w14:ligatures w14:val="none"/>
        </w:rPr>
        <w:t>Funds</w:t>
      </w:r>
      <w:proofErr w:type="spellEnd"/>
      <w:r w:rsidRPr="001571CA">
        <w:rPr>
          <w:rFonts w:ascii="Calibri" w:eastAsia="Calibri" w:hAnsi="Calibri" w:cs="Calibri"/>
          <w:b/>
          <w:bCs/>
          <w:color w:val="000000"/>
          <w:kern w:val="0"/>
          <w:sz w:val="22"/>
          <w:szCs w:val="22"/>
          <w:lang w:val="es-ES" w:eastAsia="en-GB"/>
          <w14:ligatures w14:val="none"/>
        </w:rPr>
        <w:t xml:space="preserve"> Transfer):</w:t>
      </w:r>
      <w:r w:rsidRPr="001571CA">
        <w:rPr>
          <w:rFonts w:ascii="Calibri" w:eastAsia="Calibri" w:hAnsi="Calibri" w:cs="Calibri"/>
          <w:color w:val="000000"/>
          <w:kern w:val="0"/>
          <w:sz w:val="22"/>
          <w:szCs w:val="22"/>
          <w:lang w:val="es-ES" w:eastAsia="en-GB"/>
          <w14:ligatures w14:val="none"/>
        </w:rPr>
        <w:t xml:space="preserve"> Cuando se desembolsan pagos a través de las Transferencias Electrónicas de Fondos (TEF), las instrucciones de pago se generan en formato electrónico utilizando el proceso por lotes del "PPR" para utilizar el método "TRF".</w:t>
      </w:r>
    </w:p>
    <w:p w14:paraId="055456EC" w14:textId="77777777" w:rsidR="004026C7" w:rsidRPr="001571CA" w:rsidRDefault="004026C7" w:rsidP="001571CA">
      <w:pPr>
        <w:pStyle w:val="ListParagraph"/>
        <w:numPr>
          <w:ilvl w:val="0"/>
          <w:numId w:val="2"/>
        </w:numPr>
        <w:spacing w:after="30" w:line="249" w:lineRule="auto"/>
        <w:jc w:val="both"/>
        <w:rPr>
          <w:rFonts w:ascii="Calibri" w:eastAsia="Calibri" w:hAnsi="Calibri" w:cs="Calibri"/>
          <w:color w:val="000000"/>
          <w:kern w:val="0"/>
          <w:sz w:val="22"/>
          <w:szCs w:val="22"/>
          <w:lang w:val="es-ES" w:eastAsia="en-GB"/>
          <w14:ligatures w14:val="none"/>
        </w:rPr>
      </w:pPr>
      <w:r w:rsidRPr="001571CA">
        <w:rPr>
          <w:rFonts w:ascii="Calibri" w:eastAsia="Calibri" w:hAnsi="Calibri" w:cs="Calibri"/>
          <w:b/>
          <w:bCs/>
          <w:color w:val="000000"/>
          <w:kern w:val="0"/>
          <w:sz w:val="22"/>
          <w:szCs w:val="22"/>
          <w:lang w:val="es-ES" w:eastAsia="en-GB"/>
          <w14:ligatures w14:val="none"/>
        </w:rPr>
        <w:t>Cheques del sistema (CHK)</w:t>
      </w:r>
      <w:r w:rsidRPr="001571CA">
        <w:rPr>
          <w:rFonts w:ascii="Calibri" w:eastAsia="Calibri" w:hAnsi="Calibri" w:cs="Calibri"/>
          <w:color w:val="000000"/>
          <w:kern w:val="0"/>
          <w:sz w:val="22"/>
          <w:szCs w:val="22"/>
          <w:lang w:val="es-ES" w:eastAsia="en-GB"/>
          <w14:ligatures w14:val="none"/>
        </w:rPr>
        <w:t>: Son series de cheques producidas automáticamente por Quantum en el proceso de lotes PPR. Los números de cheque se asignan automáticamente.  El número inicial se incrementa en una unidad cada vez que se genera un cheque para una cuenta bancaria concreta.  El usuario descarga el fichero de pagos generado durante el PPR para la impresión de cheques. Las oficinas pueden utilizar el software de emisión de cheques desarrollado específicamente para su uso con el formato Cheques del Sistema (</w:t>
      </w:r>
      <w:proofErr w:type="spellStart"/>
      <w:r w:rsidRPr="001571CA">
        <w:rPr>
          <w:rFonts w:ascii="Calibri" w:eastAsia="Calibri" w:hAnsi="Calibri" w:cs="Calibri"/>
          <w:color w:val="000000"/>
          <w:kern w:val="0"/>
          <w:sz w:val="22"/>
          <w:szCs w:val="22"/>
          <w:lang w:val="es-ES" w:eastAsia="en-GB"/>
          <w14:ligatures w14:val="none"/>
        </w:rPr>
        <w:t>System</w:t>
      </w:r>
      <w:proofErr w:type="spellEnd"/>
      <w:r w:rsidRPr="001571CA">
        <w:rPr>
          <w:rFonts w:ascii="Calibri" w:eastAsia="Calibri" w:hAnsi="Calibri" w:cs="Calibri"/>
          <w:color w:val="000000"/>
          <w:kern w:val="0"/>
          <w:sz w:val="22"/>
          <w:szCs w:val="22"/>
          <w:lang w:val="es-ES" w:eastAsia="en-GB"/>
          <w14:ligatures w14:val="none"/>
        </w:rPr>
        <w:t xml:space="preserve"> Check) para personalizar los formatos de los cheques y añadir caracteres especiales.</w:t>
      </w:r>
    </w:p>
    <w:p w14:paraId="0F974F70" w14:textId="77777777" w:rsidR="004026C7" w:rsidRPr="001571CA" w:rsidRDefault="004026C7" w:rsidP="001571CA">
      <w:pPr>
        <w:pStyle w:val="ListParagraph"/>
        <w:numPr>
          <w:ilvl w:val="0"/>
          <w:numId w:val="2"/>
        </w:numPr>
        <w:spacing w:after="30" w:line="249" w:lineRule="auto"/>
        <w:jc w:val="both"/>
        <w:rPr>
          <w:rFonts w:ascii="Calibri" w:eastAsia="Calibri" w:hAnsi="Calibri" w:cs="Calibri"/>
          <w:color w:val="000000"/>
          <w:kern w:val="0"/>
          <w:sz w:val="22"/>
          <w:szCs w:val="22"/>
          <w:lang w:val="es-ES" w:eastAsia="en-GB"/>
          <w14:ligatures w14:val="none"/>
        </w:rPr>
      </w:pPr>
      <w:r w:rsidRPr="001571CA">
        <w:rPr>
          <w:rFonts w:ascii="Calibri" w:eastAsia="Calibri" w:hAnsi="Calibri" w:cs="Calibri"/>
          <w:b/>
          <w:bCs/>
          <w:color w:val="000000"/>
          <w:kern w:val="0"/>
          <w:sz w:val="22"/>
          <w:szCs w:val="22"/>
          <w:lang w:val="es-ES" w:eastAsia="en-GB"/>
          <w14:ligatures w14:val="none"/>
        </w:rPr>
        <w:t>Pago manual</w:t>
      </w:r>
      <w:r w:rsidRPr="001571CA">
        <w:rPr>
          <w:rFonts w:ascii="Calibri" w:eastAsia="Calibri" w:hAnsi="Calibri" w:cs="Calibri"/>
          <w:color w:val="000000"/>
          <w:kern w:val="0"/>
          <w:sz w:val="22"/>
          <w:szCs w:val="22"/>
          <w:lang w:val="es-ES" w:eastAsia="en-GB"/>
          <w14:ligatures w14:val="none"/>
        </w:rPr>
        <w:t xml:space="preserve">: Los pagos manuales se definen como pagos realizados fuera de Quantum y posteriormente registrados en Quantum. Las oficinas solo pueden realizar pagos manuales cuando (1) la oficina no puede conectarse o completar una transacción debido a un rendimiento deficiente del sistema o una conectividad deficiente con Quantum, y (2) el pago es necesario de inmediato debido a una situación de emergencia inevitable. Todos los pagos manuales deben tener documentos de respaldo y deben registrarse inmediatamente después en Quantum. Las oficinas están autorizadas para emitir hasta cinco cheques manuales por mes, y las circunstancias que justificaron dichos pagos manuales deben registrarse por escrito.  Si este número máximo es inadecuado, el </w:t>
      </w:r>
      <w:proofErr w:type="gramStart"/>
      <w:r w:rsidRPr="001571CA">
        <w:rPr>
          <w:rFonts w:ascii="Calibri" w:eastAsia="Calibri" w:hAnsi="Calibri" w:cs="Calibri"/>
          <w:color w:val="000000"/>
          <w:kern w:val="0"/>
          <w:sz w:val="22"/>
          <w:szCs w:val="22"/>
          <w:lang w:val="es-ES" w:eastAsia="en-GB"/>
          <w14:ligatures w14:val="none"/>
        </w:rPr>
        <w:t>Jefe</w:t>
      </w:r>
      <w:proofErr w:type="gramEnd"/>
      <w:r w:rsidRPr="001571CA">
        <w:rPr>
          <w:rFonts w:ascii="Calibri" w:eastAsia="Calibri" w:hAnsi="Calibri" w:cs="Calibri"/>
          <w:color w:val="000000"/>
          <w:kern w:val="0"/>
          <w:sz w:val="22"/>
          <w:szCs w:val="22"/>
          <w:lang w:val="es-ES" w:eastAsia="en-GB"/>
          <w14:ligatures w14:val="none"/>
        </w:rPr>
        <w:t xml:space="preserve"> de la Oficina debe solicitar una autorización previa del Contralor para exceder este límite. </w:t>
      </w:r>
    </w:p>
    <w:p w14:paraId="3ACF3BE7" w14:textId="77777777" w:rsidR="004026C7" w:rsidRPr="001571CA" w:rsidRDefault="004026C7" w:rsidP="001571CA">
      <w:pPr>
        <w:pStyle w:val="ListParagraph"/>
        <w:numPr>
          <w:ilvl w:val="0"/>
          <w:numId w:val="2"/>
        </w:numPr>
        <w:spacing w:after="30" w:line="249" w:lineRule="auto"/>
        <w:jc w:val="both"/>
        <w:rPr>
          <w:rFonts w:ascii="Calibri" w:eastAsia="Calibri" w:hAnsi="Calibri" w:cs="Calibri"/>
          <w:color w:val="000000"/>
          <w:kern w:val="0"/>
          <w:sz w:val="22"/>
          <w:szCs w:val="22"/>
          <w:lang w:val="es-ES" w:eastAsia="en-GB"/>
          <w14:ligatures w14:val="none"/>
        </w:rPr>
      </w:pPr>
      <w:r w:rsidRPr="001571CA">
        <w:rPr>
          <w:rFonts w:ascii="Calibri" w:eastAsia="Calibri" w:hAnsi="Calibri" w:cs="Calibri"/>
          <w:b/>
          <w:color w:val="000000"/>
          <w:kern w:val="0"/>
          <w:sz w:val="22"/>
          <w:szCs w:val="22"/>
          <w:lang w:val="es-ES" w:eastAsia="en-GB"/>
          <w14:ligatures w14:val="none"/>
        </w:rPr>
        <w:t xml:space="preserve">Cheques manuales (MAN): </w:t>
      </w:r>
      <w:r w:rsidRPr="001571CA">
        <w:rPr>
          <w:rFonts w:ascii="Calibri" w:eastAsia="Calibri" w:hAnsi="Calibri" w:cs="Calibri"/>
          <w:color w:val="000000"/>
          <w:kern w:val="0"/>
          <w:sz w:val="22"/>
          <w:szCs w:val="22"/>
          <w:lang w:val="es-ES" w:eastAsia="en-GB"/>
          <w14:ligatures w14:val="none"/>
        </w:rPr>
        <w:t xml:space="preserve">Este formato se elige si el número de cheque debe ser asignado por el usuario, o si el pago se realiza en efectivo.  Los cheques manuales (MAN, </w:t>
      </w:r>
      <w:r w:rsidRPr="001571CA">
        <w:rPr>
          <w:rFonts w:ascii="Calibri" w:eastAsia="Calibri" w:hAnsi="Calibri" w:cs="Calibri"/>
          <w:i/>
          <w:color w:val="000000"/>
          <w:kern w:val="0"/>
          <w:sz w:val="22"/>
          <w:szCs w:val="22"/>
          <w:lang w:val="es-ES" w:eastAsia="en-GB"/>
          <w14:ligatures w14:val="none"/>
        </w:rPr>
        <w:t>Manual</w:t>
      </w:r>
      <w:r w:rsidRPr="001571CA">
        <w:rPr>
          <w:rFonts w:ascii="Calibri" w:eastAsia="Calibri" w:hAnsi="Calibri" w:cs="Calibri"/>
          <w:color w:val="000000"/>
          <w:kern w:val="0"/>
          <w:sz w:val="22"/>
          <w:szCs w:val="22"/>
          <w:lang w:val="es-ES" w:eastAsia="en-GB"/>
          <w14:ligatures w14:val="none"/>
        </w:rPr>
        <w:t xml:space="preserve">, por sus siglas en inglés) son preparados y escritos/impresos por el usuario. El Proceso de pedido de pago no incluye ni procesa cheques manuales. Esta opción debe utilizarse con la menor frecuencia posible, ya que la naturaleza manual del proceso es propensa a errores. </w:t>
      </w:r>
    </w:p>
    <w:p w14:paraId="3B39D9F2" w14:textId="77777777" w:rsidR="004026C7" w:rsidRPr="004026C7" w:rsidRDefault="004026C7" w:rsidP="001571CA">
      <w:pPr>
        <w:spacing w:after="22" w:line="259" w:lineRule="auto"/>
        <w:rPr>
          <w:rFonts w:ascii="Calibri" w:eastAsia="Calibri" w:hAnsi="Calibri" w:cs="Calibri"/>
          <w:color w:val="000000"/>
          <w:kern w:val="0"/>
          <w:sz w:val="22"/>
          <w:szCs w:val="22"/>
          <w:lang w:val="es-ES" w:eastAsia="en-GB"/>
          <w14:ligatures w14:val="none"/>
        </w:rPr>
      </w:pPr>
    </w:p>
    <w:p w14:paraId="356AE844" w14:textId="77777777" w:rsidR="004026C7" w:rsidRPr="004026C7" w:rsidRDefault="004026C7" w:rsidP="004026C7">
      <w:pPr>
        <w:numPr>
          <w:ilvl w:val="0"/>
          <w:numId w:val="1"/>
        </w:numPr>
        <w:spacing w:after="128" w:line="249" w:lineRule="auto"/>
        <w:ind w:hanging="360"/>
        <w:jc w:val="both"/>
        <w:rPr>
          <w:rFonts w:ascii="Calibri" w:eastAsia="Calibri" w:hAnsi="Calibri" w:cs="Calibri"/>
          <w:color w:val="000000"/>
          <w:kern w:val="0"/>
          <w:sz w:val="22"/>
          <w:szCs w:val="22"/>
          <w:lang w:val="es-ES" w:eastAsia="en-GB"/>
          <w14:ligatures w14:val="none"/>
        </w:rPr>
      </w:pPr>
      <w:r w:rsidRPr="004026C7">
        <w:rPr>
          <w:rFonts w:ascii="Calibri" w:eastAsia="Calibri" w:hAnsi="Calibri" w:cs="Calibri"/>
          <w:color w:val="000000"/>
          <w:kern w:val="0"/>
          <w:sz w:val="22"/>
          <w:szCs w:val="22"/>
          <w:lang w:val="es-ES" w:eastAsia="en-GB"/>
          <w14:ligatures w14:val="none"/>
        </w:rPr>
        <w:t xml:space="preserve">En Quantum, las TEF están configuradas en dos formatos:  Archivo sin formato universal (UFF, </w:t>
      </w:r>
      <w:r w:rsidRPr="004026C7">
        <w:rPr>
          <w:rFonts w:ascii="Calibri" w:eastAsia="Calibri" w:hAnsi="Calibri" w:cs="Calibri"/>
          <w:i/>
          <w:color w:val="000000"/>
          <w:kern w:val="0"/>
          <w:sz w:val="22"/>
          <w:szCs w:val="22"/>
          <w:lang w:val="es-ES" w:eastAsia="en-GB"/>
          <w14:ligatures w14:val="none"/>
        </w:rPr>
        <w:t>Universal Flat File</w:t>
      </w:r>
      <w:r w:rsidRPr="004026C7">
        <w:rPr>
          <w:rFonts w:ascii="Calibri" w:eastAsia="Calibri" w:hAnsi="Calibri" w:cs="Calibri"/>
          <w:color w:val="000000"/>
          <w:kern w:val="0"/>
          <w:sz w:val="22"/>
          <w:szCs w:val="22"/>
          <w:lang w:val="es-ES" w:eastAsia="en-GB"/>
          <w14:ligatures w14:val="none"/>
        </w:rPr>
        <w:t xml:space="preserve">, por sus siglas en inglés) y el estándar ISO20022. Una instrucción de TEF se puede procesar de tres maneras: UFF, ISO20022.  y carta de transmisión. </w:t>
      </w:r>
    </w:p>
    <w:p w14:paraId="615D39E4" w14:textId="48BB004E" w:rsidR="004026C7" w:rsidRPr="001571CA" w:rsidRDefault="004026C7" w:rsidP="001571CA">
      <w:pPr>
        <w:pStyle w:val="ListParagraph"/>
        <w:numPr>
          <w:ilvl w:val="0"/>
          <w:numId w:val="3"/>
        </w:numPr>
        <w:spacing w:after="30" w:line="249" w:lineRule="auto"/>
        <w:jc w:val="both"/>
        <w:rPr>
          <w:rFonts w:ascii="Calibri" w:eastAsia="Calibri" w:hAnsi="Calibri" w:cs="Calibri"/>
          <w:color w:val="000000"/>
          <w:kern w:val="0"/>
          <w:sz w:val="22"/>
          <w:szCs w:val="22"/>
          <w:lang w:val="es-ES" w:eastAsia="en-GB"/>
          <w14:ligatures w14:val="none"/>
        </w:rPr>
      </w:pPr>
      <w:r w:rsidRPr="001571CA">
        <w:rPr>
          <w:rFonts w:ascii="Calibri" w:eastAsia="Calibri" w:hAnsi="Calibri" w:cs="Calibri"/>
          <w:b/>
          <w:color w:val="000000"/>
          <w:kern w:val="0"/>
          <w:sz w:val="22"/>
          <w:szCs w:val="22"/>
          <w:lang w:val="es-ES" w:eastAsia="en-GB"/>
          <w14:ligatures w14:val="none"/>
        </w:rPr>
        <w:t>Pago positivo</w:t>
      </w:r>
      <w:r w:rsidRPr="001571CA">
        <w:rPr>
          <w:rFonts w:ascii="Calibri" w:eastAsia="Calibri" w:hAnsi="Calibri" w:cs="Calibri"/>
          <w:color w:val="000000"/>
          <w:kern w:val="0"/>
          <w:sz w:val="22"/>
          <w:szCs w:val="22"/>
          <w:lang w:val="es-ES" w:eastAsia="en-GB"/>
          <w14:ligatures w14:val="none"/>
        </w:rPr>
        <w:t xml:space="preserve">: El pago positivo es un proceso utilizado para combatir el fraude con cheques. A través de este servicio, PNUD transmite un archivo de información del cheque emitido al banco poco después de su emisión al beneficiario. El banco compara los </w:t>
      </w:r>
      <w:r w:rsidRPr="001571CA">
        <w:rPr>
          <w:rFonts w:ascii="Calibri" w:eastAsia="Calibri" w:hAnsi="Calibri" w:cs="Calibri"/>
          <w:color w:val="000000"/>
          <w:kern w:val="0"/>
          <w:sz w:val="22"/>
          <w:szCs w:val="22"/>
          <w:lang w:val="es-ES" w:eastAsia="en-GB"/>
          <w14:ligatures w14:val="none"/>
        </w:rPr>
        <w:lastRenderedPageBreak/>
        <w:t>números de serie de cheques y los montos de los cheques presentados para pagos con el archivo de emisión, y paga solo aquellos cheques que coincidan. Las excepciones se transmiten al PNUD para su revisión. Algunos servicios de pago positivo controlan también el campo del beneficiario, así como el número de serie y el monto, a fin de detectar</w:t>
      </w:r>
      <w:r>
        <w:rPr>
          <w:rFonts w:ascii="Calibri" w:eastAsia="Calibri" w:hAnsi="Calibri" w:cs="Calibri"/>
          <w:color w:val="000000"/>
          <w:kern w:val="0"/>
          <w:sz w:val="22"/>
          <w:szCs w:val="22"/>
          <w:lang w:val="es-ES" w:eastAsia="en-GB"/>
          <w14:ligatures w14:val="none"/>
        </w:rPr>
        <w:t xml:space="preserve"> </w:t>
      </w:r>
      <w:r w:rsidRPr="001571CA">
        <w:rPr>
          <w:rFonts w:ascii="Calibri" w:eastAsia="Calibri" w:hAnsi="Calibri" w:cs="Calibri"/>
          <w:color w:val="000000"/>
          <w:kern w:val="0"/>
          <w:sz w:val="22"/>
          <w:szCs w:val="22"/>
          <w:lang w:val="es-ES" w:eastAsia="en-GB"/>
          <w14:ligatures w14:val="none"/>
        </w:rPr>
        <w:t>alteraciones</w:t>
      </w:r>
      <w:r>
        <w:rPr>
          <w:rFonts w:ascii="Calibri" w:eastAsia="Calibri" w:hAnsi="Calibri" w:cs="Calibri"/>
          <w:color w:val="000000"/>
          <w:kern w:val="0"/>
          <w:sz w:val="22"/>
          <w:szCs w:val="22"/>
          <w:lang w:val="es-ES" w:eastAsia="en-GB"/>
          <w14:ligatures w14:val="none"/>
        </w:rPr>
        <w:t xml:space="preserve"> </w:t>
      </w:r>
      <w:r w:rsidRPr="001571CA">
        <w:rPr>
          <w:rFonts w:ascii="Calibri" w:eastAsia="Calibri" w:hAnsi="Calibri" w:cs="Calibri"/>
          <w:color w:val="000000"/>
          <w:kern w:val="0"/>
          <w:sz w:val="22"/>
          <w:szCs w:val="22"/>
          <w:lang w:val="es-ES" w:eastAsia="en-GB"/>
          <w14:ligatures w14:val="none"/>
        </w:rPr>
        <w:t xml:space="preserve">de beneficiarios.  Los servicios de pago positivo se utilizan para las cuentas de Bank </w:t>
      </w:r>
      <w:proofErr w:type="spellStart"/>
      <w:r w:rsidRPr="001571CA">
        <w:rPr>
          <w:rFonts w:ascii="Calibri" w:eastAsia="Calibri" w:hAnsi="Calibri" w:cs="Calibri"/>
          <w:color w:val="000000"/>
          <w:kern w:val="0"/>
          <w:sz w:val="22"/>
          <w:szCs w:val="22"/>
          <w:lang w:val="es-ES" w:eastAsia="en-GB"/>
          <w14:ligatures w14:val="none"/>
        </w:rPr>
        <w:t>of</w:t>
      </w:r>
      <w:proofErr w:type="spellEnd"/>
      <w:r w:rsidRPr="001571CA">
        <w:rPr>
          <w:rFonts w:ascii="Calibri" w:eastAsia="Calibri" w:hAnsi="Calibri" w:cs="Calibri"/>
          <w:color w:val="000000"/>
          <w:kern w:val="0"/>
          <w:sz w:val="22"/>
          <w:szCs w:val="22"/>
          <w:lang w:val="es-ES" w:eastAsia="en-GB"/>
          <w14:ligatures w14:val="none"/>
        </w:rPr>
        <w:t xml:space="preserve"> America ZBA.</w:t>
      </w:r>
    </w:p>
    <w:p w14:paraId="5082BAB7" w14:textId="77777777" w:rsidR="004026C7" w:rsidRPr="001571CA" w:rsidRDefault="004026C7" w:rsidP="001571CA">
      <w:pPr>
        <w:pStyle w:val="ListParagraph"/>
        <w:numPr>
          <w:ilvl w:val="0"/>
          <w:numId w:val="3"/>
        </w:numPr>
        <w:spacing w:after="30" w:line="249" w:lineRule="auto"/>
        <w:jc w:val="both"/>
        <w:rPr>
          <w:rFonts w:ascii="Calibri" w:eastAsia="Calibri" w:hAnsi="Calibri" w:cs="Calibri"/>
          <w:color w:val="000000"/>
          <w:kern w:val="0"/>
          <w:sz w:val="22"/>
          <w:szCs w:val="22"/>
          <w:lang w:val="es-ES" w:eastAsia="en-GB"/>
          <w14:ligatures w14:val="none"/>
        </w:rPr>
      </w:pPr>
      <w:r w:rsidRPr="001571CA">
        <w:rPr>
          <w:rFonts w:ascii="Calibri" w:eastAsia="Calibri" w:hAnsi="Calibri" w:cs="Calibri"/>
          <w:b/>
          <w:color w:val="000000"/>
          <w:kern w:val="0"/>
          <w:sz w:val="22"/>
          <w:szCs w:val="22"/>
          <w:u w:val="single" w:color="000000"/>
          <w:lang w:val="es-ES" w:eastAsia="en-GB"/>
          <w14:ligatures w14:val="none"/>
        </w:rPr>
        <w:t>Archivo sin formato universal (UFF)</w:t>
      </w:r>
      <w:r w:rsidRPr="001571CA">
        <w:rPr>
          <w:rFonts w:ascii="Calibri" w:eastAsia="Calibri" w:hAnsi="Calibri" w:cs="Calibri"/>
          <w:color w:val="000000"/>
          <w:kern w:val="0"/>
          <w:sz w:val="22"/>
          <w:szCs w:val="22"/>
          <w:lang w:val="es-ES" w:eastAsia="en-GB"/>
          <w14:ligatures w14:val="none"/>
        </w:rPr>
        <w:t xml:space="preserve"> es el formato genérico de fichero de pago generado por el Procesos de pedido de pago (PPR) desde Quantum.  Los ficheros UFF son utilizados por las oficinas que han desarrollado una interfaz bancaria local o soluciones de banca electrónica web con sus bancos locales con la aprobación del Tesorero.  Consulte la sección </w:t>
      </w:r>
      <w:hyperlink r:id="rId7" w:history="1">
        <w:r w:rsidRPr="001571CA">
          <w:rPr>
            <w:rFonts w:ascii="Calibri" w:eastAsia="Calibri" w:hAnsi="Calibri" w:cs="Calibri"/>
            <w:color w:val="0000FF"/>
            <w:kern w:val="0"/>
            <w:sz w:val="22"/>
            <w:szCs w:val="22"/>
            <w:u w:val="single"/>
            <w:lang w:val="es-ES" w:eastAsia="en-GB"/>
            <w14:ligatures w14:val="none"/>
          </w:rPr>
          <w:t>Establecimiento y uso de sistemas de banca electrónica (en inglés)</w:t>
        </w:r>
      </w:hyperlink>
      <w:r w:rsidRPr="001571CA">
        <w:rPr>
          <w:rFonts w:ascii="Calibri" w:eastAsia="Calibri" w:hAnsi="Calibri" w:cs="Calibri"/>
          <w:color w:val="000000"/>
          <w:kern w:val="0"/>
          <w:sz w:val="22"/>
          <w:szCs w:val="22"/>
          <w:lang w:val="es-ES" w:eastAsia="en-GB"/>
          <w14:ligatures w14:val="none"/>
        </w:rPr>
        <w:t xml:space="preserve">.  Si una oficina no dispone de una interfaz local, deberá preparar y autorizar manualmente una carta de instrucciones para solicitar al banco que ejecute una transferencia para el pago.  El proceso PPR se ejecuta utilizando el método de pago "TRF" para la generación del fichero UFF. </w:t>
      </w:r>
    </w:p>
    <w:p w14:paraId="4241E4FC" w14:textId="77777777" w:rsidR="004026C7" w:rsidRPr="001571CA" w:rsidRDefault="004026C7" w:rsidP="001571CA">
      <w:pPr>
        <w:pStyle w:val="ListParagraph"/>
        <w:numPr>
          <w:ilvl w:val="0"/>
          <w:numId w:val="3"/>
        </w:numPr>
        <w:spacing w:after="0" w:line="249" w:lineRule="auto"/>
        <w:jc w:val="both"/>
        <w:rPr>
          <w:rFonts w:ascii="Calibri" w:eastAsia="Calibri" w:hAnsi="Calibri" w:cs="Calibri"/>
          <w:color w:val="000000"/>
          <w:kern w:val="0"/>
          <w:sz w:val="22"/>
          <w:szCs w:val="22"/>
          <w:lang w:val="es-ES" w:eastAsia="en-GB"/>
          <w14:ligatures w14:val="none"/>
        </w:rPr>
      </w:pPr>
      <w:r w:rsidRPr="001571CA">
        <w:rPr>
          <w:rFonts w:ascii="Calibri" w:eastAsia="Calibri" w:hAnsi="Calibri" w:cs="Calibri"/>
          <w:b/>
          <w:bCs/>
          <w:color w:val="000000"/>
          <w:kern w:val="0"/>
          <w:sz w:val="22"/>
          <w:szCs w:val="22"/>
          <w:u w:val="single"/>
          <w:lang w:val="es-ES" w:eastAsia="en-GB"/>
          <w14:ligatures w14:val="none"/>
        </w:rPr>
        <w:t xml:space="preserve">Transferencias electrónicas de fondos </w:t>
      </w:r>
      <w:r w:rsidRPr="001571CA">
        <w:rPr>
          <w:rFonts w:ascii="Calibri" w:eastAsia="Calibri" w:hAnsi="Calibri" w:cs="Calibri"/>
          <w:b/>
          <w:color w:val="000000"/>
          <w:kern w:val="0"/>
          <w:sz w:val="22"/>
          <w:szCs w:val="22"/>
          <w:u w:val="single" w:color="000000"/>
          <w:lang w:val="es-ES" w:eastAsia="en-GB"/>
          <w14:ligatures w14:val="none"/>
        </w:rPr>
        <w:t>(EFT) con H2H completo utilizando la norma ISO20022</w:t>
      </w:r>
      <w:r w:rsidRPr="001571CA">
        <w:rPr>
          <w:rFonts w:ascii="Calibri" w:eastAsia="Calibri" w:hAnsi="Calibri" w:cs="Calibri"/>
          <w:bCs/>
          <w:color w:val="000000"/>
          <w:kern w:val="0"/>
          <w:sz w:val="22"/>
          <w:szCs w:val="22"/>
          <w:u w:color="000000"/>
          <w:lang w:val="es-ES" w:eastAsia="en-GB"/>
          <w14:ligatures w14:val="none"/>
        </w:rPr>
        <w:t xml:space="preserve"> se aplica si la cuenta bancaria pagadora forma parte de la interfaz Host-</w:t>
      </w:r>
      <w:proofErr w:type="spellStart"/>
      <w:r w:rsidRPr="001571CA">
        <w:rPr>
          <w:rFonts w:ascii="Calibri" w:eastAsia="Calibri" w:hAnsi="Calibri" w:cs="Calibri"/>
          <w:bCs/>
          <w:color w:val="000000"/>
          <w:kern w:val="0"/>
          <w:sz w:val="22"/>
          <w:szCs w:val="22"/>
          <w:u w:color="000000"/>
          <w:lang w:val="es-ES" w:eastAsia="en-GB"/>
          <w14:ligatures w14:val="none"/>
        </w:rPr>
        <w:t>to</w:t>
      </w:r>
      <w:proofErr w:type="spellEnd"/>
      <w:r w:rsidRPr="001571CA">
        <w:rPr>
          <w:rFonts w:ascii="Calibri" w:eastAsia="Calibri" w:hAnsi="Calibri" w:cs="Calibri"/>
          <w:bCs/>
          <w:color w:val="000000"/>
          <w:kern w:val="0"/>
          <w:sz w:val="22"/>
          <w:szCs w:val="22"/>
          <w:u w:color="000000"/>
          <w:lang w:val="es-ES" w:eastAsia="en-GB"/>
          <w14:ligatures w14:val="none"/>
        </w:rPr>
        <w:t>-Host completa.  El sistema procesa estos ficheros de pago en cuanto se ejecuta un PPR y los transmite automáticamente a los bancos a través del centro de pagos del Sistema de Gestión de Tesorería (TMS). Los bancos, a su vez, envían estas instrucciones de pago a los bancos pagadores, y también devuelven a través del mismo canal H2H los extractos bancarios</w:t>
      </w:r>
      <w:r w:rsidRPr="001571CA">
        <w:rPr>
          <w:rFonts w:ascii="Calibri" w:eastAsia="Calibri" w:hAnsi="Calibri" w:cs="Calibri"/>
          <w:color w:val="000000"/>
          <w:kern w:val="0"/>
          <w:sz w:val="22"/>
          <w:szCs w:val="22"/>
          <w:lang w:val="es-ES" w:eastAsia="en-GB"/>
          <w14:ligatures w14:val="none"/>
        </w:rPr>
        <w:t xml:space="preserve">. </w:t>
      </w:r>
    </w:p>
    <w:p w14:paraId="74FA5D9A" w14:textId="77777777" w:rsidR="004026C7" w:rsidRPr="004026C7" w:rsidRDefault="004026C7" w:rsidP="004026C7">
      <w:pPr>
        <w:spacing w:after="18" w:line="259" w:lineRule="auto"/>
        <w:ind w:left="1133"/>
        <w:rPr>
          <w:rFonts w:ascii="Calibri" w:eastAsia="Calibri" w:hAnsi="Calibri" w:cs="Calibri"/>
          <w:color w:val="000000"/>
          <w:kern w:val="0"/>
          <w:sz w:val="22"/>
          <w:szCs w:val="22"/>
          <w:lang w:val="es-ES" w:eastAsia="en-GB"/>
          <w14:ligatures w14:val="none"/>
        </w:rPr>
      </w:pPr>
      <w:r w:rsidRPr="004026C7">
        <w:rPr>
          <w:rFonts w:ascii="Calibri" w:eastAsia="Calibri" w:hAnsi="Calibri" w:cs="Calibri"/>
          <w:color w:val="000000"/>
          <w:kern w:val="0"/>
          <w:sz w:val="22"/>
          <w:szCs w:val="22"/>
          <w:lang w:val="es-ES" w:eastAsia="en-GB"/>
          <w14:ligatures w14:val="none"/>
        </w:rPr>
        <w:t xml:space="preserve"> </w:t>
      </w:r>
    </w:p>
    <w:p w14:paraId="43E5D6C7" w14:textId="77777777" w:rsidR="004026C7" w:rsidRPr="004026C7" w:rsidRDefault="004026C7" w:rsidP="004026C7">
      <w:pPr>
        <w:numPr>
          <w:ilvl w:val="0"/>
          <w:numId w:val="1"/>
        </w:numPr>
        <w:spacing w:after="123" w:line="249" w:lineRule="auto"/>
        <w:ind w:hanging="360"/>
        <w:jc w:val="both"/>
        <w:rPr>
          <w:rFonts w:ascii="Calibri" w:eastAsia="Calibri" w:hAnsi="Calibri" w:cs="Calibri"/>
          <w:color w:val="000000"/>
          <w:kern w:val="0"/>
          <w:sz w:val="22"/>
          <w:szCs w:val="22"/>
          <w:lang w:val="es-ES" w:eastAsia="en-GB"/>
          <w14:ligatures w14:val="none"/>
        </w:rPr>
      </w:pPr>
      <w:r w:rsidRPr="004026C7">
        <w:rPr>
          <w:rFonts w:ascii="Calibri" w:eastAsia="Calibri" w:hAnsi="Calibri" w:cs="Calibri"/>
          <w:color w:val="000000"/>
          <w:kern w:val="0"/>
          <w:sz w:val="22"/>
          <w:szCs w:val="22"/>
          <w:lang w:val="es-ES" w:eastAsia="en-GB"/>
          <w14:ligatures w14:val="none"/>
        </w:rPr>
        <w:t xml:space="preserve">Transferencia Electrónica de Fondos (EFT) es el método de pago preferido por las siguientes razones: </w:t>
      </w:r>
    </w:p>
    <w:p w14:paraId="636D779E" w14:textId="77777777" w:rsidR="004026C7" w:rsidRPr="001571CA" w:rsidRDefault="004026C7" w:rsidP="001571CA">
      <w:pPr>
        <w:pStyle w:val="ListParagraph"/>
        <w:numPr>
          <w:ilvl w:val="0"/>
          <w:numId w:val="4"/>
        </w:numPr>
        <w:spacing w:after="30" w:line="249" w:lineRule="auto"/>
        <w:jc w:val="both"/>
        <w:rPr>
          <w:rFonts w:ascii="Calibri" w:eastAsia="Calibri" w:hAnsi="Calibri" w:cs="Calibri"/>
          <w:color w:val="000000"/>
          <w:kern w:val="0"/>
          <w:sz w:val="22"/>
          <w:szCs w:val="22"/>
          <w:lang w:val="es-ES" w:eastAsia="en-GB"/>
          <w14:ligatures w14:val="none"/>
        </w:rPr>
      </w:pPr>
      <w:r w:rsidRPr="001571CA">
        <w:rPr>
          <w:rFonts w:ascii="Calibri" w:eastAsia="Calibri" w:hAnsi="Calibri" w:cs="Calibri"/>
          <w:color w:val="000000"/>
          <w:kern w:val="0"/>
          <w:sz w:val="22"/>
          <w:szCs w:val="22"/>
          <w:lang w:val="es-ES" w:eastAsia="en-GB"/>
          <w14:ligatures w14:val="none"/>
        </w:rPr>
        <w:t xml:space="preserve">La creación y aprobación de los asientos, así como la transmisión de efectivo, se realizan de forma simultánea.  </w:t>
      </w:r>
    </w:p>
    <w:p w14:paraId="7992D4BE" w14:textId="77777777" w:rsidR="004026C7" w:rsidRPr="001571CA" w:rsidRDefault="004026C7" w:rsidP="001571CA">
      <w:pPr>
        <w:pStyle w:val="ListParagraph"/>
        <w:numPr>
          <w:ilvl w:val="0"/>
          <w:numId w:val="4"/>
        </w:numPr>
        <w:spacing w:after="30" w:line="249" w:lineRule="auto"/>
        <w:jc w:val="both"/>
        <w:rPr>
          <w:rFonts w:ascii="Calibri" w:eastAsia="Calibri" w:hAnsi="Calibri" w:cs="Calibri"/>
          <w:color w:val="000000"/>
          <w:kern w:val="0"/>
          <w:sz w:val="22"/>
          <w:szCs w:val="22"/>
          <w:lang w:val="es-ES" w:eastAsia="en-GB"/>
          <w14:ligatures w14:val="none"/>
        </w:rPr>
      </w:pPr>
      <w:r w:rsidRPr="001571CA">
        <w:rPr>
          <w:rFonts w:ascii="Calibri" w:eastAsia="Calibri" w:hAnsi="Calibri" w:cs="Calibri"/>
          <w:color w:val="000000"/>
          <w:kern w:val="0"/>
          <w:sz w:val="22"/>
          <w:szCs w:val="22"/>
          <w:lang w:val="es-ES" w:eastAsia="en-GB"/>
          <w14:ligatures w14:val="none"/>
        </w:rPr>
        <w:t xml:space="preserve">La interfaz del H2H y el pago positivo contribuyen a crear un entorno de control interno sólido (véase la sección sobre acuerdos bancarios en operaciones bancarias e inversiones en efectivo, gestión de recursos financieros, en las presentes Políticas y Procedimientos de Operaciones y Programas [POPP, </w:t>
      </w:r>
      <w:proofErr w:type="spellStart"/>
      <w:r w:rsidRPr="001571CA">
        <w:rPr>
          <w:rFonts w:ascii="Calibri" w:eastAsia="Calibri" w:hAnsi="Calibri" w:cs="Calibri"/>
          <w:i/>
          <w:color w:val="000000"/>
          <w:kern w:val="0"/>
          <w:sz w:val="22"/>
          <w:szCs w:val="22"/>
          <w:lang w:val="es-ES" w:eastAsia="en-GB"/>
          <w14:ligatures w14:val="none"/>
        </w:rPr>
        <w:t>Programme</w:t>
      </w:r>
      <w:proofErr w:type="spellEnd"/>
      <w:r w:rsidRPr="001571CA">
        <w:rPr>
          <w:rFonts w:ascii="Calibri" w:eastAsia="Calibri" w:hAnsi="Calibri" w:cs="Calibri"/>
          <w:i/>
          <w:color w:val="000000"/>
          <w:kern w:val="0"/>
          <w:sz w:val="22"/>
          <w:szCs w:val="22"/>
          <w:lang w:val="es-ES" w:eastAsia="en-GB"/>
          <w14:ligatures w14:val="none"/>
        </w:rPr>
        <w:t xml:space="preserve"> and </w:t>
      </w:r>
      <w:proofErr w:type="spellStart"/>
      <w:r w:rsidRPr="001571CA">
        <w:rPr>
          <w:rFonts w:ascii="Calibri" w:eastAsia="Calibri" w:hAnsi="Calibri" w:cs="Calibri"/>
          <w:i/>
          <w:color w:val="000000"/>
          <w:kern w:val="0"/>
          <w:sz w:val="22"/>
          <w:szCs w:val="22"/>
          <w:lang w:val="es-ES" w:eastAsia="en-GB"/>
          <w14:ligatures w14:val="none"/>
        </w:rPr>
        <w:t>Operations</w:t>
      </w:r>
      <w:proofErr w:type="spellEnd"/>
      <w:r w:rsidRPr="001571CA">
        <w:rPr>
          <w:rFonts w:ascii="Calibri" w:eastAsia="Calibri" w:hAnsi="Calibri" w:cs="Calibri"/>
          <w:i/>
          <w:color w:val="000000"/>
          <w:kern w:val="0"/>
          <w:sz w:val="22"/>
          <w:szCs w:val="22"/>
          <w:lang w:val="es-ES" w:eastAsia="en-GB"/>
          <w14:ligatures w14:val="none"/>
        </w:rPr>
        <w:t xml:space="preserve"> </w:t>
      </w:r>
      <w:proofErr w:type="spellStart"/>
      <w:r w:rsidRPr="001571CA">
        <w:rPr>
          <w:rFonts w:ascii="Calibri" w:eastAsia="Calibri" w:hAnsi="Calibri" w:cs="Calibri"/>
          <w:i/>
          <w:color w:val="000000"/>
          <w:kern w:val="0"/>
          <w:sz w:val="22"/>
          <w:szCs w:val="22"/>
          <w:lang w:val="es-ES" w:eastAsia="en-GB"/>
          <w14:ligatures w14:val="none"/>
        </w:rPr>
        <w:t>Policies</w:t>
      </w:r>
      <w:proofErr w:type="spellEnd"/>
      <w:r w:rsidRPr="001571CA">
        <w:rPr>
          <w:rFonts w:ascii="Calibri" w:eastAsia="Calibri" w:hAnsi="Calibri" w:cs="Calibri"/>
          <w:i/>
          <w:color w:val="000000"/>
          <w:kern w:val="0"/>
          <w:sz w:val="22"/>
          <w:szCs w:val="22"/>
          <w:lang w:val="es-ES" w:eastAsia="en-GB"/>
          <w14:ligatures w14:val="none"/>
        </w:rPr>
        <w:t xml:space="preserve"> and </w:t>
      </w:r>
      <w:proofErr w:type="spellStart"/>
      <w:r w:rsidRPr="001571CA">
        <w:rPr>
          <w:rFonts w:ascii="Calibri" w:eastAsia="Calibri" w:hAnsi="Calibri" w:cs="Calibri"/>
          <w:i/>
          <w:color w:val="000000"/>
          <w:kern w:val="0"/>
          <w:sz w:val="22"/>
          <w:szCs w:val="22"/>
          <w:lang w:val="es-ES" w:eastAsia="en-GB"/>
          <w14:ligatures w14:val="none"/>
        </w:rPr>
        <w:t>Procedures</w:t>
      </w:r>
      <w:proofErr w:type="spellEnd"/>
      <w:r w:rsidRPr="001571CA">
        <w:rPr>
          <w:rFonts w:ascii="Calibri" w:eastAsia="Calibri" w:hAnsi="Calibri" w:cs="Calibri"/>
          <w:color w:val="000000"/>
          <w:kern w:val="0"/>
          <w:sz w:val="22"/>
          <w:szCs w:val="22"/>
          <w:lang w:val="es-ES" w:eastAsia="en-GB"/>
          <w14:ligatures w14:val="none"/>
        </w:rPr>
        <w:t xml:space="preserve">, por sus siglas en inglés]), ya que disminuyen el riesgo de error en el ingreso de datos, y el proceso está completamente automatizado. </w:t>
      </w:r>
    </w:p>
    <w:p w14:paraId="6B6A9482" w14:textId="77777777" w:rsidR="004026C7" w:rsidRPr="001571CA" w:rsidRDefault="004026C7" w:rsidP="001571CA"/>
    <w:p w14:paraId="24DA268D" w14:textId="77777777" w:rsidR="004026C7" w:rsidRDefault="004026C7" w:rsidP="004026C7">
      <w:pPr>
        <w:shd w:val="clear" w:color="auto" w:fill="FFFFFF"/>
        <w:spacing w:after="0" w:line="259" w:lineRule="auto"/>
        <w:rPr>
          <w:rFonts w:ascii="Calibri" w:eastAsia="Calibri" w:hAnsi="Calibri" w:cs="Calibri"/>
          <w:b/>
          <w:bCs/>
          <w:i/>
          <w:iCs/>
          <w:color w:val="262626"/>
          <w:kern w:val="0"/>
          <w:sz w:val="22"/>
          <w:szCs w:val="22"/>
          <w:bdr w:val="none" w:sz="0" w:space="0" w:color="auto" w:frame="1"/>
          <w:lang w:eastAsia="ja-JP"/>
          <w14:ligatures w14:val="none"/>
        </w:rPr>
      </w:pPr>
    </w:p>
    <w:p w14:paraId="404AD3DD" w14:textId="77777777" w:rsidR="004026C7" w:rsidRDefault="004026C7" w:rsidP="004026C7">
      <w:pPr>
        <w:shd w:val="clear" w:color="auto" w:fill="FFFFFF"/>
        <w:spacing w:after="0" w:line="259" w:lineRule="auto"/>
        <w:rPr>
          <w:rFonts w:ascii="Calibri" w:eastAsia="Calibri" w:hAnsi="Calibri" w:cs="Calibri"/>
          <w:b/>
          <w:bCs/>
          <w:i/>
          <w:iCs/>
          <w:color w:val="262626"/>
          <w:kern w:val="0"/>
          <w:sz w:val="22"/>
          <w:szCs w:val="22"/>
          <w:bdr w:val="none" w:sz="0" w:space="0" w:color="auto" w:frame="1"/>
          <w:lang w:eastAsia="ja-JP"/>
          <w14:ligatures w14:val="none"/>
        </w:rPr>
      </w:pPr>
    </w:p>
    <w:p w14:paraId="62A57761" w14:textId="7AF26648" w:rsidR="004026C7" w:rsidRPr="00DD76CF" w:rsidRDefault="004026C7" w:rsidP="004026C7">
      <w:pPr>
        <w:shd w:val="clear" w:color="auto" w:fill="FFFFFF"/>
        <w:spacing w:after="0" w:line="259" w:lineRule="auto"/>
        <w:rPr>
          <w:rFonts w:ascii="Calibri" w:eastAsia="Times New Roman" w:hAnsi="Calibri" w:cs="Times New Roman"/>
          <w:color w:val="262626"/>
          <w:kern w:val="0"/>
          <w:sz w:val="22"/>
          <w:szCs w:val="22"/>
          <w:lang w:eastAsia="ja-JP"/>
          <w14:ligatures w14:val="none"/>
        </w:rPr>
      </w:pPr>
      <w:r w:rsidRPr="00DD76CF">
        <w:rPr>
          <w:rFonts w:ascii="Calibri" w:eastAsia="Calibri" w:hAnsi="Calibri" w:cs="Calibri"/>
          <w:b/>
          <w:bCs/>
          <w:i/>
          <w:iCs/>
          <w:color w:val="262626"/>
          <w:kern w:val="0"/>
          <w:sz w:val="22"/>
          <w:szCs w:val="22"/>
          <w:bdr w:val="none" w:sz="0" w:space="0" w:color="auto" w:frame="1"/>
          <w:lang w:eastAsia="ja-JP"/>
          <w14:ligatures w14:val="none"/>
        </w:rPr>
        <w:t>Disclaimer:</w:t>
      </w:r>
      <w:r w:rsidRPr="00DD76CF">
        <w:rPr>
          <w:rFonts w:ascii="Calibri" w:eastAsia="Calibri" w:hAnsi="Calibri" w:cs="Calibri"/>
          <w:i/>
          <w:iCs/>
          <w:color w:val="262626"/>
          <w:kern w:val="0"/>
          <w:sz w:val="22"/>
          <w:szCs w:val="22"/>
          <w:bdr w:val="none" w:sz="0" w:space="0" w:color="auto" w:frame="1"/>
          <w:lang w:eastAsia="ja-JP"/>
          <w14:ligatures w14:val="none"/>
        </w:rPr>
        <w:t xml:space="preserve"> This document was translated from English into Spanish. In the event of any discrepancy between this translation and the original English document, the original English document shall prevail.</w:t>
      </w:r>
    </w:p>
    <w:p w14:paraId="00E1C053" w14:textId="77777777" w:rsidR="004026C7" w:rsidRPr="00DD76CF" w:rsidRDefault="004026C7" w:rsidP="004026C7">
      <w:pPr>
        <w:shd w:val="clear" w:color="auto" w:fill="FFFFFF"/>
        <w:spacing w:after="0" w:line="240" w:lineRule="auto"/>
        <w:rPr>
          <w:rFonts w:ascii="Calibri" w:eastAsia="Times New Roman" w:hAnsi="Calibri" w:cs="Times New Roman"/>
          <w:color w:val="262626"/>
          <w:kern w:val="0"/>
          <w:sz w:val="22"/>
          <w:szCs w:val="22"/>
          <w14:ligatures w14:val="none"/>
        </w:rPr>
      </w:pPr>
      <w:r w:rsidRPr="00DD76CF">
        <w:rPr>
          <w:rFonts w:ascii="Calibri" w:eastAsia="Times New Roman" w:hAnsi="Calibri" w:cs="Times New Roman"/>
          <w:i/>
          <w:iCs/>
          <w:color w:val="262626"/>
          <w:kern w:val="0"/>
          <w:sz w:val="22"/>
          <w:szCs w:val="22"/>
          <w:bdr w:val="none" w:sz="0" w:space="0" w:color="auto" w:frame="1"/>
          <w14:ligatures w14:val="none"/>
        </w:rPr>
        <w:t> </w:t>
      </w:r>
    </w:p>
    <w:p w14:paraId="6F9BDBD5" w14:textId="77777777" w:rsidR="004026C7" w:rsidRPr="00DD76CF" w:rsidRDefault="004026C7" w:rsidP="004026C7">
      <w:pPr>
        <w:shd w:val="clear" w:color="auto" w:fill="FFFFFF"/>
        <w:spacing w:after="0" w:line="240" w:lineRule="auto"/>
        <w:rPr>
          <w:rFonts w:ascii="Calibri" w:eastAsia="Times New Roman" w:hAnsi="Calibri" w:cs="Times New Roman"/>
          <w:color w:val="262626"/>
          <w:kern w:val="0"/>
          <w:sz w:val="22"/>
          <w:szCs w:val="22"/>
          <w:lang w:val="es-ES_tradnl"/>
          <w14:ligatures w14:val="none"/>
        </w:rPr>
      </w:pPr>
      <w:r w:rsidRPr="00DD76CF">
        <w:rPr>
          <w:rFonts w:ascii="Calibri" w:eastAsia="Times New Roman" w:hAnsi="Calibri" w:cs="Times New Roman"/>
          <w:b/>
          <w:bCs/>
          <w:i/>
          <w:iCs/>
          <w:color w:val="262626"/>
          <w:kern w:val="0"/>
          <w:sz w:val="22"/>
          <w:szCs w:val="22"/>
          <w:bdr w:val="none" w:sz="0" w:space="0" w:color="auto" w:frame="1"/>
          <w:shd w:val="clear" w:color="auto" w:fill="FFFFFF"/>
          <w:lang w:val="es-ES_tradnl"/>
          <w14:ligatures w14:val="none"/>
        </w:rPr>
        <w:t>Descargo de responsabilidad:</w:t>
      </w:r>
      <w:r w:rsidRPr="00DD76CF">
        <w:rPr>
          <w:rFonts w:ascii="Calibri" w:eastAsia="Times New Roman" w:hAnsi="Calibri" w:cs="Times New Roman"/>
          <w:i/>
          <w:iCs/>
          <w:color w:val="262626"/>
          <w:kern w:val="0"/>
          <w:sz w:val="22"/>
          <w:szCs w:val="22"/>
          <w:bdr w:val="none" w:sz="0" w:space="0" w:color="auto" w:frame="1"/>
          <w:shd w:val="clear" w:color="auto" w:fill="FFFFFF"/>
          <w:lang w:val="es-ES_tradnl"/>
          <w14:ligatures w14:val="none"/>
        </w:rPr>
        <w:t xml:space="preserve"> esta es una traducción de un documento original en inglés. </w:t>
      </w:r>
      <w:r w:rsidRPr="00DD76CF">
        <w:rPr>
          <w:rFonts w:ascii="Calibri" w:eastAsia="Times New Roman" w:hAnsi="Calibri" w:cs="Times New Roman"/>
          <w:i/>
          <w:iCs/>
          <w:color w:val="262626"/>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2DED99DD" w14:textId="77777777" w:rsidR="00DA504D" w:rsidRPr="004026C7" w:rsidRDefault="00DA504D" w:rsidP="004026C7"/>
    <w:sectPr w:rsidR="00DA504D" w:rsidRPr="004026C7" w:rsidSect="001571CA">
      <w:headerReference w:type="default" r:id="rId8"/>
      <w:footerReference w:type="default" r:id="rId9"/>
      <w:pgSz w:w="11906" w:h="16838"/>
      <w:pgMar w:top="1976" w:right="836"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BCCA" w14:textId="77777777" w:rsidR="00D67B20" w:rsidRDefault="00D67B20" w:rsidP="004026C7">
      <w:pPr>
        <w:spacing w:after="0" w:line="240" w:lineRule="auto"/>
      </w:pPr>
      <w:r>
        <w:separator/>
      </w:r>
    </w:p>
  </w:endnote>
  <w:endnote w:type="continuationSeparator" w:id="0">
    <w:p w14:paraId="03D28A20" w14:textId="77777777" w:rsidR="00D67B20" w:rsidRDefault="00D67B20" w:rsidP="00402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AC3A" w14:textId="77777777" w:rsidR="004026C7" w:rsidRDefault="004026C7">
    <w:pPr>
      <w:pStyle w:val="Footer"/>
    </w:pPr>
  </w:p>
  <w:p w14:paraId="7DFE075B" w14:textId="77777777" w:rsidR="004026C7" w:rsidRPr="001571CA" w:rsidRDefault="004026C7">
    <w:pPr>
      <w:pStyle w:val="Footer"/>
      <w:rPr>
        <w:rFonts w:ascii="Calibri" w:hAnsi="Calibri" w:cs="Calibri"/>
        <w:sz w:val="22"/>
        <w:szCs w:val="22"/>
      </w:rPr>
    </w:pPr>
    <w:r w:rsidRPr="001571CA">
      <w:rPr>
        <w:rFonts w:ascii="Calibri" w:hAnsi="Calibri" w:cs="Calibri"/>
        <w:sz w:val="22"/>
        <w:szCs w:val="22"/>
      </w:rPr>
      <w:t xml:space="preserve">Página </w:t>
    </w:r>
    <w:r w:rsidRPr="001571CA">
      <w:rPr>
        <w:rFonts w:ascii="Calibri" w:hAnsi="Calibri" w:cs="Calibri"/>
        <w:b/>
        <w:sz w:val="22"/>
        <w:szCs w:val="22"/>
      </w:rPr>
      <w:fldChar w:fldCharType="begin"/>
    </w:r>
    <w:r w:rsidRPr="001571CA">
      <w:rPr>
        <w:rFonts w:ascii="Calibri" w:hAnsi="Calibri" w:cs="Calibri"/>
        <w:b/>
        <w:sz w:val="22"/>
        <w:szCs w:val="22"/>
      </w:rPr>
      <w:instrText xml:space="preserve"> PAGE  \* Arabic  \* MERGEFORMAT </w:instrText>
    </w:r>
    <w:r w:rsidRPr="001571CA">
      <w:rPr>
        <w:rFonts w:ascii="Calibri" w:hAnsi="Calibri" w:cs="Calibri"/>
        <w:b/>
        <w:sz w:val="22"/>
        <w:szCs w:val="22"/>
      </w:rPr>
      <w:fldChar w:fldCharType="separate"/>
    </w:r>
    <w:r w:rsidRPr="001571CA">
      <w:rPr>
        <w:rFonts w:ascii="Calibri" w:hAnsi="Calibri" w:cs="Calibri"/>
        <w:b/>
        <w:noProof/>
        <w:sz w:val="22"/>
        <w:szCs w:val="22"/>
      </w:rPr>
      <w:t>1</w:t>
    </w:r>
    <w:r w:rsidRPr="001571CA">
      <w:rPr>
        <w:rFonts w:ascii="Calibri" w:hAnsi="Calibri" w:cs="Calibri"/>
        <w:b/>
        <w:sz w:val="22"/>
        <w:szCs w:val="22"/>
      </w:rPr>
      <w:fldChar w:fldCharType="end"/>
    </w:r>
    <w:r w:rsidRPr="001571CA">
      <w:rPr>
        <w:rFonts w:ascii="Calibri" w:hAnsi="Calibri" w:cs="Calibri"/>
        <w:sz w:val="22"/>
        <w:szCs w:val="22"/>
      </w:rPr>
      <w:t xml:space="preserve"> de </w:t>
    </w:r>
    <w:r w:rsidRPr="001571CA">
      <w:rPr>
        <w:rFonts w:ascii="Calibri" w:hAnsi="Calibri" w:cs="Calibri"/>
        <w:b/>
        <w:sz w:val="22"/>
        <w:szCs w:val="22"/>
      </w:rPr>
      <w:fldChar w:fldCharType="begin"/>
    </w:r>
    <w:r w:rsidRPr="001571CA">
      <w:rPr>
        <w:rFonts w:ascii="Calibri" w:hAnsi="Calibri" w:cs="Calibri"/>
        <w:b/>
        <w:sz w:val="22"/>
        <w:szCs w:val="22"/>
      </w:rPr>
      <w:instrText xml:space="preserve"> NUMPAGES  \* Arabic  \* MERGEFORMAT </w:instrText>
    </w:r>
    <w:r w:rsidRPr="001571CA">
      <w:rPr>
        <w:rFonts w:ascii="Calibri" w:hAnsi="Calibri" w:cs="Calibri"/>
        <w:b/>
        <w:sz w:val="22"/>
        <w:szCs w:val="22"/>
      </w:rPr>
      <w:fldChar w:fldCharType="separate"/>
    </w:r>
    <w:r w:rsidRPr="001571CA">
      <w:rPr>
        <w:rFonts w:ascii="Calibri" w:hAnsi="Calibri" w:cs="Calibri"/>
        <w:b/>
        <w:noProof/>
        <w:sz w:val="22"/>
        <w:szCs w:val="22"/>
      </w:rPr>
      <w:t>3</w:t>
    </w:r>
    <w:r w:rsidRPr="001571CA">
      <w:rPr>
        <w:rFonts w:ascii="Calibri" w:hAnsi="Calibri" w:cs="Calibri"/>
        <w:b/>
        <w:sz w:val="22"/>
        <w:szCs w:val="22"/>
      </w:rPr>
      <w:fldChar w:fldCharType="end"/>
    </w:r>
    <w:r w:rsidRPr="001571CA">
      <w:rPr>
        <w:rFonts w:ascii="Calibri" w:hAnsi="Calibri" w:cs="Calibri"/>
        <w:sz w:val="22"/>
        <w:szCs w:val="22"/>
      </w:rPr>
      <w:ptab w:relativeTo="margin" w:alignment="center" w:leader="none"/>
    </w:r>
    <w:proofErr w:type="spellStart"/>
    <w:r w:rsidRPr="001571CA">
      <w:rPr>
        <w:rFonts w:ascii="Calibri" w:hAnsi="Calibri" w:cs="Calibri"/>
        <w:sz w:val="22"/>
        <w:szCs w:val="22"/>
      </w:rPr>
      <w:t>Fecha</w:t>
    </w:r>
    <w:proofErr w:type="spellEnd"/>
    <w:r w:rsidRPr="001571CA">
      <w:rPr>
        <w:rFonts w:ascii="Calibri" w:hAnsi="Calibri" w:cs="Calibri"/>
        <w:sz w:val="22"/>
        <w:szCs w:val="22"/>
      </w:rPr>
      <w:t xml:space="preserve"> de entrada </w:t>
    </w:r>
    <w:proofErr w:type="spellStart"/>
    <w:r w:rsidRPr="001571CA">
      <w:rPr>
        <w:rFonts w:ascii="Calibri" w:hAnsi="Calibri" w:cs="Calibri"/>
        <w:sz w:val="22"/>
        <w:szCs w:val="22"/>
      </w:rPr>
      <w:t>en</w:t>
    </w:r>
    <w:proofErr w:type="spellEnd"/>
    <w:r w:rsidRPr="001571CA">
      <w:rPr>
        <w:rFonts w:ascii="Calibri" w:hAnsi="Calibri" w:cs="Calibri"/>
        <w:sz w:val="22"/>
        <w:szCs w:val="22"/>
      </w:rPr>
      <w:t xml:space="preserve"> vigor: 18/03/2015 </w:t>
    </w:r>
    <w:r w:rsidRPr="001571CA">
      <w:rPr>
        <w:rFonts w:ascii="Calibri" w:hAnsi="Calibri" w:cs="Calibri"/>
        <w:sz w:val="22"/>
        <w:szCs w:val="22"/>
      </w:rPr>
      <w:ptab w:relativeTo="margin" w:alignment="right" w:leader="none"/>
    </w:r>
    <w:proofErr w:type="spellStart"/>
    <w:r w:rsidRPr="001571CA">
      <w:rPr>
        <w:rFonts w:ascii="Calibri" w:hAnsi="Calibri" w:cs="Calibri"/>
        <w:sz w:val="22"/>
        <w:szCs w:val="22"/>
      </w:rPr>
      <w:t>Versión</w:t>
    </w:r>
    <w:proofErr w:type="spellEnd"/>
    <w:r w:rsidRPr="001571CA">
      <w:rPr>
        <w:rFonts w:ascii="Calibri" w:hAnsi="Calibri" w:cs="Calibri"/>
        <w:sz w:val="22"/>
        <w:szCs w:val="22"/>
      </w:rPr>
      <w:t xml:space="preserve"> #: </w:t>
    </w:r>
    <w:sdt>
      <w:sdtPr>
        <w:rPr>
          <w:rFonts w:ascii="Calibri" w:hAnsi="Calibri" w:cs="Calibri"/>
          <w:sz w:val="22"/>
          <w:szCs w:val="22"/>
        </w:rPr>
        <w:alias w:val="POPPRefItemVersion"/>
        <w:tag w:val="UNDP_POPP_REFITEM_VERSION"/>
        <w:id w:val="-103264116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9633D14-F66B-46AF-87EF-AFD9142ACD0E}"/>
        <w:text/>
      </w:sdtPr>
      <w:sdtContent>
        <w:r w:rsidRPr="001571CA">
          <w:rPr>
            <w:rFonts w:ascii="Calibri" w:hAnsi="Calibri" w:cs="Calibri"/>
            <w:sz w:val="22"/>
            <w:szCs w:val="22"/>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343C" w14:textId="77777777" w:rsidR="00D67B20" w:rsidRDefault="00D67B20" w:rsidP="004026C7">
      <w:pPr>
        <w:spacing w:after="0" w:line="240" w:lineRule="auto"/>
      </w:pPr>
      <w:r>
        <w:separator/>
      </w:r>
    </w:p>
  </w:footnote>
  <w:footnote w:type="continuationSeparator" w:id="0">
    <w:p w14:paraId="5F550589" w14:textId="77777777" w:rsidR="00D67B20" w:rsidRDefault="00D67B20" w:rsidP="00402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2648" w14:textId="1388E297" w:rsidR="004026C7" w:rsidRDefault="004026C7" w:rsidP="00BD44BD">
    <w:pPr>
      <w:pStyle w:val="Header"/>
      <w:jc w:val="right"/>
    </w:pPr>
    <w:r>
      <w:rPr>
        <w:noProof/>
      </w:rPr>
      <w:drawing>
        <wp:anchor distT="0" distB="0" distL="114300" distR="114300" simplePos="0" relativeHeight="251659264" behindDoc="0" locked="0" layoutInCell="1" allowOverlap="1" wp14:anchorId="5EECF2DD" wp14:editId="5E30D363">
          <wp:simplePos x="0" y="0"/>
          <wp:positionH relativeFrom="margin">
            <wp:posOffset>5608320</wp:posOffset>
          </wp:positionH>
          <wp:positionV relativeFrom="paragraph">
            <wp:posOffset>-7620</wp:posOffset>
          </wp:positionV>
          <wp:extent cx="283210" cy="553085"/>
          <wp:effectExtent l="0" t="0" r="2540" b="0"/>
          <wp:wrapNone/>
          <wp:docPr id="1188819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F6C13"/>
    <w:multiLevelType w:val="hybridMultilevel"/>
    <w:tmpl w:val="AC54BAF0"/>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 w15:restartNumberingAfterBreak="0">
    <w:nsid w:val="22BE05B7"/>
    <w:multiLevelType w:val="hybridMultilevel"/>
    <w:tmpl w:val="C4AA52F4"/>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2" w15:restartNumberingAfterBreak="0">
    <w:nsid w:val="3F914C7A"/>
    <w:multiLevelType w:val="hybridMultilevel"/>
    <w:tmpl w:val="781AE386"/>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3" w15:restartNumberingAfterBreak="0">
    <w:nsid w:val="404E2588"/>
    <w:multiLevelType w:val="hybridMultilevel"/>
    <w:tmpl w:val="1896ACC6"/>
    <w:lvl w:ilvl="0" w:tplc="CD0A704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AED8A6">
      <w:start w:val="1"/>
      <w:numFmt w:val="bullet"/>
      <w:lvlText w:val="•"/>
      <w:lvlJc w:val="left"/>
      <w:pPr>
        <w:ind w:left="111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F9EA344C">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D30E7B00">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39AA97E2">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524C8C9E">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05EEB89E">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10607C84">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6DC82060">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1332027391">
    <w:abstractNumId w:val="3"/>
  </w:num>
  <w:num w:numId="2" w16cid:durableId="1706981064">
    <w:abstractNumId w:val="1"/>
  </w:num>
  <w:num w:numId="3" w16cid:durableId="411316181">
    <w:abstractNumId w:val="2"/>
  </w:num>
  <w:num w:numId="4" w16cid:durableId="1175455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C7"/>
    <w:rsid w:val="001571CA"/>
    <w:rsid w:val="00215EFA"/>
    <w:rsid w:val="004026C7"/>
    <w:rsid w:val="008E1C2D"/>
    <w:rsid w:val="00C61B9D"/>
    <w:rsid w:val="00D67B20"/>
    <w:rsid w:val="00DA504D"/>
    <w:rsid w:val="00E763E3"/>
    <w:rsid w:val="00F55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FCA"/>
  <w15:chartTrackingRefBased/>
  <w15:docId w15:val="{AC949F24-5F30-490F-9EF4-BBA47ABE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6C7"/>
    <w:rPr>
      <w:rFonts w:eastAsiaTheme="majorEastAsia" w:cstheme="majorBidi"/>
      <w:color w:val="272727" w:themeColor="text1" w:themeTint="D8"/>
    </w:rPr>
  </w:style>
  <w:style w:type="paragraph" w:styleId="Title">
    <w:name w:val="Title"/>
    <w:basedOn w:val="Normal"/>
    <w:next w:val="Normal"/>
    <w:link w:val="TitleChar"/>
    <w:uiPriority w:val="10"/>
    <w:qFormat/>
    <w:rsid w:val="00402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6C7"/>
    <w:pPr>
      <w:spacing w:before="160"/>
      <w:jc w:val="center"/>
    </w:pPr>
    <w:rPr>
      <w:i/>
      <w:iCs/>
      <w:color w:val="404040" w:themeColor="text1" w:themeTint="BF"/>
    </w:rPr>
  </w:style>
  <w:style w:type="character" w:customStyle="1" w:styleId="QuoteChar">
    <w:name w:val="Quote Char"/>
    <w:basedOn w:val="DefaultParagraphFont"/>
    <w:link w:val="Quote"/>
    <w:uiPriority w:val="29"/>
    <w:rsid w:val="004026C7"/>
    <w:rPr>
      <w:i/>
      <w:iCs/>
      <w:color w:val="404040" w:themeColor="text1" w:themeTint="BF"/>
    </w:rPr>
  </w:style>
  <w:style w:type="paragraph" w:styleId="ListParagraph">
    <w:name w:val="List Paragraph"/>
    <w:basedOn w:val="Normal"/>
    <w:uiPriority w:val="34"/>
    <w:qFormat/>
    <w:rsid w:val="004026C7"/>
    <w:pPr>
      <w:ind w:left="720"/>
      <w:contextualSpacing/>
    </w:pPr>
  </w:style>
  <w:style w:type="character" w:styleId="IntenseEmphasis">
    <w:name w:val="Intense Emphasis"/>
    <w:basedOn w:val="DefaultParagraphFont"/>
    <w:uiPriority w:val="21"/>
    <w:qFormat/>
    <w:rsid w:val="004026C7"/>
    <w:rPr>
      <w:i/>
      <w:iCs/>
      <w:color w:val="0F4761" w:themeColor="accent1" w:themeShade="BF"/>
    </w:rPr>
  </w:style>
  <w:style w:type="paragraph" w:styleId="IntenseQuote">
    <w:name w:val="Intense Quote"/>
    <w:basedOn w:val="Normal"/>
    <w:next w:val="Normal"/>
    <w:link w:val="IntenseQuoteChar"/>
    <w:uiPriority w:val="30"/>
    <w:qFormat/>
    <w:rsid w:val="00402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6C7"/>
    <w:rPr>
      <w:i/>
      <w:iCs/>
      <w:color w:val="0F4761" w:themeColor="accent1" w:themeShade="BF"/>
    </w:rPr>
  </w:style>
  <w:style w:type="character" w:styleId="IntenseReference">
    <w:name w:val="Intense Reference"/>
    <w:basedOn w:val="DefaultParagraphFont"/>
    <w:uiPriority w:val="32"/>
    <w:qFormat/>
    <w:rsid w:val="004026C7"/>
    <w:rPr>
      <w:b/>
      <w:bCs/>
      <w:smallCaps/>
      <w:color w:val="0F4761" w:themeColor="accent1" w:themeShade="BF"/>
      <w:spacing w:val="5"/>
    </w:rPr>
  </w:style>
  <w:style w:type="paragraph" w:styleId="Header">
    <w:name w:val="header"/>
    <w:basedOn w:val="Normal"/>
    <w:link w:val="HeaderChar"/>
    <w:uiPriority w:val="99"/>
    <w:unhideWhenUsed/>
    <w:rsid w:val="00402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C7"/>
  </w:style>
  <w:style w:type="paragraph" w:styleId="Footer">
    <w:name w:val="footer"/>
    <w:basedOn w:val="Normal"/>
    <w:link w:val="FooterChar"/>
    <w:uiPriority w:val="99"/>
    <w:unhideWhenUsed/>
    <w:rsid w:val="00402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C7"/>
  </w:style>
  <w:style w:type="paragraph" w:styleId="Revision">
    <w:name w:val="Revision"/>
    <w:hidden/>
    <w:uiPriority w:val="99"/>
    <w:semiHidden/>
    <w:rsid w:val="004026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document/establishment-and-use-electronic-banking-syste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969</Words>
  <Characters>5528</Characters>
  <Application>Microsoft Office Word</Application>
  <DocSecurity>0</DocSecurity>
  <Lines>46</Lines>
  <Paragraphs>12</Paragraphs>
  <ScaleCrop>false</ScaleCrop>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2026-05-05T22:41:00Z</dcterms:created>
  <dcterms:modified xsi:type="dcterms:W3CDTF">2026-05-05T22:46:00Z</dcterms:modified>
</cp:coreProperties>
</file>