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BD298" w14:textId="77777777" w:rsidR="00DD76CF" w:rsidRPr="00DD76CF" w:rsidRDefault="00DD76CF" w:rsidP="00DD76CF">
      <w:pPr>
        <w:spacing w:after="50" w:line="259" w:lineRule="auto"/>
        <w:rPr>
          <w:rFonts w:ascii="Calibri" w:eastAsia="Calibri" w:hAnsi="Calibri" w:cs="Calibri"/>
          <w:kern w:val="0"/>
          <w:sz w:val="22"/>
          <w:szCs w:val="22"/>
          <w:lang w:val="es-ES" w:eastAsia="ja-JP"/>
          <w14:ligatures w14:val="none"/>
        </w:rPr>
      </w:pPr>
      <w:r w:rsidRPr="00DD76CF">
        <w:rPr>
          <w:rFonts w:ascii="Calibri" w:eastAsia="Calibri" w:hAnsi="Calibri" w:cs="Calibri"/>
          <w:b/>
          <w:kern w:val="0"/>
          <w:sz w:val="28"/>
          <w:szCs w:val="22"/>
          <w:lang w:val="es-ES" w:eastAsia="ja-JP"/>
          <w14:ligatures w14:val="none"/>
        </w:rPr>
        <w:t xml:space="preserve">Cierre financiero de proyectos de desarrollo  </w:t>
      </w:r>
    </w:p>
    <w:p w14:paraId="2FDABF00" w14:textId="77777777" w:rsidR="00DD76CF" w:rsidRPr="00DD76CF" w:rsidRDefault="00DD76CF" w:rsidP="00DD76CF">
      <w:pPr>
        <w:spacing w:after="12" w:line="259" w:lineRule="auto"/>
        <w:rPr>
          <w:rFonts w:ascii="Calibri" w:eastAsia="Calibri" w:hAnsi="Calibri" w:cs="Calibri"/>
          <w:kern w:val="0"/>
          <w:sz w:val="22"/>
          <w:szCs w:val="22"/>
          <w:lang w:val="es-ES" w:eastAsia="ja-JP"/>
          <w14:ligatures w14:val="none"/>
        </w:rPr>
      </w:pPr>
      <w:r w:rsidRPr="00DD76CF">
        <w:rPr>
          <w:rFonts w:ascii="Arial" w:eastAsia="Calibri" w:hAnsi="Arial" w:cs="Calibri"/>
          <w:kern w:val="0"/>
          <w:sz w:val="20"/>
          <w:szCs w:val="22"/>
          <w:lang w:val="es-ES" w:eastAsia="ja-JP"/>
          <w14:ligatures w14:val="none"/>
        </w:rPr>
        <w:t xml:space="preserve">  </w:t>
      </w:r>
    </w:p>
    <w:p w14:paraId="75DE3C29" w14:textId="7880452C" w:rsidR="00DD76CF" w:rsidRPr="00DD76CF" w:rsidRDefault="00DD76CF" w:rsidP="00DD76CF">
      <w:pPr>
        <w:numPr>
          <w:ilvl w:val="0"/>
          <w:numId w:val="1"/>
        </w:numPr>
        <w:spacing w:after="5" w:line="249" w:lineRule="auto"/>
        <w:ind w:right="2" w:hanging="36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Los pasos operativos para el cierre financiero de proyectos deben llevarse a cabo junto con el contenido prescriptivo de la sección </w:t>
      </w:r>
      <w:hyperlink r:id="rId7" w:history="1">
        <w:r w:rsidRPr="00DD76CF">
          <w:rPr>
            <w:rFonts w:ascii="Calibri" w:eastAsia="Calibri" w:hAnsi="Calibri" w:cs="Calibri"/>
            <w:color w:val="0563C1"/>
            <w:kern w:val="0"/>
            <w:sz w:val="22"/>
            <w:szCs w:val="22"/>
            <w:u w:val="single"/>
            <w:lang w:val="es-ES" w:eastAsia="ja-JP"/>
            <w14:ligatures w14:val="none"/>
          </w:rPr>
          <w:t>cierre y transición</w:t>
        </w:r>
      </w:hyperlink>
      <w:r w:rsidRPr="00DD76CF">
        <w:rPr>
          <w:rFonts w:ascii="Calibri" w:eastAsia="Calibri" w:hAnsi="Calibri" w:cs="Calibri"/>
          <w:color w:val="333333"/>
          <w:kern w:val="0"/>
          <w:sz w:val="22"/>
          <w:szCs w:val="22"/>
          <w:lang w:val="es-ES" w:eastAsia="ja-JP"/>
          <w14:ligatures w14:val="none"/>
        </w:rPr>
        <w:t xml:space="preserve"> </w:t>
      </w:r>
      <w:r w:rsidRPr="00DD76CF">
        <w:rPr>
          <w:rFonts w:ascii="Calibri" w:eastAsia="Calibri" w:hAnsi="Calibri" w:cs="Calibri"/>
          <w:kern w:val="0"/>
          <w:sz w:val="22"/>
          <w:szCs w:val="22"/>
          <w:lang w:val="es-ES" w:eastAsia="ja-JP"/>
          <w14:ligatures w14:val="none"/>
        </w:rPr>
        <w:t xml:space="preserve">de la </w:t>
      </w:r>
      <w:hyperlink r:id="rId8" w:history="1">
        <w:r w:rsidRPr="00DD76CF">
          <w:rPr>
            <w:rFonts w:ascii="Calibri" w:eastAsia="Calibri" w:hAnsi="Calibri" w:cs="Calibri"/>
            <w:color w:val="0563C1"/>
            <w:kern w:val="0"/>
            <w:sz w:val="22"/>
            <w:szCs w:val="22"/>
            <w:u w:val="single"/>
            <w:lang w:val="es-ES" w:eastAsia="ja-JP"/>
            <w14:ligatures w14:val="none"/>
          </w:rPr>
          <w:t>página de gestión de programas</w:t>
        </w:r>
        <w:r w:rsidRPr="00DD76CF">
          <w:rPr>
            <w:rFonts w:ascii="Calibri" w:eastAsia="Calibri" w:hAnsi="Calibri" w:cs="Calibri"/>
            <w:color w:val="0563C1"/>
            <w:kern w:val="0"/>
            <w:sz w:val="22"/>
            <w:szCs w:val="22"/>
            <w:u w:val="single"/>
            <w:lang w:val="es-ES" w:eastAsia="ja-JP"/>
            <w14:ligatures w14:val="none"/>
          </w:rPr>
          <w:br/>
          <w:t>y proyectos</w:t>
        </w:r>
      </w:hyperlink>
      <w:hyperlink r:id="rId9">
        <w:r w:rsidRPr="00DD76CF">
          <w:rPr>
            <w:rFonts w:ascii="Calibri" w:eastAsia="Calibri" w:hAnsi="Calibri" w:cs="Calibri"/>
            <w:kern w:val="0"/>
            <w:sz w:val="22"/>
            <w:szCs w:val="22"/>
            <w:lang w:val="es-ES" w:eastAsia="ja-JP"/>
            <w14:ligatures w14:val="none"/>
          </w:rPr>
          <w:t>.</w:t>
        </w:r>
      </w:hyperlink>
      <w:r w:rsidRPr="00DD76CF">
        <w:rPr>
          <w:rFonts w:ascii="Calibri" w:eastAsia="Calibri" w:hAnsi="Calibri" w:cs="Calibri"/>
          <w:kern w:val="0"/>
          <w:sz w:val="22"/>
          <w:szCs w:val="22"/>
          <w:lang w:val="es-ES" w:eastAsia="ja-JP"/>
          <w14:ligatures w14:val="none"/>
        </w:rPr>
        <w:t xml:space="preserve"> En las </w:t>
      </w:r>
      <w:hyperlink r:id="rId10" w:history="1">
        <w:r w:rsidRPr="00DD76CF">
          <w:rPr>
            <w:rFonts w:ascii="Calibri" w:eastAsia="Calibri" w:hAnsi="Calibri" w:cs="Calibri"/>
            <w:color w:val="0563C1"/>
            <w:kern w:val="0"/>
            <w:sz w:val="22"/>
            <w:szCs w:val="22"/>
            <w:u w:val="single"/>
            <w:lang w:val="es-ES" w:eastAsia="ja-JP"/>
            <w14:ligatures w14:val="none"/>
          </w:rPr>
          <w:t>Directrices operacionales para el cierre financiero de proyectos</w:t>
        </w:r>
      </w:hyperlink>
      <w:r w:rsidRPr="00DD76CF">
        <w:rPr>
          <w:rFonts w:ascii="Calibri" w:eastAsia="Calibri" w:hAnsi="Calibri" w:cs="Calibri"/>
          <w:color w:val="333333"/>
          <w:kern w:val="0"/>
          <w:sz w:val="22"/>
          <w:szCs w:val="22"/>
          <w:lang w:val="es-ES" w:eastAsia="ja-JP"/>
          <w14:ligatures w14:val="none"/>
        </w:rPr>
        <w:t xml:space="preserve"> </w:t>
      </w:r>
      <w:r w:rsidRPr="00DD76CF">
        <w:rPr>
          <w:rFonts w:ascii="Calibri" w:eastAsia="Calibri" w:hAnsi="Calibri" w:cs="Calibri"/>
          <w:kern w:val="0"/>
          <w:sz w:val="22"/>
          <w:szCs w:val="22"/>
          <w:lang w:val="es-ES" w:eastAsia="ja-JP"/>
          <w14:ligatures w14:val="none"/>
        </w:rPr>
        <w:t>se ofrece un procedimiento paso a paso que incluye otra información útil. Esta directriz debería seguirse antes de cambiar el Estado del proyecto a "Cerrado operativamente" ya que la liquidación de las transacciones financieras pendientes puede realizarse principalmente cuando el Estado del proyecto está "En curso".</w:t>
      </w:r>
      <w:r w:rsidRPr="00DD76CF">
        <w:rPr>
          <w:rFonts w:ascii="Calibri" w:eastAsia="Calibri" w:hAnsi="Calibri" w:cs="Calibri"/>
          <w:b/>
          <w:bCs/>
          <w:kern w:val="0"/>
          <w:sz w:val="22"/>
          <w:szCs w:val="22"/>
          <w:lang w:val="es-ES" w:eastAsia="ja-JP"/>
          <w14:ligatures w14:val="none"/>
        </w:rPr>
        <w:t xml:space="preserve">     </w:t>
      </w:r>
      <w:r w:rsidRPr="00DD76CF">
        <w:rPr>
          <w:rFonts w:ascii="Calibri" w:eastAsia="Calibri" w:hAnsi="Calibri" w:cs="Calibri"/>
          <w:kern w:val="0"/>
          <w:sz w:val="22"/>
          <w:szCs w:val="22"/>
          <w:lang w:val="es-ES" w:eastAsia="ja-JP"/>
          <w14:ligatures w14:val="none"/>
        </w:rPr>
        <w:t xml:space="preserve">     </w:t>
      </w:r>
    </w:p>
    <w:p w14:paraId="69B6F6F0" w14:textId="77777777" w:rsidR="00DD76CF" w:rsidRPr="00DD76CF" w:rsidRDefault="00DD76CF" w:rsidP="00DD76CF">
      <w:pPr>
        <w:spacing w:after="0" w:line="259" w:lineRule="auto"/>
        <w:ind w:left="720"/>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 </w:t>
      </w:r>
    </w:p>
    <w:p w14:paraId="2B2C53BE" w14:textId="77777777" w:rsidR="00DD76CF" w:rsidRPr="00DD76CF" w:rsidRDefault="00DD76CF" w:rsidP="00DD76CF">
      <w:pPr>
        <w:numPr>
          <w:ilvl w:val="0"/>
          <w:numId w:val="1"/>
        </w:numPr>
        <w:spacing w:after="5" w:line="249" w:lineRule="auto"/>
        <w:ind w:right="2" w:hanging="36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Las políticas del Programa de las Naciones Unidas para el Desarrollo (PNUD) requieren que los proyectos pasen por las siguientes etapas: en curso, cerrado operativamente y cerrado financieramente. Según lo estipulado en el Reglamento Financiero y Reglamentación Financiera Detallada del PNUD, el cierre financiero debe realizarse dentro de los 12 meses posteriores al cierre operativo. El estado del proyecto se refleja en el módulo de proyectos de Quantum (Inicio&gt;Proyecto&gt;Gestión financiera del proyecto) de la siguiente manera: </w:t>
      </w:r>
    </w:p>
    <w:p w14:paraId="5E9571D8" w14:textId="77777777" w:rsidR="00DD76CF" w:rsidRPr="00DD76CF" w:rsidRDefault="00DD76CF" w:rsidP="00DD76CF">
      <w:pPr>
        <w:spacing w:after="0" w:line="259" w:lineRule="auto"/>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  </w:t>
      </w:r>
    </w:p>
    <w:p w14:paraId="263D52CC" w14:textId="77777777" w:rsidR="00DD76CF" w:rsidRPr="00DD76CF" w:rsidRDefault="00DD76CF" w:rsidP="00DD76CF">
      <w:pPr>
        <w:spacing w:after="5" w:line="249" w:lineRule="auto"/>
        <w:ind w:left="72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O = En curso </w:t>
      </w:r>
    </w:p>
    <w:p w14:paraId="199E2218" w14:textId="77777777" w:rsidR="00DD76CF" w:rsidRPr="00DD76CF" w:rsidRDefault="00DD76CF" w:rsidP="00DD76CF">
      <w:pPr>
        <w:spacing w:after="5" w:line="249" w:lineRule="auto"/>
        <w:ind w:left="720" w:right="6075"/>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C = Cerrado operativamente F= Cerrado financieramente. </w:t>
      </w:r>
    </w:p>
    <w:p w14:paraId="628EBF38" w14:textId="77777777" w:rsidR="00DD76CF" w:rsidRPr="00DD76CF" w:rsidRDefault="00DD76CF" w:rsidP="00DD76CF">
      <w:pPr>
        <w:spacing w:after="0" w:line="259" w:lineRule="auto"/>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  </w:t>
      </w:r>
    </w:p>
    <w:p w14:paraId="194AB2A5" w14:textId="77777777" w:rsidR="00DD76CF" w:rsidRPr="00DD76CF" w:rsidRDefault="00DD76CF" w:rsidP="00DD76CF">
      <w:pPr>
        <w:numPr>
          <w:ilvl w:val="0"/>
          <w:numId w:val="1"/>
        </w:numPr>
        <w:spacing w:after="5" w:line="249" w:lineRule="auto"/>
        <w:ind w:right="2" w:hanging="36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No se pueden asumir más compromisos financieros (registro de requisiciones u órdenes de compra) ni se pueden cargar gastos una vez que el proyecto está cerrado operativamente. Solo se permiten la liquidación de obligaciones financieras previas, los ajustes resultantes de la liquidación de adelantos de fondos bajo la modalidad de implementación nacional (NIM, </w:t>
      </w:r>
      <w:proofErr w:type="spellStart"/>
      <w:r w:rsidRPr="00DD76CF">
        <w:rPr>
          <w:rFonts w:ascii="Calibri" w:eastAsia="Calibri" w:hAnsi="Calibri" w:cs="Calibri"/>
          <w:i/>
          <w:iCs/>
          <w:kern w:val="0"/>
          <w:sz w:val="22"/>
          <w:szCs w:val="22"/>
          <w:lang w:val="es-ES" w:eastAsia="ja-JP"/>
          <w14:ligatures w14:val="none"/>
        </w:rPr>
        <w:t>National</w:t>
      </w:r>
      <w:proofErr w:type="spellEnd"/>
      <w:r w:rsidRPr="00DD76CF">
        <w:rPr>
          <w:rFonts w:ascii="Calibri" w:eastAsia="Calibri" w:hAnsi="Calibri" w:cs="Calibri"/>
          <w:i/>
          <w:iCs/>
          <w:kern w:val="0"/>
          <w:sz w:val="22"/>
          <w:szCs w:val="22"/>
          <w:lang w:val="es-ES" w:eastAsia="ja-JP"/>
          <w14:ligatures w14:val="none"/>
        </w:rPr>
        <w:t xml:space="preserve"> </w:t>
      </w:r>
      <w:proofErr w:type="spellStart"/>
      <w:r w:rsidRPr="00DD76CF">
        <w:rPr>
          <w:rFonts w:ascii="Calibri" w:eastAsia="Calibri" w:hAnsi="Calibri" w:cs="Calibri"/>
          <w:i/>
          <w:iCs/>
          <w:kern w:val="0"/>
          <w:sz w:val="22"/>
          <w:szCs w:val="22"/>
          <w:lang w:val="es-ES" w:eastAsia="ja-JP"/>
          <w14:ligatures w14:val="none"/>
        </w:rPr>
        <w:t>Implementation</w:t>
      </w:r>
      <w:proofErr w:type="spellEnd"/>
      <w:r w:rsidRPr="00DD76CF">
        <w:rPr>
          <w:rFonts w:ascii="Calibri" w:eastAsia="Calibri" w:hAnsi="Calibri" w:cs="Calibri"/>
          <w:i/>
          <w:iCs/>
          <w:kern w:val="0"/>
          <w:sz w:val="22"/>
          <w:szCs w:val="22"/>
          <w:lang w:val="es-ES" w:eastAsia="ja-JP"/>
          <w14:ligatures w14:val="none"/>
        </w:rPr>
        <w:t xml:space="preserve"> </w:t>
      </w:r>
      <w:proofErr w:type="spellStart"/>
      <w:r w:rsidRPr="00DD76CF">
        <w:rPr>
          <w:rFonts w:ascii="Calibri" w:eastAsia="Calibri" w:hAnsi="Calibri" w:cs="Calibri"/>
          <w:i/>
          <w:iCs/>
          <w:kern w:val="0"/>
          <w:sz w:val="22"/>
          <w:szCs w:val="22"/>
          <w:lang w:val="es-ES" w:eastAsia="ja-JP"/>
          <w14:ligatures w14:val="none"/>
        </w:rPr>
        <w:t>Modality</w:t>
      </w:r>
      <w:proofErr w:type="spellEnd"/>
      <w:r w:rsidRPr="00DD76CF">
        <w:rPr>
          <w:rFonts w:ascii="Calibri" w:eastAsia="Calibri" w:hAnsi="Calibri" w:cs="Calibri"/>
          <w:kern w:val="0"/>
          <w:sz w:val="22"/>
          <w:szCs w:val="22"/>
          <w:lang w:val="es-ES" w:eastAsia="ja-JP"/>
          <w14:ligatures w14:val="none"/>
        </w:rPr>
        <w:t xml:space="preserve">, por sus siglas en inglés) u otros anticipos, pagos relativos a órdenes de compra existentes, depreciación y diferencias de divisas.  </w:t>
      </w:r>
    </w:p>
    <w:p w14:paraId="61B41B9D" w14:textId="77777777" w:rsidR="00DD76CF" w:rsidRPr="00DD76CF" w:rsidRDefault="00DD76CF" w:rsidP="00DD76CF">
      <w:pPr>
        <w:spacing w:after="0" w:line="259" w:lineRule="auto"/>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  </w:t>
      </w:r>
    </w:p>
    <w:p w14:paraId="55942E4D" w14:textId="77777777" w:rsidR="00DD76CF" w:rsidRPr="00DD76CF" w:rsidRDefault="00DD76CF" w:rsidP="00DD76CF">
      <w:pPr>
        <w:numPr>
          <w:ilvl w:val="0"/>
          <w:numId w:val="1"/>
        </w:numPr>
        <w:spacing w:after="5" w:line="249" w:lineRule="auto"/>
        <w:ind w:right="2" w:hanging="36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El Centro Mundial de Servicios Compartidos (GSSC, Global </w:t>
      </w:r>
      <w:proofErr w:type="spellStart"/>
      <w:r w:rsidRPr="00DD76CF">
        <w:rPr>
          <w:rFonts w:ascii="Calibri" w:eastAsia="Calibri" w:hAnsi="Calibri" w:cs="Calibri"/>
          <w:kern w:val="0"/>
          <w:sz w:val="22"/>
          <w:szCs w:val="22"/>
          <w:lang w:val="es-ES" w:eastAsia="ja-JP"/>
          <w14:ligatures w14:val="none"/>
        </w:rPr>
        <w:t>Shared</w:t>
      </w:r>
      <w:proofErr w:type="spellEnd"/>
      <w:r w:rsidRPr="00DD76CF">
        <w:rPr>
          <w:rFonts w:ascii="Calibri" w:eastAsia="Calibri" w:hAnsi="Calibri" w:cs="Calibri"/>
          <w:kern w:val="0"/>
          <w:sz w:val="22"/>
          <w:szCs w:val="22"/>
          <w:lang w:val="es-ES" w:eastAsia="ja-JP"/>
          <w14:ligatures w14:val="none"/>
        </w:rPr>
        <w:t xml:space="preserve"> </w:t>
      </w:r>
      <w:proofErr w:type="spellStart"/>
      <w:r w:rsidRPr="00DD76CF">
        <w:rPr>
          <w:rFonts w:ascii="Calibri" w:eastAsia="Calibri" w:hAnsi="Calibri" w:cs="Calibri"/>
          <w:kern w:val="0"/>
          <w:sz w:val="22"/>
          <w:szCs w:val="22"/>
          <w:lang w:val="es-ES" w:eastAsia="ja-JP"/>
          <w14:ligatures w14:val="none"/>
        </w:rPr>
        <w:t>Services</w:t>
      </w:r>
      <w:proofErr w:type="spellEnd"/>
      <w:r w:rsidRPr="00DD76CF">
        <w:rPr>
          <w:rFonts w:ascii="Calibri" w:eastAsia="Calibri" w:hAnsi="Calibri" w:cs="Calibri"/>
          <w:kern w:val="0"/>
          <w:sz w:val="22"/>
          <w:szCs w:val="22"/>
          <w:lang w:val="es-ES" w:eastAsia="ja-JP"/>
          <w14:ligatures w14:val="none"/>
        </w:rPr>
        <w:t xml:space="preserve"> Centre, por sus siglas en inglés) es responsable de cerrar financieramente los Proyectos de Desarrollo en Quantum para las oficinas de país agrupadas. Las oficinas deben enviar una solicitud </w:t>
      </w:r>
      <w:proofErr w:type="spellStart"/>
      <w:r w:rsidRPr="00DD76CF">
        <w:rPr>
          <w:rFonts w:ascii="Calibri" w:eastAsia="Calibri" w:hAnsi="Calibri" w:cs="Calibri"/>
          <w:kern w:val="0"/>
          <w:sz w:val="22"/>
          <w:szCs w:val="22"/>
          <w:lang w:val="es-ES" w:eastAsia="ja-JP"/>
          <w14:ligatures w14:val="none"/>
        </w:rPr>
        <w:t>UNall</w:t>
      </w:r>
      <w:proofErr w:type="spellEnd"/>
      <w:r w:rsidRPr="00DD76CF">
        <w:rPr>
          <w:rFonts w:ascii="Calibri" w:eastAsia="Calibri" w:hAnsi="Calibri" w:cs="Calibri"/>
          <w:kern w:val="0"/>
          <w:sz w:val="22"/>
          <w:szCs w:val="22"/>
          <w:lang w:val="es-ES" w:eastAsia="ja-JP"/>
          <w14:ligatures w14:val="none"/>
        </w:rPr>
        <w:t xml:space="preserve"> a GSSC para una revisión adicional y para garantizar que la lista de verificación de finalización del proyecto esté debidamente completa.</w:t>
      </w:r>
    </w:p>
    <w:p w14:paraId="30C118C4" w14:textId="77777777" w:rsidR="00DD76CF" w:rsidRPr="00DD76CF" w:rsidRDefault="00DD76CF" w:rsidP="00DD76CF">
      <w:pPr>
        <w:spacing w:after="5" w:line="249" w:lineRule="auto"/>
        <w:ind w:left="720" w:right="2" w:hanging="370"/>
        <w:contextualSpacing/>
        <w:jc w:val="both"/>
        <w:rPr>
          <w:rFonts w:ascii="Calibri" w:eastAsia="Calibri" w:hAnsi="Calibri" w:cs="Calibri"/>
          <w:kern w:val="0"/>
          <w:sz w:val="22"/>
          <w:szCs w:val="22"/>
          <w:lang w:val="es-ES" w:eastAsia="ja-JP"/>
          <w14:ligatures w14:val="none"/>
        </w:rPr>
      </w:pPr>
    </w:p>
    <w:p w14:paraId="7ADFD40B" w14:textId="77777777" w:rsidR="00DD76CF" w:rsidRPr="00DD76CF" w:rsidRDefault="00DD76CF" w:rsidP="00DD76CF">
      <w:pPr>
        <w:numPr>
          <w:ilvl w:val="0"/>
          <w:numId w:val="1"/>
        </w:numPr>
        <w:spacing w:after="5" w:line="249" w:lineRule="auto"/>
        <w:ind w:right="2" w:hanging="37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El GSSC y las oficinas de país deben considerar los siguientes elementos de cierre importantes antes de cerrar financieramente el proyecto en Quantum.</w:t>
      </w:r>
    </w:p>
    <w:p w14:paraId="77D696B7" w14:textId="77777777" w:rsidR="00DD76CF" w:rsidRPr="00DD76CF" w:rsidRDefault="00DD76CF" w:rsidP="00DD76CF">
      <w:pPr>
        <w:spacing w:after="5" w:line="249" w:lineRule="auto"/>
        <w:ind w:left="27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1. </w:t>
      </w:r>
      <w:r w:rsidRPr="00DD76CF">
        <w:rPr>
          <w:rFonts w:ascii="Calibri" w:eastAsia="Calibri" w:hAnsi="Calibri" w:cs="Calibri"/>
          <w:b/>
          <w:bCs/>
          <w:kern w:val="0"/>
          <w:sz w:val="22"/>
          <w:szCs w:val="22"/>
          <w:lang w:val="es-ES" w:eastAsia="ja-JP"/>
          <w14:ligatures w14:val="none"/>
        </w:rPr>
        <w:t>Un premio con un proyecto</w:t>
      </w:r>
      <w:r w:rsidRPr="00DD76CF">
        <w:rPr>
          <w:rFonts w:ascii="Calibri" w:eastAsia="Calibri" w:hAnsi="Calibri" w:cs="Calibri"/>
          <w:kern w:val="0"/>
          <w:sz w:val="22"/>
          <w:szCs w:val="22"/>
          <w:lang w:val="es-ES" w:eastAsia="ja-JP"/>
          <w14:ligatures w14:val="none"/>
        </w:rPr>
        <w:t>; GSSC para cerrar el premio primero antes de cerrar financieramente el proyecto en Quantum.</w:t>
      </w:r>
    </w:p>
    <w:p w14:paraId="7E60D9E5" w14:textId="77777777" w:rsidR="00DD76CF" w:rsidRPr="00DD76CF" w:rsidRDefault="00DD76CF" w:rsidP="00DD76CF">
      <w:pPr>
        <w:spacing w:after="5" w:line="249" w:lineRule="auto"/>
        <w:ind w:left="27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2. </w:t>
      </w:r>
      <w:r w:rsidRPr="00DD76CF">
        <w:rPr>
          <w:rFonts w:ascii="Calibri" w:eastAsia="Calibri" w:hAnsi="Calibri" w:cs="Calibri"/>
          <w:b/>
          <w:bCs/>
          <w:kern w:val="0"/>
          <w:sz w:val="22"/>
          <w:szCs w:val="22"/>
          <w:lang w:val="es-ES" w:eastAsia="ja-JP"/>
          <w14:ligatures w14:val="none"/>
        </w:rPr>
        <w:t>Premio con múltiples proyectos</w:t>
      </w:r>
      <w:r w:rsidRPr="00DD76CF">
        <w:rPr>
          <w:rFonts w:ascii="Calibri" w:eastAsia="Calibri" w:hAnsi="Calibri" w:cs="Calibri"/>
          <w:kern w:val="0"/>
          <w:sz w:val="22"/>
          <w:szCs w:val="22"/>
          <w:lang w:val="es-ES" w:eastAsia="ja-JP"/>
          <w14:ligatures w14:val="none"/>
        </w:rPr>
        <w:t>-</w:t>
      </w:r>
    </w:p>
    <w:p w14:paraId="64942A4A" w14:textId="77777777" w:rsidR="00DD76CF" w:rsidRPr="00DD76CF" w:rsidRDefault="00DD76CF" w:rsidP="00DD76CF">
      <w:pPr>
        <w:spacing w:after="5" w:line="249" w:lineRule="auto"/>
        <w:ind w:left="72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a. </w:t>
      </w:r>
      <w:proofErr w:type="spellStart"/>
      <w:r w:rsidRPr="00DD76CF">
        <w:rPr>
          <w:rFonts w:ascii="Calibri" w:eastAsia="Calibri" w:hAnsi="Calibri" w:cs="Calibri"/>
          <w:kern w:val="0"/>
          <w:sz w:val="22"/>
          <w:szCs w:val="22"/>
          <w:lang w:val="es-ES" w:eastAsia="ja-JP"/>
          <w14:ligatures w14:val="none"/>
        </w:rPr>
        <w:t>si</w:t>
      </w:r>
      <w:proofErr w:type="spellEnd"/>
      <w:r w:rsidRPr="00DD76CF">
        <w:rPr>
          <w:rFonts w:ascii="Calibri" w:eastAsia="Calibri" w:hAnsi="Calibri" w:cs="Calibri"/>
          <w:kern w:val="0"/>
          <w:sz w:val="22"/>
          <w:szCs w:val="22"/>
          <w:lang w:val="es-ES" w:eastAsia="ja-JP"/>
          <w14:ligatures w14:val="none"/>
        </w:rPr>
        <w:t xml:space="preserve"> otros proyectos asociados ya están cerrados financieramente y el proyecto es el último proyecto en cerrarse financieramente, cierre la adjudicación antes de cerrar financieramente el proyecto.</w:t>
      </w:r>
    </w:p>
    <w:p w14:paraId="23273BB7" w14:textId="77777777" w:rsidR="00DD76CF" w:rsidRPr="00DD76CF" w:rsidRDefault="00DD76CF" w:rsidP="00DD76CF">
      <w:pPr>
        <w:spacing w:after="5" w:line="249" w:lineRule="auto"/>
        <w:ind w:left="72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b. Si otros proyectos asociados etiquetados a un premio aún no están financieramente cerrados, el premio permanecerá abierto.</w:t>
      </w:r>
    </w:p>
    <w:p w14:paraId="332AA55C" w14:textId="77777777" w:rsidR="00DD76CF" w:rsidRPr="00DD76CF" w:rsidRDefault="00DD76CF" w:rsidP="00DD76CF">
      <w:pPr>
        <w:spacing w:after="5" w:line="249" w:lineRule="auto"/>
        <w:ind w:left="27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3. </w:t>
      </w:r>
      <w:r w:rsidRPr="00DD76CF">
        <w:rPr>
          <w:rFonts w:ascii="Calibri" w:eastAsia="Calibri" w:hAnsi="Calibri" w:cs="Calibri"/>
          <w:b/>
          <w:bCs/>
          <w:kern w:val="0"/>
          <w:sz w:val="22"/>
          <w:szCs w:val="22"/>
          <w:lang w:val="es-ES" w:eastAsia="ja-JP"/>
          <w14:ligatures w14:val="none"/>
        </w:rPr>
        <w:t>Múltiples premios con un proyecto</w:t>
      </w:r>
    </w:p>
    <w:p w14:paraId="06169803" w14:textId="77777777" w:rsidR="00DD76CF" w:rsidRPr="00DD76CF" w:rsidRDefault="00DD76CF" w:rsidP="00DD76CF">
      <w:pPr>
        <w:spacing w:after="5" w:line="249" w:lineRule="auto"/>
        <w:ind w:left="72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a. GSSC para cerrar los premios primero antes de cerrar financieramente el proyecto en Quantum.</w:t>
      </w:r>
    </w:p>
    <w:p w14:paraId="2BD2598C" w14:textId="77777777" w:rsidR="00DD76CF" w:rsidRPr="00DD76CF" w:rsidRDefault="00DD76CF" w:rsidP="00DD76CF">
      <w:pPr>
        <w:spacing w:after="5" w:line="249" w:lineRule="auto"/>
        <w:ind w:left="720" w:right="2" w:hanging="370"/>
        <w:contextualSpacing/>
        <w:jc w:val="both"/>
        <w:rPr>
          <w:rFonts w:ascii="Calibri" w:eastAsia="Calibri" w:hAnsi="Calibri" w:cs="Calibri"/>
          <w:kern w:val="0"/>
          <w:sz w:val="22"/>
          <w:szCs w:val="22"/>
          <w:lang w:val="es-ES" w:eastAsia="ja-JP"/>
          <w14:ligatures w14:val="none"/>
        </w:rPr>
      </w:pPr>
    </w:p>
    <w:p w14:paraId="3FC21B03" w14:textId="77777777" w:rsidR="00DD76CF" w:rsidRPr="00DD76CF" w:rsidRDefault="00DD76CF" w:rsidP="00DD76CF">
      <w:pPr>
        <w:numPr>
          <w:ilvl w:val="0"/>
          <w:numId w:val="1"/>
        </w:numPr>
        <w:spacing w:after="5" w:line="249" w:lineRule="auto"/>
        <w:ind w:right="2" w:hanging="36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lastRenderedPageBreak/>
        <w:t xml:space="preserve">Una vez que todos los proyectos de Quantum estén financieramente cerrados, el Premio asociado también debe marcarse como "Cerrado" en Quantum. El Centro Global de Servicios Compartidos (GSSC) debe ser notificado y solicitado para cerrar el contrato asociado creado en el Módulo de Contratos. </w:t>
      </w:r>
    </w:p>
    <w:p w14:paraId="1493230D" w14:textId="77777777" w:rsidR="00DD76CF" w:rsidRPr="00DD76CF" w:rsidRDefault="00DD76CF" w:rsidP="00DD76CF">
      <w:pPr>
        <w:spacing w:after="0" w:line="259" w:lineRule="auto"/>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  </w:t>
      </w:r>
    </w:p>
    <w:p w14:paraId="6BB45ED8" w14:textId="77777777" w:rsidR="00DD76CF" w:rsidRPr="00DD76CF" w:rsidRDefault="00DD76CF" w:rsidP="00DD76CF">
      <w:pPr>
        <w:spacing w:after="0" w:line="259" w:lineRule="auto"/>
        <w:ind w:left="27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Una vez que un proyecto se marca como financieramente cerrado y el contrato de adjudicación asociado también se cierra, Quantum evitará todas las transacciones posteriores contra el proyecto y el contrato de adjudicación.</w:t>
      </w:r>
    </w:p>
    <w:p w14:paraId="01A77C5C" w14:textId="77777777" w:rsidR="00DD76CF" w:rsidRPr="00DD76CF" w:rsidRDefault="00DD76CF" w:rsidP="00DD76CF">
      <w:pPr>
        <w:spacing w:after="0" w:line="259" w:lineRule="auto"/>
        <w:ind w:left="270"/>
        <w:jc w:val="both"/>
        <w:rPr>
          <w:rFonts w:ascii="Calibri" w:eastAsia="Calibri" w:hAnsi="Calibri" w:cs="Calibri"/>
          <w:kern w:val="0"/>
          <w:sz w:val="22"/>
          <w:szCs w:val="22"/>
          <w:lang w:val="es-ES" w:eastAsia="ja-JP"/>
          <w14:ligatures w14:val="none"/>
        </w:rPr>
      </w:pPr>
    </w:p>
    <w:p w14:paraId="115A7A84" w14:textId="77777777" w:rsidR="00DD76CF" w:rsidRPr="00DD76CF" w:rsidRDefault="00DD76CF" w:rsidP="00DD76CF">
      <w:pPr>
        <w:spacing w:after="0" w:line="259" w:lineRule="auto"/>
        <w:ind w:left="-5" w:hanging="10"/>
        <w:rPr>
          <w:rFonts w:ascii="Calibri" w:eastAsia="Calibri" w:hAnsi="Calibri" w:cs="Calibri"/>
          <w:kern w:val="0"/>
          <w:sz w:val="22"/>
          <w:szCs w:val="22"/>
          <w:lang w:val="es-ES" w:eastAsia="ja-JP"/>
          <w14:ligatures w14:val="none"/>
        </w:rPr>
      </w:pPr>
      <w:r w:rsidRPr="00DD76CF">
        <w:rPr>
          <w:rFonts w:ascii="Calibri" w:eastAsia="Calibri" w:hAnsi="Calibri" w:cs="Calibri"/>
          <w:b/>
          <w:kern w:val="0"/>
          <w:sz w:val="22"/>
          <w:szCs w:val="22"/>
          <w:lang w:val="es-ES" w:eastAsia="ja-JP"/>
          <w14:ligatures w14:val="none"/>
        </w:rPr>
        <w:t>Designar un proyecto como financieramente cerrado</w:t>
      </w:r>
      <w:r w:rsidRPr="00DD76CF">
        <w:rPr>
          <w:rFonts w:ascii="Calibri" w:eastAsia="Calibri" w:hAnsi="Calibri" w:cs="Calibri"/>
          <w:kern w:val="0"/>
          <w:sz w:val="22"/>
          <w:szCs w:val="22"/>
          <w:lang w:val="es-ES" w:eastAsia="ja-JP"/>
          <w14:ligatures w14:val="none"/>
        </w:rPr>
        <w:t xml:space="preserve"> </w:t>
      </w:r>
    </w:p>
    <w:p w14:paraId="571ACA0F" w14:textId="77777777" w:rsidR="00DD76CF" w:rsidRPr="00DD76CF" w:rsidRDefault="00DD76CF" w:rsidP="00DD76CF">
      <w:pPr>
        <w:spacing w:after="0" w:line="259" w:lineRule="auto"/>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  </w:t>
      </w:r>
    </w:p>
    <w:p w14:paraId="39C677F4" w14:textId="77777777" w:rsidR="00DD76CF" w:rsidRPr="00DD76CF" w:rsidRDefault="00DD76CF" w:rsidP="00DD76CF">
      <w:pPr>
        <w:numPr>
          <w:ilvl w:val="0"/>
          <w:numId w:val="1"/>
        </w:numPr>
        <w:spacing w:after="5" w:line="249" w:lineRule="auto"/>
        <w:ind w:right="2" w:hanging="36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El Gerente del Proyecto es responsable de supervisar las actividades del proyecto e iniciar la designación de proyectos como cerrados operativamente y luego, como cerrados financieramente. La unidad de Finanzas de cada oficina es responsable de revisar los proyectos en curso y de coordinar con los gerentes de proyectos para iniciar el cierre financiero con el apoyo de la GSSC. La fecha límite para que un proyecto se «cierre operativamente» debe ser la fecha de finalización del proyecto estipulada en el acuerdo de costos compartidos firmado o en el documento del proyecto.  </w:t>
      </w:r>
    </w:p>
    <w:p w14:paraId="0DF4AD5A" w14:textId="77777777" w:rsidR="00DD76CF" w:rsidRPr="00DD76CF" w:rsidRDefault="00DD76CF" w:rsidP="00DD76CF">
      <w:pPr>
        <w:spacing w:after="0" w:line="259" w:lineRule="auto"/>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  </w:t>
      </w:r>
    </w:p>
    <w:p w14:paraId="7EAB03C6" w14:textId="77777777" w:rsidR="00DD76CF" w:rsidRPr="00DD76CF" w:rsidRDefault="00DD76CF" w:rsidP="00DD76CF">
      <w:pPr>
        <w:numPr>
          <w:ilvl w:val="0"/>
          <w:numId w:val="1"/>
        </w:numPr>
        <w:spacing w:after="5" w:line="249" w:lineRule="auto"/>
        <w:ind w:right="2" w:hanging="36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El PNUD y el Asociado en la Ejecución firman el informe de gastos trimestrales (CDR, </w:t>
      </w:r>
      <w:proofErr w:type="spellStart"/>
      <w:r w:rsidRPr="00DD76CF">
        <w:rPr>
          <w:rFonts w:ascii="Calibri" w:eastAsia="Calibri" w:hAnsi="Calibri" w:cs="Calibri"/>
          <w:kern w:val="0"/>
          <w:sz w:val="22"/>
          <w:szCs w:val="22"/>
          <w:lang w:val="es-ES" w:eastAsia="ja-JP"/>
          <w14:ligatures w14:val="none"/>
        </w:rPr>
        <w:t>C</w:t>
      </w:r>
      <w:r w:rsidRPr="00DD76CF">
        <w:rPr>
          <w:rFonts w:ascii="Calibri" w:eastAsia="Calibri" w:hAnsi="Calibri" w:cs="Calibri"/>
          <w:i/>
          <w:kern w:val="0"/>
          <w:sz w:val="22"/>
          <w:szCs w:val="22"/>
          <w:lang w:val="es-ES" w:eastAsia="ja-JP"/>
          <w14:ligatures w14:val="none"/>
        </w:rPr>
        <w:t>ombined</w:t>
      </w:r>
      <w:proofErr w:type="spellEnd"/>
      <w:r w:rsidRPr="00DD76CF">
        <w:rPr>
          <w:rFonts w:ascii="Calibri" w:eastAsia="Calibri" w:hAnsi="Calibri" w:cs="Calibri"/>
          <w:i/>
          <w:kern w:val="0"/>
          <w:sz w:val="22"/>
          <w:szCs w:val="22"/>
          <w:lang w:val="es-ES" w:eastAsia="ja-JP"/>
          <w14:ligatures w14:val="none"/>
        </w:rPr>
        <w:t xml:space="preserve"> </w:t>
      </w:r>
      <w:proofErr w:type="spellStart"/>
      <w:r w:rsidRPr="00DD76CF">
        <w:rPr>
          <w:rFonts w:ascii="Calibri" w:eastAsia="Calibri" w:hAnsi="Calibri" w:cs="Calibri"/>
          <w:i/>
          <w:kern w:val="0"/>
          <w:sz w:val="22"/>
          <w:szCs w:val="22"/>
          <w:lang w:val="es-ES" w:eastAsia="ja-JP"/>
          <w14:ligatures w14:val="none"/>
        </w:rPr>
        <w:t>Delivery</w:t>
      </w:r>
      <w:proofErr w:type="spellEnd"/>
      <w:r w:rsidRPr="00DD76CF">
        <w:rPr>
          <w:rFonts w:ascii="Calibri" w:eastAsia="Calibri" w:hAnsi="Calibri" w:cs="Calibri"/>
          <w:i/>
          <w:kern w:val="0"/>
          <w:sz w:val="22"/>
          <w:szCs w:val="22"/>
          <w:lang w:val="es-ES" w:eastAsia="ja-JP"/>
          <w14:ligatures w14:val="none"/>
        </w:rPr>
        <w:t xml:space="preserve"> </w:t>
      </w:r>
      <w:proofErr w:type="spellStart"/>
      <w:r w:rsidRPr="00DD76CF">
        <w:rPr>
          <w:rFonts w:ascii="Calibri" w:eastAsia="Calibri" w:hAnsi="Calibri" w:cs="Calibri"/>
          <w:i/>
          <w:kern w:val="0"/>
          <w:sz w:val="22"/>
          <w:szCs w:val="22"/>
          <w:lang w:val="es-ES" w:eastAsia="ja-JP"/>
          <w14:ligatures w14:val="none"/>
        </w:rPr>
        <w:t>Report</w:t>
      </w:r>
      <w:proofErr w:type="spellEnd"/>
      <w:r w:rsidRPr="00DD76CF">
        <w:rPr>
          <w:rFonts w:ascii="Calibri" w:eastAsia="Calibri" w:hAnsi="Calibri" w:cs="Calibri"/>
          <w:kern w:val="0"/>
          <w:sz w:val="22"/>
          <w:szCs w:val="22"/>
          <w:lang w:val="es-ES" w:eastAsia="ja-JP"/>
          <w14:ligatures w14:val="none"/>
        </w:rPr>
        <w:t xml:space="preserve">, por sus siglas en inglés), lo que confirma las cuentas y los gastos finales. </w:t>
      </w:r>
    </w:p>
    <w:p w14:paraId="01BCB7F9" w14:textId="77777777" w:rsidR="00DD76CF" w:rsidRPr="00DD76CF" w:rsidRDefault="00DD76CF" w:rsidP="00DD76CF">
      <w:pPr>
        <w:spacing w:after="0" w:line="259" w:lineRule="auto"/>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  </w:t>
      </w:r>
    </w:p>
    <w:p w14:paraId="3FEA7471" w14:textId="77777777" w:rsidR="00DD76CF" w:rsidRPr="00DD76CF" w:rsidRDefault="00DD76CF" w:rsidP="00DD76CF">
      <w:pPr>
        <w:numPr>
          <w:ilvl w:val="0"/>
          <w:numId w:val="1"/>
        </w:numPr>
        <w:spacing w:after="5" w:line="249" w:lineRule="auto"/>
        <w:ind w:right="2" w:hanging="36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Antes de cambiar el estado de un proyecto </w:t>
      </w:r>
      <w:proofErr w:type="spellStart"/>
      <w:r w:rsidRPr="00DD76CF">
        <w:rPr>
          <w:rFonts w:ascii="Calibri" w:eastAsia="Calibri" w:hAnsi="Calibri" w:cs="Calibri"/>
          <w:kern w:val="0"/>
          <w:sz w:val="22"/>
          <w:szCs w:val="22"/>
          <w:lang w:val="es-ES" w:eastAsia="ja-JP"/>
          <w14:ligatures w14:val="none"/>
        </w:rPr>
        <w:t>a</w:t>
      </w:r>
      <w:proofErr w:type="spellEnd"/>
      <w:r w:rsidRPr="00DD76CF">
        <w:rPr>
          <w:rFonts w:ascii="Calibri" w:eastAsia="Calibri" w:hAnsi="Calibri" w:cs="Calibri"/>
          <w:kern w:val="0"/>
          <w:sz w:val="22"/>
          <w:szCs w:val="22"/>
          <w:lang w:val="es-ES" w:eastAsia="ja-JP"/>
          <w14:ligatures w14:val="none"/>
        </w:rPr>
        <w:t xml:space="preserve"> cerrado financieramente, el Oficial de Programa y el </w:t>
      </w:r>
      <w:proofErr w:type="gramStart"/>
      <w:r w:rsidRPr="00DD76CF">
        <w:rPr>
          <w:rFonts w:ascii="Calibri" w:eastAsia="Calibri" w:hAnsi="Calibri" w:cs="Calibri"/>
          <w:kern w:val="0"/>
          <w:sz w:val="22"/>
          <w:szCs w:val="22"/>
          <w:lang w:val="es-ES" w:eastAsia="ja-JP"/>
          <w14:ligatures w14:val="none"/>
        </w:rPr>
        <w:t>Jefe</w:t>
      </w:r>
      <w:proofErr w:type="gramEnd"/>
      <w:r w:rsidRPr="00DD76CF">
        <w:rPr>
          <w:rFonts w:ascii="Calibri" w:eastAsia="Calibri" w:hAnsi="Calibri" w:cs="Calibri"/>
          <w:kern w:val="0"/>
          <w:sz w:val="22"/>
          <w:szCs w:val="22"/>
          <w:lang w:val="es-ES" w:eastAsia="ja-JP"/>
          <w14:ligatures w14:val="none"/>
        </w:rPr>
        <w:t xml:space="preserve"> de Finanzas deben completar la lista de verificación electrónica del Quantum Project </w:t>
      </w:r>
      <w:proofErr w:type="spellStart"/>
      <w:r w:rsidRPr="00DD76CF">
        <w:rPr>
          <w:rFonts w:ascii="Calibri" w:eastAsia="Calibri" w:hAnsi="Calibri" w:cs="Calibri"/>
          <w:kern w:val="0"/>
          <w:sz w:val="22"/>
          <w:szCs w:val="22"/>
          <w:lang w:val="es-ES" w:eastAsia="ja-JP"/>
          <w14:ligatures w14:val="none"/>
        </w:rPr>
        <w:t>Closure</w:t>
      </w:r>
      <w:proofErr w:type="spellEnd"/>
      <w:r w:rsidRPr="00DD76CF">
        <w:rPr>
          <w:rFonts w:ascii="Calibri" w:eastAsia="Calibri" w:hAnsi="Calibri" w:cs="Calibri"/>
          <w:kern w:val="0"/>
          <w:sz w:val="22"/>
          <w:szCs w:val="22"/>
          <w:lang w:val="es-ES" w:eastAsia="ja-JP"/>
          <w14:ligatures w14:val="none"/>
        </w:rPr>
        <w:t xml:space="preserve"> </w:t>
      </w:r>
      <w:proofErr w:type="spellStart"/>
      <w:r w:rsidRPr="00DD76CF">
        <w:rPr>
          <w:rFonts w:ascii="Calibri" w:eastAsia="Calibri" w:hAnsi="Calibri" w:cs="Calibri"/>
          <w:kern w:val="0"/>
          <w:sz w:val="22"/>
          <w:szCs w:val="22"/>
          <w:lang w:val="es-ES" w:eastAsia="ja-JP"/>
          <w14:ligatures w14:val="none"/>
        </w:rPr>
        <w:t>Workbench</w:t>
      </w:r>
      <w:proofErr w:type="spellEnd"/>
      <w:r w:rsidRPr="00DD76CF">
        <w:rPr>
          <w:rFonts w:ascii="Calibri" w:eastAsia="Calibri" w:hAnsi="Calibri" w:cs="Calibri"/>
          <w:kern w:val="0"/>
          <w:sz w:val="22"/>
          <w:szCs w:val="22"/>
          <w:lang w:val="es-ES" w:eastAsia="ja-JP"/>
          <w14:ligatures w14:val="none"/>
        </w:rPr>
        <w:t xml:space="preserve"> (Quantum Home&gt;</w:t>
      </w:r>
      <w:proofErr w:type="spellStart"/>
      <w:r w:rsidRPr="00DD76CF">
        <w:rPr>
          <w:rFonts w:ascii="Calibri" w:eastAsia="Calibri" w:hAnsi="Calibri" w:cs="Calibri"/>
          <w:kern w:val="0"/>
          <w:sz w:val="22"/>
          <w:szCs w:val="22"/>
          <w:lang w:val="es-ES" w:eastAsia="ja-JP"/>
          <w14:ligatures w14:val="none"/>
        </w:rPr>
        <w:t>Projects</w:t>
      </w:r>
      <w:proofErr w:type="spellEnd"/>
      <w:r w:rsidRPr="00DD76CF">
        <w:rPr>
          <w:rFonts w:ascii="Calibri" w:eastAsia="Calibri" w:hAnsi="Calibri" w:cs="Calibri"/>
          <w:kern w:val="0"/>
          <w:sz w:val="22"/>
          <w:szCs w:val="22"/>
          <w:lang w:val="es-ES" w:eastAsia="ja-JP"/>
          <w14:ligatures w14:val="none"/>
        </w:rPr>
        <w:t xml:space="preserve">&gt; Project </w:t>
      </w:r>
      <w:proofErr w:type="spellStart"/>
      <w:r w:rsidRPr="00DD76CF">
        <w:rPr>
          <w:rFonts w:ascii="Calibri" w:eastAsia="Calibri" w:hAnsi="Calibri" w:cs="Calibri"/>
          <w:kern w:val="0"/>
          <w:sz w:val="22"/>
          <w:szCs w:val="22"/>
          <w:lang w:val="es-ES" w:eastAsia="ja-JP"/>
          <w14:ligatures w14:val="none"/>
        </w:rPr>
        <w:t>Result</w:t>
      </w:r>
      <w:proofErr w:type="spellEnd"/>
      <w:r w:rsidRPr="00DD76CF">
        <w:rPr>
          <w:rFonts w:ascii="Calibri" w:eastAsia="Calibri" w:hAnsi="Calibri" w:cs="Calibri"/>
          <w:kern w:val="0"/>
          <w:sz w:val="22"/>
          <w:szCs w:val="22"/>
          <w:lang w:val="es-ES" w:eastAsia="ja-JP"/>
          <w14:ligatures w14:val="none"/>
        </w:rPr>
        <w:t xml:space="preserve"> and Project </w:t>
      </w:r>
      <w:proofErr w:type="spellStart"/>
      <w:r w:rsidRPr="00DD76CF">
        <w:rPr>
          <w:rFonts w:ascii="Calibri" w:eastAsia="Calibri" w:hAnsi="Calibri" w:cs="Calibri"/>
          <w:kern w:val="0"/>
          <w:sz w:val="22"/>
          <w:szCs w:val="22"/>
          <w:lang w:val="es-ES" w:eastAsia="ja-JP"/>
          <w14:ligatures w14:val="none"/>
        </w:rPr>
        <w:t>Closure</w:t>
      </w:r>
      <w:proofErr w:type="spellEnd"/>
      <w:r w:rsidRPr="00DD76CF">
        <w:rPr>
          <w:rFonts w:ascii="Calibri" w:eastAsia="Calibri" w:hAnsi="Calibri" w:cs="Calibri"/>
          <w:kern w:val="0"/>
          <w:sz w:val="22"/>
          <w:szCs w:val="22"/>
          <w:lang w:val="es-ES" w:eastAsia="ja-JP"/>
          <w14:ligatures w14:val="none"/>
        </w:rPr>
        <w:t xml:space="preserve"> </w:t>
      </w:r>
      <w:proofErr w:type="spellStart"/>
      <w:r w:rsidRPr="00DD76CF">
        <w:rPr>
          <w:rFonts w:ascii="Calibri" w:eastAsia="Calibri" w:hAnsi="Calibri" w:cs="Calibri"/>
          <w:kern w:val="0"/>
          <w:sz w:val="22"/>
          <w:szCs w:val="22"/>
          <w:lang w:val="es-ES" w:eastAsia="ja-JP"/>
          <w14:ligatures w14:val="none"/>
        </w:rPr>
        <w:t>workbench</w:t>
      </w:r>
      <w:proofErr w:type="spellEnd"/>
      <w:r w:rsidRPr="00DD76CF">
        <w:rPr>
          <w:rFonts w:ascii="Calibri" w:eastAsia="Calibri" w:hAnsi="Calibri" w:cs="Calibri"/>
          <w:kern w:val="0"/>
          <w:sz w:val="22"/>
          <w:szCs w:val="22"/>
          <w:lang w:val="es-ES" w:eastAsia="ja-JP"/>
          <w14:ligatures w14:val="none"/>
        </w:rPr>
        <w:t xml:space="preserve">&gt;Project </w:t>
      </w:r>
      <w:proofErr w:type="spellStart"/>
      <w:r w:rsidRPr="00DD76CF">
        <w:rPr>
          <w:rFonts w:ascii="Calibri" w:eastAsia="Calibri" w:hAnsi="Calibri" w:cs="Calibri"/>
          <w:kern w:val="0"/>
          <w:sz w:val="22"/>
          <w:szCs w:val="22"/>
          <w:lang w:val="es-ES" w:eastAsia="ja-JP"/>
          <w14:ligatures w14:val="none"/>
        </w:rPr>
        <w:t>Closure</w:t>
      </w:r>
      <w:proofErr w:type="spellEnd"/>
      <w:r w:rsidRPr="00DD76CF">
        <w:rPr>
          <w:rFonts w:ascii="Calibri" w:eastAsia="Calibri" w:hAnsi="Calibri" w:cs="Calibri"/>
          <w:kern w:val="0"/>
          <w:sz w:val="22"/>
          <w:szCs w:val="22"/>
          <w:lang w:val="es-ES" w:eastAsia="ja-JP"/>
          <w14:ligatures w14:val="none"/>
        </w:rPr>
        <w:t xml:space="preserve"> </w:t>
      </w:r>
      <w:proofErr w:type="spellStart"/>
      <w:r w:rsidRPr="00DD76CF">
        <w:rPr>
          <w:rFonts w:ascii="Calibri" w:eastAsia="Calibri" w:hAnsi="Calibri" w:cs="Calibri"/>
          <w:kern w:val="0"/>
          <w:sz w:val="22"/>
          <w:szCs w:val="22"/>
          <w:lang w:val="es-ES" w:eastAsia="ja-JP"/>
          <w14:ligatures w14:val="none"/>
        </w:rPr>
        <w:t>Workbench</w:t>
      </w:r>
      <w:proofErr w:type="spellEnd"/>
      <w:r w:rsidRPr="00DD76CF">
        <w:rPr>
          <w:rFonts w:ascii="Calibri" w:eastAsia="Calibri" w:hAnsi="Calibri" w:cs="Calibri"/>
          <w:kern w:val="0"/>
          <w:sz w:val="22"/>
          <w:szCs w:val="22"/>
          <w:lang w:val="es-ES" w:eastAsia="ja-JP"/>
          <w14:ligatures w14:val="none"/>
        </w:rPr>
        <w:t xml:space="preserve"> </w:t>
      </w:r>
      <w:proofErr w:type="spellStart"/>
      <w:r w:rsidRPr="00DD76CF">
        <w:rPr>
          <w:rFonts w:ascii="Calibri" w:eastAsia="Calibri" w:hAnsi="Calibri" w:cs="Calibri"/>
          <w:kern w:val="0"/>
          <w:sz w:val="22"/>
          <w:szCs w:val="22"/>
          <w:lang w:val="es-ES" w:eastAsia="ja-JP"/>
          <w14:ligatures w14:val="none"/>
        </w:rPr>
        <w:t>icon</w:t>
      </w:r>
      <w:proofErr w:type="spellEnd"/>
      <w:proofErr w:type="gramStart"/>
      <w:r w:rsidRPr="00DD76CF">
        <w:rPr>
          <w:rFonts w:ascii="Calibri" w:eastAsia="Calibri" w:hAnsi="Calibri" w:cs="Calibri"/>
          <w:kern w:val="0"/>
          <w:sz w:val="22"/>
          <w:szCs w:val="22"/>
          <w:lang w:val="es-ES" w:eastAsia="ja-JP"/>
          <w14:ligatures w14:val="none"/>
        </w:rPr>
        <w:t>)</w:t>
      </w:r>
      <w:r w:rsidRPr="00DD76CF">
        <w:rPr>
          <w:rFonts w:ascii="Calibri" w:eastAsia="Calibri" w:hAnsi="Calibri" w:cs="Calibri"/>
          <w:color w:val="333333"/>
          <w:kern w:val="0"/>
          <w:sz w:val="22"/>
          <w:szCs w:val="22"/>
          <w:lang w:val="es-ES" w:eastAsia="ja-JP"/>
          <w14:ligatures w14:val="none"/>
        </w:rPr>
        <w:t>,</w:t>
      </w:r>
      <w:r w:rsidRPr="00DD76CF">
        <w:rPr>
          <w:rFonts w:ascii="Calibri" w:eastAsia="Calibri" w:hAnsi="Calibri" w:cs="Calibri"/>
          <w:kern w:val="0"/>
          <w:sz w:val="22"/>
          <w:szCs w:val="22"/>
          <w:lang w:val="es-ES" w:eastAsia="ja-JP"/>
          <w14:ligatures w14:val="none"/>
        </w:rPr>
        <w:t>y</w:t>
      </w:r>
      <w:proofErr w:type="gramEnd"/>
      <w:r w:rsidRPr="00DD76CF">
        <w:rPr>
          <w:rFonts w:ascii="Calibri" w:eastAsia="Calibri" w:hAnsi="Calibri" w:cs="Calibri"/>
          <w:kern w:val="0"/>
          <w:sz w:val="22"/>
          <w:szCs w:val="22"/>
          <w:lang w:val="es-ES" w:eastAsia="ja-JP"/>
          <w14:ligatures w14:val="none"/>
        </w:rPr>
        <w:t xml:space="preserve"> deben verificar que los proyectos financiados con acuerdos de costos compartidos tengan saldo cero. La lista de verificación debe ser firmada por el Representante Residente/</w:t>
      </w:r>
      <w:proofErr w:type="gramStart"/>
      <w:r w:rsidRPr="00DD76CF">
        <w:rPr>
          <w:rFonts w:ascii="Calibri" w:eastAsia="Calibri" w:hAnsi="Calibri" w:cs="Calibri"/>
          <w:kern w:val="0"/>
          <w:sz w:val="22"/>
          <w:szCs w:val="22"/>
          <w:lang w:val="es-ES" w:eastAsia="ja-JP"/>
          <w14:ligatures w14:val="none"/>
        </w:rPr>
        <w:t>Jefe</w:t>
      </w:r>
      <w:proofErr w:type="gramEnd"/>
      <w:r w:rsidRPr="00DD76CF">
        <w:rPr>
          <w:rFonts w:ascii="Calibri" w:eastAsia="Calibri" w:hAnsi="Calibri" w:cs="Calibri"/>
          <w:kern w:val="0"/>
          <w:sz w:val="22"/>
          <w:szCs w:val="22"/>
          <w:lang w:val="es-ES" w:eastAsia="ja-JP"/>
          <w14:ligatures w14:val="none"/>
        </w:rPr>
        <w:t xml:space="preserve"> de Oficina o un oficial senior designado por el Representante Residente/</w:t>
      </w:r>
      <w:proofErr w:type="spellStart"/>
      <w:r w:rsidRPr="00DD76CF">
        <w:rPr>
          <w:rFonts w:ascii="Calibri" w:eastAsia="Calibri" w:hAnsi="Calibri" w:cs="Calibri"/>
          <w:kern w:val="0"/>
          <w:sz w:val="22"/>
          <w:szCs w:val="22"/>
          <w:lang w:val="es-ES" w:eastAsia="ja-JP"/>
          <w14:ligatures w14:val="none"/>
        </w:rPr>
        <w:t>Jefede</w:t>
      </w:r>
      <w:proofErr w:type="spellEnd"/>
      <w:r w:rsidRPr="00DD76CF">
        <w:rPr>
          <w:rFonts w:ascii="Calibri" w:eastAsia="Calibri" w:hAnsi="Calibri" w:cs="Calibri"/>
          <w:kern w:val="0"/>
          <w:sz w:val="22"/>
          <w:szCs w:val="22"/>
          <w:lang w:val="es-ES" w:eastAsia="ja-JP"/>
          <w14:ligatures w14:val="none"/>
        </w:rPr>
        <w:t xml:space="preserve"> Oficina. </w:t>
      </w:r>
    </w:p>
    <w:p w14:paraId="2081FA9B" w14:textId="77777777" w:rsidR="00DD76CF" w:rsidRPr="00DD76CF" w:rsidRDefault="00DD76CF" w:rsidP="00DD76CF">
      <w:pPr>
        <w:numPr>
          <w:ilvl w:val="0"/>
          <w:numId w:val="2"/>
        </w:numPr>
        <w:spacing w:after="5" w:line="249" w:lineRule="auto"/>
        <w:ind w:right="2"/>
        <w:contextualSpacing/>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Los proyectos plenamente financiados con </w:t>
      </w:r>
      <w:r w:rsidRPr="00DD76CF">
        <w:rPr>
          <w:rFonts w:ascii="Calibri" w:eastAsia="Calibri" w:hAnsi="Calibri" w:cs="Calibri"/>
          <w:b/>
          <w:bCs/>
          <w:kern w:val="0"/>
          <w:sz w:val="22"/>
          <w:szCs w:val="22"/>
          <w:lang w:val="es-ES" w:eastAsia="ja-JP"/>
          <w14:ligatures w14:val="none"/>
        </w:rPr>
        <w:t xml:space="preserve">fondos básicos (CORE, por sus siglas en inglés) o fiduciarios (trust </w:t>
      </w:r>
      <w:proofErr w:type="spellStart"/>
      <w:r w:rsidRPr="00DD76CF">
        <w:rPr>
          <w:rFonts w:ascii="Calibri" w:eastAsia="Calibri" w:hAnsi="Calibri" w:cs="Calibri"/>
          <w:b/>
          <w:bCs/>
          <w:kern w:val="0"/>
          <w:sz w:val="22"/>
          <w:szCs w:val="22"/>
          <w:lang w:val="es-ES" w:eastAsia="ja-JP"/>
          <w14:ligatures w14:val="none"/>
        </w:rPr>
        <w:t>funds</w:t>
      </w:r>
      <w:proofErr w:type="spellEnd"/>
      <w:r w:rsidRPr="00DD76CF">
        <w:rPr>
          <w:rFonts w:ascii="Calibri" w:eastAsia="Calibri" w:hAnsi="Calibri" w:cs="Calibri"/>
          <w:b/>
          <w:bCs/>
          <w:kern w:val="0"/>
          <w:sz w:val="22"/>
          <w:szCs w:val="22"/>
          <w:lang w:val="es-ES" w:eastAsia="ja-JP"/>
          <w14:ligatures w14:val="none"/>
        </w:rPr>
        <w:t>, por sus siglas en inglés)</w:t>
      </w:r>
      <w:r w:rsidRPr="00DD76CF">
        <w:rPr>
          <w:rFonts w:ascii="Calibri" w:eastAsia="Calibri" w:hAnsi="Calibri" w:cs="Calibri"/>
          <w:kern w:val="0"/>
          <w:sz w:val="22"/>
          <w:szCs w:val="22"/>
          <w:lang w:val="es-ES" w:eastAsia="ja-JP"/>
          <w14:ligatures w14:val="none"/>
        </w:rPr>
        <w:t xml:space="preserve"> deben ser designados formalmente como «cerrados financieramente» en Quantum.  </w:t>
      </w:r>
    </w:p>
    <w:p w14:paraId="3577D7D6" w14:textId="77777777" w:rsidR="00DD76CF" w:rsidRPr="00DD76CF" w:rsidRDefault="00DD76CF" w:rsidP="00DD76CF">
      <w:pPr>
        <w:numPr>
          <w:ilvl w:val="0"/>
          <w:numId w:val="2"/>
        </w:numPr>
        <w:spacing w:after="5" w:line="249" w:lineRule="auto"/>
        <w:ind w:right="2"/>
        <w:contextualSpacing/>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Para los proyectos que están plena o parcialmente financiados mediante </w:t>
      </w:r>
      <w:r w:rsidRPr="00DD76CF">
        <w:rPr>
          <w:rFonts w:ascii="Calibri" w:eastAsia="Calibri" w:hAnsi="Calibri" w:cs="Calibri"/>
          <w:b/>
          <w:bCs/>
          <w:kern w:val="0"/>
          <w:sz w:val="22"/>
          <w:szCs w:val="22"/>
          <w:lang w:val="es-ES" w:eastAsia="ja-JP"/>
          <w14:ligatures w14:val="none"/>
        </w:rPr>
        <w:t>acuerdos de costos compartidos</w:t>
      </w:r>
      <w:r w:rsidRPr="00DD76CF">
        <w:rPr>
          <w:rFonts w:ascii="Calibri" w:eastAsia="Calibri" w:hAnsi="Calibri" w:cs="Calibri"/>
          <w:kern w:val="0"/>
          <w:sz w:val="22"/>
          <w:szCs w:val="22"/>
          <w:lang w:val="es-ES" w:eastAsia="ja-JP"/>
          <w14:ligatures w14:val="none"/>
        </w:rPr>
        <w:t xml:space="preserve">, el paso final es revisar el saldo restante de costos compartidos.  </w:t>
      </w:r>
    </w:p>
    <w:p w14:paraId="51A00A2D" w14:textId="77777777" w:rsidR="00DD76CF" w:rsidRPr="00DD76CF" w:rsidRDefault="00DD76CF" w:rsidP="00DD76CF">
      <w:pPr>
        <w:spacing w:after="0" w:line="259" w:lineRule="auto"/>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  </w:t>
      </w:r>
    </w:p>
    <w:p w14:paraId="03B34D99" w14:textId="77777777" w:rsidR="00DD76CF" w:rsidRPr="00DD76CF" w:rsidRDefault="00DD76CF" w:rsidP="00DD76CF">
      <w:pPr>
        <w:numPr>
          <w:ilvl w:val="0"/>
          <w:numId w:val="1"/>
        </w:numPr>
        <w:spacing w:after="5" w:line="249" w:lineRule="auto"/>
        <w:ind w:right="2" w:hanging="36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El saldo de costos compartidos, según el libro mayor, se muestra en el informe de prorrateo </w:t>
      </w:r>
      <w:proofErr w:type="gramStart"/>
      <w:r w:rsidRPr="00DD76CF">
        <w:rPr>
          <w:rFonts w:ascii="Calibri" w:eastAsia="Calibri" w:hAnsi="Calibri" w:cs="Calibri"/>
          <w:kern w:val="0"/>
          <w:sz w:val="22"/>
          <w:szCs w:val="22"/>
          <w:lang w:val="es-ES" w:eastAsia="ja-JP"/>
          <w14:ligatures w14:val="none"/>
        </w:rPr>
        <w:t>de  costos</w:t>
      </w:r>
      <w:proofErr w:type="gramEnd"/>
      <w:r w:rsidRPr="00DD76CF">
        <w:rPr>
          <w:rFonts w:ascii="Calibri" w:eastAsia="Calibri" w:hAnsi="Calibri" w:cs="Calibri"/>
          <w:kern w:val="0"/>
          <w:sz w:val="22"/>
          <w:szCs w:val="22"/>
          <w:lang w:val="es-ES" w:eastAsia="ja-JP"/>
          <w14:ligatures w14:val="none"/>
        </w:rPr>
        <w:t xml:space="preserve"> compartidos (Informes de las Naciones Unidas&gt;Informes de gestión de proyectos&gt;Análisis de cartera – UN </w:t>
      </w:r>
      <w:proofErr w:type="spellStart"/>
      <w:r w:rsidRPr="00DD76CF">
        <w:rPr>
          <w:rFonts w:ascii="Calibri" w:eastAsia="Calibri" w:hAnsi="Calibri" w:cs="Calibri"/>
          <w:kern w:val="0"/>
          <w:sz w:val="22"/>
          <w:szCs w:val="22"/>
          <w:lang w:val="es-ES" w:eastAsia="ja-JP"/>
          <w14:ligatures w14:val="none"/>
        </w:rPr>
        <w:t>Reports</w:t>
      </w:r>
      <w:proofErr w:type="spellEnd"/>
      <w:r w:rsidRPr="00DD76CF">
        <w:rPr>
          <w:rFonts w:ascii="Calibri" w:eastAsia="Calibri" w:hAnsi="Calibri" w:cs="Calibri"/>
          <w:kern w:val="0"/>
          <w:sz w:val="22"/>
          <w:szCs w:val="22"/>
          <w:lang w:val="es-ES" w:eastAsia="ja-JP"/>
          <w14:ligatures w14:val="none"/>
        </w:rPr>
        <w:t xml:space="preserve">&gt;Project Management </w:t>
      </w:r>
      <w:proofErr w:type="spellStart"/>
      <w:r w:rsidRPr="00DD76CF">
        <w:rPr>
          <w:rFonts w:ascii="Calibri" w:eastAsia="Calibri" w:hAnsi="Calibri" w:cs="Calibri"/>
          <w:kern w:val="0"/>
          <w:sz w:val="22"/>
          <w:szCs w:val="22"/>
          <w:lang w:val="es-ES" w:eastAsia="ja-JP"/>
          <w14:ligatures w14:val="none"/>
        </w:rPr>
        <w:t>Reports</w:t>
      </w:r>
      <w:proofErr w:type="spellEnd"/>
      <w:r w:rsidRPr="00DD76CF">
        <w:rPr>
          <w:rFonts w:ascii="Calibri" w:eastAsia="Calibri" w:hAnsi="Calibri" w:cs="Calibri"/>
          <w:kern w:val="0"/>
          <w:sz w:val="22"/>
          <w:szCs w:val="22"/>
          <w:lang w:val="es-ES" w:eastAsia="ja-JP"/>
          <w14:ligatures w14:val="none"/>
        </w:rPr>
        <w:t>&gt;</w:t>
      </w:r>
      <w:proofErr w:type="gramStart"/>
      <w:r w:rsidRPr="00DD76CF">
        <w:rPr>
          <w:rFonts w:ascii="Calibri" w:eastAsia="Calibri" w:hAnsi="Calibri" w:cs="Calibri"/>
          <w:kern w:val="0"/>
          <w:sz w:val="22"/>
          <w:szCs w:val="22"/>
          <w:lang w:val="es-ES" w:eastAsia="ja-JP"/>
          <w14:ligatures w14:val="none"/>
        </w:rPr>
        <w:t>Portfolio</w:t>
      </w:r>
      <w:proofErr w:type="gramEnd"/>
      <w:r w:rsidRPr="00DD76CF">
        <w:rPr>
          <w:rFonts w:ascii="Calibri" w:eastAsia="Calibri" w:hAnsi="Calibri" w:cs="Calibri"/>
          <w:kern w:val="0"/>
          <w:sz w:val="22"/>
          <w:szCs w:val="22"/>
          <w:lang w:val="es-ES" w:eastAsia="ja-JP"/>
          <w14:ligatures w14:val="none"/>
        </w:rPr>
        <w:t xml:space="preserve"> </w:t>
      </w:r>
      <w:proofErr w:type="spellStart"/>
      <w:r w:rsidRPr="00DD76CF">
        <w:rPr>
          <w:rFonts w:ascii="Calibri" w:eastAsia="Calibri" w:hAnsi="Calibri" w:cs="Calibri"/>
          <w:kern w:val="0"/>
          <w:sz w:val="22"/>
          <w:szCs w:val="22"/>
          <w:lang w:val="es-ES" w:eastAsia="ja-JP"/>
          <w14:ligatures w14:val="none"/>
        </w:rPr>
        <w:t>Analysis</w:t>
      </w:r>
      <w:proofErr w:type="spellEnd"/>
      <w:r w:rsidRPr="00DD76CF">
        <w:rPr>
          <w:rFonts w:ascii="Calibri" w:eastAsia="Calibri" w:hAnsi="Calibri" w:cs="Calibri"/>
          <w:kern w:val="0"/>
          <w:sz w:val="22"/>
          <w:szCs w:val="22"/>
          <w:lang w:val="es-ES" w:eastAsia="ja-JP"/>
          <w14:ligatures w14:val="none"/>
        </w:rPr>
        <w:t>) o en el informe UN_FUND_</w:t>
      </w:r>
      <w:proofErr w:type="gramStart"/>
      <w:r w:rsidRPr="00DD76CF">
        <w:rPr>
          <w:rFonts w:ascii="Calibri" w:eastAsia="Calibri" w:hAnsi="Calibri" w:cs="Calibri"/>
          <w:kern w:val="0"/>
          <w:sz w:val="22"/>
          <w:szCs w:val="22"/>
          <w:lang w:val="es-ES" w:eastAsia="ja-JP"/>
          <w14:ligatures w14:val="none"/>
        </w:rPr>
        <w:t>STATUS</w:t>
      </w:r>
      <w:proofErr w:type="gramEnd"/>
      <w:r w:rsidRPr="00DD76CF">
        <w:rPr>
          <w:rFonts w:ascii="Calibri" w:eastAsia="Calibri" w:hAnsi="Calibri" w:cs="Calibri"/>
          <w:kern w:val="0"/>
          <w:sz w:val="22"/>
          <w:szCs w:val="22"/>
          <w:lang w:val="es-ES" w:eastAsia="ja-JP"/>
          <w14:ligatures w14:val="none"/>
        </w:rPr>
        <w:t xml:space="preserve"> (Informes de las Naciones Unidas&gt;Informes de gestión financiera&gt;Informes de gestión de presupuesto – UN </w:t>
      </w:r>
      <w:proofErr w:type="spellStart"/>
      <w:r w:rsidRPr="00DD76CF">
        <w:rPr>
          <w:rFonts w:ascii="Calibri" w:eastAsia="Calibri" w:hAnsi="Calibri" w:cs="Calibri"/>
          <w:kern w:val="0"/>
          <w:sz w:val="22"/>
          <w:szCs w:val="22"/>
          <w:lang w:val="es-ES" w:eastAsia="ja-JP"/>
          <w14:ligatures w14:val="none"/>
        </w:rPr>
        <w:t>Reports</w:t>
      </w:r>
      <w:proofErr w:type="spellEnd"/>
      <w:r w:rsidRPr="00DD76CF">
        <w:rPr>
          <w:rFonts w:ascii="Calibri" w:eastAsia="Calibri" w:hAnsi="Calibri" w:cs="Calibri"/>
          <w:kern w:val="0"/>
          <w:sz w:val="22"/>
          <w:szCs w:val="22"/>
          <w:lang w:val="es-ES" w:eastAsia="ja-JP"/>
          <w14:ligatures w14:val="none"/>
        </w:rPr>
        <w:t>&gt;</w:t>
      </w:r>
      <w:proofErr w:type="spellStart"/>
      <w:r w:rsidRPr="00DD76CF">
        <w:rPr>
          <w:rFonts w:ascii="Calibri" w:eastAsia="Calibri" w:hAnsi="Calibri" w:cs="Calibri"/>
          <w:kern w:val="0"/>
          <w:sz w:val="22"/>
          <w:szCs w:val="22"/>
          <w:lang w:val="es-ES" w:eastAsia="ja-JP"/>
          <w14:ligatures w14:val="none"/>
        </w:rPr>
        <w:t>Financial</w:t>
      </w:r>
      <w:proofErr w:type="spellEnd"/>
      <w:r w:rsidRPr="00DD76CF">
        <w:rPr>
          <w:rFonts w:ascii="Calibri" w:eastAsia="Calibri" w:hAnsi="Calibri" w:cs="Calibri"/>
          <w:kern w:val="0"/>
          <w:sz w:val="22"/>
          <w:szCs w:val="22"/>
          <w:lang w:val="es-ES" w:eastAsia="ja-JP"/>
          <w14:ligatures w14:val="none"/>
        </w:rPr>
        <w:t xml:space="preserve"> Management </w:t>
      </w:r>
      <w:proofErr w:type="spellStart"/>
      <w:r w:rsidRPr="00DD76CF">
        <w:rPr>
          <w:rFonts w:ascii="Calibri" w:eastAsia="Calibri" w:hAnsi="Calibri" w:cs="Calibri"/>
          <w:kern w:val="0"/>
          <w:sz w:val="22"/>
          <w:szCs w:val="22"/>
          <w:lang w:val="es-ES" w:eastAsia="ja-JP"/>
          <w14:ligatures w14:val="none"/>
        </w:rPr>
        <w:t>Reports</w:t>
      </w:r>
      <w:proofErr w:type="spellEnd"/>
      <w:r w:rsidRPr="00DD76CF">
        <w:rPr>
          <w:rFonts w:ascii="Calibri" w:eastAsia="Calibri" w:hAnsi="Calibri" w:cs="Calibri"/>
          <w:kern w:val="0"/>
          <w:sz w:val="22"/>
          <w:szCs w:val="22"/>
          <w:lang w:val="es-ES" w:eastAsia="ja-JP"/>
          <w14:ligatures w14:val="none"/>
        </w:rPr>
        <w:t xml:space="preserve">&gt;Budget Management </w:t>
      </w:r>
      <w:proofErr w:type="spellStart"/>
      <w:r w:rsidRPr="00DD76CF">
        <w:rPr>
          <w:rFonts w:ascii="Calibri" w:eastAsia="Calibri" w:hAnsi="Calibri" w:cs="Calibri"/>
          <w:kern w:val="0"/>
          <w:sz w:val="22"/>
          <w:szCs w:val="22"/>
          <w:lang w:val="es-ES" w:eastAsia="ja-JP"/>
          <w14:ligatures w14:val="none"/>
        </w:rPr>
        <w:t>Reports</w:t>
      </w:r>
      <w:proofErr w:type="spellEnd"/>
      <w:r w:rsidRPr="00DD76CF">
        <w:rPr>
          <w:rFonts w:ascii="Calibri" w:eastAsia="Calibri" w:hAnsi="Calibri" w:cs="Calibri"/>
          <w:kern w:val="0"/>
          <w:sz w:val="22"/>
          <w:szCs w:val="22"/>
          <w:lang w:val="es-ES" w:eastAsia="ja-JP"/>
          <w14:ligatures w14:val="none"/>
        </w:rPr>
        <w:t xml:space="preserve">). Los saldos restantes deben revisarse a nivel de fondo-proyecto-donante. </w:t>
      </w:r>
    </w:p>
    <w:p w14:paraId="10B4939E" w14:textId="77777777" w:rsidR="00DD76CF" w:rsidRPr="00DD76CF" w:rsidRDefault="00DD76CF" w:rsidP="00DD76CF">
      <w:pPr>
        <w:spacing w:after="0" w:line="259" w:lineRule="auto"/>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  </w:t>
      </w:r>
    </w:p>
    <w:p w14:paraId="7A8FCE3D" w14:textId="77777777" w:rsidR="00DD76CF" w:rsidRPr="00DD76CF" w:rsidRDefault="00DD76CF" w:rsidP="00DD76CF">
      <w:pPr>
        <w:numPr>
          <w:ilvl w:val="0"/>
          <w:numId w:val="1"/>
        </w:numPr>
        <w:spacing w:after="5" w:line="249" w:lineRule="auto"/>
        <w:ind w:right="2" w:hanging="36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Cuando haya una combinación de déficits y excedentes a nivel del donante, los gastos de transferencia de los déficits a los excedentes deben reducirse a cero, en la medida de lo posible. </w:t>
      </w:r>
    </w:p>
    <w:p w14:paraId="79E8030D" w14:textId="77777777" w:rsidR="00DD76CF" w:rsidRPr="00DD76CF" w:rsidRDefault="00DD76CF" w:rsidP="00DD76CF">
      <w:pPr>
        <w:spacing w:after="0" w:line="259" w:lineRule="auto"/>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  </w:t>
      </w:r>
    </w:p>
    <w:p w14:paraId="54CA0487" w14:textId="77777777" w:rsidR="00DD76CF" w:rsidRPr="00DD76CF" w:rsidRDefault="00DD76CF" w:rsidP="00DD76CF">
      <w:pPr>
        <w:numPr>
          <w:ilvl w:val="0"/>
          <w:numId w:val="1"/>
        </w:numPr>
        <w:spacing w:after="5" w:line="249" w:lineRule="auto"/>
        <w:ind w:right="2" w:hanging="36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Si persisten los déficits a nivel del proyecto o del donante, se deben seguir los siguientes pasos: </w:t>
      </w:r>
    </w:p>
    <w:p w14:paraId="651CA427" w14:textId="77777777" w:rsidR="00DD76CF" w:rsidRPr="00DD76CF" w:rsidRDefault="00DD76CF" w:rsidP="00DD76CF">
      <w:pPr>
        <w:numPr>
          <w:ilvl w:val="0"/>
          <w:numId w:val="3"/>
        </w:numPr>
        <w:spacing w:after="5" w:line="249" w:lineRule="auto"/>
        <w:ind w:right="2"/>
        <w:contextualSpacing/>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Transferir otros fondos del programa (otro donante) al proyecto. </w:t>
      </w:r>
    </w:p>
    <w:p w14:paraId="16D268B4" w14:textId="77777777" w:rsidR="00DD76CF" w:rsidRPr="00DD76CF" w:rsidRDefault="00DD76CF" w:rsidP="00DD76CF">
      <w:pPr>
        <w:numPr>
          <w:ilvl w:val="0"/>
          <w:numId w:val="3"/>
        </w:numPr>
        <w:spacing w:after="5" w:line="249" w:lineRule="auto"/>
        <w:ind w:right="2"/>
        <w:contextualSpacing/>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Transferir fondos extrapresupuestarios al proyecto. </w:t>
      </w:r>
    </w:p>
    <w:p w14:paraId="21077086" w14:textId="77777777" w:rsidR="00DD76CF" w:rsidRPr="00DD76CF" w:rsidRDefault="00DD76CF" w:rsidP="00DD76CF">
      <w:pPr>
        <w:numPr>
          <w:ilvl w:val="0"/>
          <w:numId w:val="3"/>
        </w:numPr>
        <w:spacing w:after="5" w:line="249" w:lineRule="auto"/>
        <w:ind w:right="2"/>
        <w:contextualSpacing/>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lastRenderedPageBreak/>
        <w:t xml:space="preserve">Si persisten los déficits, deben iniciarse los procedimientos para cargar a los fondos básicos (TRAC, </w:t>
      </w:r>
      <w:r w:rsidRPr="00DD76CF">
        <w:rPr>
          <w:rFonts w:ascii="Calibri" w:eastAsia="Calibri" w:hAnsi="Calibri" w:cs="Calibri"/>
          <w:i/>
          <w:iCs/>
          <w:kern w:val="0"/>
          <w:sz w:val="22"/>
          <w:szCs w:val="22"/>
          <w:lang w:val="es-ES" w:eastAsia="ja-JP"/>
          <w14:ligatures w14:val="none"/>
        </w:rPr>
        <w:t xml:space="preserve">Target </w:t>
      </w:r>
      <w:proofErr w:type="spellStart"/>
      <w:r w:rsidRPr="00DD76CF">
        <w:rPr>
          <w:rFonts w:ascii="Calibri" w:eastAsia="Calibri" w:hAnsi="Calibri" w:cs="Calibri"/>
          <w:i/>
          <w:iCs/>
          <w:kern w:val="0"/>
          <w:sz w:val="22"/>
          <w:szCs w:val="22"/>
          <w:lang w:val="es-ES" w:eastAsia="ja-JP"/>
          <w14:ligatures w14:val="none"/>
        </w:rPr>
        <w:t>for</w:t>
      </w:r>
      <w:proofErr w:type="spellEnd"/>
      <w:r w:rsidRPr="00DD76CF">
        <w:rPr>
          <w:rFonts w:ascii="Calibri" w:eastAsia="Calibri" w:hAnsi="Calibri" w:cs="Calibri"/>
          <w:i/>
          <w:iCs/>
          <w:kern w:val="0"/>
          <w:sz w:val="22"/>
          <w:szCs w:val="22"/>
          <w:lang w:val="es-ES" w:eastAsia="ja-JP"/>
          <w14:ligatures w14:val="none"/>
        </w:rPr>
        <w:t xml:space="preserve"> </w:t>
      </w:r>
      <w:proofErr w:type="spellStart"/>
      <w:r w:rsidRPr="00DD76CF">
        <w:rPr>
          <w:rFonts w:ascii="Calibri" w:eastAsia="Calibri" w:hAnsi="Calibri" w:cs="Calibri"/>
          <w:i/>
          <w:iCs/>
          <w:kern w:val="0"/>
          <w:sz w:val="22"/>
          <w:szCs w:val="22"/>
          <w:lang w:val="es-ES" w:eastAsia="ja-JP"/>
          <w14:ligatures w14:val="none"/>
        </w:rPr>
        <w:t>Resource</w:t>
      </w:r>
      <w:proofErr w:type="spellEnd"/>
      <w:r w:rsidRPr="00DD76CF">
        <w:rPr>
          <w:rFonts w:ascii="Calibri" w:eastAsia="Calibri" w:hAnsi="Calibri" w:cs="Calibri"/>
          <w:i/>
          <w:iCs/>
          <w:kern w:val="0"/>
          <w:sz w:val="22"/>
          <w:szCs w:val="22"/>
          <w:lang w:val="es-ES" w:eastAsia="ja-JP"/>
          <w14:ligatures w14:val="none"/>
        </w:rPr>
        <w:t xml:space="preserve"> </w:t>
      </w:r>
      <w:proofErr w:type="spellStart"/>
      <w:r w:rsidRPr="00DD76CF">
        <w:rPr>
          <w:rFonts w:ascii="Calibri" w:eastAsia="Calibri" w:hAnsi="Calibri" w:cs="Calibri"/>
          <w:i/>
          <w:iCs/>
          <w:kern w:val="0"/>
          <w:sz w:val="22"/>
          <w:szCs w:val="22"/>
          <w:lang w:val="es-ES" w:eastAsia="ja-JP"/>
          <w14:ligatures w14:val="none"/>
        </w:rPr>
        <w:t>Assignment</w:t>
      </w:r>
      <w:proofErr w:type="spellEnd"/>
      <w:r w:rsidRPr="00DD76CF">
        <w:rPr>
          <w:rFonts w:ascii="Calibri" w:eastAsia="Calibri" w:hAnsi="Calibri" w:cs="Calibri"/>
          <w:i/>
          <w:iCs/>
          <w:kern w:val="0"/>
          <w:sz w:val="22"/>
          <w:szCs w:val="22"/>
          <w:lang w:val="es-ES" w:eastAsia="ja-JP"/>
          <w14:ligatures w14:val="none"/>
        </w:rPr>
        <w:t xml:space="preserve"> </w:t>
      </w:r>
      <w:proofErr w:type="spellStart"/>
      <w:r w:rsidRPr="00DD76CF">
        <w:rPr>
          <w:rFonts w:ascii="Calibri" w:eastAsia="Calibri" w:hAnsi="Calibri" w:cs="Calibri"/>
          <w:i/>
          <w:iCs/>
          <w:kern w:val="0"/>
          <w:sz w:val="22"/>
          <w:szCs w:val="22"/>
          <w:lang w:val="es-ES" w:eastAsia="ja-JP"/>
          <w14:ligatures w14:val="none"/>
        </w:rPr>
        <w:t>from</w:t>
      </w:r>
      <w:proofErr w:type="spellEnd"/>
      <w:r w:rsidRPr="00DD76CF">
        <w:rPr>
          <w:rFonts w:ascii="Calibri" w:eastAsia="Calibri" w:hAnsi="Calibri" w:cs="Calibri"/>
          <w:i/>
          <w:iCs/>
          <w:kern w:val="0"/>
          <w:sz w:val="22"/>
          <w:szCs w:val="22"/>
          <w:lang w:val="es-ES" w:eastAsia="ja-JP"/>
          <w14:ligatures w14:val="none"/>
        </w:rPr>
        <w:t xml:space="preserve"> </w:t>
      </w:r>
      <w:proofErr w:type="spellStart"/>
      <w:r w:rsidRPr="00DD76CF">
        <w:rPr>
          <w:rFonts w:ascii="Calibri" w:eastAsia="Calibri" w:hAnsi="Calibri" w:cs="Calibri"/>
          <w:i/>
          <w:iCs/>
          <w:kern w:val="0"/>
          <w:sz w:val="22"/>
          <w:szCs w:val="22"/>
          <w:lang w:val="es-ES" w:eastAsia="ja-JP"/>
          <w14:ligatures w14:val="none"/>
        </w:rPr>
        <w:t>the</w:t>
      </w:r>
      <w:proofErr w:type="spellEnd"/>
      <w:r w:rsidRPr="00DD76CF">
        <w:rPr>
          <w:rFonts w:ascii="Calibri" w:eastAsia="Calibri" w:hAnsi="Calibri" w:cs="Calibri"/>
          <w:i/>
          <w:iCs/>
          <w:kern w:val="0"/>
          <w:sz w:val="22"/>
          <w:szCs w:val="22"/>
          <w:lang w:val="es-ES" w:eastAsia="ja-JP"/>
          <w14:ligatures w14:val="none"/>
        </w:rPr>
        <w:t xml:space="preserve"> Core</w:t>
      </w:r>
      <w:r w:rsidRPr="00DD76CF">
        <w:rPr>
          <w:rFonts w:ascii="Calibri" w:eastAsia="Calibri" w:hAnsi="Calibri" w:cs="Calibri"/>
          <w:kern w:val="0"/>
          <w:sz w:val="22"/>
          <w:szCs w:val="22"/>
          <w:lang w:val="es-ES" w:eastAsia="ja-JP"/>
          <w14:ligatures w14:val="none"/>
        </w:rPr>
        <w:t xml:space="preserve">, por sus siglas en inglés) actual o futuro, o el fondo 11888 y el fondo 11890. Este paso solo se puede tomar después de una consulta completa con el Gobierno del país en que se ejecuta un programa. Contactar a la Oficina de Gestión de Recursos Financieros (OFM, </w:t>
      </w:r>
      <w:r w:rsidRPr="00DD76CF">
        <w:rPr>
          <w:rFonts w:ascii="Calibri" w:eastAsia="Calibri" w:hAnsi="Calibri" w:cs="Calibri"/>
          <w:i/>
          <w:iCs/>
          <w:kern w:val="0"/>
          <w:sz w:val="22"/>
          <w:szCs w:val="22"/>
          <w:lang w:val="es-ES" w:eastAsia="ja-JP"/>
          <w14:ligatures w14:val="none"/>
        </w:rPr>
        <w:t xml:space="preserve">Office </w:t>
      </w:r>
      <w:proofErr w:type="spellStart"/>
      <w:r w:rsidRPr="00DD76CF">
        <w:rPr>
          <w:rFonts w:ascii="Calibri" w:eastAsia="Calibri" w:hAnsi="Calibri" w:cs="Calibri"/>
          <w:i/>
          <w:iCs/>
          <w:kern w:val="0"/>
          <w:sz w:val="22"/>
          <w:szCs w:val="22"/>
          <w:lang w:val="es-ES" w:eastAsia="ja-JP"/>
          <w14:ligatures w14:val="none"/>
        </w:rPr>
        <w:t>of</w:t>
      </w:r>
      <w:proofErr w:type="spellEnd"/>
      <w:r w:rsidRPr="00DD76CF">
        <w:rPr>
          <w:rFonts w:ascii="Calibri" w:eastAsia="Calibri" w:hAnsi="Calibri" w:cs="Calibri"/>
          <w:i/>
          <w:iCs/>
          <w:kern w:val="0"/>
          <w:sz w:val="22"/>
          <w:szCs w:val="22"/>
          <w:lang w:val="es-ES" w:eastAsia="ja-JP"/>
          <w14:ligatures w14:val="none"/>
        </w:rPr>
        <w:t xml:space="preserve"> </w:t>
      </w:r>
      <w:proofErr w:type="spellStart"/>
      <w:r w:rsidRPr="00DD76CF">
        <w:rPr>
          <w:rFonts w:ascii="Calibri" w:eastAsia="Calibri" w:hAnsi="Calibri" w:cs="Calibri"/>
          <w:i/>
          <w:iCs/>
          <w:kern w:val="0"/>
          <w:sz w:val="22"/>
          <w:szCs w:val="22"/>
          <w:lang w:val="es-ES" w:eastAsia="ja-JP"/>
          <w14:ligatures w14:val="none"/>
        </w:rPr>
        <w:t>Financial</w:t>
      </w:r>
      <w:proofErr w:type="spellEnd"/>
      <w:r w:rsidRPr="00DD76CF">
        <w:rPr>
          <w:rFonts w:ascii="Calibri" w:eastAsia="Calibri" w:hAnsi="Calibri" w:cs="Calibri"/>
          <w:i/>
          <w:iCs/>
          <w:kern w:val="0"/>
          <w:sz w:val="22"/>
          <w:szCs w:val="22"/>
          <w:lang w:val="es-ES" w:eastAsia="ja-JP"/>
          <w14:ligatures w14:val="none"/>
        </w:rPr>
        <w:t xml:space="preserve"> Management</w:t>
      </w:r>
      <w:r w:rsidRPr="00DD76CF">
        <w:rPr>
          <w:rFonts w:ascii="Calibri" w:eastAsia="Calibri" w:hAnsi="Calibri" w:cs="Calibri"/>
          <w:kern w:val="0"/>
          <w:sz w:val="22"/>
          <w:szCs w:val="22"/>
          <w:lang w:val="es-ES" w:eastAsia="ja-JP"/>
          <w14:ligatures w14:val="none"/>
        </w:rPr>
        <w:t xml:space="preserve">, por sus siglas en inglés) para obtener asesoramiento según sea necesario. </w:t>
      </w:r>
    </w:p>
    <w:p w14:paraId="357481D2" w14:textId="77777777" w:rsidR="00DD76CF" w:rsidRPr="00DD76CF" w:rsidRDefault="00DD76CF" w:rsidP="00DD76CF">
      <w:pPr>
        <w:spacing w:after="0" w:line="259" w:lineRule="auto"/>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  </w:t>
      </w:r>
    </w:p>
    <w:p w14:paraId="51A53785" w14:textId="77777777" w:rsidR="00DD76CF" w:rsidRPr="00DD76CF" w:rsidRDefault="00DD76CF" w:rsidP="00DD76CF">
      <w:pPr>
        <w:numPr>
          <w:ilvl w:val="0"/>
          <w:numId w:val="1"/>
        </w:numPr>
        <w:spacing w:after="5" w:line="249" w:lineRule="auto"/>
        <w:ind w:right="2" w:hanging="360"/>
        <w:jc w:val="both"/>
        <w:rPr>
          <w:rFonts w:ascii="Calibri" w:eastAsia="Calibri" w:hAnsi="Calibri" w:cs="Calibri"/>
          <w:color w:val="333333"/>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Cuando quede un excedente, deberá reembolsarse a los donantes, o transferirse a otro proyecto con el permiso del donante. El acuerdo de contribución con el donante dictará la acción requerida, incluso cuando los donantes le permitan al PNUD retener montos inferiores a un umbral establecido. Véase</w:t>
      </w:r>
    </w:p>
    <w:p w14:paraId="4A4FC82D" w14:textId="7F7E37A7" w:rsidR="00DD76CF" w:rsidRPr="00DD76CF" w:rsidRDefault="00DD76CF" w:rsidP="00DD76CF">
      <w:pPr>
        <w:spacing w:after="5" w:line="249" w:lineRule="auto"/>
        <w:ind w:left="270"/>
        <w:rPr>
          <w:rFonts w:ascii="Calibri" w:eastAsia="Calibri" w:hAnsi="Calibri" w:cs="Calibri"/>
          <w:color w:val="333333"/>
          <w:kern w:val="0"/>
          <w:sz w:val="22"/>
          <w:szCs w:val="22"/>
          <w:lang w:val="es-ES" w:eastAsia="ja-JP"/>
          <w14:ligatures w14:val="none"/>
        </w:rPr>
      </w:pPr>
      <w:hyperlink r:id="rId11" w:history="1">
        <w:r w:rsidRPr="00DD76CF">
          <w:rPr>
            <w:rFonts w:ascii="Calibri" w:eastAsia="Calibri" w:hAnsi="Calibri" w:cs="Calibri"/>
            <w:color w:val="0563C1"/>
            <w:kern w:val="0"/>
            <w:sz w:val="22"/>
            <w:szCs w:val="22"/>
            <w:u w:val="single"/>
            <w:lang w:val="es-ES" w:eastAsia="ja-JP"/>
            <w14:ligatures w14:val="none"/>
          </w:rPr>
          <w:t>reembolso a donantes</w:t>
        </w:r>
      </w:hyperlink>
      <w:hyperlink r:id="rId12">
        <w:r w:rsidRPr="00DD76CF">
          <w:rPr>
            <w:rFonts w:ascii="Calibri" w:eastAsia="Calibri" w:hAnsi="Calibri" w:cs="Calibri"/>
            <w:color w:val="0070C0"/>
            <w:kern w:val="0"/>
            <w:sz w:val="22"/>
            <w:szCs w:val="22"/>
            <w:lang w:val="es-ES" w:eastAsia="ja-JP"/>
            <w14:ligatures w14:val="none"/>
          </w:rPr>
          <w:t xml:space="preserve"> </w:t>
        </w:r>
      </w:hyperlink>
      <w:r w:rsidRPr="00DD76CF">
        <w:rPr>
          <w:rFonts w:ascii="Calibri" w:eastAsia="Calibri" w:hAnsi="Calibri" w:cs="Calibri"/>
          <w:color w:val="333333"/>
          <w:kern w:val="0"/>
          <w:sz w:val="22"/>
          <w:szCs w:val="22"/>
          <w:lang w:val="es-ES" w:eastAsia="ja-JP"/>
          <w14:ligatures w14:val="none"/>
        </w:rPr>
        <w:t>o</w:t>
      </w:r>
      <w:hyperlink r:id="rId13">
        <w:r w:rsidRPr="00DD76CF">
          <w:rPr>
            <w:rFonts w:ascii="Calibri" w:eastAsia="Calibri" w:hAnsi="Calibri" w:cs="Calibri"/>
            <w:color w:val="000000"/>
            <w:kern w:val="0"/>
            <w:sz w:val="22"/>
            <w:szCs w:val="22"/>
            <w:lang w:val="es-ES" w:eastAsia="ja-JP"/>
            <w14:ligatures w14:val="none"/>
          </w:rPr>
          <w:t xml:space="preserve"> </w:t>
        </w:r>
      </w:hyperlink>
      <w:hyperlink r:id="rId14" w:history="1">
        <w:r>
          <w:rPr>
            <w:rFonts w:ascii="Calibri" w:eastAsia="Calibri" w:hAnsi="Calibri" w:cs="Calibri"/>
            <w:color w:val="0563C1"/>
            <w:kern w:val="0"/>
            <w:sz w:val="22"/>
            <w:szCs w:val="22"/>
            <w:u w:val="single"/>
            <w:lang w:val="es-ES" w:eastAsia="ja-JP"/>
            <w14:ligatures w14:val="none"/>
          </w:rPr>
          <w:t>transferencias donde no se reembolsan saldos no utilizados</w:t>
        </w:r>
      </w:hyperlink>
      <w:r>
        <w:rPr>
          <w:rFonts w:ascii="Calibri" w:eastAsia="Calibri" w:hAnsi="Calibri" w:cs="Calibri"/>
          <w:color w:val="333333"/>
          <w:kern w:val="0"/>
          <w:sz w:val="22"/>
          <w:szCs w:val="22"/>
          <w:lang w:val="es-ES" w:eastAsia="ja-JP"/>
          <w14:ligatures w14:val="none"/>
        </w:rPr>
        <w:t xml:space="preserve"> </w:t>
      </w:r>
      <w:r w:rsidRPr="00DD76CF">
        <w:rPr>
          <w:rFonts w:ascii="Calibri" w:eastAsia="Calibri" w:hAnsi="Calibri" w:cs="Calibri"/>
          <w:color w:val="333333"/>
          <w:kern w:val="0"/>
          <w:sz w:val="22"/>
          <w:szCs w:val="22"/>
          <w:lang w:val="es-ES" w:eastAsia="ja-JP"/>
          <w14:ligatures w14:val="none"/>
        </w:rPr>
        <w:t xml:space="preserve">(en inglés).  </w:t>
      </w:r>
    </w:p>
    <w:p w14:paraId="71BF3E89" w14:textId="77777777" w:rsidR="00DD76CF" w:rsidRPr="00DD76CF" w:rsidRDefault="00DD76CF" w:rsidP="00DD76CF">
      <w:pPr>
        <w:spacing w:after="0" w:line="259" w:lineRule="auto"/>
        <w:rPr>
          <w:rFonts w:ascii="Calibri" w:eastAsia="Calibri" w:hAnsi="Calibri" w:cs="Calibri"/>
          <w:color w:val="333333"/>
          <w:kern w:val="0"/>
          <w:sz w:val="22"/>
          <w:szCs w:val="22"/>
          <w:lang w:val="es-ES" w:eastAsia="ja-JP"/>
          <w14:ligatures w14:val="none"/>
        </w:rPr>
      </w:pPr>
      <w:r w:rsidRPr="00DD76CF">
        <w:rPr>
          <w:rFonts w:ascii="Calibri" w:eastAsia="Calibri" w:hAnsi="Calibri" w:cs="Calibri"/>
          <w:color w:val="333333"/>
          <w:kern w:val="0"/>
          <w:sz w:val="22"/>
          <w:szCs w:val="22"/>
          <w:lang w:val="es-ES" w:eastAsia="ja-JP"/>
          <w14:ligatures w14:val="none"/>
        </w:rPr>
        <w:t xml:space="preserve">  </w:t>
      </w:r>
    </w:p>
    <w:p w14:paraId="50CF05F4" w14:textId="77777777" w:rsidR="00DD76CF" w:rsidRPr="00DD76CF" w:rsidRDefault="00DD76CF" w:rsidP="00DD76CF">
      <w:pPr>
        <w:numPr>
          <w:ilvl w:val="0"/>
          <w:numId w:val="1"/>
        </w:numPr>
        <w:spacing w:after="5" w:line="249" w:lineRule="auto"/>
        <w:ind w:right="2" w:hanging="36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Cuando el saldo de costos compartidos para el proyecto es cero, el proyecto debe ser designado formalmente como «cerrado financieramente» en Quantum. </w:t>
      </w:r>
    </w:p>
    <w:p w14:paraId="312448F8" w14:textId="77777777" w:rsidR="00DD76CF" w:rsidRPr="00DD76CF" w:rsidRDefault="00DD76CF" w:rsidP="00DD76CF">
      <w:pPr>
        <w:spacing w:after="0" w:line="259" w:lineRule="auto"/>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 </w:t>
      </w:r>
    </w:p>
    <w:p w14:paraId="58101813" w14:textId="3B701081" w:rsidR="00DD76CF" w:rsidRPr="00DD76CF" w:rsidRDefault="00DD76CF" w:rsidP="00DD76CF">
      <w:pPr>
        <w:numPr>
          <w:ilvl w:val="0"/>
          <w:numId w:val="1"/>
        </w:numPr>
        <w:spacing w:after="5" w:line="249" w:lineRule="auto"/>
        <w:ind w:right="2" w:hanging="360"/>
        <w:jc w:val="both"/>
        <w:rPr>
          <w:rFonts w:ascii="Calibri" w:eastAsia="Calibri" w:hAnsi="Calibri" w:cs="Calibri"/>
          <w:color w:val="333333"/>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Haga clic en este </w:t>
      </w:r>
      <w:hyperlink r:id="rId15" w:history="1">
        <w:r w:rsidRPr="00DD76CF">
          <w:rPr>
            <w:rFonts w:ascii="Calibri" w:eastAsia="Calibri" w:hAnsi="Calibri" w:cs="Calibri"/>
            <w:color w:val="0563C1"/>
            <w:kern w:val="0"/>
            <w:sz w:val="22"/>
            <w:szCs w:val="22"/>
            <w:u w:val="single"/>
            <w:lang w:val="es-ES" w:eastAsia="ja-JP"/>
            <w14:ligatures w14:val="none"/>
          </w:rPr>
          <w:t>enlace</w:t>
        </w:r>
      </w:hyperlink>
      <w:r w:rsidRPr="00DD76CF">
        <w:rPr>
          <w:rFonts w:ascii="Calibri" w:eastAsia="Calibri" w:hAnsi="Calibri" w:cs="Calibri"/>
          <w:color w:val="333333"/>
          <w:kern w:val="0"/>
          <w:sz w:val="22"/>
          <w:szCs w:val="22"/>
          <w:lang w:val="es-ES" w:eastAsia="ja-JP"/>
          <w14:ligatures w14:val="none"/>
        </w:rPr>
        <w:t xml:space="preserve"> </w:t>
      </w:r>
      <w:r w:rsidRPr="00DD76CF">
        <w:rPr>
          <w:rFonts w:ascii="Calibri" w:eastAsia="Calibri" w:hAnsi="Calibri" w:cs="Calibri"/>
          <w:kern w:val="0"/>
          <w:sz w:val="22"/>
          <w:szCs w:val="22"/>
          <w:lang w:val="es-ES" w:eastAsia="ja-JP"/>
          <w14:ligatures w14:val="none"/>
        </w:rPr>
        <w:t xml:space="preserve">para consultar las instrucciones específicas de la Oficina del Fondo Fiduciario de Asociados Múltiples (MPTFO, </w:t>
      </w:r>
      <w:r w:rsidRPr="00DD76CF">
        <w:rPr>
          <w:rFonts w:ascii="Calibri" w:eastAsia="Calibri" w:hAnsi="Calibri" w:cs="Calibri"/>
          <w:i/>
          <w:iCs/>
          <w:kern w:val="0"/>
          <w:sz w:val="22"/>
          <w:szCs w:val="22"/>
          <w:lang w:val="es-ES" w:eastAsia="ja-JP"/>
          <w14:ligatures w14:val="none"/>
        </w:rPr>
        <w:t xml:space="preserve">Multi-Partner Trust Fund Office </w:t>
      </w:r>
      <w:proofErr w:type="spellStart"/>
      <w:r w:rsidRPr="00DD76CF">
        <w:rPr>
          <w:rFonts w:ascii="Calibri" w:eastAsia="Calibri" w:hAnsi="Calibri" w:cs="Calibri"/>
          <w:i/>
          <w:iCs/>
          <w:kern w:val="0"/>
          <w:sz w:val="22"/>
          <w:szCs w:val="22"/>
          <w:lang w:val="es-ES" w:eastAsia="ja-JP"/>
          <w14:ligatures w14:val="none"/>
        </w:rPr>
        <w:t>Partners</w:t>
      </w:r>
      <w:proofErr w:type="spellEnd"/>
      <w:r w:rsidRPr="00DD76CF">
        <w:rPr>
          <w:rFonts w:ascii="Calibri" w:eastAsia="Calibri" w:hAnsi="Calibri" w:cs="Calibri"/>
          <w:kern w:val="0"/>
          <w:sz w:val="22"/>
          <w:szCs w:val="22"/>
          <w:lang w:val="es-ES" w:eastAsia="ja-JP"/>
          <w14:ligatures w14:val="none"/>
        </w:rPr>
        <w:t xml:space="preserve">, por sus siglas en inglés).  Las directrices de funcionamiento de los proyectos del MPTF se pueden encontrar en este </w:t>
      </w:r>
      <w:hyperlink r:id="rId16" w:history="1">
        <w:r w:rsidRPr="00DD76CF">
          <w:rPr>
            <w:rFonts w:ascii="Calibri" w:eastAsia="Calibri" w:hAnsi="Calibri" w:cs="Calibri"/>
            <w:color w:val="0563C1"/>
            <w:kern w:val="0"/>
            <w:sz w:val="22"/>
            <w:szCs w:val="22"/>
            <w:u w:val="single"/>
            <w:lang w:val="es-ES" w:eastAsia="ja-JP"/>
            <w14:ligatures w14:val="none"/>
          </w:rPr>
          <w:t>enlace</w:t>
        </w:r>
      </w:hyperlink>
      <w:r>
        <w:rPr>
          <w:rFonts w:ascii="Calibri" w:eastAsia="Calibri" w:hAnsi="Calibri" w:cs="Calibri"/>
          <w:color w:val="333333"/>
          <w:kern w:val="0"/>
          <w:sz w:val="22"/>
          <w:szCs w:val="22"/>
          <w:lang w:val="es-ES" w:eastAsia="ja-JP"/>
          <w14:ligatures w14:val="none"/>
        </w:rPr>
        <w:t xml:space="preserve"> </w:t>
      </w:r>
      <w:r w:rsidRPr="00DD76CF">
        <w:rPr>
          <w:rFonts w:ascii="Calibri" w:eastAsia="Calibri" w:hAnsi="Calibri" w:cs="Calibri"/>
          <w:color w:val="333333"/>
          <w:kern w:val="0"/>
          <w:sz w:val="22"/>
          <w:szCs w:val="22"/>
          <w:lang w:val="es-ES" w:eastAsia="ja-JP"/>
          <w14:ligatures w14:val="none"/>
        </w:rPr>
        <w:t xml:space="preserve">(en inglés).  </w:t>
      </w:r>
    </w:p>
    <w:p w14:paraId="7C7883C4" w14:textId="77777777" w:rsidR="00DD76CF" w:rsidRPr="00DD76CF" w:rsidRDefault="00DD76CF" w:rsidP="00DD76CF">
      <w:pPr>
        <w:spacing w:after="0" w:line="259" w:lineRule="auto"/>
        <w:rPr>
          <w:rFonts w:ascii="Calibri" w:eastAsia="Calibri" w:hAnsi="Calibri" w:cs="Calibri"/>
          <w:color w:val="333333"/>
          <w:kern w:val="0"/>
          <w:sz w:val="22"/>
          <w:szCs w:val="22"/>
          <w:lang w:val="es-ES" w:eastAsia="ja-JP"/>
          <w14:ligatures w14:val="none"/>
        </w:rPr>
      </w:pPr>
      <w:r w:rsidRPr="00DD76CF">
        <w:rPr>
          <w:rFonts w:ascii="Calibri" w:eastAsia="Calibri" w:hAnsi="Calibri" w:cs="Calibri"/>
          <w:color w:val="333333"/>
          <w:kern w:val="0"/>
          <w:sz w:val="22"/>
          <w:szCs w:val="22"/>
          <w:lang w:val="es-ES" w:eastAsia="ja-JP"/>
          <w14:ligatures w14:val="none"/>
        </w:rPr>
        <w:t xml:space="preserve"> </w:t>
      </w:r>
      <w:r w:rsidRPr="00DD76CF">
        <w:rPr>
          <w:rFonts w:ascii="Calibri" w:eastAsia="Calibri" w:hAnsi="Calibri" w:cs="Calibri"/>
          <w:color w:val="333333"/>
          <w:kern w:val="0"/>
          <w:sz w:val="22"/>
          <w:szCs w:val="22"/>
          <w:lang w:val="es-ES" w:eastAsia="ja-JP"/>
          <w14:ligatures w14:val="none"/>
        </w:rPr>
        <w:tab/>
        <w:t xml:space="preserve"> </w:t>
      </w:r>
    </w:p>
    <w:p w14:paraId="3663E180" w14:textId="77777777" w:rsidR="00DD76CF" w:rsidRPr="00DD76CF" w:rsidRDefault="00DD76CF" w:rsidP="00DD76CF">
      <w:pPr>
        <w:spacing w:after="0" w:line="259" w:lineRule="auto"/>
        <w:ind w:left="-5" w:hanging="10"/>
        <w:rPr>
          <w:rFonts w:ascii="Calibri" w:eastAsia="Calibri" w:hAnsi="Calibri" w:cs="Calibri"/>
          <w:kern w:val="0"/>
          <w:sz w:val="22"/>
          <w:szCs w:val="22"/>
          <w:lang w:val="es-ES" w:eastAsia="ja-JP"/>
          <w14:ligatures w14:val="none"/>
        </w:rPr>
      </w:pPr>
      <w:r w:rsidRPr="00DD76CF">
        <w:rPr>
          <w:rFonts w:ascii="Calibri" w:eastAsia="Calibri" w:hAnsi="Calibri" w:cs="Calibri"/>
          <w:b/>
          <w:kern w:val="0"/>
          <w:sz w:val="22"/>
          <w:szCs w:val="22"/>
          <w:lang w:val="es-ES" w:eastAsia="ja-JP"/>
          <w14:ligatures w14:val="none"/>
        </w:rPr>
        <w:t>Para revertir el cierre financiero del proyecto en Quantum</w:t>
      </w:r>
      <w:r w:rsidRPr="00DD76CF">
        <w:rPr>
          <w:rFonts w:ascii="Calibri" w:eastAsia="Calibri" w:hAnsi="Calibri" w:cs="Calibri"/>
          <w:kern w:val="0"/>
          <w:sz w:val="22"/>
          <w:szCs w:val="22"/>
          <w:lang w:val="es-ES" w:eastAsia="ja-JP"/>
          <w14:ligatures w14:val="none"/>
        </w:rPr>
        <w:t xml:space="preserve"> </w:t>
      </w:r>
    </w:p>
    <w:p w14:paraId="30CEC989" w14:textId="77777777" w:rsidR="00DD76CF" w:rsidRPr="00DD76CF" w:rsidRDefault="00DD76CF" w:rsidP="00DD76CF">
      <w:pPr>
        <w:spacing w:after="0" w:line="259" w:lineRule="auto"/>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  </w:t>
      </w:r>
    </w:p>
    <w:p w14:paraId="0816650A" w14:textId="77777777" w:rsidR="00DD76CF" w:rsidRPr="00DD76CF" w:rsidRDefault="00DD76CF" w:rsidP="00DD76CF">
      <w:pPr>
        <w:numPr>
          <w:ilvl w:val="0"/>
          <w:numId w:val="1"/>
        </w:numPr>
        <w:spacing w:after="5" w:line="249" w:lineRule="auto"/>
        <w:ind w:right="2" w:hanging="36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Las solicitudes para revertir el estado de un proyecto cerrado financieramente en Atlas deben dirigirse al </w:t>
      </w:r>
      <w:hyperlink r:id="rId17" w:history="1">
        <w:proofErr w:type="spellStart"/>
        <w:r w:rsidRPr="00DD76CF">
          <w:rPr>
            <w:rFonts w:ascii="Calibri" w:eastAsia="Calibri" w:hAnsi="Calibri" w:cs="Calibri"/>
            <w:color w:val="0563C1"/>
            <w:kern w:val="0"/>
            <w:sz w:val="22"/>
            <w:szCs w:val="22"/>
            <w:u w:val="single"/>
            <w:shd w:val="clear" w:color="auto" w:fill="FFFFFF"/>
            <w:lang w:val="es-ES" w:eastAsia="ja-JP"/>
            <w14:ligatures w14:val="none"/>
          </w:rPr>
          <w:t>UNAll</w:t>
        </w:r>
        <w:proofErr w:type="spellEnd"/>
      </w:hyperlink>
      <w:r w:rsidRPr="00DD76CF">
        <w:rPr>
          <w:rFonts w:ascii="Calibri" w:eastAsia="Calibri" w:hAnsi="Calibri" w:cs="Calibri"/>
          <w:color w:val="333333"/>
          <w:kern w:val="0"/>
          <w:sz w:val="22"/>
          <w:szCs w:val="22"/>
          <w:lang w:val="es-ES" w:eastAsia="ja-JP"/>
          <w14:ligatures w14:val="none"/>
        </w:rPr>
        <w:t xml:space="preserve">. Para el soporte de TI a través de </w:t>
      </w:r>
      <w:proofErr w:type="spellStart"/>
      <w:r w:rsidRPr="00DD76CF">
        <w:rPr>
          <w:rFonts w:ascii="Calibri" w:eastAsia="Calibri" w:hAnsi="Calibri" w:cs="Calibri"/>
          <w:color w:val="333333"/>
          <w:kern w:val="0"/>
          <w:sz w:val="22"/>
          <w:szCs w:val="22"/>
          <w:lang w:val="es-ES" w:eastAsia="ja-JP"/>
          <w14:ligatures w14:val="none"/>
        </w:rPr>
        <w:t>UNAll</w:t>
      </w:r>
      <w:proofErr w:type="spellEnd"/>
      <w:r w:rsidRPr="00DD76CF">
        <w:rPr>
          <w:rFonts w:ascii="Calibri" w:eastAsia="Calibri" w:hAnsi="Calibri" w:cs="Calibri"/>
          <w:color w:val="333333"/>
          <w:kern w:val="0"/>
          <w:sz w:val="22"/>
          <w:szCs w:val="22"/>
          <w:lang w:val="es-ES" w:eastAsia="ja-JP"/>
          <w14:ligatures w14:val="none"/>
        </w:rPr>
        <w:t>, por favor utilice el servicio "</w:t>
      </w:r>
      <w:hyperlink r:id="rId18" w:history="1">
        <w:r w:rsidRPr="00DD76CF">
          <w:rPr>
            <w:rFonts w:ascii="Calibri" w:eastAsia="Calibri" w:hAnsi="Calibri" w:cs="Calibri"/>
            <w:color w:val="0563C1"/>
            <w:kern w:val="0"/>
            <w:sz w:val="22"/>
            <w:szCs w:val="22"/>
            <w:u w:val="single"/>
            <w:lang w:val="es-ES" w:eastAsia="ja-JP"/>
            <w14:ligatures w14:val="none"/>
          </w:rPr>
          <w:t>Crear Incidente</w:t>
        </w:r>
      </w:hyperlink>
      <w:r w:rsidRPr="00DD76CF">
        <w:rPr>
          <w:rFonts w:ascii="Calibri" w:eastAsia="Calibri" w:hAnsi="Calibri" w:cs="Calibri"/>
          <w:color w:val="333333"/>
          <w:kern w:val="0"/>
          <w:sz w:val="22"/>
          <w:szCs w:val="22"/>
          <w:lang w:val="es-ES" w:eastAsia="ja-JP"/>
          <w14:ligatures w14:val="none"/>
        </w:rPr>
        <w:t>" (“</w:t>
      </w:r>
      <w:proofErr w:type="spellStart"/>
      <w:r w:rsidRPr="00DD76CF">
        <w:rPr>
          <w:rFonts w:ascii="Calibri" w:eastAsia="Calibri" w:hAnsi="Calibri" w:cs="Calibri"/>
          <w:color w:val="333333"/>
          <w:kern w:val="0"/>
          <w:sz w:val="22"/>
          <w:szCs w:val="22"/>
          <w:lang w:val="es-ES" w:eastAsia="ja-JP"/>
          <w14:ligatures w14:val="none"/>
        </w:rPr>
        <w:t>Create</w:t>
      </w:r>
      <w:proofErr w:type="spellEnd"/>
      <w:r w:rsidRPr="00DD76CF">
        <w:rPr>
          <w:rFonts w:ascii="Calibri" w:eastAsia="Calibri" w:hAnsi="Calibri" w:cs="Calibri"/>
          <w:color w:val="333333"/>
          <w:kern w:val="0"/>
          <w:sz w:val="22"/>
          <w:szCs w:val="22"/>
          <w:lang w:val="es-ES" w:eastAsia="ja-JP"/>
          <w14:ligatures w14:val="none"/>
        </w:rPr>
        <w:t xml:space="preserve"> </w:t>
      </w:r>
      <w:proofErr w:type="spellStart"/>
      <w:r w:rsidRPr="00DD76CF">
        <w:rPr>
          <w:rFonts w:ascii="Calibri" w:eastAsia="Calibri" w:hAnsi="Calibri" w:cs="Calibri"/>
          <w:color w:val="333333"/>
          <w:kern w:val="0"/>
          <w:sz w:val="22"/>
          <w:szCs w:val="22"/>
          <w:lang w:val="es-ES" w:eastAsia="ja-JP"/>
          <w14:ligatures w14:val="none"/>
        </w:rPr>
        <w:t>Incident</w:t>
      </w:r>
      <w:proofErr w:type="spellEnd"/>
      <w:r w:rsidRPr="00DD76CF">
        <w:rPr>
          <w:rFonts w:ascii="Calibri" w:eastAsia="Calibri" w:hAnsi="Calibri" w:cs="Calibri"/>
          <w:color w:val="333333"/>
          <w:kern w:val="0"/>
          <w:sz w:val="22"/>
          <w:szCs w:val="22"/>
          <w:lang w:val="es-ES" w:eastAsia="ja-JP"/>
          <w14:ligatures w14:val="none"/>
        </w:rPr>
        <w:t xml:space="preserve">”, en inglés) en </w:t>
      </w:r>
      <w:hyperlink r:id="rId19" w:history="1">
        <w:r w:rsidRPr="00DD76CF">
          <w:rPr>
            <w:rFonts w:ascii="Calibri" w:eastAsia="Calibri" w:hAnsi="Calibri" w:cs="Calibri"/>
            <w:color w:val="0563C1"/>
            <w:kern w:val="0"/>
            <w:sz w:val="22"/>
            <w:szCs w:val="22"/>
            <w:u w:val="single"/>
            <w:lang w:val="es-ES" w:eastAsia="ja-JP"/>
            <w14:ligatures w14:val="none"/>
          </w:rPr>
          <w:t xml:space="preserve">el portal de gestión de servicios </w:t>
        </w:r>
        <w:proofErr w:type="spellStart"/>
        <w:r w:rsidRPr="00DD76CF">
          <w:rPr>
            <w:rFonts w:ascii="Calibri" w:eastAsia="Calibri" w:hAnsi="Calibri" w:cs="Calibri"/>
            <w:color w:val="0563C1"/>
            <w:kern w:val="0"/>
            <w:sz w:val="22"/>
            <w:szCs w:val="22"/>
            <w:u w:val="single"/>
            <w:lang w:val="es-ES" w:eastAsia="ja-JP"/>
            <w14:ligatures w14:val="none"/>
          </w:rPr>
          <w:t>UNall</w:t>
        </w:r>
        <w:proofErr w:type="spellEnd"/>
      </w:hyperlink>
      <w:r w:rsidRPr="00DD76CF">
        <w:rPr>
          <w:rFonts w:ascii="Calibri" w:eastAsia="Calibri" w:hAnsi="Calibri" w:cs="Calibri"/>
          <w:color w:val="333333"/>
          <w:kern w:val="0"/>
          <w:sz w:val="22"/>
          <w:szCs w:val="22"/>
          <w:lang w:val="es-ES" w:eastAsia="ja-JP"/>
          <w14:ligatures w14:val="none"/>
        </w:rPr>
        <w:t xml:space="preserve">. </w:t>
      </w:r>
      <w:r w:rsidRPr="00DD76CF">
        <w:rPr>
          <w:rFonts w:ascii="Calibri" w:eastAsia="Calibri" w:hAnsi="Calibri" w:cs="Calibri"/>
          <w:kern w:val="0"/>
          <w:sz w:val="22"/>
          <w:szCs w:val="22"/>
          <w:lang w:val="es-ES" w:eastAsia="ja-JP"/>
          <w14:ligatures w14:val="none"/>
        </w:rPr>
        <w:t xml:space="preserve">La oficina deberá proporcionar una explicación de por qué el proyecto se cerró prematuramente y por qué se debe revertir el estado del proyecto.  </w:t>
      </w:r>
    </w:p>
    <w:p w14:paraId="5E2EE30F" w14:textId="77777777" w:rsidR="00DD76CF" w:rsidRPr="00DD76CF" w:rsidRDefault="00DD76CF" w:rsidP="00DD76CF">
      <w:pPr>
        <w:spacing w:after="0" w:line="259" w:lineRule="auto"/>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  </w:t>
      </w:r>
    </w:p>
    <w:p w14:paraId="47C999A7" w14:textId="2C71B939" w:rsidR="00DD76CF" w:rsidRPr="00DD76CF" w:rsidRDefault="00DD76CF" w:rsidP="00DD76CF">
      <w:pPr>
        <w:numPr>
          <w:ilvl w:val="0"/>
          <w:numId w:val="1"/>
        </w:numPr>
        <w:spacing w:after="5" w:line="249" w:lineRule="auto"/>
        <w:ind w:right="2" w:hanging="360"/>
        <w:jc w:val="both"/>
        <w:rPr>
          <w:rFonts w:ascii="Calibri" w:eastAsia="Calibri" w:hAnsi="Calibri" w:cs="Calibri"/>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Si ya se informó al donante, no se debe aprobar su reapertura a menos que el </w:t>
      </w:r>
      <w:proofErr w:type="gramStart"/>
      <w:r w:rsidRPr="00DD76CF">
        <w:rPr>
          <w:rFonts w:ascii="Calibri" w:eastAsia="Calibri" w:hAnsi="Calibri" w:cs="Calibri"/>
          <w:kern w:val="0"/>
          <w:sz w:val="22"/>
          <w:szCs w:val="22"/>
          <w:lang w:val="es-ES" w:eastAsia="ja-JP"/>
          <w14:ligatures w14:val="none"/>
        </w:rPr>
        <w:t>Jefe</w:t>
      </w:r>
      <w:proofErr w:type="gramEnd"/>
      <w:r w:rsidRPr="00DD76CF">
        <w:rPr>
          <w:rFonts w:ascii="Calibri" w:eastAsia="Calibri" w:hAnsi="Calibri" w:cs="Calibri"/>
          <w:kern w:val="0"/>
          <w:sz w:val="22"/>
          <w:szCs w:val="22"/>
          <w:lang w:val="es-ES" w:eastAsia="ja-JP"/>
          <w14:ligatures w14:val="none"/>
        </w:rPr>
        <w:t xml:space="preserve"> de la División de Cuentas</w:t>
      </w:r>
      <w:r>
        <w:rPr>
          <w:rFonts w:ascii="Calibri" w:eastAsia="Calibri" w:hAnsi="Calibri" w:cs="Calibri"/>
          <w:kern w:val="0"/>
          <w:sz w:val="22"/>
          <w:szCs w:val="22"/>
          <w:lang w:val="es-ES" w:eastAsia="ja-JP"/>
          <w14:ligatures w14:val="none"/>
        </w:rPr>
        <w:t xml:space="preserve"> </w:t>
      </w:r>
      <w:r w:rsidRPr="00DD76CF">
        <w:rPr>
          <w:rFonts w:ascii="Calibri" w:eastAsia="Calibri" w:hAnsi="Calibri" w:cs="Calibri"/>
          <w:kern w:val="0"/>
          <w:sz w:val="22"/>
          <w:szCs w:val="22"/>
          <w:lang w:val="es-ES" w:eastAsia="ja-JP"/>
          <w14:ligatures w14:val="none"/>
        </w:rPr>
        <w:t>decida</w:t>
      </w:r>
      <w:r>
        <w:rPr>
          <w:rFonts w:ascii="Calibri" w:eastAsia="Calibri" w:hAnsi="Calibri" w:cs="Calibri"/>
          <w:kern w:val="0"/>
          <w:sz w:val="22"/>
          <w:szCs w:val="22"/>
          <w:lang w:val="es-ES" w:eastAsia="ja-JP"/>
          <w14:ligatures w14:val="none"/>
        </w:rPr>
        <w:t xml:space="preserve"> </w:t>
      </w:r>
      <w:r w:rsidRPr="00DD76CF">
        <w:rPr>
          <w:rFonts w:ascii="Calibri" w:eastAsia="Calibri" w:hAnsi="Calibri" w:cs="Calibri"/>
          <w:kern w:val="0"/>
          <w:sz w:val="22"/>
          <w:szCs w:val="22"/>
          <w:lang w:val="es-ES" w:eastAsia="ja-JP"/>
          <w14:ligatures w14:val="none"/>
        </w:rPr>
        <w:t>que el proyecto debe reabrirse dado que el ajuste es lo</w:t>
      </w:r>
      <w:r w:rsidRPr="00DD76CF">
        <w:rPr>
          <w:rFonts w:ascii="Calibri" w:eastAsia="Calibri" w:hAnsi="Calibri" w:cs="Calibri"/>
          <w:kern w:val="0"/>
          <w:sz w:val="22"/>
          <w:szCs w:val="22"/>
          <w:lang w:val="es-ES" w:eastAsia="ja-JP"/>
          <w14:ligatures w14:val="none"/>
        </w:rPr>
        <w:br/>
        <w:t>suficientemente significativo.</w:t>
      </w:r>
      <w:r>
        <w:rPr>
          <w:rFonts w:ascii="Calibri" w:eastAsia="Calibri" w:hAnsi="Calibri" w:cs="Calibri"/>
          <w:kern w:val="0"/>
          <w:sz w:val="22"/>
          <w:szCs w:val="22"/>
          <w:lang w:val="es-ES" w:eastAsia="ja-JP"/>
          <w14:ligatures w14:val="none"/>
        </w:rPr>
        <w:t xml:space="preserve"> </w:t>
      </w:r>
    </w:p>
    <w:p w14:paraId="1C188864" w14:textId="77777777" w:rsidR="00DD76CF" w:rsidRPr="00DD76CF" w:rsidRDefault="00DD76CF" w:rsidP="00DD76CF">
      <w:pPr>
        <w:spacing w:after="0" w:line="259" w:lineRule="auto"/>
        <w:rPr>
          <w:rFonts w:ascii="Calibri" w:eastAsia="Calibri" w:hAnsi="Calibri" w:cs="Calibri"/>
          <w:color w:val="333333"/>
          <w:kern w:val="0"/>
          <w:sz w:val="22"/>
          <w:szCs w:val="22"/>
          <w:lang w:val="es-ES" w:eastAsia="ja-JP"/>
          <w14:ligatures w14:val="none"/>
        </w:rPr>
      </w:pPr>
      <w:r w:rsidRPr="00DD76CF">
        <w:rPr>
          <w:rFonts w:ascii="Calibri" w:eastAsia="Calibri" w:hAnsi="Calibri" w:cs="Calibri"/>
          <w:color w:val="333333"/>
          <w:kern w:val="0"/>
          <w:sz w:val="22"/>
          <w:szCs w:val="22"/>
          <w:lang w:val="es-ES" w:eastAsia="ja-JP"/>
          <w14:ligatures w14:val="none"/>
        </w:rPr>
        <w:t xml:space="preserve">  </w:t>
      </w:r>
    </w:p>
    <w:p w14:paraId="74352D4E" w14:textId="0ED55A67" w:rsidR="00DD76CF" w:rsidRPr="00DD76CF" w:rsidRDefault="00DD76CF" w:rsidP="00DD76CF">
      <w:pPr>
        <w:numPr>
          <w:ilvl w:val="0"/>
          <w:numId w:val="1"/>
        </w:numPr>
        <w:spacing w:after="5" w:line="249" w:lineRule="auto"/>
        <w:ind w:right="2" w:hanging="370"/>
        <w:contextualSpacing/>
        <w:jc w:val="both"/>
        <w:rPr>
          <w:rFonts w:ascii="Calibri" w:eastAsia="Calibri" w:hAnsi="Calibri" w:cs="Calibri"/>
          <w:b/>
          <w:bCs/>
          <w:color w:val="333333"/>
          <w:kern w:val="0"/>
          <w:sz w:val="22"/>
          <w:szCs w:val="22"/>
          <w:lang w:val="es-ES" w:eastAsia="ja-JP"/>
          <w14:ligatures w14:val="none"/>
        </w:rPr>
      </w:pPr>
      <w:r w:rsidRPr="00DD76CF">
        <w:rPr>
          <w:rFonts w:ascii="Calibri" w:eastAsia="Calibri" w:hAnsi="Calibri" w:cs="Calibri"/>
          <w:kern w:val="0"/>
          <w:sz w:val="22"/>
          <w:szCs w:val="22"/>
          <w:lang w:val="es-ES" w:eastAsia="ja-JP"/>
          <w14:ligatures w14:val="none"/>
        </w:rPr>
        <w:t xml:space="preserve">Los proyectos cerrados financieramente deben reabrirse solo en circunstancias excepcionales. Como regla general, el proyecto debe volver a abrirse si el estado se modificó en Quantum sin un CDR firmado final y si el cargo pendiente es significativo. Sin embargo, si el CDR final está firmado por todas las partes, confirmando las cuentas y los gastos financieros finales del proyecto, entonces los cargos/créditos adicionales se deben contabilizar en la cuenta de partidas varias (véase la reglamentación financiera 126.10) y no en el proyecto. </w:t>
      </w:r>
      <w:r w:rsidRPr="00DD76CF">
        <w:rPr>
          <w:rFonts w:ascii="Calibri" w:eastAsia="Calibri" w:hAnsi="Calibri" w:cs="Calibri"/>
          <w:color w:val="333333"/>
          <w:kern w:val="0"/>
          <w:sz w:val="22"/>
          <w:szCs w:val="22"/>
          <w:lang w:val="es-ES" w:eastAsia="ja-JP"/>
          <w14:ligatures w14:val="none"/>
        </w:rPr>
        <w:t xml:space="preserve">Cualquier cargo/crédito a la cuenta de partidas varias debe estar debidamente justificado y aprobado por el </w:t>
      </w:r>
      <w:proofErr w:type="gramStart"/>
      <w:r w:rsidRPr="00DD76CF">
        <w:rPr>
          <w:rFonts w:ascii="Calibri" w:eastAsia="Calibri" w:hAnsi="Calibri" w:cs="Calibri"/>
          <w:color w:val="333333"/>
          <w:kern w:val="0"/>
          <w:sz w:val="22"/>
          <w:szCs w:val="22"/>
          <w:lang w:val="es-ES" w:eastAsia="ja-JP"/>
          <w14:ligatures w14:val="none"/>
        </w:rPr>
        <w:t>Jefe</w:t>
      </w:r>
      <w:proofErr w:type="gramEnd"/>
      <w:r w:rsidRPr="00DD76CF">
        <w:rPr>
          <w:rFonts w:ascii="Calibri" w:eastAsia="Calibri" w:hAnsi="Calibri" w:cs="Calibri"/>
          <w:color w:val="333333"/>
          <w:kern w:val="0"/>
          <w:sz w:val="22"/>
          <w:szCs w:val="22"/>
          <w:lang w:val="es-ES" w:eastAsia="ja-JP"/>
          <w14:ligatures w14:val="none"/>
        </w:rPr>
        <w:t xml:space="preserve"> de la División de Cuentas. Las preguntas más frecuentes (FAQ, “</w:t>
      </w:r>
      <w:proofErr w:type="spellStart"/>
      <w:r w:rsidRPr="00DD76CF">
        <w:rPr>
          <w:rFonts w:ascii="Calibri" w:eastAsia="Calibri" w:hAnsi="Calibri" w:cs="Calibri"/>
          <w:color w:val="333333"/>
          <w:kern w:val="0"/>
          <w:sz w:val="22"/>
          <w:szCs w:val="22"/>
          <w:lang w:val="es-ES" w:eastAsia="ja-JP"/>
          <w14:ligatures w14:val="none"/>
        </w:rPr>
        <w:t>Frequently</w:t>
      </w:r>
      <w:proofErr w:type="spellEnd"/>
      <w:r w:rsidRPr="00DD76CF">
        <w:rPr>
          <w:rFonts w:ascii="Calibri" w:eastAsia="Calibri" w:hAnsi="Calibri" w:cs="Calibri"/>
          <w:color w:val="333333"/>
          <w:kern w:val="0"/>
          <w:sz w:val="22"/>
          <w:szCs w:val="22"/>
          <w:lang w:val="es-ES" w:eastAsia="ja-JP"/>
          <w14:ligatures w14:val="none"/>
        </w:rPr>
        <w:t xml:space="preserve"> </w:t>
      </w:r>
      <w:proofErr w:type="spellStart"/>
      <w:r w:rsidRPr="00DD76CF">
        <w:rPr>
          <w:rFonts w:ascii="Calibri" w:eastAsia="Calibri" w:hAnsi="Calibri" w:cs="Calibri"/>
          <w:color w:val="333333"/>
          <w:kern w:val="0"/>
          <w:sz w:val="22"/>
          <w:szCs w:val="22"/>
          <w:lang w:val="es-ES" w:eastAsia="ja-JP"/>
          <w14:ligatures w14:val="none"/>
        </w:rPr>
        <w:t>Asked</w:t>
      </w:r>
      <w:proofErr w:type="spellEnd"/>
      <w:r w:rsidRPr="00DD76CF">
        <w:rPr>
          <w:rFonts w:ascii="Calibri" w:eastAsia="Calibri" w:hAnsi="Calibri" w:cs="Calibri"/>
          <w:color w:val="333333"/>
          <w:kern w:val="0"/>
          <w:sz w:val="22"/>
          <w:szCs w:val="22"/>
          <w:lang w:val="es-ES" w:eastAsia="ja-JP"/>
          <w14:ligatures w14:val="none"/>
        </w:rPr>
        <w:t xml:space="preserve"> Questions”, por sus siglas en inglés) relacionadas con el motivo de la reapertura de los proyectos cerrados financieramente, el importe del saldo correcto y otra información útil se pueden encontrar en </w:t>
      </w:r>
      <w:hyperlink r:id="rId20" w:history="1">
        <w:r w:rsidRPr="00DD76CF">
          <w:rPr>
            <w:rFonts w:ascii="Calibri" w:eastAsia="Calibri" w:hAnsi="Calibri" w:cs="Calibri"/>
            <w:color w:val="0563C1"/>
            <w:kern w:val="0"/>
            <w:sz w:val="22"/>
            <w:szCs w:val="22"/>
            <w:u w:val="single"/>
            <w:lang w:val="es-ES" w:eastAsia="ja-JP"/>
            <w14:ligatures w14:val="none"/>
          </w:rPr>
          <w:t>Cierre del Proyecto SharePoint</w:t>
        </w:r>
      </w:hyperlink>
      <w:r w:rsidRPr="00DD76CF">
        <w:rPr>
          <w:rFonts w:ascii="Calibri" w:eastAsia="Calibri" w:hAnsi="Calibri" w:cs="Calibri"/>
          <w:color w:val="333333"/>
          <w:kern w:val="0"/>
          <w:sz w:val="22"/>
          <w:szCs w:val="22"/>
          <w:lang w:val="es-ES" w:eastAsia="ja-JP"/>
          <w14:ligatures w14:val="none"/>
        </w:rPr>
        <w:t>.</w:t>
      </w:r>
    </w:p>
    <w:p w14:paraId="37180664" w14:textId="77777777" w:rsidR="00DD76CF" w:rsidRPr="00DD76CF" w:rsidRDefault="00DD76CF" w:rsidP="00DD76CF">
      <w:pPr>
        <w:spacing w:after="5" w:line="249" w:lineRule="auto"/>
        <w:ind w:left="705"/>
        <w:jc w:val="both"/>
        <w:rPr>
          <w:rFonts w:ascii="Calibri" w:eastAsia="Calibri" w:hAnsi="Calibri" w:cs="Calibri"/>
          <w:color w:val="333333"/>
          <w:kern w:val="0"/>
          <w:sz w:val="22"/>
          <w:szCs w:val="22"/>
          <w:lang w:val="es-ES" w:eastAsia="ja-JP"/>
          <w14:ligatures w14:val="none"/>
        </w:rPr>
      </w:pPr>
    </w:p>
    <w:p w14:paraId="2FBA0A50" w14:textId="77777777" w:rsidR="00DD76CF" w:rsidRPr="00DD76CF" w:rsidRDefault="00DD76CF" w:rsidP="00DD76CF">
      <w:pPr>
        <w:numPr>
          <w:ilvl w:val="0"/>
          <w:numId w:val="1"/>
        </w:numPr>
        <w:spacing w:after="5" w:line="249" w:lineRule="auto"/>
        <w:ind w:right="2" w:hanging="370"/>
        <w:contextualSpacing/>
        <w:jc w:val="both"/>
        <w:rPr>
          <w:rFonts w:ascii="Calibri" w:eastAsia="Calibri" w:hAnsi="Calibri" w:cs="Calibri"/>
          <w:color w:val="333333"/>
          <w:kern w:val="0"/>
          <w:sz w:val="22"/>
          <w:szCs w:val="22"/>
          <w:lang w:val="es-ES" w:eastAsia="ja-JP"/>
          <w14:ligatures w14:val="none"/>
        </w:rPr>
      </w:pPr>
      <w:r w:rsidRPr="00DD76CF">
        <w:rPr>
          <w:rFonts w:ascii="Calibri" w:eastAsia="Calibri" w:hAnsi="Calibri" w:cs="Calibri"/>
          <w:color w:val="333333"/>
          <w:kern w:val="0"/>
          <w:sz w:val="22"/>
          <w:szCs w:val="22"/>
          <w:lang w:val="es-ES" w:eastAsia="ja-JP"/>
          <w14:ligatures w14:val="none"/>
        </w:rPr>
        <w:t xml:space="preserve">La responsabilidad general del cierre del proyecto es del Gerente del Proyecto. </w:t>
      </w:r>
    </w:p>
    <w:p w14:paraId="0F2A6CB1" w14:textId="77777777" w:rsidR="00DD76CF" w:rsidRPr="00DD76CF" w:rsidRDefault="00DD76CF" w:rsidP="00DD76CF">
      <w:pPr>
        <w:shd w:val="clear" w:color="auto" w:fill="FFFFFF"/>
        <w:spacing w:after="0" w:line="259" w:lineRule="auto"/>
        <w:rPr>
          <w:rFonts w:ascii="Calibri" w:eastAsia="Times New Roman" w:hAnsi="Calibri" w:cs="Times New Roman"/>
          <w:color w:val="201F1E"/>
          <w:kern w:val="0"/>
          <w:sz w:val="23"/>
          <w:szCs w:val="23"/>
          <w:lang w:val="es-ES" w:eastAsia="ja-JP"/>
          <w14:ligatures w14:val="none"/>
        </w:rPr>
      </w:pPr>
    </w:p>
    <w:p w14:paraId="69987CAB" w14:textId="77777777" w:rsidR="00DD76CF" w:rsidRDefault="00DD76CF" w:rsidP="00DD76CF">
      <w:pPr>
        <w:shd w:val="clear" w:color="auto" w:fill="FFFFFF"/>
        <w:spacing w:after="0" w:line="259" w:lineRule="auto"/>
        <w:jc w:val="center"/>
        <w:rPr>
          <w:rFonts w:ascii="Calibri" w:eastAsia="Calibri" w:hAnsi="Calibri" w:cs="Calibri"/>
          <w:color w:val="262626"/>
          <w:kern w:val="0"/>
          <w:sz w:val="22"/>
          <w:szCs w:val="22"/>
          <w:lang w:val="es-ES" w:eastAsia="ja-JP"/>
          <w14:ligatures w14:val="none"/>
        </w:rPr>
      </w:pPr>
    </w:p>
    <w:p w14:paraId="7F7EEE76" w14:textId="77777777" w:rsidR="00DD76CF" w:rsidRPr="00DD76CF" w:rsidRDefault="00DD76CF" w:rsidP="00DD76CF">
      <w:pPr>
        <w:jc w:val="center"/>
        <w:rPr>
          <w:rFonts w:ascii="Calibri" w:eastAsia="Calibri" w:hAnsi="Calibri" w:cs="Calibri"/>
          <w:sz w:val="22"/>
          <w:szCs w:val="22"/>
          <w:lang w:val="es-ES" w:eastAsia="ja-JP"/>
        </w:rPr>
      </w:pPr>
    </w:p>
    <w:p w14:paraId="19F39912" w14:textId="77777777" w:rsidR="00DD76CF" w:rsidRPr="00DD76CF" w:rsidRDefault="00DD76CF" w:rsidP="00DD76CF">
      <w:pPr>
        <w:shd w:val="clear" w:color="auto" w:fill="FFFFFF"/>
        <w:spacing w:after="0" w:line="259" w:lineRule="auto"/>
        <w:rPr>
          <w:rFonts w:ascii="Calibri" w:eastAsia="Times New Roman" w:hAnsi="Calibri" w:cs="Times New Roman"/>
          <w:color w:val="262626"/>
          <w:kern w:val="0"/>
          <w:sz w:val="22"/>
          <w:szCs w:val="22"/>
          <w:lang w:eastAsia="ja-JP"/>
          <w14:ligatures w14:val="none"/>
        </w:rPr>
      </w:pPr>
      <w:r w:rsidRPr="00DD76CF">
        <w:rPr>
          <w:rFonts w:ascii="Calibri" w:eastAsia="Calibri" w:hAnsi="Calibri" w:cs="Calibri"/>
          <w:b/>
          <w:bCs/>
          <w:i/>
          <w:iCs/>
          <w:color w:val="262626"/>
          <w:kern w:val="0"/>
          <w:sz w:val="22"/>
          <w:szCs w:val="22"/>
          <w:bdr w:val="none" w:sz="0" w:space="0" w:color="auto" w:frame="1"/>
          <w:lang w:eastAsia="ja-JP"/>
          <w14:ligatures w14:val="none"/>
        </w:rPr>
        <w:lastRenderedPageBreak/>
        <w:t>Disclaimer:</w:t>
      </w:r>
      <w:r w:rsidRPr="00DD76CF">
        <w:rPr>
          <w:rFonts w:ascii="Calibri" w:eastAsia="Calibri" w:hAnsi="Calibri" w:cs="Calibri"/>
          <w:i/>
          <w:iCs/>
          <w:color w:val="262626"/>
          <w:kern w:val="0"/>
          <w:sz w:val="22"/>
          <w:szCs w:val="22"/>
          <w:bdr w:val="none" w:sz="0" w:space="0" w:color="auto" w:frame="1"/>
          <w:lang w:eastAsia="ja-JP"/>
          <w14:ligatures w14:val="none"/>
        </w:rPr>
        <w:t xml:space="preserve"> This document was translated from English into Spanish. In the event of any discrepancy between this translation and the original English document, the original English document shall prevail.</w:t>
      </w:r>
    </w:p>
    <w:p w14:paraId="3143FF10" w14:textId="77777777" w:rsidR="00DD76CF" w:rsidRPr="00DD76CF" w:rsidRDefault="00DD76CF" w:rsidP="00DD76CF">
      <w:pPr>
        <w:shd w:val="clear" w:color="auto" w:fill="FFFFFF"/>
        <w:spacing w:after="0" w:line="240" w:lineRule="auto"/>
        <w:rPr>
          <w:rFonts w:ascii="Calibri" w:eastAsia="Times New Roman" w:hAnsi="Calibri" w:cs="Times New Roman"/>
          <w:color w:val="262626"/>
          <w:kern w:val="0"/>
          <w:sz w:val="22"/>
          <w:szCs w:val="22"/>
          <w14:ligatures w14:val="none"/>
        </w:rPr>
      </w:pPr>
      <w:r w:rsidRPr="00DD76CF">
        <w:rPr>
          <w:rFonts w:ascii="Calibri" w:eastAsia="Times New Roman" w:hAnsi="Calibri" w:cs="Times New Roman"/>
          <w:i/>
          <w:iCs/>
          <w:color w:val="262626"/>
          <w:kern w:val="0"/>
          <w:sz w:val="22"/>
          <w:szCs w:val="22"/>
          <w:bdr w:val="none" w:sz="0" w:space="0" w:color="auto" w:frame="1"/>
          <w14:ligatures w14:val="none"/>
        </w:rPr>
        <w:t> </w:t>
      </w:r>
    </w:p>
    <w:p w14:paraId="189CD325" w14:textId="77777777" w:rsidR="00DD76CF" w:rsidRPr="00DD76CF" w:rsidRDefault="00DD76CF" w:rsidP="00DD76CF">
      <w:pPr>
        <w:shd w:val="clear" w:color="auto" w:fill="FFFFFF"/>
        <w:spacing w:after="0" w:line="240" w:lineRule="auto"/>
        <w:rPr>
          <w:rFonts w:ascii="Calibri" w:eastAsia="Times New Roman" w:hAnsi="Calibri" w:cs="Times New Roman"/>
          <w:color w:val="262626"/>
          <w:kern w:val="0"/>
          <w:sz w:val="22"/>
          <w:szCs w:val="22"/>
          <w:lang w:val="es-ES_tradnl"/>
          <w14:ligatures w14:val="none"/>
        </w:rPr>
      </w:pPr>
      <w:r w:rsidRPr="00DD76CF">
        <w:rPr>
          <w:rFonts w:ascii="Calibri" w:eastAsia="Times New Roman" w:hAnsi="Calibri" w:cs="Times New Roman"/>
          <w:b/>
          <w:bCs/>
          <w:i/>
          <w:iCs/>
          <w:color w:val="262626"/>
          <w:kern w:val="0"/>
          <w:sz w:val="22"/>
          <w:szCs w:val="22"/>
          <w:bdr w:val="none" w:sz="0" w:space="0" w:color="auto" w:frame="1"/>
          <w:shd w:val="clear" w:color="auto" w:fill="FFFFFF"/>
          <w:lang w:val="es-ES_tradnl"/>
          <w14:ligatures w14:val="none"/>
        </w:rPr>
        <w:t>Descargo de responsabilidad:</w:t>
      </w:r>
      <w:r w:rsidRPr="00DD76CF">
        <w:rPr>
          <w:rFonts w:ascii="Calibri" w:eastAsia="Times New Roman" w:hAnsi="Calibri" w:cs="Times New Roman"/>
          <w:i/>
          <w:iCs/>
          <w:color w:val="262626"/>
          <w:kern w:val="0"/>
          <w:sz w:val="22"/>
          <w:szCs w:val="22"/>
          <w:bdr w:val="none" w:sz="0" w:space="0" w:color="auto" w:frame="1"/>
          <w:shd w:val="clear" w:color="auto" w:fill="FFFFFF"/>
          <w:lang w:val="es-ES_tradnl"/>
          <w14:ligatures w14:val="none"/>
        </w:rPr>
        <w:t xml:space="preserve"> esta es una traducción de un documento original en inglés. </w:t>
      </w:r>
      <w:r w:rsidRPr="00DD76CF">
        <w:rPr>
          <w:rFonts w:ascii="Calibri" w:eastAsia="Times New Roman" w:hAnsi="Calibri" w:cs="Times New Roman"/>
          <w:i/>
          <w:iCs/>
          <w:color w:val="262626"/>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535CED1C" w14:textId="77777777" w:rsidR="00DD76CF" w:rsidRPr="00DD76CF" w:rsidRDefault="00DD76CF" w:rsidP="00DD76CF">
      <w:pPr>
        <w:spacing w:after="11509" w:line="259" w:lineRule="auto"/>
        <w:rPr>
          <w:rFonts w:ascii="Calibri" w:eastAsia="Calibri" w:hAnsi="Calibri" w:cs="Calibri"/>
          <w:color w:val="333333"/>
          <w:kern w:val="0"/>
          <w:sz w:val="22"/>
          <w:szCs w:val="22"/>
          <w:lang w:val="es-ES_tradnl" w:eastAsia="ja-JP"/>
          <w14:ligatures w14:val="none"/>
        </w:rPr>
      </w:pPr>
    </w:p>
    <w:p w14:paraId="0C8B96AD" w14:textId="77777777" w:rsidR="00DA504D" w:rsidRDefault="00DA504D"/>
    <w:sectPr w:rsidR="00DA504D" w:rsidSect="00DD76CF">
      <w:headerReference w:type="default" r:id="rId21"/>
      <w:footerReference w:type="default" r:id="rId22"/>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6D8BA" w14:textId="77777777" w:rsidR="00A903F0" w:rsidRDefault="00A903F0" w:rsidP="00DD76CF">
      <w:pPr>
        <w:spacing w:after="0" w:line="240" w:lineRule="auto"/>
      </w:pPr>
      <w:r>
        <w:separator/>
      </w:r>
    </w:p>
  </w:endnote>
  <w:endnote w:type="continuationSeparator" w:id="0">
    <w:p w14:paraId="01D6BB27" w14:textId="77777777" w:rsidR="00A903F0" w:rsidRDefault="00A903F0" w:rsidP="00DD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CE10" w14:textId="40E20249" w:rsidR="00DD76CF" w:rsidRPr="00DD76CF" w:rsidRDefault="00DD76CF">
    <w:pPr>
      <w:pStyle w:val="Footer"/>
    </w:pPr>
    <w:r w:rsidRPr="00DD76CF">
      <w:t xml:space="preserve">Página </w:t>
    </w:r>
    <w:r w:rsidRPr="00DD76CF">
      <w:rPr>
        <w:b/>
      </w:rPr>
      <w:fldChar w:fldCharType="begin"/>
    </w:r>
    <w:r w:rsidRPr="00DD76CF">
      <w:rPr>
        <w:b/>
      </w:rPr>
      <w:instrText xml:space="preserve"> PAGE  \* Arabic  \* MERGEFORMAT </w:instrText>
    </w:r>
    <w:r w:rsidRPr="00DD76CF">
      <w:rPr>
        <w:b/>
      </w:rPr>
      <w:fldChar w:fldCharType="separate"/>
    </w:r>
    <w:r w:rsidRPr="00DD76CF">
      <w:rPr>
        <w:b/>
        <w:noProof/>
      </w:rPr>
      <w:t>3</w:t>
    </w:r>
    <w:r w:rsidRPr="00DD76CF">
      <w:rPr>
        <w:b/>
      </w:rPr>
      <w:fldChar w:fldCharType="end"/>
    </w:r>
    <w:r w:rsidRPr="00DD76CF">
      <w:t xml:space="preserve"> de </w:t>
    </w:r>
    <w:r w:rsidRPr="00DD76CF">
      <w:rPr>
        <w:b/>
      </w:rPr>
      <w:fldChar w:fldCharType="begin"/>
    </w:r>
    <w:r w:rsidRPr="00DD76CF">
      <w:rPr>
        <w:b/>
      </w:rPr>
      <w:instrText xml:space="preserve"> NUMPAGES  \* Arabic  \* MERGEFORMAT </w:instrText>
    </w:r>
    <w:r w:rsidRPr="00DD76CF">
      <w:rPr>
        <w:b/>
      </w:rPr>
      <w:fldChar w:fldCharType="separate"/>
    </w:r>
    <w:r w:rsidRPr="00DD76CF">
      <w:rPr>
        <w:b/>
        <w:noProof/>
      </w:rPr>
      <w:t>3</w:t>
    </w:r>
    <w:r w:rsidRPr="00DD76CF">
      <w:rPr>
        <w:b/>
      </w:rPr>
      <w:fldChar w:fldCharType="end"/>
    </w:r>
    <w:r w:rsidRPr="00DD76CF">
      <w:ptab w:relativeTo="margin" w:alignment="center" w:leader="none"/>
    </w:r>
    <w:r w:rsidRPr="00DD76CF">
      <w:t xml:space="preserve">Fecha de entrada en vigor: </w:t>
    </w:r>
    <w:r>
      <w:rPr>
        <w:color w:val="000000"/>
      </w:rPr>
      <w:t>01</w:t>
    </w:r>
    <w:r w:rsidRPr="00DD76CF">
      <w:rPr>
        <w:color w:val="000000"/>
      </w:rPr>
      <w:t>/0</w:t>
    </w:r>
    <w:r>
      <w:rPr>
        <w:color w:val="000000"/>
      </w:rPr>
      <w:t>1</w:t>
    </w:r>
    <w:r w:rsidRPr="00DD76CF">
      <w:rPr>
        <w:color w:val="000000"/>
      </w:rPr>
      <w:t>/20</w:t>
    </w:r>
    <w:r>
      <w:rPr>
        <w:color w:val="000000"/>
      </w:rPr>
      <w:t>23</w:t>
    </w:r>
    <w:r w:rsidRPr="00DD76CF">
      <w:ptab w:relativeTo="margin" w:alignment="right" w:leader="none"/>
    </w:r>
    <w:r w:rsidRPr="00DD76CF">
      <w:t xml:space="preserve">Versión #: </w:t>
    </w:r>
    <w:sdt>
      <w:sdtPr>
        <w:alias w:val="POPPRefItemVersion"/>
        <w:tag w:val="UNDP_POPP_REFITEM_VERSION"/>
        <w:id w:val="-678350975"/>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29E3F7AE-19AE-4643-9FAE-4FA1C7782439}"/>
        <w:text/>
      </w:sdtPr>
      <w:sdtContent>
        <w:r w:rsidRPr="00DD76CF">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92912" w14:textId="77777777" w:rsidR="00A903F0" w:rsidRDefault="00A903F0" w:rsidP="00DD76CF">
      <w:pPr>
        <w:spacing w:after="0" w:line="240" w:lineRule="auto"/>
      </w:pPr>
      <w:r>
        <w:separator/>
      </w:r>
    </w:p>
  </w:footnote>
  <w:footnote w:type="continuationSeparator" w:id="0">
    <w:p w14:paraId="2755532A" w14:textId="77777777" w:rsidR="00A903F0" w:rsidRDefault="00A903F0" w:rsidP="00DD7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64A8" w14:textId="2E9659B2" w:rsidR="00DD76CF" w:rsidRDefault="00DD76CF" w:rsidP="006B752C">
    <w:pPr>
      <w:pStyle w:val="Header"/>
      <w:jc w:val="right"/>
    </w:pPr>
    <w:r>
      <w:rPr>
        <w:noProof/>
      </w:rPr>
      <w:drawing>
        <wp:anchor distT="0" distB="0" distL="114300" distR="114300" simplePos="0" relativeHeight="251659264" behindDoc="0" locked="0" layoutInCell="1" allowOverlap="1" wp14:anchorId="58FBDF06" wp14:editId="5CD7603F">
          <wp:simplePos x="0" y="0"/>
          <wp:positionH relativeFrom="margin">
            <wp:align>right</wp:align>
          </wp:positionH>
          <wp:positionV relativeFrom="paragraph">
            <wp:posOffset>-198120</wp:posOffset>
          </wp:positionV>
          <wp:extent cx="283210" cy="553085"/>
          <wp:effectExtent l="0" t="0" r="2540" b="0"/>
          <wp:wrapNone/>
          <wp:docPr id="595072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5B3B"/>
    <w:multiLevelType w:val="hybridMultilevel"/>
    <w:tmpl w:val="684E0864"/>
    <w:lvl w:ilvl="0" w:tplc="25467B82">
      <w:start w:val="1"/>
      <w:numFmt w:val="decimal"/>
      <w:lvlText w:val="%1."/>
      <w:lvlJc w:val="left"/>
      <w:pPr>
        <w:ind w:left="27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lang w:val="es-AR"/>
      </w:rPr>
    </w:lvl>
    <w:lvl w:ilvl="1" w:tplc="97FE96A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DFEC1C4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D84CA6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20ECE4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E06CC7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652BE2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636679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4467782">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30091324"/>
    <w:multiLevelType w:val="hybridMultilevel"/>
    <w:tmpl w:val="E31C34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4F7333"/>
    <w:multiLevelType w:val="hybridMultilevel"/>
    <w:tmpl w:val="72824E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176178">
    <w:abstractNumId w:val="0"/>
  </w:num>
  <w:num w:numId="2" w16cid:durableId="2026590915">
    <w:abstractNumId w:val="2"/>
  </w:num>
  <w:num w:numId="3" w16cid:durableId="425422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CF"/>
    <w:rsid w:val="002C3950"/>
    <w:rsid w:val="003F57B9"/>
    <w:rsid w:val="009716F1"/>
    <w:rsid w:val="009B4F85"/>
    <w:rsid w:val="00A903F0"/>
    <w:rsid w:val="00C61B9D"/>
    <w:rsid w:val="00CA5096"/>
    <w:rsid w:val="00DA09E3"/>
    <w:rsid w:val="00DA504D"/>
    <w:rsid w:val="00DD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BD1A"/>
  <w15:chartTrackingRefBased/>
  <w15:docId w15:val="{31A35A47-EDAE-493C-A0AE-14ED5ED1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6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6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6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6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6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6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6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6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6CF"/>
    <w:rPr>
      <w:rFonts w:eastAsiaTheme="majorEastAsia" w:cstheme="majorBidi"/>
      <w:color w:val="272727" w:themeColor="text1" w:themeTint="D8"/>
    </w:rPr>
  </w:style>
  <w:style w:type="paragraph" w:styleId="Title">
    <w:name w:val="Title"/>
    <w:basedOn w:val="Normal"/>
    <w:next w:val="Normal"/>
    <w:link w:val="TitleChar"/>
    <w:uiPriority w:val="10"/>
    <w:qFormat/>
    <w:rsid w:val="00DD7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6CF"/>
    <w:pPr>
      <w:spacing w:before="160"/>
      <w:jc w:val="center"/>
    </w:pPr>
    <w:rPr>
      <w:i/>
      <w:iCs/>
      <w:color w:val="404040" w:themeColor="text1" w:themeTint="BF"/>
    </w:rPr>
  </w:style>
  <w:style w:type="character" w:customStyle="1" w:styleId="QuoteChar">
    <w:name w:val="Quote Char"/>
    <w:basedOn w:val="DefaultParagraphFont"/>
    <w:link w:val="Quote"/>
    <w:uiPriority w:val="29"/>
    <w:rsid w:val="00DD76CF"/>
    <w:rPr>
      <w:i/>
      <w:iCs/>
      <w:color w:val="404040" w:themeColor="text1" w:themeTint="BF"/>
    </w:rPr>
  </w:style>
  <w:style w:type="paragraph" w:styleId="ListParagraph">
    <w:name w:val="List Paragraph"/>
    <w:basedOn w:val="Normal"/>
    <w:uiPriority w:val="34"/>
    <w:qFormat/>
    <w:rsid w:val="00DD76CF"/>
    <w:pPr>
      <w:ind w:left="720"/>
      <w:contextualSpacing/>
    </w:pPr>
  </w:style>
  <w:style w:type="character" w:styleId="IntenseEmphasis">
    <w:name w:val="Intense Emphasis"/>
    <w:basedOn w:val="DefaultParagraphFont"/>
    <w:uiPriority w:val="21"/>
    <w:qFormat/>
    <w:rsid w:val="00DD76CF"/>
    <w:rPr>
      <w:i/>
      <w:iCs/>
      <w:color w:val="0F4761" w:themeColor="accent1" w:themeShade="BF"/>
    </w:rPr>
  </w:style>
  <w:style w:type="paragraph" w:styleId="IntenseQuote">
    <w:name w:val="Intense Quote"/>
    <w:basedOn w:val="Normal"/>
    <w:next w:val="Normal"/>
    <w:link w:val="IntenseQuoteChar"/>
    <w:uiPriority w:val="30"/>
    <w:qFormat/>
    <w:rsid w:val="00DD7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6CF"/>
    <w:rPr>
      <w:i/>
      <w:iCs/>
      <w:color w:val="0F4761" w:themeColor="accent1" w:themeShade="BF"/>
    </w:rPr>
  </w:style>
  <w:style w:type="character" w:styleId="IntenseReference">
    <w:name w:val="Intense Reference"/>
    <w:basedOn w:val="DefaultParagraphFont"/>
    <w:uiPriority w:val="32"/>
    <w:qFormat/>
    <w:rsid w:val="00DD76CF"/>
    <w:rPr>
      <w:b/>
      <w:bCs/>
      <w:smallCaps/>
      <w:color w:val="0F4761" w:themeColor="accent1" w:themeShade="BF"/>
      <w:spacing w:val="5"/>
    </w:rPr>
  </w:style>
  <w:style w:type="paragraph" w:styleId="Header">
    <w:name w:val="header"/>
    <w:basedOn w:val="Normal"/>
    <w:link w:val="HeaderChar"/>
    <w:uiPriority w:val="99"/>
    <w:unhideWhenUsed/>
    <w:rsid w:val="00DD76CF"/>
    <w:pPr>
      <w:tabs>
        <w:tab w:val="center" w:pos="4680"/>
        <w:tab w:val="right" w:pos="9360"/>
      </w:tabs>
      <w:spacing w:after="0" w:line="240" w:lineRule="auto"/>
      <w:ind w:left="730" w:right="2" w:hanging="370"/>
      <w:jc w:val="both"/>
    </w:pPr>
    <w:rPr>
      <w:rFonts w:ascii="Calibri" w:eastAsia="Calibri" w:hAnsi="Calibri" w:cs="Calibri"/>
      <w:color w:val="333333"/>
      <w:kern w:val="0"/>
      <w:sz w:val="22"/>
      <w:szCs w:val="22"/>
      <w:lang w:val="es-ES" w:eastAsia="ja-JP"/>
      <w14:ligatures w14:val="none"/>
    </w:rPr>
  </w:style>
  <w:style w:type="character" w:customStyle="1" w:styleId="HeaderChar">
    <w:name w:val="Header Char"/>
    <w:basedOn w:val="DefaultParagraphFont"/>
    <w:link w:val="Header"/>
    <w:uiPriority w:val="99"/>
    <w:rsid w:val="00DD76CF"/>
    <w:rPr>
      <w:rFonts w:ascii="Calibri" w:eastAsia="Calibri" w:hAnsi="Calibri" w:cs="Calibri"/>
      <w:color w:val="333333"/>
      <w:kern w:val="0"/>
      <w:sz w:val="22"/>
      <w:szCs w:val="22"/>
      <w:lang w:val="es-ES" w:eastAsia="ja-JP"/>
      <w14:ligatures w14:val="none"/>
    </w:rPr>
  </w:style>
  <w:style w:type="paragraph" w:styleId="Footer">
    <w:name w:val="footer"/>
    <w:basedOn w:val="Normal"/>
    <w:link w:val="FooterChar"/>
    <w:uiPriority w:val="99"/>
    <w:unhideWhenUsed/>
    <w:rsid w:val="00DD76CF"/>
    <w:pPr>
      <w:tabs>
        <w:tab w:val="center" w:pos="4680"/>
        <w:tab w:val="right" w:pos="9360"/>
      </w:tabs>
      <w:spacing w:after="0" w:line="240" w:lineRule="auto"/>
      <w:ind w:left="730" w:right="2" w:hanging="370"/>
      <w:jc w:val="both"/>
    </w:pPr>
    <w:rPr>
      <w:rFonts w:ascii="Calibri" w:eastAsia="Calibri" w:hAnsi="Calibri" w:cs="Calibri"/>
      <w:color w:val="333333"/>
      <w:kern w:val="0"/>
      <w:sz w:val="22"/>
      <w:szCs w:val="22"/>
      <w:lang w:val="es-ES" w:eastAsia="ja-JP"/>
      <w14:ligatures w14:val="none"/>
    </w:rPr>
  </w:style>
  <w:style w:type="character" w:customStyle="1" w:styleId="FooterChar">
    <w:name w:val="Footer Char"/>
    <w:basedOn w:val="DefaultParagraphFont"/>
    <w:link w:val="Footer"/>
    <w:uiPriority w:val="99"/>
    <w:rsid w:val="00DD76CF"/>
    <w:rPr>
      <w:rFonts w:ascii="Calibri" w:eastAsia="Calibri" w:hAnsi="Calibri" w:cs="Calibri"/>
      <w:color w:val="333333"/>
      <w:kern w:val="0"/>
      <w:sz w:val="22"/>
      <w:szCs w:val="22"/>
      <w:lang w:val="es-E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es/taxonomy/term/36" TargetMode="External"/><Relationship Id="rId13" Type="http://schemas.openxmlformats.org/officeDocument/2006/relationships/hyperlink" Target="https://popp.undp.org/node/11156" TargetMode="External"/><Relationship Id="rId18" Type="http://schemas.openxmlformats.org/officeDocument/2006/relationships/hyperlink" Target="http://undp.service-now.com/unal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popp.undp.org/es/pagina-de-politica/cierre-y-transicion" TargetMode="External"/><Relationship Id="rId12" Type="http://schemas.openxmlformats.org/officeDocument/2006/relationships/hyperlink" Target="https://popp.undp.org/SitePages/POPPSubject.aspx?SBJID=127&amp;Menu=BusinessUnit" TargetMode="External"/><Relationship Id="rId17" Type="http://schemas.openxmlformats.org/officeDocument/2006/relationships/hyperlink" Target="http://undp.service-now.com/unall" TargetMode="External"/><Relationship Id="rId2" Type="http://schemas.openxmlformats.org/officeDocument/2006/relationships/styles" Target="styles.xml"/><Relationship Id="rId16" Type="http://schemas.openxmlformats.org/officeDocument/2006/relationships/hyperlink" Target="https://popp.undp.org/document/operating-guidelines-mptf-projects-implemented-undp-country-offices" TargetMode="External"/><Relationship Id="rId20" Type="http://schemas.openxmlformats.org/officeDocument/2006/relationships/hyperlink" Target="https://undp.sharepoint.com/teams/OF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es/node/1143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pp.undp.org/es/pagina-de-politica/gestion-intermediada-de-los-fondos-el-pnud-como-organizacion-de-las-naciones" TargetMode="External"/><Relationship Id="rId23" Type="http://schemas.openxmlformats.org/officeDocument/2006/relationships/fontTable" Target="fontTable.xml"/><Relationship Id="rId10" Type="http://schemas.openxmlformats.org/officeDocument/2006/relationships/hyperlink" Target="https://popp.undp.org/node/3551" TargetMode="External"/><Relationship Id="rId19" Type="http://schemas.openxmlformats.org/officeDocument/2006/relationships/hyperlink" Target="http://undp.service-now.com/unall" TargetMode="External"/><Relationship Id="rId4" Type="http://schemas.openxmlformats.org/officeDocument/2006/relationships/webSettings" Target="webSettings.xml"/><Relationship Id="rId9" Type="http://schemas.openxmlformats.org/officeDocument/2006/relationships/hyperlink" Target="https://popp.undp.org/SitePages/POPPBSUnit.aspx?TermID=dea4c69a-7909-43f6-8de1-50c95d5a9f3f&amp;Menu=BusinessUnit" TargetMode="External"/><Relationship Id="rId14" Type="http://schemas.openxmlformats.org/officeDocument/2006/relationships/hyperlink" Target="https://popp.undp.org/node/11156"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1613</Words>
  <Characters>9197</Characters>
  <Application>Microsoft Office Word</Application>
  <DocSecurity>0</DocSecurity>
  <Lines>76</Lines>
  <Paragraphs>21</Paragraphs>
  <ScaleCrop>false</ScaleCrop>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2026-05-05T21:45:00Z</dcterms:created>
  <dcterms:modified xsi:type="dcterms:W3CDTF">2026-05-05T21:53:00Z</dcterms:modified>
</cp:coreProperties>
</file>