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514C" w14:textId="77777777" w:rsidR="00673987" w:rsidRPr="00673987" w:rsidRDefault="00673987" w:rsidP="00673987">
      <w:pPr>
        <w:spacing w:after="3" w:line="253" w:lineRule="auto"/>
        <w:ind w:left="426" w:right="8" w:hanging="370"/>
        <w:jc w:val="both"/>
        <w:rPr>
          <w:rFonts w:ascii="Calibri" w:eastAsia="Arial,Times New Roman" w:hAnsi="Calibri" w:cs="Calibri"/>
          <w:b/>
          <w:bCs/>
          <w:color w:val="000000"/>
          <w:kern w:val="0"/>
          <w:sz w:val="28"/>
          <w:szCs w:val="28"/>
          <w:lang w:val="en-GB"/>
          <w14:ligatures w14:val="none"/>
        </w:rPr>
      </w:pPr>
      <w:r w:rsidRPr="00673987">
        <w:rPr>
          <w:rFonts w:ascii="Calibri" w:eastAsia="Arial,Times New Roman" w:hAnsi="Calibri" w:cs="Calibri"/>
          <w:b/>
          <w:bCs/>
          <w:color w:val="000000"/>
          <w:kern w:val="0"/>
          <w:sz w:val="28"/>
          <w:szCs w:val="28"/>
          <w:lang w:val="en-GB"/>
          <w14:ligatures w14:val="none"/>
        </w:rPr>
        <w:t>US Letter of Credits Policy</w:t>
      </w:r>
    </w:p>
    <w:p w14:paraId="3F957480" w14:textId="77777777" w:rsidR="00673987" w:rsidRPr="00673987" w:rsidRDefault="00673987" w:rsidP="00673987">
      <w:pPr>
        <w:spacing w:after="3" w:line="253" w:lineRule="auto"/>
        <w:ind w:left="720" w:right="8" w:hanging="370"/>
        <w:jc w:val="both"/>
        <w:rPr>
          <w:rFonts w:ascii="Calibri" w:eastAsia="Arial,Times New Roman" w:hAnsi="Calibri" w:cs="Calibri"/>
          <w:b/>
          <w:bCs/>
          <w:color w:val="000000"/>
          <w:kern w:val="0"/>
          <w:sz w:val="28"/>
          <w:szCs w:val="28"/>
          <w:lang w:val="en-GB"/>
          <w14:ligatures w14:val="none"/>
        </w:rPr>
      </w:pPr>
    </w:p>
    <w:p w14:paraId="63A32C90" w14:textId="77777777" w:rsidR="00673987" w:rsidRPr="00673987" w:rsidRDefault="00673987" w:rsidP="00673987">
      <w:pPr>
        <w:numPr>
          <w:ilvl w:val="0"/>
          <w:numId w:val="3"/>
        </w:numPr>
        <w:spacing w:before="120" w:after="0" w:line="360" w:lineRule="auto"/>
        <w:ind w:left="567" w:right="8" w:hanging="567"/>
        <w:contextualSpacing/>
        <w:jc w:val="both"/>
        <w:rPr>
          <w:rFonts w:ascii="Calibri" w:eastAsia="Calibri" w:hAnsi="Calibri" w:cs="Calibri"/>
          <w:b/>
          <w:bCs/>
          <w:color w:val="000000"/>
          <w:kern w:val="0"/>
          <w14:ligatures w14:val="none"/>
        </w:rPr>
      </w:pPr>
      <w:r w:rsidRPr="00673987">
        <w:rPr>
          <w:rFonts w:ascii="Calibri" w:eastAsia="Calibri" w:hAnsi="Calibri" w:cs="Calibri"/>
          <w:b/>
          <w:bCs/>
          <w:color w:val="000000"/>
          <w:kern w:val="0"/>
          <w14:ligatures w14:val="none"/>
        </w:rPr>
        <w:t>Scope and application</w:t>
      </w:r>
    </w:p>
    <w:p w14:paraId="05F18548"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The US Government utilizes a Letter of Credit (LOC) mechanism to fund most of its contributions to UNDP. The Agreements which are funded via the LOC mechanism are primarily on behalf of USAID.  For agreements with the US Government which are cash funded, refer to </w:t>
      </w:r>
      <w:hyperlink r:id="rId7" w:history="1">
        <w:r w:rsidRPr="00673987">
          <w:rPr>
            <w:rFonts w:ascii="Calibri" w:eastAsia="Calibri" w:hAnsi="Calibri" w:cs="Calibri"/>
            <w:color w:val="0000FF"/>
            <w:kern w:val="0"/>
            <w:sz w:val="22"/>
            <w:szCs w:val="22"/>
            <w:u w:val="single"/>
            <w:lang w:val="en-GB"/>
            <w14:ligatures w14:val="none"/>
          </w:rPr>
          <w:t>POPP on Revenue Management, Other Resources</w:t>
        </w:r>
      </w:hyperlink>
      <w:r w:rsidRPr="00673987">
        <w:rPr>
          <w:rFonts w:ascii="Calibri" w:eastAsia="Calibri" w:hAnsi="Calibri" w:cs="Calibri"/>
          <w:color w:val="000000"/>
          <w:kern w:val="0"/>
          <w:sz w:val="22"/>
          <w:szCs w:val="22"/>
          <w:lang w:val="en-GB"/>
          <w14:ligatures w14:val="none"/>
        </w:rPr>
        <w:t>.</w:t>
      </w:r>
    </w:p>
    <w:p w14:paraId="1D92BD07" w14:textId="77777777" w:rsidR="00673987" w:rsidRPr="00673987" w:rsidRDefault="00673987" w:rsidP="00673987">
      <w:pPr>
        <w:spacing w:before="100" w:beforeAutospacing="1" w:after="100" w:afterAutospacing="1" w:line="259" w:lineRule="auto"/>
        <w:ind w:left="1080"/>
        <w:contextualSpacing/>
        <w:jc w:val="both"/>
        <w:rPr>
          <w:rFonts w:ascii="Calibri" w:eastAsia="Calibri" w:hAnsi="Calibri" w:cs="Calibri"/>
          <w:color w:val="000000"/>
          <w:kern w:val="0"/>
          <w:sz w:val="22"/>
          <w:szCs w:val="22"/>
          <w:lang w:val="en-GB"/>
          <w14:ligatures w14:val="none"/>
        </w:rPr>
      </w:pPr>
    </w:p>
    <w:p w14:paraId="216A6CEB"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This POPP outlines procedures that should be followed in administering grants made under the LOC mechanism where UNDP is a beneficiary of US Government Letters of Credit in order to ensure compliance with donor guidelines and UNDP financial processes.   </w:t>
      </w:r>
    </w:p>
    <w:p w14:paraId="0AE12FC4" w14:textId="77777777" w:rsidR="00673987" w:rsidRPr="00673987" w:rsidRDefault="00673987" w:rsidP="00673987">
      <w:pPr>
        <w:spacing w:before="120" w:after="0" w:line="360" w:lineRule="auto"/>
        <w:ind w:left="567"/>
        <w:contextualSpacing/>
        <w:rPr>
          <w:rFonts w:ascii="Calibri" w:eastAsia="Calibri" w:hAnsi="Calibri" w:cs="Calibri"/>
          <w:b/>
          <w:bCs/>
          <w:color w:val="000000"/>
          <w:kern w:val="0"/>
          <w14:ligatures w14:val="none"/>
        </w:rPr>
      </w:pPr>
    </w:p>
    <w:p w14:paraId="7BF2351C" w14:textId="77777777" w:rsidR="00673987" w:rsidRPr="00673987" w:rsidRDefault="00673987" w:rsidP="00673987">
      <w:pPr>
        <w:numPr>
          <w:ilvl w:val="0"/>
          <w:numId w:val="3"/>
        </w:numPr>
        <w:spacing w:before="120" w:after="0" w:line="360" w:lineRule="auto"/>
        <w:ind w:left="567" w:right="8" w:hanging="567"/>
        <w:contextualSpacing/>
        <w:jc w:val="both"/>
        <w:rPr>
          <w:rFonts w:ascii="Calibri" w:eastAsia="Calibri" w:hAnsi="Calibri" w:cs="Calibri"/>
          <w:b/>
          <w:bCs/>
          <w:color w:val="000000"/>
          <w:kern w:val="0"/>
          <w14:ligatures w14:val="none"/>
        </w:rPr>
      </w:pPr>
      <w:r w:rsidRPr="00673987">
        <w:rPr>
          <w:rFonts w:ascii="Calibri" w:eastAsia="Calibri" w:hAnsi="Calibri" w:cs="Calibri"/>
          <w:b/>
          <w:bCs/>
          <w:color w:val="000000"/>
          <w:kern w:val="0"/>
          <w14:ligatures w14:val="none"/>
        </w:rPr>
        <w:t xml:space="preserve">UNDP as Beneficiary of US Government Letters of Credit  </w:t>
      </w:r>
    </w:p>
    <w:p w14:paraId="15EC7B3F"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SimSun" w:hAnsi="Calibri" w:cs="Calibri"/>
          <w:color w:val="000000"/>
          <w:kern w:val="0"/>
          <w:sz w:val="22"/>
          <w:szCs w:val="22"/>
          <w:u w:val="single"/>
          <w:lang w:val="en-GB"/>
          <w14:ligatures w14:val="none"/>
        </w:rPr>
        <w:t>Except for the U.S. Department of State's Bureau of International Narcotics and Law Enforcement Affairs (INL), which the standard</w:t>
      </w:r>
      <w:r w:rsidRPr="00673987">
        <w:rPr>
          <w:rFonts w:ascii="Calibri" w:eastAsia="SimSun" w:hAnsi="Calibri" w:cs="Calibri"/>
          <w:color w:val="000000"/>
          <w:kern w:val="0"/>
          <w:sz w:val="22"/>
          <w:szCs w:val="22"/>
          <w:lang w:val="en-GB"/>
          <w14:ligatures w14:val="none"/>
        </w:rPr>
        <w:t xml:space="preserve"> </w:t>
      </w:r>
      <w:hyperlink r:id="rId8" w:history="1">
        <w:r w:rsidRPr="00673987">
          <w:rPr>
            <w:rFonts w:ascii="Calibri" w:eastAsia="SimSun" w:hAnsi="Calibri" w:cs="Calibri"/>
            <w:color w:val="0000FF"/>
            <w:kern w:val="0"/>
            <w:sz w:val="22"/>
            <w:szCs w:val="22"/>
            <w:u w:val="single"/>
            <w:lang w:val="en-GB"/>
            <w14:ligatures w14:val="none"/>
          </w:rPr>
          <w:t>agreement template has been established, all other US Government agreements</w:t>
        </w:r>
      </w:hyperlink>
      <w:r w:rsidRPr="00673987">
        <w:rPr>
          <w:rFonts w:ascii="Calibri" w:eastAsia="SimSun" w:hAnsi="Calibri" w:cs="Calibri"/>
          <w:kern w:val="0"/>
          <w:sz w:val="22"/>
          <w:szCs w:val="22"/>
          <w:lang w:val="en-GB"/>
          <w14:ligatures w14:val="none"/>
        </w:rPr>
        <w:t>,</w:t>
      </w:r>
      <w:r w:rsidRPr="00673987">
        <w:rPr>
          <w:rFonts w:ascii="Calibri" w:eastAsia="SimSun" w:hAnsi="Calibri" w:cs="Calibri"/>
          <w:color w:val="0078D4"/>
          <w:kern w:val="0"/>
          <w:sz w:val="22"/>
          <w:szCs w:val="22"/>
          <w:lang w:val="en-GB"/>
          <w14:ligatures w14:val="none"/>
        </w:rPr>
        <w:t xml:space="preserve"> </w:t>
      </w:r>
      <w:r w:rsidRPr="00673987">
        <w:rPr>
          <w:rFonts w:ascii="Calibri" w:eastAsia="Calibri" w:hAnsi="Calibri" w:cs="Calibri"/>
          <w:color w:val="000000"/>
          <w:kern w:val="0"/>
          <w:sz w:val="22"/>
          <w:szCs w:val="22"/>
          <w:lang w:val="en-GB"/>
          <w14:ligatures w14:val="none"/>
        </w:rPr>
        <w:t xml:space="preserve">must be cleared by the Legal Office, Bureau for Management Services (LO/BMS) before signing. UNDP Offices must ensure the agreements do not obligate UNDP to submit any reports to the US Federal Government Agency other than the reports listed below. Any request for additional reports should be cleared by the LO.  </w:t>
      </w:r>
    </w:p>
    <w:p w14:paraId="2C40CDF8" w14:textId="77777777" w:rsidR="00673987" w:rsidRPr="00673987" w:rsidRDefault="00673987" w:rsidP="00673987">
      <w:pPr>
        <w:spacing w:before="100" w:beforeAutospacing="1" w:after="100" w:afterAutospacing="1" w:line="259" w:lineRule="auto"/>
        <w:ind w:left="350"/>
        <w:contextualSpacing/>
        <w:jc w:val="both"/>
        <w:rPr>
          <w:rFonts w:ascii="Calibri" w:eastAsia="Calibri" w:hAnsi="Calibri" w:cs="Calibri"/>
          <w:color w:val="000000"/>
          <w:kern w:val="0"/>
          <w:sz w:val="22"/>
          <w:szCs w:val="22"/>
          <w:lang w:val="en-GB"/>
          <w14:ligatures w14:val="none"/>
        </w:rPr>
      </w:pPr>
    </w:p>
    <w:p w14:paraId="4D2A71C5"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UNDP Offices should NOT submit any donor checklist (including Recipient Closeout Statement) to the US Federal Government Agency upon project completion. Any requests from the US Federal Government Agency for additional documents should be cleared by GSSC after consultation with CFRA, as necessary.</w:t>
      </w:r>
      <w:r w:rsidRPr="00673987" w:rsidDel="005D4B12">
        <w:rPr>
          <w:rFonts w:ascii="Calibri" w:eastAsia="Calibri" w:hAnsi="Calibri" w:cs="Calibri"/>
          <w:color w:val="000000"/>
          <w:kern w:val="0"/>
          <w:sz w:val="22"/>
          <w:szCs w:val="22"/>
          <w:lang w:val="en-GB"/>
          <w14:ligatures w14:val="none"/>
        </w:rPr>
        <w:t xml:space="preserve"> </w:t>
      </w:r>
      <w:r w:rsidRPr="00673987">
        <w:rPr>
          <w:rFonts w:ascii="Calibri" w:eastAsia="Calibri" w:hAnsi="Calibri" w:cs="Calibri"/>
          <w:color w:val="000000"/>
          <w:kern w:val="0"/>
          <w:sz w:val="22"/>
          <w:szCs w:val="22"/>
          <w:lang w:val="en-GB"/>
          <w14:ligatures w14:val="none"/>
        </w:rPr>
        <w:t xml:space="preserve">  </w:t>
      </w:r>
    </w:p>
    <w:p w14:paraId="705B61C3" w14:textId="77777777" w:rsidR="00673987" w:rsidRPr="00673987" w:rsidRDefault="00673987" w:rsidP="00673987">
      <w:pPr>
        <w:spacing w:before="100" w:beforeAutospacing="1" w:after="100" w:afterAutospacing="1" w:line="259" w:lineRule="auto"/>
        <w:ind w:left="567"/>
        <w:contextualSpacing/>
        <w:jc w:val="both"/>
        <w:rPr>
          <w:rFonts w:ascii="Calibri" w:eastAsia="Calibri" w:hAnsi="Calibri" w:cs="Calibri"/>
          <w:color w:val="000000"/>
          <w:kern w:val="0"/>
          <w:sz w:val="22"/>
          <w:szCs w:val="22"/>
          <w:lang w:val="en-GB"/>
          <w14:ligatures w14:val="none"/>
        </w:rPr>
      </w:pPr>
    </w:p>
    <w:p w14:paraId="7CC275D0"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For ongoing projects, UNDP Offices are required to complete an </w:t>
      </w:r>
      <w:r w:rsidRPr="00673987">
        <w:rPr>
          <w:rFonts w:ascii="Calibri" w:eastAsia="Calibri" w:hAnsi="Calibri" w:cs="Calibri"/>
          <w:color w:val="000000"/>
          <w:kern w:val="0"/>
          <w:sz w:val="22"/>
          <w:szCs w:val="22"/>
          <w:u w:val="single"/>
          <w:lang w:val="en-GB"/>
          <w14:ligatures w14:val="none"/>
        </w:rPr>
        <w:t>interim</w:t>
      </w:r>
      <w:r w:rsidRPr="00673987">
        <w:rPr>
          <w:rFonts w:ascii="Calibri" w:eastAsia="Calibri" w:hAnsi="Calibri" w:cs="Calibri"/>
          <w:color w:val="000000"/>
          <w:kern w:val="0"/>
          <w:sz w:val="22"/>
          <w:szCs w:val="22"/>
          <w:lang w:val="en-GB"/>
          <w14:ligatures w14:val="none"/>
        </w:rPr>
        <w:t xml:space="preserve"> Federal Financial Report (FFR)425 {complete lines 10(d) to 10(o)} for each award and submit it to the local Contract/Agreement Officer’s Technical Representative (COTR/AOTR) within the time frame agreed with the COTR/AOTR (usually quarterly). </w:t>
      </w:r>
    </w:p>
    <w:p w14:paraId="4B2EB60E" w14:textId="77777777" w:rsidR="00673987" w:rsidRPr="00673987" w:rsidRDefault="00673987" w:rsidP="00673987">
      <w:pPr>
        <w:spacing w:before="100" w:beforeAutospacing="1" w:after="100" w:afterAutospacing="1" w:line="259" w:lineRule="auto"/>
        <w:ind w:left="360"/>
        <w:contextualSpacing/>
        <w:jc w:val="both"/>
        <w:rPr>
          <w:rFonts w:ascii="Calibri" w:eastAsia="Calibri" w:hAnsi="Calibri" w:cs="Calibri"/>
          <w:color w:val="000000"/>
          <w:kern w:val="0"/>
          <w:sz w:val="22"/>
          <w:szCs w:val="22"/>
          <w:lang w:val="en-GB"/>
          <w14:ligatures w14:val="none"/>
        </w:rPr>
      </w:pPr>
    </w:p>
    <w:p w14:paraId="5A0B1CEA"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Upon project completion and grant expiry, GSSC will prepare and submit a Final FFR-425 {complete lines 10(d) to 10(o)} for each award and submit it to the respective US Federal Government Agency HQ. The deadline to submit the Final FFR-425 is 90 days after grant expiry. </w:t>
      </w:r>
    </w:p>
    <w:p w14:paraId="77611113" w14:textId="77777777" w:rsidR="00673987" w:rsidRPr="00673987" w:rsidRDefault="00673987" w:rsidP="00673987">
      <w:pPr>
        <w:spacing w:after="99" w:line="257" w:lineRule="auto"/>
        <w:ind w:left="720" w:hanging="368"/>
        <w:contextualSpacing/>
        <w:jc w:val="both"/>
        <w:rPr>
          <w:rFonts w:ascii="Calibri" w:eastAsia="Calibri" w:hAnsi="Calibri" w:cs="Calibri"/>
          <w:color w:val="000000"/>
          <w:kern w:val="0"/>
          <w:sz w:val="22"/>
          <w:szCs w:val="22"/>
          <w:lang w:val="en-GB"/>
          <w14:ligatures w14:val="none"/>
        </w:rPr>
      </w:pPr>
    </w:p>
    <w:p w14:paraId="61D8FE76"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GSSC will file electronically a quarterly FFR-425 {complete Lines 10(a) – 10(c)} and FFR attachment through the Department of Health and Human Services (DHHS) Payment Management System (PMS) to report cumulative expenses for all grants. The deadline for filing the quarterly FFR-425 is within 30 days from the end of the quarter.  </w:t>
      </w:r>
    </w:p>
    <w:p w14:paraId="5CA6D8BF" w14:textId="77777777" w:rsidR="00673987" w:rsidRPr="00673987" w:rsidRDefault="00673987" w:rsidP="00673987">
      <w:pPr>
        <w:spacing w:after="99" w:line="257" w:lineRule="auto"/>
        <w:ind w:left="720" w:hanging="368"/>
        <w:contextualSpacing/>
        <w:jc w:val="both"/>
        <w:rPr>
          <w:rFonts w:ascii="Calibri" w:eastAsia="Calibri" w:hAnsi="Calibri" w:cs="Calibri"/>
          <w:color w:val="000000"/>
          <w:kern w:val="0"/>
          <w:sz w:val="22"/>
          <w:szCs w:val="22"/>
          <w:lang w:val="en-GB"/>
          <w14:ligatures w14:val="none"/>
        </w:rPr>
      </w:pPr>
    </w:p>
    <w:p w14:paraId="07D5F61A" w14:textId="77777777" w:rsidR="00673987" w:rsidRP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UNDP Offices must that ensure expenses charged to the project are incurred or committed prior to the grant expiry date. Expenses committed after the grant expiry date will be disallowed by the US Federal Government Agency and should not be charged to the project being funded by the US Federal Agency grant.  </w:t>
      </w:r>
    </w:p>
    <w:p w14:paraId="364EE756" w14:textId="77777777" w:rsidR="00673987" w:rsidRPr="00673987" w:rsidRDefault="00673987" w:rsidP="00673987">
      <w:pPr>
        <w:spacing w:before="100" w:beforeAutospacing="1" w:after="100" w:afterAutospacing="1" w:line="259" w:lineRule="auto"/>
        <w:ind w:left="360"/>
        <w:contextualSpacing/>
        <w:jc w:val="both"/>
        <w:rPr>
          <w:rFonts w:ascii="Calibri" w:eastAsia="Calibri" w:hAnsi="Calibri" w:cs="Calibri"/>
          <w:color w:val="000000"/>
          <w:kern w:val="0"/>
          <w:sz w:val="22"/>
          <w:szCs w:val="22"/>
          <w:lang w:val="en-GB"/>
          <w14:ligatures w14:val="none"/>
        </w:rPr>
      </w:pPr>
    </w:p>
    <w:p w14:paraId="0C0DA84F" w14:textId="77777777" w:rsidR="00673987" w:rsidRDefault="00673987" w:rsidP="00673987">
      <w:pPr>
        <w:numPr>
          <w:ilvl w:val="1"/>
          <w:numId w:val="3"/>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lastRenderedPageBreak/>
        <w:t xml:space="preserve">If the UNDP Office determines that programming activities will not be completed by the Grant expiry date, a no-cost extension should be requested from the local US Federal Government Agency office. Such no-cost extension should be requested well in advance, prior to the grant expiry date and expenses should not be incurred after the grant expiry date if the no-cost extension has not been approved. A copy of the approved no-cost extension should be sent to GSSC </w:t>
      </w:r>
      <w:r w:rsidRPr="00673987">
        <w:rPr>
          <w:rFonts w:ascii="Calibri" w:eastAsia="Calibri" w:hAnsi="Calibri" w:cs="Calibri"/>
          <w:b/>
          <w:bCs/>
          <w:color w:val="000000"/>
          <w:kern w:val="0"/>
          <w:sz w:val="22"/>
          <w:szCs w:val="22"/>
          <w:lang w:val="en-GB"/>
          <w14:ligatures w14:val="none"/>
        </w:rPr>
        <w:t>within 1 week</w:t>
      </w:r>
      <w:r w:rsidRPr="00673987">
        <w:rPr>
          <w:rFonts w:ascii="Calibri" w:eastAsia="Calibri" w:hAnsi="Calibri" w:cs="Calibri"/>
          <w:color w:val="000000"/>
          <w:kern w:val="0"/>
          <w:sz w:val="22"/>
          <w:szCs w:val="22"/>
          <w:lang w:val="en-GB"/>
          <w14:ligatures w14:val="none"/>
        </w:rPr>
        <w:t xml:space="preserve"> of approval.</w:t>
      </w:r>
    </w:p>
    <w:p w14:paraId="26E2C826" w14:textId="77777777" w:rsidR="00673987" w:rsidRPr="00673987" w:rsidRDefault="00673987" w:rsidP="00673987">
      <w:pPr>
        <w:spacing w:before="100" w:beforeAutospacing="1" w:after="100" w:afterAutospacing="1" w:line="259" w:lineRule="auto"/>
        <w:ind w:right="8"/>
        <w:contextualSpacing/>
        <w:jc w:val="both"/>
        <w:rPr>
          <w:rFonts w:ascii="Calibri" w:eastAsia="Calibri" w:hAnsi="Calibri" w:cs="Calibri"/>
          <w:color w:val="000000"/>
          <w:kern w:val="0"/>
          <w:sz w:val="22"/>
          <w:szCs w:val="22"/>
          <w:lang w:val="en-GB"/>
          <w14:ligatures w14:val="none"/>
        </w:rPr>
      </w:pPr>
    </w:p>
    <w:p w14:paraId="02FE9EEB" w14:textId="77777777" w:rsidR="00673987" w:rsidRPr="00673987" w:rsidRDefault="00673987" w:rsidP="00673987">
      <w:pPr>
        <w:keepNext/>
        <w:keepLines/>
        <w:numPr>
          <w:ilvl w:val="0"/>
          <w:numId w:val="4"/>
        </w:numPr>
        <w:spacing w:before="100" w:beforeAutospacing="1" w:after="0" w:line="259" w:lineRule="auto"/>
        <w:ind w:left="567" w:right="8" w:hanging="572"/>
        <w:jc w:val="both"/>
        <w:outlineLvl w:val="0"/>
        <w:rPr>
          <w:rFonts w:ascii="Calibri" w:eastAsia="Calibri" w:hAnsi="Calibri" w:cs="Calibri"/>
          <w:b/>
          <w:color w:val="000000"/>
          <w:kern w:val="0"/>
          <w:sz w:val="22"/>
          <w:szCs w:val="22"/>
          <w:lang w:val="en-GB"/>
          <w14:ligatures w14:val="none"/>
        </w:rPr>
      </w:pPr>
      <w:r w:rsidRPr="00673987">
        <w:rPr>
          <w:rFonts w:ascii="Calibri" w:eastAsia="Calibri" w:hAnsi="Calibri" w:cs="Calibri"/>
          <w:b/>
          <w:color w:val="000000"/>
          <w:kern w:val="0"/>
          <w:sz w:val="22"/>
          <w:szCs w:val="22"/>
          <w:lang w:val="en-GB"/>
          <w14:ligatures w14:val="none"/>
        </w:rPr>
        <w:t xml:space="preserve">Contributions  </w:t>
      </w:r>
    </w:p>
    <w:p w14:paraId="7D234408" w14:textId="77777777" w:rsidR="00673987" w:rsidRPr="00673987" w:rsidRDefault="00673987" w:rsidP="00673987">
      <w:pPr>
        <w:spacing w:before="100" w:beforeAutospacing="1" w:after="0" w:line="259" w:lineRule="auto"/>
        <w:ind w:left="567"/>
        <w:contextualSpacing/>
        <w:jc w:val="both"/>
        <w:rPr>
          <w:rFonts w:ascii="Calibri" w:eastAsia="Calibri" w:hAnsi="Calibri" w:cs="Calibri"/>
          <w:color w:val="000000"/>
          <w:kern w:val="0"/>
          <w:sz w:val="22"/>
          <w:szCs w:val="22"/>
          <w:lang w:val="en-GB"/>
          <w14:ligatures w14:val="none"/>
        </w:rPr>
      </w:pPr>
    </w:p>
    <w:p w14:paraId="4CF5DC9F" w14:textId="77777777" w:rsidR="00673987" w:rsidRPr="00673987" w:rsidRDefault="00673987" w:rsidP="00673987">
      <w:pPr>
        <w:numPr>
          <w:ilvl w:val="1"/>
          <w:numId w:val="4"/>
        </w:numPr>
        <w:spacing w:before="100" w:beforeAutospacing="1" w:after="0"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UNDP’s Revenue Recognition policy for all US funded grants through the LOC mechanism is to recognize revenue based on the obligated amount stipulated in the signed agreement.</w:t>
      </w:r>
    </w:p>
    <w:p w14:paraId="0F1D97F5" w14:textId="77777777" w:rsidR="00673987" w:rsidRPr="00673987" w:rsidRDefault="00673987" w:rsidP="00673987">
      <w:pPr>
        <w:spacing w:before="100" w:beforeAutospacing="1" w:after="100" w:afterAutospacing="1" w:line="259" w:lineRule="auto"/>
        <w:ind w:left="1075"/>
        <w:contextualSpacing/>
        <w:jc w:val="both"/>
        <w:rPr>
          <w:rFonts w:ascii="Calibri" w:eastAsia="SimSun" w:hAnsi="Calibri" w:cs="Calibri"/>
          <w:color w:val="000000"/>
          <w:kern w:val="0"/>
          <w:sz w:val="22"/>
          <w:szCs w:val="22"/>
          <w:lang w:val="en-GB"/>
          <w14:ligatures w14:val="none"/>
        </w:rPr>
      </w:pPr>
    </w:p>
    <w:p w14:paraId="7D5B3D75" w14:textId="0BEF91C2"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After a UNDP Office signs the agreement with the local US Federal Government Agency counterpart, the US Government updates its public website </w:t>
      </w:r>
      <w:hyperlink r:id="rId9">
        <w:r w:rsidRPr="00673987">
          <w:rPr>
            <w:rFonts w:ascii="Calibri" w:eastAsia="Calibri" w:hAnsi="Calibri" w:cs="Calibri"/>
            <w:color w:val="333333"/>
            <w:kern w:val="0"/>
            <w:sz w:val="22"/>
            <w:szCs w:val="22"/>
            <w:lang w:val="en-GB"/>
            <w14:ligatures w14:val="none"/>
          </w:rPr>
          <w:t>(</w:t>
        </w:r>
      </w:hyperlink>
      <w:hyperlink r:id="rId10" w:history="1">
        <w:r w:rsidRPr="00673987">
          <w:rPr>
            <w:rFonts w:ascii="Calibri" w:eastAsia="Calibri" w:hAnsi="Calibri" w:cs="Calibri"/>
            <w:color w:val="0000FF"/>
            <w:kern w:val="0"/>
            <w:sz w:val="22"/>
            <w:szCs w:val="22"/>
            <w:u w:val="single"/>
            <w:lang w:val="en-GB"/>
            <w14:ligatures w14:val="none"/>
          </w:rPr>
          <w:t>http://pms.psc.gov</w:t>
        </w:r>
      </w:hyperlink>
      <w:hyperlink r:id="rId11">
        <w:r w:rsidRPr="00673987">
          <w:rPr>
            <w:rFonts w:ascii="Calibri" w:eastAsia="Calibri" w:hAnsi="Calibri" w:cs="Calibri"/>
            <w:color w:val="333333"/>
            <w:kern w:val="0"/>
            <w:sz w:val="22"/>
            <w:szCs w:val="22"/>
            <w:lang w:val="en-GB"/>
            <w14:ligatures w14:val="none"/>
          </w:rPr>
          <w:t xml:space="preserve">) </w:t>
        </w:r>
      </w:hyperlink>
      <w:r w:rsidRPr="00673987">
        <w:rPr>
          <w:rFonts w:ascii="Calibri" w:eastAsia="Calibri" w:hAnsi="Calibri" w:cs="Calibri"/>
          <w:color w:val="000000"/>
          <w:kern w:val="0"/>
          <w:sz w:val="22"/>
          <w:szCs w:val="22"/>
          <w:lang w:val="en-GB"/>
          <w14:ligatures w14:val="none"/>
        </w:rPr>
        <w:t xml:space="preserve">with information on the new grant to obligate the grant and make funding available to UNDP.  The website also provides standard reports on the status of all UNDP approved grants. These reports provide information on the grant ID, grant start date, grant obligated amount, any increase/decrease in the grant amount and the grant expiry date.  GSSC requests quarterly cash drawdowns for obligated grants using the DHHS PMS based on expenses incurred by the UNDP Offices against  the respective projects.  </w:t>
      </w:r>
    </w:p>
    <w:p w14:paraId="3051BF32" w14:textId="77777777" w:rsidR="00673987" w:rsidRPr="00673987" w:rsidRDefault="00673987" w:rsidP="00673987">
      <w:pPr>
        <w:spacing w:after="99" w:line="257" w:lineRule="auto"/>
        <w:ind w:left="720" w:hanging="368"/>
        <w:contextualSpacing/>
        <w:jc w:val="both"/>
        <w:rPr>
          <w:rFonts w:ascii="Calibri" w:eastAsia="Calibri" w:hAnsi="Calibri" w:cs="Calibri"/>
          <w:color w:val="000000"/>
          <w:kern w:val="0"/>
          <w:sz w:val="22"/>
          <w:szCs w:val="22"/>
          <w:lang w:val="en-GB"/>
          <w14:ligatures w14:val="none"/>
        </w:rPr>
      </w:pPr>
    </w:p>
    <w:p w14:paraId="4B20A739" w14:textId="77777777"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Once the UNDP Office has negotiated and signed a LOC grant agreement with the relevant US Federal Government Agency (Local USAID), a copy of the signed agreement and the Chart of Accounts (COA) for the associated project should be submitted to GSSC </w:t>
      </w:r>
      <w:r w:rsidRPr="00673987">
        <w:rPr>
          <w:rFonts w:ascii="Calibri" w:eastAsia="Calibri" w:hAnsi="Calibri" w:cs="Calibri"/>
          <w:b/>
          <w:bCs/>
          <w:color w:val="000000"/>
          <w:kern w:val="0"/>
          <w:sz w:val="22"/>
          <w:szCs w:val="22"/>
          <w:lang w:val="en-GB"/>
          <w14:ligatures w14:val="none"/>
        </w:rPr>
        <w:t>within 1 week of signing the grant agreement</w:t>
      </w:r>
      <w:r w:rsidRPr="00673987">
        <w:rPr>
          <w:rFonts w:ascii="Calibri" w:eastAsia="Calibri" w:hAnsi="Calibri" w:cs="Calibri"/>
          <w:color w:val="000000"/>
          <w:kern w:val="0"/>
          <w:sz w:val="22"/>
          <w:szCs w:val="22"/>
          <w:lang w:val="en-GB"/>
          <w14:ligatures w14:val="none"/>
        </w:rPr>
        <w:t xml:space="preserve"> via the UNITY/UNall for processing in the  Contract Management Module.</w:t>
      </w:r>
      <w:bookmarkStart w:id="0" w:name="_Hlk49781425"/>
      <w:bookmarkEnd w:id="0"/>
    </w:p>
    <w:p w14:paraId="3EBC092D" w14:textId="77777777" w:rsidR="00673987" w:rsidRPr="00673987" w:rsidRDefault="00673987" w:rsidP="00673987">
      <w:pPr>
        <w:spacing w:before="100" w:beforeAutospacing="1" w:after="100" w:afterAutospacing="1" w:line="259" w:lineRule="auto"/>
        <w:ind w:left="567" w:hanging="567"/>
        <w:contextualSpacing/>
        <w:jc w:val="both"/>
        <w:rPr>
          <w:rFonts w:ascii="Calibri" w:eastAsia="Calibri" w:hAnsi="Calibri" w:cs="Calibri"/>
          <w:kern w:val="0"/>
          <w:sz w:val="22"/>
          <w:szCs w:val="22"/>
          <w:lang w:val="en-GB"/>
          <w14:ligatures w14:val="none"/>
        </w:rPr>
      </w:pPr>
    </w:p>
    <w:p w14:paraId="4EB8EA86" w14:textId="77777777"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kern w:val="0"/>
          <w:sz w:val="22"/>
          <w:szCs w:val="22"/>
          <w:lang w:val="en-GB"/>
          <w14:ligatures w14:val="none"/>
        </w:rPr>
      </w:pPr>
      <w:r w:rsidRPr="00673987">
        <w:rPr>
          <w:rFonts w:ascii="Calibri" w:eastAsia="Times New Roman" w:hAnsi="Calibri" w:cs="Calibri"/>
          <w:kern w:val="0"/>
          <w:sz w:val="22"/>
          <w:szCs w:val="22"/>
          <w14:ligatures w14:val="none"/>
        </w:rPr>
        <w:t xml:space="preserve">At the end of every year, the Head of Office will be required to certify in the annual representation that all signed agreements/amendments to agreements have been submitted to GSSC on a timely basis prior to the closure of the financial ledgers. </w:t>
      </w:r>
      <w:r w:rsidRPr="00673987">
        <w:rPr>
          <w:rFonts w:ascii="Calibri" w:eastAsia="Calibri" w:hAnsi="Calibri" w:cs="Calibri"/>
          <w:kern w:val="0"/>
          <w:sz w:val="22"/>
          <w:szCs w:val="22"/>
          <w14:ligatures w14:val="none"/>
        </w:rPr>
        <w:t>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2709F517" w14:textId="356123D4" w:rsid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333333"/>
          <w:kern w:val="0"/>
          <w:sz w:val="22"/>
          <w:szCs w:val="22"/>
          <w:lang w:val="en-GB"/>
          <w14:ligatures w14:val="none"/>
        </w:rPr>
        <w:t>GSSC</w:t>
      </w:r>
      <w:r w:rsidRPr="00673987">
        <w:rPr>
          <w:rFonts w:ascii="Calibri" w:eastAsia="Calibri" w:hAnsi="Calibri" w:cs="Calibri"/>
          <w:color w:val="000000"/>
          <w:kern w:val="0"/>
          <w:sz w:val="22"/>
          <w:szCs w:val="22"/>
          <w:lang w:val="en-GB"/>
          <w14:ligatures w14:val="none"/>
        </w:rPr>
        <w:t xml:space="preserve"> will verify whether the new grant has been reflected on the US Government website and will credit the project in </w:t>
      </w:r>
      <w:r w:rsidRPr="00673987" w:rsidDel="00BE7C9E">
        <w:rPr>
          <w:rFonts w:ascii="Calibri" w:eastAsia="Calibri" w:hAnsi="Calibri" w:cs="Calibri"/>
          <w:color w:val="000000"/>
          <w:kern w:val="0"/>
          <w:sz w:val="22"/>
          <w:szCs w:val="22"/>
          <w:lang w:val="en-GB"/>
          <w14:ligatures w14:val="none"/>
        </w:rPr>
        <w:t>Quantum</w:t>
      </w:r>
      <w:r w:rsidRPr="00673987">
        <w:rPr>
          <w:rFonts w:ascii="Calibri" w:eastAsia="Calibri" w:hAnsi="Calibri" w:cs="Calibri"/>
          <w:color w:val="000000"/>
          <w:kern w:val="0"/>
          <w:sz w:val="22"/>
          <w:szCs w:val="22"/>
          <w:lang w:val="en-GB"/>
          <w14:ligatures w14:val="none"/>
        </w:rPr>
        <w:t xml:space="preserve"> PPM with the funds that have been obligated using the COA provided by the UNDP Office.  Revenue is recognized based on the full obligated amount per the signed agreement. </w:t>
      </w:r>
    </w:p>
    <w:p w14:paraId="4BC79475" w14:textId="77777777" w:rsidR="00673987" w:rsidRPr="00673987" w:rsidRDefault="00673987" w:rsidP="00673987">
      <w:pPr>
        <w:spacing w:before="100" w:beforeAutospacing="1" w:after="100" w:afterAutospacing="1" w:line="259" w:lineRule="auto"/>
        <w:ind w:left="567" w:right="8"/>
        <w:contextualSpacing/>
        <w:jc w:val="both"/>
        <w:rPr>
          <w:rFonts w:ascii="Calibri" w:eastAsia="Calibri" w:hAnsi="Calibri" w:cs="Calibri"/>
          <w:color w:val="000000"/>
          <w:kern w:val="0"/>
          <w:sz w:val="22"/>
          <w:szCs w:val="22"/>
          <w:lang w:val="en-GB"/>
          <w14:ligatures w14:val="none"/>
        </w:rPr>
      </w:pPr>
    </w:p>
    <w:p w14:paraId="440C4819" w14:textId="77777777"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kern w:val="0"/>
          <w:sz w:val="22"/>
          <w:szCs w:val="22"/>
          <w:lang w:val="en-GB"/>
          <w14:ligatures w14:val="none"/>
        </w:rPr>
      </w:pPr>
      <w:r w:rsidRPr="00673987">
        <w:rPr>
          <w:rFonts w:ascii="Calibri" w:eastAsia="Calibri" w:hAnsi="Calibri" w:cs="Calibri"/>
          <w:kern w:val="0"/>
          <w:sz w:val="22"/>
          <w:szCs w:val="22"/>
          <w:lang w:val="en-GB"/>
          <w14:ligatures w14:val="none"/>
        </w:rPr>
        <w:t xml:space="preserve">UNDP Offices are responsible for creating the project in Quantum PPM and providing all the relevant chart fields. The accounting entries used by GSSC to record new grants when funds are obligated by the Federal Government Agency are:  </w:t>
      </w:r>
    </w:p>
    <w:p w14:paraId="6FA4DEE9" w14:textId="77777777" w:rsidR="00673987" w:rsidRDefault="00673987" w:rsidP="00673987">
      <w:pPr>
        <w:spacing w:after="0" w:line="259" w:lineRule="auto"/>
        <w:ind w:left="1421" w:right="1307"/>
        <w:jc w:val="both"/>
        <w:rPr>
          <w:rFonts w:ascii="Calibri" w:eastAsia="Calibri" w:hAnsi="Calibri" w:cs="Calibri"/>
          <w:kern w:val="0"/>
          <w:sz w:val="22"/>
          <w:szCs w:val="22"/>
          <w:lang w:val="en-GB"/>
          <w14:ligatures w14:val="none"/>
        </w:rPr>
      </w:pPr>
      <w:bookmarkStart w:id="1" w:name="_Hlk50029757"/>
      <w:r w:rsidRPr="00673987">
        <w:rPr>
          <w:rFonts w:ascii="Calibri" w:eastAsia="Calibri" w:hAnsi="Calibri" w:cs="Calibri"/>
          <w:kern w:val="0"/>
          <w:sz w:val="22"/>
          <w:szCs w:val="22"/>
          <w:lang w:val="en-GB"/>
          <w14:ligatures w14:val="none"/>
        </w:rPr>
        <w:t>Dr Unbilled Accounts Receivable Contracts - Letter of Credit</w:t>
      </w:r>
      <w:r w:rsidRPr="00673987" w:rsidDel="00F21BB6">
        <w:rPr>
          <w:rFonts w:ascii="Calibri" w:eastAsia="Calibri" w:hAnsi="Calibri" w:cs="Calibri"/>
          <w:kern w:val="0"/>
          <w:sz w:val="22"/>
          <w:szCs w:val="22"/>
          <w:lang w:val="en-GB"/>
          <w14:ligatures w14:val="none"/>
        </w:rPr>
        <w:t xml:space="preserve"> </w:t>
      </w:r>
      <w:r w:rsidRPr="00673987">
        <w:rPr>
          <w:rFonts w:ascii="Calibri" w:eastAsia="Calibri" w:hAnsi="Calibri" w:cs="Calibri"/>
          <w:kern w:val="0"/>
          <w:sz w:val="22"/>
          <w:szCs w:val="22"/>
          <w:lang w:val="en-GB"/>
          <w14:ligatures w14:val="none"/>
        </w:rPr>
        <w:t xml:space="preserve">(GL Account 14082) </w:t>
      </w:r>
      <w:bookmarkEnd w:id="1"/>
    </w:p>
    <w:p w14:paraId="2014F292" w14:textId="39E05EE2" w:rsidR="00673987" w:rsidRDefault="00673987" w:rsidP="00673987">
      <w:pPr>
        <w:spacing w:after="0" w:line="259" w:lineRule="auto"/>
        <w:ind w:left="1421" w:right="1307"/>
        <w:jc w:val="both"/>
        <w:rPr>
          <w:rFonts w:ascii="Calibri" w:eastAsia="Calibri" w:hAnsi="Calibri" w:cs="Calibri"/>
          <w:kern w:val="0"/>
          <w:sz w:val="22"/>
          <w:szCs w:val="22"/>
          <w:lang w:val="en-GB"/>
          <w14:ligatures w14:val="none"/>
        </w:rPr>
      </w:pPr>
      <w:r w:rsidRPr="00673987">
        <w:rPr>
          <w:rFonts w:ascii="Calibri" w:eastAsia="Calibri" w:hAnsi="Calibri" w:cs="Calibri"/>
          <w:kern w:val="0"/>
          <w:sz w:val="22"/>
          <w:szCs w:val="22"/>
          <w:lang w:val="en-GB"/>
          <w14:ligatures w14:val="none"/>
        </w:rPr>
        <w:t xml:space="preserve">Cr Project Voluntary Contributions - US Government Letter of Credit (GL Account  51013)   </w:t>
      </w:r>
    </w:p>
    <w:p w14:paraId="62813DE3" w14:textId="77777777" w:rsidR="00673987" w:rsidRPr="00673987" w:rsidRDefault="00673987" w:rsidP="00673987">
      <w:pPr>
        <w:spacing w:after="0" w:line="259" w:lineRule="auto"/>
        <w:ind w:left="1421" w:right="1307"/>
        <w:jc w:val="both"/>
        <w:rPr>
          <w:rFonts w:ascii="Calibri" w:eastAsia="Calibri" w:hAnsi="Calibri" w:cs="Calibri"/>
          <w:kern w:val="0"/>
          <w:sz w:val="22"/>
          <w:szCs w:val="22"/>
          <w:lang w:val="en-GB"/>
          <w14:ligatures w14:val="none"/>
        </w:rPr>
      </w:pPr>
    </w:p>
    <w:p w14:paraId="5EAA7FC9" w14:textId="77777777"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The COA for crediting the contribution to the project should include:  </w:t>
      </w:r>
    </w:p>
    <w:p w14:paraId="4DF53D6D" w14:textId="77777777" w:rsidR="00673987" w:rsidRPr="00673987" w:rsidRDefault="00673987" w:rsidP="00673987">
      <w:pPr>
        <w:spacing w:after="60" w:line="259" w:lineRule="auto"/>
        <w:ind w:left="1423"/>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Project ID:  As provided by the BU  </w:t>
      </w:r>
    </w:p>
    <w:p w14:paraId="54425EA8" w14:textId="77777777" w:rsidR="00673987" w:rsidRPr="00673987" w:rsidRDefault="00673987" w:rsidP="00673987">
      <w:pPr>
        <w:spacing w:after="60" w:line="259" w:lineRule="auto"/>
        <w:ind w:left="1423"/>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lastRenderedPageBreak/>
        <w:t>Fund Code: Appropriate fund codes as advised by GSSC</w:t>
      </w:r>
    </w:p>
    <w:p w14:paraId="113627A1" w14:textId="77777777" w:rsidR="00673987" w:rsidRPr="00673987" w:rsidRDefault="00673987" w:rsidP="00673987">
      <w:pPr>
        <w:spacing w:after="60" w:line="259" w:lineRule="auto"/>
        <w:ind w:left="1423"/>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Donor Code 10480  </w:t>
      </w:r>
    </w:p>
    <w:p w14:paraId="659B01BC" w14:textId="77777777" w:rsidR="00673987" w:rsidRPr="00673987" w:rsidRDefault="00673987" w:rsidP="00673987">
      <w:pPr>
        <w:spacing w:after="60" w:line="259" w:lineRule="auto"/>
        <w:ind w:left="1423"/>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Cost Centre: As provided by the BU  </w:t>
      </w:r>
    </w:p>
    <w:p w14:paraId="069E769F" w14:textId="77777777" w:rsidR="00673987" w:rsidRPr="00673987" w:rsidRDefault="00673987" w:rsidP="00673987">
      <w:pPr>
        <w:spacing w:after="60" w:line="259" w:lineRule="auto"/>
        <w:ind w:left="1423"/>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PCBU: As provided by the BU  </w:t>
      </w:r>
    </w:p>
    <w:p w14:paraId="083965C4" w14:textId="77777777"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When performing quarterly payment drawdowns, GSSC will create the relevant Billed Accounts Receivable entry as follows:</w:t>
      </w:r>
    </w:p>
    <w:p w14:paraId="1D01C5EE" w14:textId="77777777" w:rsidR="00673987" w:rsidRPr="00673987" w:rsidRDefault="00673987" w:rsidP="00673987">
      <w:pPr>
        <w:spacing w:before="100" w:beforeAutospacing="1" w:after="100" w:afterAutospacing="1" w:line="259" w:lineRule="auto"/>
        <w:ind w:left="1421" w:right="1307"/>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Dr Government Letters of Credit Receivable (GL Account 13010) </w:t>
      </w:r>
    </w:p>
    <w:p w14:paraId="6812F800" w14:textId="77777777" w:rsidR="00673987" w:rsidRPr="00673987" w:rsidRDefault="00673987" w:rsidP="00673987">
      <w:pPr>
        <w:spacing w:before="100" w:beforeAutospacing="1" w:after="100" w:afterAutospacing="1" w:line="259" w:lineRule="auto"/>
        <w:ind w:left="2141" w:right="1307" w:firstLine="19"/>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Cr Unbilled Accounts Receivable Contracts - Letter of Credit</w:t>
      </w:r>
      <w:r w:rsidRPr="00673987" w:rsidDel="00C359BB">
        <w:rPr>
          <w:rFonts w:ascii="Calibri" w:eastAsia="Calibri" w:hAnsi="Calibri" w:cs="Calibri"/>
          <w:color w:val="000000"/>
          <w:kern w:val="0"/>
          <w:sz w:val="22"/>
          <w:szCs w:val="22"/>
          <w:lang w:val="en-GB"/>
          <w14:ligatures w14:val="none"/>
        </w:rPr>
        <w:t xml:space="preserve"> </w:t>
      </w:r>
      <w:r w:rsidRPr="00673987">
        <w:rPr>
          <w:rFonts w:ascii="Calibri" w:eastAsia="Calibri" w:hAnsi="Calibri" w:cs="Calibri"/>
          <w:color w:val="000000"/>
          <w:kern w:val="0"/>
          <w:sz w:val="22"/>
          <w:szCs w:val="22"/>
          <w:lang w:val="en-GB"/>
          <w14:ligatures w14:val="none"/>
        </w:rPr>
        <w:t xml:space="preserve">(GL Account 14082)    </w:t>
      </w:r>
    </w:p>
    <w:p w14:paraId="3AC10F36" w14:textId="53468E85"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When entering the project in Quantum, UNDP Offices must ensure that the correct GMS rate, as agreed with the US Federal Government Agency, in accordance with UNDP’s cost recovery policy. </w:t>
      </w:r>
    </w:p>
    <w:p w14:paraId="1B716416" w14:textId="77777777" w:rsidR="00673987" w:rsidRPr="00673987" w:rsidRDefault="00673987" w:rsidP="00673987">
      <w:pPr>
        <w:spacing w:before="100" w:beforeAutospacing="1" w:after="100" w:afterAutospacing="1" w:line="259" w:lineRule="auto"/>
        <w:ind w:left="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  </w:t>
      </w:r>
    </w:p>
    <w:p w14:paraId="68194ED2" w14:textId="27BA69D5" w:rsidR="00673987" w:rsidRPr="00673987" w:rsidRDefault="00673987" w:rsidP="00673987">
      <w:pPr>
        <w:numPr>
          <w:ilvl w:val="1"/>
          <w:numId w:val="4"/>
        </w:numPr>
        <w:spacing w:beforeAutospacing="1" w:after="99" w:afterAutospacing="1" w:line="259" w:lineRule="auto"/>
        <w:ind w:left="567" w:right="8" w:hanging="567"/>
        <w:contextualSpacing/>
        <w:jc w:val="both"/>
        <w:rPr>
          <w:rFonts w:ascii="Calibri" w:eastAsia="Calibri" w:hAnsi="Calibri" w:cs="Calibri"/>
          <w:b/>
          <w:bCs/>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On a quarterly basis, GSSC requires UNDP Offices to certify expense figures extracted from Quantum for each operational grant, before the end of the month following the quarter in question.</w:t>
      </w:r>
    </w:p>
    <w:p w14:paraId="2DF1BC49" w14:textId="77777777" w:rsidR="00673987" w:rsidRPr="00673987" w:rsidRDefault="00673987" w:rsidP="00673987">
      <w:pPr>
        <w:spacing w:after="99" w:line="257" w:lineRule="auto"/>
        <w:ind w:left="720" w:hanging="368"/>
        <w:contextualSpacing/>
        <w:jc w:val="both"/>
        <w:rPr>
          <w:rFonts w:ascii="Calibri" w:eastAsia="Calibri" w:hAnsi="Calibri" w:cs="Calibri"/>
          <w:b/>
          <w:bCs/>
          <w:color w:val="000000"/>
          <w:kern w:val="0"/>
          <w:sz w:val="22"/>
          <w:szCs w:val="22"/>
          <w:lang w:val="en-GB"/>
          <w14:ligatures w14:val="none"/>
        </w:rPr>
      </w:pPr>
    </w:p>
    <w:p w14:paraId="2DD108DF" w14:textId="77777777"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On a quarterly basis, an analysis of expenses per grant is completed by GSSC to determine whether UNDP has any unfunded expenses (i.e. UNDP has incurred expenses against the grant without drawing funds from the LOC). This analysis is performed for each grant separately, taking into account the current level of expenses (increase/decrease) from the prior quarter, the amount of cash already drawn and the grant expiry date. GSSC draws down the LOC by electronically requesting funds via the PMS. Once requested, the transfer occurs normally within 2 business days.  When cash is received, GSSC applies the funds against the Billed Accounts Receivable as follows:  </w:t>
      </w:r>
    </w:p>
    <w:p w14:paraId="474E305F" w14:textId="434AE820" w:rsidR="00673987" w:rsidRPr="00673987" w:rsidRDefault="00673987" w:rsidP="00673987">
      <w:pPr>
        <w:tabs>
          <w:tab w:val="center" w:pos="713"/>
          <w:tab w:val="center" w:pos="2667"/>
        </w:tabs>
        <w:spacing w:before="100" w:beforeAutospacing="1" w:after="100" w:afterAutospacing="1" w:line="259" w:lineRule="auto"/>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   </w:t>
      </w:r>
      <w:r w:rsidRPr="00673987">
        <w:rPr>
          <w:rFonts w:ascii="Calibri" w:eastAsia="Calibri" w:hAnsi="Calibri" w:cs="Calibri"/>
          <w:color w:val="000000"/>
          <w:kern w:val="0"/>
          <w:sz w:val="22"/>
          <w:szCs w:val="22"/>
          <w:lang w:val="en-GB"/>
          <w14:ligatures w14:val="none"/>
        </w:rPr>
        <w:tab/>
        <w:t xml:space="preserve">  </w:t>
      </w:r>
      <w:r w:rsidRPr="00673987">
        <w:rPr>
          <w:rFonts w:ascii="Calibri" w:eastAsia="Calibri" w:hAnsi="Calibri" w:cs="Calibri"/>
          <w:color w:val="000000"/>
          <w:kern w:val="0"/>
          <w:sz w:val="22"/>
          <w:szCs w:val="22"/>
          <w:lang w:val="en-GB"/>
          <w14:ligatures w14:val="none"/>
        </w:rPr>
        <w:tab/>
        <w:t xml:space="preserve">Dr Cash Clearing - Contributions USD Account (GL Account 41436)  </w:t>
      </w:r>
    </w:p>
    <w:p w14:paraId="1DA292CB" w14:textId="77777777" w:rsidR="00673987" w:rsidRPr="00673987" w:rsidRDefault="00673987" w:rsidP="00673987">
      <w:pPr>
        <w:spacing w:before="100" w:beforeAutospacing="1" w:after="100" w:afterAutospacing="1" w:line="259" w:lineRule="auto"/>
        <w:ind w:left="2141" w:firstLine="19"/>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Cr Government Letters of Credit Receivable (GL Account 13010)  </w:t>
      </w:r>
    </w:p>
    <w:p w14:paraId="00E626E7" w14:textId="147164DB" w:rsidR="00673987" w:rsidRPr="00673987" w:rsidRDefault="00673987" w:rsidP="00673987">
      <w:pPr>
        <w:numPr>
          <w:ilvl w:val="1"/>
          <w:numId w:val="4"/>
        </w:numPr>
        <w:spacing w:before="100" w:beforeAutospacing="1" w:after="100" w:afterAutospacing="1" w:line="259" w:lineRule="auto"/>
        <w:ind w:left="567" w:right="8" w:hanging="567"/>
        <w:contextualSpacing/>
        <w:jc w:val="both"/>
        <w:rPr>
          <w:rFonts w:ascii="Calibri" w:eastAsia="Calibri" w:hAnsi="Calibri" w:cs="Calibri"/>
          <w:b/>
          <w:bCs/>
          <w:kern w:val="0"/>
          <w:sz w:val="22"/>
          <w:szCs w:val="22"/>
          <w14:ligatures w14:val="none"/>
        </w:rPr>
      </w:pPr>
      <w:r w:rsidRPr="00673987">
        <w:rPr>
          <w:rFonts w:ascii="Calibri" w:eastAsia="Calibri" w:hAnsi="Calibri" w:cs="Calibri"/>
          <w:color w:val="000000"/>
          <w:kern w:val="0"/>
          <w:sz w:val="22"/>
          <w:szCs w:val="22"/>
          <w:lang w:val="en-GB"/>
          <w14:ligatures w14:val="none"/>
        </w:rPr>
        <w:t xml:space="preserve">All drawdowns are handled by GSSC, and cash is received in HQ Bank Accounts.  </w:t>
      </w:r>
    </w:p>
    <w:p w14:paraId="186F2564" w14:textId="77777777" w:rsidR="00673987" w:rsidRPr="00673987" w:rsidRDefault="00673987" w:rsidP="00673987">
      <w:pPr>
        <w:spacing w:before="100" w:beforeAutospacing="1" w:after="100" w:afterAutospacing="1" w:line="259" w:lineRule="auto"/>
        <w:ind w:left="360"/>
        <w:contextualSpacing/>
        <w:jc w:val="both"/>
        <w:rPr>
          <w:rFonts w:ascii="Calibri" w:eastAsia="Calibri" w:hAnsi="Calibri" w:cs="Calibri"/>
          <w:b/>
          <w:bCs/>
          <w:kern w:val="0"/>
          <w:sz w:val="22"/>
          <w:szCs w:val="22"/>
          <w14:ligatures w14:val="none"/>
        </w:rPr>
      </w:pPr>
    </w:p>
    <w:p w14:paraId="7AFA2D04" w14:textId="77777777" w:rsidR="00673987" w:rsidRPr="00673987" w:rsidRDefault="00673987" w:rsidP="00673987">
      <w:pPr>
        <w:spacing w:before="100" w:beforeAutospacing="1" w:after="100" w:afterAutospacing="1" w:line="259" w:lineRule="auto"/>
        <w:contextualSpacing/>
        <w:jc w:val="both"/>
        <w:rPr>
          <w:rFonts w:ascii="Calibri" w:eastAsia="Calibri" w:hAnsi="Calibri" w:cs="Calibri"/>
          <w:b/>
          <w:bCs/>
          <w:kern w:val="0"/>
          <w:sz w:val="22"/>
          <w:szCs w:val="22"/>
          <w14:ligatures w14:val="none"/>
        </w:rPr>
      </w:pPr>
      <w:r w:rsidRPr="00673987">
        <w:rPr>
          <w:rFonts w:ascii="Calibri" w:eastAsia="Calibri" w:hAnsi="Calibri" w:cs="Calibri"/>
          <w:b/>
          <w:bCs/>
          <w:kern w:val="0"/>
          <w:sz w:val="22"/>
          <w:szCs w:val="22"/>
          <w14:ligatures w14:val="none"/>
        </w:rPr>
        <w:t>Roles allocated in the DHHS PMS</w:t>
      </w:r>
    </w:p>
    <w:p w14:paraId="6A9DE6ED" w14:textId="1B032D86" w:rsidR="00673987" w:rsidRPr="00673987" w:rsidRDefault="00673987" w:rsidP="00673987">
      <w:pPr>
        <w:spacing w:before="100" w:beforeAutospacing="1" w:after="100" w:afterAutospacing="1" w:line="259" w:lineRule="auto"/>
        <w:ind w:left="567" w:hanging="567"/>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 xml:space="preserve">3.13 </w:t>
      </w:r>
      <w:r w:rsidRPr="00673987">
        <w:rPr>
          <w:rFonts w:ascii="Calibri" w:eastAsia="Calibri" w:hAnsi="Calibri" w:cs="Calibri"/>
          <w:color w:val="000000"/>
          <w:kern w:val="0"/>
          <w:sz w:val="22"/>
          <w:szCs w:val="22"/>
          <w:lang w:val="en-GB"/>
          <w14:ligatures w14:val="none"/>
        </w:rPr>
        <w:tab/>
        <w:t xml:space="preserve">UNDP Offices are requested to enter 793511262 for DUNS Number and </w:t>
      </w:r>
      <w:r w:rsidRPr="00673987">
        <w:rPr>
          <w:rFonts w:ascii="Calibri" w:eastAsia="Calibri" w:hAnsi="Calibri" w:cs="Calibri"/>
          <w:color w:val="000000"/>
          <w:kern w:val="0"/>
          <w:sz w:val="22"/>
          <w:szCs w:val="22"/>
          <w14:ligatures w14:val="none"/>
        </w:rPr>
        <w:t>13</w:t>
      </w:r>
      <w:r w:rsidRPr="00673987">
        <w:rPr>
          <w:rFonts w:ascii="Calibri" w:eastAsia="Calibri" w:hAnsi="Calibri" w:cs="Calibri"/>
          <w:color w:val="000000"/>
          <w:kern w:val="0"/>
          <w:sz w:val="22"/>
          <w:szCs w:val="22"/>
          <w:lang w:val="en-GB"/>
          <w14:ligatures w14:val="none"/>
        </w:rPr>
        <w:t>-2924889 for EIN Number were requested in the FFR-425. Any changes to the DUNS or EIN Numbers will be advised by UNDP Treasury. The entity Administrator for the DHHS PMS is the Finance Specialist in the Corporate Financial Reporting and Agencies Services (CFRA) Section within OFM. This individual is authorized to have access to the System for Award Management (SAM) which is part of the DHHS PMS. UNDP Offices should enter UNDP304 for the account number where requested.</w:t>
      </w:r>
    </w:p>
    <w:p w14:paraId="46B10D0E" w14:textId="77777777" w:rsidR="00673987" w:rsidRPr="00673987" w:rsidRDefault="00673987" w:rsidP="00673987">
      <w:pPr>
        <w:numPr>
          <w:ilvl w:val="1"/>
          <w:numId w:val="5"/>
        </w:numPr>
        <w:spacing w:before="100" w:beforeAutospacing="1" w:after="100" w:afterAutospacing="1" w:line="259" w:lineRule="auto"/>
        <w:ind w:left="709" w:right="8" w:hanging="709"/>
        <w:contextualSpacing/>
        <w:jc w:val="both"/>
        <w:rPr>
          <w:rFonts w:ascii="Calibri" w:eastAsia="Calibri" w:hAnsi="Calibri" w:cs="Calibri"/>
          <w:color w:val="000000"/>
          <w:kern w:val="0"/>
          <w:sz w:val="22"/>
          <w:szCs w:val="22"/>
          <w:lang w:val="en-GB"/>
          <w14:ligatures w14:val="none"/>
        </w:rPr>
      </w:pPr>
      <w:r w:rsidRPr="00673987">
        <w:rPr>
          <w:rFonts w:ascii="Calibri" w:eastAsia="Calibri" w:hAnsi="Calibri" w:cs="Calibri"/>
          <w:color w:val="000000"/>
          <w:kern w:val="0"/>
          <w:sz w:val="22"/>
          <w:szCs w:val="22"/>
          <w:lang w:val="en-GB"/>
          <w14:ligatures w14:val="none"/>
        </w:rPr>
        <w:t>Any questions on completing the form should be sent to GSSC.</w:t>
      </w:r>
    </w:p>
    <w:p w14:paraId="0476DC83" w14:textId="77777777" w:rsidR="00673987" w:rsidRDefault="00673987" w:rsidP="00673987">
      <w:pPr>
        <w:keepNext/>
        <w:keepLines/>
        <w:spacing w:before="100" w:beforeAutospacing="1" w:after="100" w:afterAutospacing="1" w:line="259" w:lineRule="auto"/>
        <w:ind w:left="567" w:hanging="572"/>
        <w:outlineLvl w:val="0"/>
        <w:rPr>
          <w:rFonts w:ascii="Calibri" w:eastAsia="Calibri" w:hAnsi="Calibri" w:cs="Calibri"/>
          <w:b/>
          <w:color w:val="000000"/>
          <w:kern w:val="0"/>
          <w:sz w:val="22"/>
          <w:szCs w:val="22"/>
          <w:lang w:val="en-GB"/>
          <w14:ligatures w14:val="none"/>
        </w:rPr>
      </w:pPr>
    </w:p>
    <w:p w14:paraId="114EAEB3" w14:textId="35908624" w:rsidR="00673987" w:rsidRPr="00673987" w:rsidRDefault="00673987" w:rsidP="00673987">
      <w:pPr>
        <w:keepNext/>
        <w:keepLines/>
        <w:spacing w:before="100" w:beforeAutospacing="1" w:after="100" w:afterAutospacing="1" w:line="259" w:lineRule="auto"/>
        <w:ind w:left="567" w:hanging="572"/>
        <w:outlineLvl w:val="0"/>
        <w:rPr>
          <w:rFonts w:ascii="Calibri" w:eastAsia="Calibri" w:hAnsi="Calibri" w:cs="Calibri"/>
          <w:b/>
          <w:color w:val="000000"/>
          <w:kern w:val="0"/>
          <w:sz w:val="22"/>
          <w:szCs w:val="22"/>
          <w:lang w:val="en-GB"/>
          <w14:ligatures w14:val="none"/>
        </w:rPr>
      </w:pPr>
      <w:r w:rsidRPr="00673987">
        <w:rPr>
          <w:rFonts w:ascii="Calibri" w:eastAsia="Calibri" w:hAnsi="Calibri" w:cs="Calibri"/>
          <w:b/>
          <w:color w:val="000000"/>
          <w:kern w:val="0"/>
          <w:sz w:val="22"/>
          <w:szCs w:val="22"/>
          <w:lang w:val="en-GB"/>
          <w14:ligatures w14:val="none"/>
        </w:rPr>
        <w:t xml:space="preserve">4.0 </w:t>
      </w:r>
      <w:r w:rsidRPr="00673987">
        <w:rPr>
          <w:rFonts w:ascii="Calibri" w:eastAsia="Calibri" w:hAnsi="Calibri" w:cs="Calibri"/>
          <w:b/>
          <w:color w:val="000000"/>
          <w:kern w:val="0"/>
          <w:sz w:val="22"/>
          <w:szCs w:val="22"/>
          <w:lang w:val="en-GB"/>
          <w14:ligatures w14:val="none"/>
        </w:rPr>
        <w:tab/>
        <w:t xml:space="preserve">Forms and Templates   </w:t>
      </w:r>
    </w:p>
    <w:p w14:paraId="1290CFFD" w14:textId="77777777" w:rsidR="00673987" w:rsidRPr="00673987" w:rsidRDefault="00673987" w:rsidP="00673987">
      <w:pPr>
        <w:numPr>
          <w:ilvl w:val="0"/>
          <w:numId w:val="2"/>
        </w:numPr>
        <w:spacing w:before="100" w:beforeAutospacing="1" w:after="100" w:afterAutospacing="1" w:line="259" w:lineRule="auto"/>
        <w:ind w:right="8"/>
        <w:contextualSpacing/>
        <w:jc w:val="both"/>
        <w:rPr>
          <w:rFonts w:ascii="Calibri" w:eastAsia="Calibri" w:hAnsi="Calibri" w:cs="Calibri"/>
          <w:color w:val="000000"/>
          <w:kern w:val="0"/>
          <w:sz w:val="22"/>
          <w:szCs w:val="22"/>
          <w:lang w:val="en-GB"/>
          <w14:ligatures w14:val="none"/>
        </w:rPr>
      </w:pPr>
      <w:hyperlink r:id="rId12">
        <w:r w:rsidRPr="00673987">
          <w:rPr>
            <w:rFonts w:ascii="Calibri" w:eastAsia="Calibri" w:hAnsi="Calibri" w:cs="Calibri"/>
            <w:color w:val="0000FF"/>
            <w:kern w:val="0"/>
            <w:sz w:val="22"/>
            <w:szCs w:val="22"/>
            <w:u w:val="single" w:color="0000FF"/>
            <w:lang w:val="en-GB"/>
            <w14:ligatures w14:val="none"/>
          </w:rPr>
          <w:t>LOC Expenses Certification Templat</w:t>
        </w:r>
      </w:hyperlink>
      <w:hyperlink r:id="rId13">
        <w:r w:rsidRPr="00673987">
          <w:rPr>
            <w:rFonts w:ascii="Calibri" w:eastAsia="Calibri" w:hAnsi="Calibri" w:cs="Calibri"/>
            <w:color w:val="0000FF"/>
            <w:kern w:val="0"/>
            <w:sz w:val="22"/>
            <w:szCs w:val="22"/>
            <w:u w:val="single" w:color="0000FF"/>
            <w:lang w:val="en-GB"/>
            <w14:ligatures w14:val="none"/>
          </w:rPr>
          <w:t>e</w:t>
        </w:r>
      </w:hyperlink>
      <w:hyperlink r:id="rId14">
        <w:r w:rsidRPr="00673987">
          <w:rPr>
            <w:rFonts w:ascii="Calibri" w:eastAsia="Calibri" w:hAnsi="Calibri" w:cs="Calibri"/>
            <w:color w:val="333333"/>
            <w:kern w:val="0"/>
            <w:sz w:val="22"/>
            <w:szCs w:val="22"/>
            <w:lang w:val="en-GB"/>
            <w14:ligatures w14:val="none"/>
          </w:rPr>
          <w:t xml:space="preserve">  </w:t>
        </w:r>
      </w:hyperlink>
      <w:r w:rsidRPr="00673987">
        <w:rPr>
          <w:rFonts w:ascii="Calibri" w:eastAsia="Calibri" w:hAnsi="Calibri" w:cs="Calibri"/>
          <w:color w:val="000000"/>
          <w:kern w:val="0"/>
          <w:sz w:val="22"/>
          <w:szCs w:val="22"/>
          <w:lang w:val="en-GB"/>
          <w14:ligatures w14:val="none"/>
        </w:rPr>
        <w:t xml:space="preserve"> </w:t>
      </w:r>
    </w:p>
    <w:p w14:paraId="5887D0E9" w14:textId="77777777" w:rsidR="00673987" w:rsidRPr="00673987" w:rsidRDefault="00673987" w:rsidP="00673987">
      <w:pPr>
        <w:numPr>
          <w:ilvl w:val="0"/>
          <w:numId w:val="2"/>
        </w:numPr>
        <w:spacing w:before="100" w:beforeAutospacing="1" w:after="100" w:afterAutospacing="1" w:line="259" w:lineRule="auto"/>
        <w:ind w:right="8"/>
        <w:contextualSpacing/>
        <w:jc w:val="both"/>
        <w:rPr>
          <w:rFonts w:ascii="Calibri" w:eastAsia="Calibri" w:hAnsi="Calibri" w:cs="Calibri"/>
          <w:color w:val="000000"/>
          <w:kern w:val="0"/>
          <w:sz w:val="22"/>
          <w:szCs w:val="22"/>
          <w:lang w:val="en-GB"/>
          <w14:ligatures w14:val="none"/>
        </w:rPr>
      </w:pPr>
      <w:hyperlink r:id="rId15">
        <w:r w:rsidRPr="00673987">
          <w:rPr>
            <w:rFonts w:ascii="Calibri" w:eastAsia="Calibri" w:hAnsi="Calibri" w:cs="Calibri"/>
            <w:color w:val="0000FF"/>
            <w:kern w:val="0"/>
            <w:sz w:val="22"/>
            <w:szCs w:val="22"/>
            <w:u w:val="single" w:color="0000FF"/>
            <w:lang w:val="en-GB"/>
            <w14:ligatures w14:val="none"/>
          </w:rPr>
          <w:t>FFR 425 For</w:t>
        </w:r>
      </w:hyperlink>
      <w:hyperlink r:id="rId16">
        <w:r w:rsidRPr="00673987">
          <w:rPr>
            <w:rFonts w:ascii="Calibri" w:eastAsia="Calibri" w:hAnsi="Calibri" w:cs="Calibri"/>
            <w:color w:val="0000FF"/>
            <w:kern w:val="0"/>
            <w:sz w:val="22"/>
            <w:szCs w:val="22"/>
            <w:u w:val="single" w:color="0000FF"/>
            <w:lang w:val="en-GB"/>
            <w14:ligatures w14:val="none"/>
          </w:rPr>
          <w:t>m</w:t>
        </w:r>
      </w:hyperlink>
      <w:hyperlink r:id="rId17">
        <w:r w:rsidRPr="00673987">
          <w:rPr>
            <w:rFonts w:ascii="Calibri" w:eastAsia="Calibri" w:hAnsi="Calibri" w:cs="Calibri"/>
            <w:color w:val="333333"/>
            <w:kern w:val="0"/>
            <w:sz w:val="22"/>
            <w:szCs w:val="22"/>
            <w:lang w:val="en-GB"/>
            <w14:ligatures w14:val="none"/>
          </w:rPr>
          <w:t xml:space="preserve">  </w:t>
        </w:r>
      </w:hyperlink>
      <w:r w:rsidRPr="00673987">
        <w:rPr>
          <w:rFonts w:ascii="Calibri" w:eastAsia="Calibri" w:hAnsi="Calibri" w:cs="Calibri"/>
          <w:color w:val="000000"/>
          <w:kern w:val="0"/>
          <w:sz w:val="22"/>
          <w:szCs w:val="22"/>
          <w:lang w:val="en-GB"/>
          <w14:ligatures w14:val="none"/>
        </w:rPr>
        <w:t xml:space="preserve"> </w:t>
      </w:r>
    </w:p>
    <w:p w14:paraId="6D6656BB" w14:textId="77777777" w:rsidR="00673987" w:rsidRPr="00673987" w:rsidRDefault="00673987" w:rsidP="00673987">
      <w:pPr>
        <w:numPr>
          <w:ilvl w:val="0"/>
          <w:numId w:val="2"/>
        </w:numPr>
        <w:spacing w:before="100" w:beforeAutospacing="1" w:after="100" w:afterAutospacing="1" w:line="259" w:lineRule="auto"/>
        <w:ind w:right="8"/>
        <w:contextualSpacing/>
        <w:jc w:val="both"/>
        <w:rPr>
          <w:rFonts w:ascii="Calibri" w:eastAsia="Calibri" w:hAnsi="Calibri" w:cs="Calibri"/>
          <w:color w:val="000000"/>
          <w:kern w:val="0"/>
          <w:sz w:val="22"/>
          <w:szCs w:val="22"/>
          <w:lang w:val="en-GB"/>
          <w14:ligatures w14:val="none"/>
        </w:rPr>
      </w:pPr>
      <w:hyperlink r:id="rId18">
        <w:r w:rsidRPr="00673987">
          <w:rPr>
            <w:rFonts w:ascii="Calibri" w:eastAsia="Calibri" w:hAnsi="Calibri" w:cs="Calibri"/>
            <w:color w:val="0000FF"/>
            <w:kern w:val="0"/>
            <w:sz w:val="22"/>
            <w:szCs w:val="22"/>
            <w:u w:val="single" w:color="0000FF"/>
            <w:lang w:val="en-GB"/>
            <w14:ligatures w14:val="none"/>
          </w:rPr>
          <w:t>FFR 425 Instruction</w:t>
        </w:r>
      </w:hyperlink>
      <w:hyperlink r:id="rId19">
        <w:r w:rsidRPr="00673987">
          <w:rPr>
            <w:rFonts w:ascii="Calibri" w:eastAsia="Calibri" w:hAnsi="Calibri" w:cs="Calibri"/>
            <w:color w:val="0000FF"/>
            <w:kern w:val="0"/>
            <w:sz w:val="22"/>
            <w:szCs w:val="22"/>
            <w:u w:val="single" w:color="0000FF"/>
            <w:lang w:val="en-GB"/>
            <w14:ligatures w14:val="none"/>
          </w:rPr>
          <w:t>s</w:t>
        </w:r>
      </w:hyperlink>
      <w:hyperlink r:id="rId20">
        <w:r w:rsidRPr="00673987">
          <w:rPr>
            <w:rFonts w:ascii="Calibri" w:eastAsia="Calibri" w:hAnsi="Calibri" w:cs="Calibri"/>
            <w:color w:val="333333"/>
            <w:kern w:val="0"/>
            <w:sz w:val="22"/>
            <w:szCs w:val="22"/>
            <w:lang w:val="en-GB"/>
            <w14:ligatures w14:val="none"/>
          </w:rPr>
          <w:t xml:space="preserve">  </w:t>
        </w:r>
      </w:hyperlink>
      <w:r w:rsidRPr="00673987">
        <w:rPr>
          <w:rFonts w:ascii="Calibri" w:eastAsia="Calibri" w:hAnsi="Calibri" w:cs="Calibri"/>
          <w:color w:val="000000"/>
          <w:kern w:val="0"/>
          <w:sz w:val="22"/>
          <w:szCs w:val="22"/>
          <w:lang w:val="en-GB"/>
          <w14:ligatures w14:val="none"/>
        </w:rPr>
        <w:t xml:space="preserve"> </w:t>
      </w:r>
    </w:p>
    <w:p w14:paraId="0A1A26D8" w14:textId="77777777" w:rsidR="00673987" w:rsidRPr="00673987" w:rsidRDefault="00673987" w:rsidP="00673987">
      <w:pPr>
        <w:numPr>
          <w:ilvl w:val="0"/>
          <w:numId w:val="2"/>
        </w:numPr>
        <w:spacing w:before="100" w:beforeAutospacing="1" w:after="100" w:afterAutospacing="1" w:line="259" w:lineRule="auto"/>
        <w:ind w:right="8"/>
        <w:contextualSpacing/>
        <w:jc w:val="both"/>
        <w:rPr>
          <w:rFonts w:ascii="Calibri" w:eastAsia="Calibri" w:hAnsi="Calibri" w:cs="Calibri"/>
          <w:color w:val="0000FF"/>
          <w:kern w:val="0"/>
          <w:sz w:val="22"/>
          <w:szCs w:val="22"/>
          <w:lang w:val="en-GB"/>
          <w14:ligatures w14:val="none"/>
        </w:rPr>
      </w:pPr>
      <w:hyperlink r:id="rId21" w:history="1">
        <w:r w:rsidRPr="00673987">
          <w:rPr>
            <w:rFonts w:ascii="Calibri" w:eastAsia="Calibri" w:hAnsi="Calibri" w:cs="Calibri"/>
            <w:color w:val="0000FF"/>
            <w:kern w:val="0"/>
            <w:sz w:val="22"/>
            <w:szCs w:val="22"/>
            <w:u w:val="single"/>
            <w:lang w:val="en-GB"/>
            <w14:ligatures w14:val="none"/>
          </w:rPr>
          <w:t>US Government Letter of Credit Guidelines and Procedures for funding UNDP projects</w:t>
        </w:r>
      </w:hyperlink>
    </w:p>
    <w:p w14:paraId="75EC9B7C" w14:textId="77777777" w:rsidR="00673987" w:rsidRPr="00673987" w:rsidRDefault="00673987" w:rsidP="00673987">
      <w:pPr>
        <w:spacing w:before="100" w:beforeAutospacing="1" w:after="100" w:afterAutospacing="1" w:line="259" w:lineRule="auto"/>
        <w:ind w:left="1403" w:right="8"/>
        <w:contextualSpacing/>
        <w:jc w:val="both"/>
        <w:rPr>
          <w:rFonts w:ascii="Calibri" w:eastAsia="Calibri" w:hAnsi="Calibri" w:cs="Calibri"/>
          <w:color w:val="0000FF"/>
          <w:kern w:val="0"/>
          <w:sz w:val="22"/>
          <w:szCs w:val="22"/>
          <w:lang w:val="en-GB"/>
          <w14:ligatures w14:val="none"/>
        </w:rPr>
      </w:pPr>
    </w:p>
    <w:p w14:paraId="2850D6F4" w14:textId="77777777" w:rsidR="00673987" w:rsidRPr="00673987" w:rsidRDefault="00673987" w:rsidP="00673987">
      <w:pPr>
        <w:keepNext/>
        <w:keepLines/>
        <w:spacing w:line="259" w:lineRule="auto"/>
        <w:outlineLvl w:val="0"/>
        <w:rPr>
          <w:rFonts w:ascii="Calibri" w:eastAsia="Calibri" w:hAnsi="Calibri" w:cs="Calibri"/>
          <w:b/>
          <w:color w:val="000000"/>
          <w:kern w:val="0"/>
          <w:sz w:val="22"/>
          <w:szCs w:val="22"/>
          <w:lang w:val="en-GB"/>
          <w14:ligatures w14:val="none"/>
        </w:rPr>
      </w:pPr>
      <w:r w:rsidRPr="00673987">
        <w:rPr>
          <w:rFonts w:ascii="Calibri" w:eastAsia="Calibri" w:hAnsi="Calibri" w:cs="Calibri"/>
          <w:b/>
          <w:color w:val="000000"/>
          <w:kern w:val="0"/>
          <w:sz w:val="22"/>
          <w:szCs w:val="22"/>
          <w:lang w:val="en-GB"/>
          <w14:ligatures w14:val="none"/>
        </w:rPr>
        <w:t>UNDP Revenue Recognition policy paper</w:t>
      </w:r>
    </w:p>
    <w:p w14:paraId="4053281B" w14:textId="77777777" w:rsidR="00673987" w:rsidRPr="00673987" w:rsidRDefault="00673987" w:rsidP="00673987">
      <w:pPr>
        <w:numPr>
          <w:ilvl w:val="0"/>
          <w:numId w:val="1"/>
        </w:numPr>
        <w:spacing w:after="99" w:line="257" w:lineRule="auto"/>
        <w:ind w:right="8"/>
        <w:contextualSpacing/>
        <w:jc w:val="both"/>
        <w:rPr>
          <w:rFonts w:ascii="Calibri" w:eastAsia="Calibri" w:hAnsi="Calibri" w:cs="Calibri"/>
          <w:color w:val="0000FF"/>
          <w:kern w:val="0"/>
          <w:sz w:val="22"/>
          <w:szCs w:val="22"/>
          <w:lang w:val="en-GB"/>
          <w14:ligatures w14:val="none"/>
        </w:rPr>
      </w:pPr>
      <w:hyperlink r:id="rId22" w:history="1">
        <w:r w:rsidRPr="00673987">
          <w:rPr>
            <w:rFonts w:ascii="Calibri" w:eastAsia="Calibri" w:hAnsi="Calibri" w:cs="Calibri"/>
            <w:color w:val="0000FF"/>
            <w:kern w:val="0"/>
            <w:sz w:val="22"/>
            <w:szCs w:val="22"/>
            <w:u w:val="single"/>
            <w:lang w:val="en-GB"/>
            <w14:ligatures w14:val="none"/>
          </w:rPr>
          <w:t>IPSAS 23 Policy paper</w:t>
        </w:r>
      </w:hyperlink>
      <w:r w:rsidRPr="00673987">
        <w:rPr>
          <w:rFonts w:ascii="Calibri" w:eastAsia="Calibri" w:hAnsi="Calibri" w:cs="Calibri"/>
          <w:color w:val="0000FF"/>
          <w:kern w:val="0"/>
          <w:sz w:val="22"/>
          <w:szCs w:val="22"/>
          <w:lang w:val="en-GB"/>
          <w14:ligatures w14:val="none"/>
        </w:rPr>
        <w:t xml:space="preserve"> </w:t>
      </w:r>
    </w:p>
    <w:p w14:paraId="2B93A96C" w14:textId="77777777" w:rsidR="00DA504D" w:rsidRDefault="00DA504D"/>
    <w:sectPr w:rsidR="00DA504D" w:rsidSect="00673987">
      <w:headerReference w:type="default" r:id="rId23"/>
      <w:footerReference w:type="even" r:id="rId24"/>
      <w:footerReference w:type="default" r:id="rId25"/>
      <w:footerReference w:type="first" r:id="rId26"/>
      <w:pgSz w:w="11906" w:h="16838"/>
      <w:pgMar w:top="1440" w:right="1440" w:bottom="1440" w:left="1440" w:header="72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B987" w14:textId="77777777" w:rsidR="001C6850" w:rsidRDefault="001C6850" w:rsidP="00673987">
      <w:pPr>
        <w:spacing w:after="0" w:line="240" w:lineRule="auto"/>
      </w:pPr>
      <w:r>
        <w:separator/>
      </w:r>
    </w:p>
  </w:endnote>
  <w:endnote w:type="continuationSeparator" w:id="0">
    <w:p w14:paraId="22BDD227" w14:textId="77777777" w:rsidR="001C6850" w:rsidRDefault="001C6850" w:rsidP="0067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Times New 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13E1" w14:textId="77777777" w:rsidR="00673987" w:rsidRDefault="00673987">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0A7184CB" w14:textId="77777777" w:rsidR="00673987" w:rsidRDefault="00673987">
    <w:pPr>
      <w:spacing w:after="0" w:line="259" w:lineRule="auto"/>
      <w:ind w:left="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E941" w14:textId="77777777" w:rsidR="00673987" w:rsidRPr="00673987" w:rsidRDefault="00673987">
    <w:pPr>
      <w:spacing w:after="0" w:line="259" w:lineRule="auto"/>
      <w:ind w:left="5"/>
      <w:rPr>
        <w:rFonts w:ascii="Calibri" w:hAnsi="Calibri" w:cs="Calibri"/>
        <w:sz w:val="22"/>
        <w:szCs w:val="22"/>
      </w:rPr>
    </w:pPr>
    <w:r w:rsidRPr="00673987">
      <w:rPr>
        <w:rFonts w:ascii="Calibri" w:hAnsi="Calibri" w:cs="Calibri"/>
        <w:sz w:val="22"/>
        <w:szCs w:val="22"/>
      </w:rPr>
      <w:t xml:space="preserve">Page </w:t>
    </w:r>
    <w:r w:rsidRPr="00673987">
      <w:rPr>
        <w:rFonts w:ascii="Calibri" w:hAnsi="Calibri" w:cs="Calibri"/>
        <w:b/>
        <w:sz w:val="22"/>
        <w:szCs w:val="22"/>
      </w:rPr>
      <w:fldChar w:fldCharType="begin"/>
    </w:r>
    <w:r w:rsidRPr="00673987">
      <w:rPr>
        <w:rFonts w:ascii="Calibri" w:hAnsi="Calibri" w:cs="Calibri"/>
        <w:b/>
        <w:sz w:val="22"/>
        <w:szCs w:val="22"/>
      </w:rPr>
      <w:instrText xml:space="preserve"> PAGE  \* Arabic  \* MERGEFORMAT </w:instrText>
    </w:r>
    <w:r w:rsidRPr="00673987">
      <w:rPr>
        <w:rFonts w:ascii="Calibri" w:hAnsi="Calibri" w:cs="Calibri"/>
        <w:b/>
        <w:sz w:val="22"/>
        <w:szCs w:val="22"/>
      </w:rPr>
      <w:fldChar w:fldCharType="separate"/>
    </w:r>
    <w:r w:rsidRPr="00673987">
      <w:rPr>
        <w:rFonts w:ascii="Calibri" w:hAnsi="Calibri" w:cs="Calibri"/>
        <w:b/>
        <w:noProof/>
        <w:sz w:val="22"/>
        <w:szCs w:val="22"/>
      </w:rPr>
      <w:t>4</w:t>
    </w:r>
    <w:r w:rsidRPr="00673987">
      <w:rPr>
        <w:rFonts w:ascii="Calibri" w:hAnsi="Calibri" w:cs="Calibri"/>
        <w:b/>
        <w:sz w:val="22"/>
        <w:szCs w:val="22"/>
      </w:rPr>
      <w:fldChar w:fldCharType="end"/>
    </w:r>
    <w:r w:rsidRPr="00673987">
      <w:rPr>
        <w:rFonts w:ascii="Calibri" w:hAnsi="Calibri" w:cs="Calibri"/>
        <w:sz w:val="22"/>
        <w:szCs w:val="22"/>
      </w:rPr>
      <w:t xml:space="preserve"> of </w:t>
    </w:r>
    <w:r w:rsidRPr="00673987">
      <w:rPr>
        <w:rFonts w:ascii="Calibri" w:hAnsi="Calibri" w:cs="Calibri"/>
        <w:b/>
        <w:sz w:val="22"/>
        <w:szCs w:val="22"/>
      </w:rPr>
      <w:fldChar w:fldCharType="begin"/>
    </w:r>
    <w:r w:rsidRPr="00673987">
      <w:rPr>
        <w:rFonts w:ascii="Calibri" w:hAnsi="Calibri" w:cs="Calibri"/>
        <w:b/>
        <w:sz w:val="22"/>
        <w:szCs w:val="22"/>
      </w:rPr>
      <w:instrText xml:space="preserve"> NUMPAGES  \* Arabic  \* MERGEFORMAT </w:instrText>
    </w:r>
    <w:r w:rsidRPr="00673987">
      <w:rPr>
        <w:rFonts w:ascii="Calibri" w:hAnsi="Calibri" w:cs="Calibri"/>
        <w:b/>
        <w:sz w:val="22"/>
        <w:szCs w:val="22"/>
      </w:rPr>
      <w:fldChar w:fldCharType="separate"/>
    </w:r>
    <w:r w:rsidRPr="00673987">
      <w:rPr>
        <w:rFonts w:ascii="Calibri" w:hAnsi="Calibri" w:cs="Calibri"/>
        <w:b/>
        <w:noProof/>
        <w:sz w:val="22"/>
        <w:szCs w:val="22"/>
      </w:rPr>
      <w:t>4</w:t>
    </w:r>
    <w:r w:rsidRPr="00673987">
      <w:rPr>
        <w:rFonts w:ascii="Calibri" w:hAnsi="Calibri" w:cs="Calibri"/>
        <w:b/>
        <w:sz w:val="22"/>
        <w:szCs w:val="22"/>
      </w:rPr>
      <w:fldChar w:fldCharType="end"/>
    </w:r>
    <w:r w:rsidRPr="00673987">
      <w:rPr>
        <w:rFonts w:ascii="Calibri" w:hAnsi="Calibri" w:cs="Calibri"/>
        <w:sz w:val="22"/>
        <w:szCs w:val="22"/>
      </w:rPr>
      <w:ptab w:relativeTo="margin" w:alignment="center" w:leader="none"/>
    </w:r>
    <w:r w:rsidRPr="00673987">
      <w:rPr>
        <w:rFonts w:ascii="Calibri" w:hAnsi="Calibri" w:cs="Calibri"/>
        <w:sz w:val="22"/>
        <w:szCs w:val="22"/>
      </w:rPr>
      <w:t xml:space="preserve">Effective Date: 01/01/2019 </w:t>
    </w:r>
    <w:r w:rsidRPr="00673987">
      <w:rPr>
        <w:rFonts w:ascii="Calibri" w:hAnsi="Calibri" w:cs="Calibri"/>
        <w:sz w:val="22"/>
        <w:szCs w:val="22"/>
      </w:rPr>
      <w:ptab w:relativeTo="margin" w:alignment="right" w:leader="none"/>
    </w:r>
    <w:r w:rsidRPr="00673987">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49207460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A169346-EF28-4D00-BFC1-972219E314A7}"/>
        <w:text/>
      </w:sdtPr>
      <w:sdtContent>
        <w:r w:rsidRPr="00673987">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67E0" w14:textId="77777777" w:rsidR="00673987" w:rsidRDefault="00673987">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026FD804" w14:textId="77777777" w:rsidR="00673987" w:rsidRDefault="00673987">
    <w:pPr>
      <w:spacing w:after="0" w:line="259" w:lineRule="auto"/>
      <w:ind w:left="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E722" w14:textId="77777777" w:rsidR="001C6850" w:rsidRDefault="001C6850" w:rsidP="00673987">
      <w:pPr>
        <w:spacing w:after="0" w:line="240" w:lineRule="auto"/>
      </w:pPr>
      <w:r>
        <w:separator/>
      </w:r>
    </w:p>
  </w:footnote>
  <w:footnote w:type="continuationSeparator" w:id="0">
    <w:p w14:paraId="6A8ABE0E" w14:textId="77777777" w:rsidR="001C6850" w:rsidRDefault="001C6850" w:rsidP="00673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8CFE" w14:textId="77777777" w:rsidR="00673987" w:rsidRDefault="00673987">
    <w:pPr>
      <w:pStyle w:val="Header"/>
    </w:pPr>
    <w:r>
      <w:tab/>
    </w:r>
    <w:r>
      <w:tab/>
    </w:r>
    <w:r>
      <w:tab/>
    </w:r>
    <w:r>
      <w:rPr>
        <w:noProof/>
      </w:rPr>
      <w:drawing>
        <wp:inline distT="0" distB="0" distL="0" distR="0" wp14:anchorId="50AD7458" wp14:editId="29552B7D">
          <wp:extent cx="304800" cy="6067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549"/>
    <w:multiLevelType w:val="hybridMultilevel"/>
    <w:tmpl w:val="226E4820"/>
    <w:lvl w:ilvl="0" w:tplc="5D445646">
      <w:start w:val="1"/>
      <w:numFmt w:val="bullet"/>
      <w:lvlText w:val=""/>
      <w:lvlJc w:val="left"/>
      <w:pPr>
        <w:ind w:left="1080" w:hanging="360"/>
      </w:pPr>
      <w:rPr>
        <w:rFonts w:ascii="Symbol" w:hAnsi="Symbol" w:hint="default"/>
        <w:color w:val="auto"/>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0B4F7AF7"/>
    <w:multiLevelType w:val="multilevel"/>
    <w:tmpl w:val="5EDC9C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17B66F3"/>
    <w:multiLevelType w:val="hybridMultilevel"/>
    <w:tmpl w:val="02A8394A"/>
    <w:lvl w:ilvl="0" w:tplc="35FEA0C0">
      <w:start w:val="1"/>
      <w:numFmt w:val="bullet"/>
      <w:lvlText w:val=""/>
      <w:lvlJc w:val="left"/>
      <w:pPr>
        <w:ind w:left="1403" w:hanging="360"/>
      </w:pPr>
      <w:rPr>
        <w:rFonts w:ascii="Symbol" w:hAnsi="Symbol"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 w15:restartNumberingAfterBreak="0">
    <w:nsid w:val="65BC31DB"/>
    <w:multiLevelType w:val="multilevel"/>
    <w:tmpl w:val="11B6F4C6"/>
    <w:lvl w:ilvl="0">
      <w:start w:val="3"/>
      <w:numFmt w:val="decimal"/>
      <w:lvlText w:val="%1.0"/>
      <w:lvlJc w:val="left"/>
      <w:pPr>
        <w:ind w:left="355" w:hanging="360"/>
      </w:pPr>
      <w:rPr>
        <w:rFonts w:hint="default"/>
      </w:rPr>
    </w:lvl>
    <w:lvl w:ilvl="1">
      <w:start w:val="1"/>
      <w:numFmt w:val="decimal"/>
      <w:lvlText w:val="%1.%2"/>
      <w:lvlJc w:val="left"/>
      <w:pPr>
        <w:ind w:left="1075" w:hanging="360"/>
      </w:pPr>
      <w:rPr>
        <w:rFonts w:hint="default"/>
        <w:b w:val="0"/>
        <w:bCs w:val="0"/>
      </w:rPr>
    </w:lvl>
    <w:lvl w:ilvl="2">
      <w:start w:val="1"/>
      <w:numFmt w:val="decimal"/>
      <w:lvlText w:val="%1.%2.%3"/>
      <w:lvlJc w:val="left"/>
      <w:pPr>
        <w:ind w:left="2155" w:hanging="720"/>
      </w:pPr>
      <w:rPr>
        <w:rFonts w:hint="default"/>
      </w:rPr>
    </w:lvl>
    <w:lvl w:ilvl="3">
      <w:start w:val="1"/>
      <w:numFmt w:val="decimal"/>
      <w:lvlText w:val="%1.%2.%3.%4"/>
      <w:lvlJc w:val="left"/>
      <w:pPr>
        <w:ind w:left="2875" w:hanging="720"/>
      </w:pPr>
      <w:rPr>
        <w:rFonts w:hint="default"/>
      </w:rPr>
    </w:lvl>
    <w:lvl w:ilvl="4">
      <w:start w:val="1"/>
      <w:numFmt w:val="decimal"/>
      <w:lvlText w:val="%1.%2.%3.%4.%5"/>
      <w:lvlJc w:val="left"/>
      <w:pPr>
        <w:ind w:left="3955"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5" w:hanging="1440"/>
      </w:pPr>
      <w:rPr>
        <w:rFonts w:hint="default"/>
      </w:rPr>
    </w:lvl>
    <w:lvl w:ilvl="7">
      <w:start w:val="1"/>
      <w:numFmt w:val="decimal"/>
      <w:lvlText w:val="%1.%2.%3.%4.%5.%6.%7.%8"/>
      <w:lvlJc w:val="left"/>
      <w:pPr>
        <w:ind w:left="6475" w:hanging="1440"/>
      </w:pPr>
      <w:rPr>
        <w:rFonts w:hint="default"/>
      </w:rPr>
    </w:lvl>
    <w:lvl w:ilvl="8">
      <w:start w:val="1"/>
      <w:numFmt w:val="decimal"/>
      <w:lvlText w:val="%1.%2.%3.%4.%5.%6.%7.%8.%9"/>
      <w:lvlJc w:val="left"/>
      <w:pPr>
        <w:ind w:left="7195" w:hanging="1440"/>
      </w:pPr>
      <w:rPr>
        <w:rFonts w:hint="default"/>
      </w:rPr>
    </w:lvl>
  </w:abstractNum>
  <w:abstractNum w:abstractNumId="4" w15:restartNumberingAfterBreak="0">
    <w:nsid w:val="75D255B2"/>
    <w:multiLevelType w:val="multilevel"/>
    <w:tmpl w:val="C84A6338"/>
    <w:lvl w:ilvl="0">
      <w:start w:val="3"/>
      <w:numFmt w:val="decimal"/>
      <w:lvlText w:val="%1"/>
      <w:lvlJc w:val="left"/>
      <w:pPr>
        <w:ind w:left="390" w:hanging="390"/>
      </w:pPr>
      <w:rPr>
        <w:rFonts w:hint="default"/>
      </w:rPr>
    </w:lvl>
    <w:lvl w:ilvl="1">
      <w:start w:val="14"/>
      <w:numFmt w:val="decimal"/>
      <w:lvlText w:val="%1.%2"/>
      <w:lvlJc w:val="left"/>
      <w:pPr>
        <w:ind w:left="1465" w:hanging="39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3945" w:hanging="72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455" w:hanging="1080"/>
      </w:pPr>
      <w:rPr>
        <w:rFonts w:hint="default"/>
      </w:rPr>
    </w:lvl>
    <w:lvl w:ilvl="6">
      <w:start w:val="1"/>
      <w:numFmt w:val="decimal"/>
      <w:lvlText w:val="%1.%2.%3.%4.%5.%6.%7"/>
      <w:lvlJc w:val="left"/>
      <w:pPr>
        <w:ind w:left="7890" w:hanging="1440"/>
      </w:pPr>
      <w:rPr>
        <w:rFonts w:hint="default"/>
      </w:rPr>
    </w:lvl>
    <w:lvl w:ilvl="7">
      <w:start w:val="1"/>
      <w:numFmt w:val="decimal"/>
      <w:lvlText w:val="%1.%2.%3.%4.%5.%6.%7.%8"/>
      <w:lvlJc w:val="left"/>
      <w:pPr>
        <w:ind w:left="8965" w:hanging="1440"/>
      </w:pPr>
      <w:rPr>
        <w:rFonts w:hint="default"/>
      </w:rPr>
    </w:lvl>
    <w:lvl w:ilvl="8">
      <w:start w:val="1"/>
      <w:numFmt w:val="decimal"/>
      <w:lvlText w:val="%1.%2.%3.%4.%5.%6.%7.%8.%9"/>
      <w:lvlJc w:val="left"/>
      <w:pPr>
        <w:ind w:left="10040" w:hanging="1440"/>
      </w:pPr>
      <w:rPr>
        <w:rFonts w:hint="default"/>
      </w:rPr>
    </w:lvl>
  </w:abstractNum>
  <w:num w:numId="1" w16cid:durableId="443185107">
    <w:abstractNumId w:val="0"/>
  </w:num>
  <w:num w:numId="2" w16cid:durableId="1555315026">
    <w:abstractNumId w:val="2"/>
  </w:num>
  <w:num w:numId="3" w16cid:durableId="194468118">
    <w:abstractNumId w:val="1"/>
  </w:num>
  <w:num w:numId="4" w16cid:durableId="1573201184">
    <w:abstractNumId w:val="3"/>
  </w:num>
  <w:num w:numId="5" w16cid:durableId="1372345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87"/>
    <w:rsid w:val="00077AF5"/>
    <w:rsid w:val="001C6850"/>
    <w:rsid w:val="003F6454"/>
    <w:rsid w:val="00673987"/>
    <w:rsid w:val="00C61B9D"/>
    <w:rsid w:val="00DA0BD0"/>
    <w:rsid w:val="00DA504D"/>
    <w:rsid w:val="00F1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2817"/>
  <w15:chartTrackingRefBased/>
  <w15:docId w15:val="{F9A58836-146D-485D-8C1F-396FC557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987"/>
    <w:rPr>
      <w:rFonts w:eastAsiaTheme="majorEastAsia" w:cstheme="majorBidi"/>
      <w:color w:val="272727" w:themeColor="text1" w:themeTint="D8"/>
    </w:rPr>
  </w:style>
  <w:style w:type="paragraph" w:styleId="Title">
    <w:name w:val="Title"/>
    <w:basedOn w:val="Normal"/>
    <w:next w:val="Normal"/>
    <w:link w:val="TitleChar"/>
    <w:uiPriority w:val="10"/>
    <w:qFormat/>
    <w:rsid w:val="00673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987"/>
    <w:pPr>
      <w:spacing w:before="160"/>
      <w:jc w:val="center"/>
    </w:pPr>
    <w:rPr>
      <w:i/>
      <w:iCs/>
      <w:color w:val="404040" w:themeColor="text1" w:themeTint="BF"/>
    </w:rPr>
  </w:style>
  <w:style w:type="character" w:customStyle="1" w:styleId="QuoteChar">
    <w:name w:val="Quote Char"/>
    <w:basedOn w:val="DefaultParagraphFont"/>
    <w:link w:val="Quote"/>
    <w:uiPriority w:val="29"/>
    <w:rsid w:val="00673987"/>
    <w:rPr>
      <w:i/>
      <w:iCs/>
      <w:color w:val="404040" w:themeColor="text1" w:themeTint="BF"/>
    </w:rPr>
  </w:style>
  <w:style w:type="paragraph" w:styleId="ListParagraph">
    <w:name w:val="List Paragraph"/>
    <w:basedOn w:val="Normal"/>
    <w:uiPriority w:val="34"/>
    <w:qFormat/>
    <w:rsid w:val="00673987"/>
    <w:pPr>
      <w:ind w:left="720"/>
      <w:contextualSpacing/>
    </w:pPr>
  </w:style>
  <w:style w:type="character" w:styleId="IntenseEmphasis">
    <w:name w:val="Intense Emphasis"/>
    <w:basedOn w:val="DefaultParagraphFont"/>
    <w:uiPriority w:val="21"/>
    <w:qFormat/>
    <w:rsid w:val="00673987"/>
    <w:rPr>
      <w:i/>
      <w:iCs/>
      <w:color w:val="0F4761" w:themeColor="accent1" w:themeShade="BF"/>
    </w:rPr>
  </w:style>
  <w:style w:type="paragraph" w:styleId="IntenseQuote">
    <w:name w:val="Intense Quote"/>
    <w:basedOn w:val="Normal"/>
    <w:next w:val="Normal"/>
    <w:link w:val="IntenseQuoteChar"/>
    <w:uiPriority w:val="30"/>
    <w:qFormat/>
    <w:rsid w:val="0067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987"/>
    <w:rPr>
      <w:i/>
      <w:iCs/>
      <w:color w:val="0F4761" w:themeColor="accent1" w:themeShade="BF"/>
    </w:rPr>
  </w:style>
  <w:style w:type="character" w:styleId="IntenseReference">
    <w:name w:val="Intense Reference"/>
    <w:basedOn w:val="DefaultParagraphFont"/>
    <w:uiPriority w:val="32"/>
    <w:qFormat/>
    <w:rsid w:val="00673987"/>
    <w:rPr>
      <w:b/>
      <w:bCs/>
      <w:smallCaps/>
      <w:color w:val="0F4761" w:themeColor="accent1" w:themeShade="BF"/>
      <w:spacing w:val="5"/>
    </w:rPr>
  </w:style>
  <w:style w:type="paragraph" w:styleId="Header">
    <w:name w:val="header"/>
    <w:basedOn w:val="Normal"/>
    <w:link w:val="HeaderChar"/>
    <w:uiPriority w:val="99"/>
    <w:unhideWhenUsed/>
    <w:rsid w:val="00673987"/>
    <w:pPr>
      <w:tabs>
        <w:tab w:val="center" w:pos="4680"/>
        <w:tab w:val="right" w:pos="9360"/>
      </w:tabs>
      <w:spacing w:after="0" w:line="240" w:lineRule="auto"/>
      <w:ind w:left="720" w:right="8"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67398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881" TargetMode="External"/><Relationship Id="rId13" Type="http://schemas.openxmlformats.org/officeDocument/2006/relationships/hyperlink" Target="https://popp.undp.org/node/421" TargetMode="External"/><Relationship Id="rId18" Type="http://schemas.openxmlformats.org/officeDocument/2006/relationships/hyperlink" Target="https://popp.undp.org/node/603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popp.undp.org/node/881" TargetMode="External"/><Relationship Id="rId7" Type="http://schemas.openxmlformats.org/officeDocument/2006/relationships/hyperlink" Target="https://popp.undp.org/taxonomy/term/106" TargetMode="External"/><Relationship Id="rId12" Type="http://schemas.openxmlformats.org/officeDocument/2006/relationships/hyperlink" Target="https://popp.undp.org/node/421" TargetMode="External"/><Relationship Id="rId17" Type="http://schemas.openxmlformats.org/officeDocument/2006/relationships/hyperlink" Target="https://popp.undp.org/node/603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popp.undp.org/node/6031" TargetMode="External"/><Relationship Id="rId20" Type="http://schemas.openxmlformats.org/officeDocument/2006/relationships/hyperlink" Target="https://popp.undp.org/node/60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m.psc.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pp.undp.org/node/603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ms.psc.gov" TargetMode="External"/><Relationship Id="rId19" Type="http://schemas.openxmlformats.org/officeDocument/2006/relationships/hyperlink" Target="https://popp.undp.org/node/6036" TargetMode="External"/><Relationship Id="rId4" Type="http://schemas.openxmlformats.org/officeDocument/2006/relationships/webSettings" Target="webSettings.xml"/><Relationship Id="rId9" Type="http://schemas.openxmlformats.org/officeDocument/2006/relationships/hyperlink" Target="http://www.dpm.psc.gov/" TargetMode="External"/><Relationship Id="rId14" Type="http://schemas.openxmlformats.org/officeDocument/2006/relationships/hyperlink" Target="https://popp.undp.org/node/421" TargetMode="External"/><Relationship Id="rId22" Type="http://schemas.openxmlformats.org/officeDocument/2006/relationships/hyperlink" Target="https://popp.undp.org/node/293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2026-05-01T02:41:00Z</dcterms:created>
  <dcterms:modified xsi:type="dcterms:W3CDTF">2026-05-01T02:43:00Z</dcterms:modified>
</cp:coreProperties>
</file>