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2659" w14:textId="77777777" w:rsidR="00D86A0E" w:rsidRPr="00D86A0E" w:rsidRDefault="00D86A0E" w:rsidP="00D86A0E">
      <w:pPr>
        <w:spacing w:line="259" w:lineRule="auto"/>
        <w:jc w:val="both"/>
        <w:rPr>
          <w:rFonts w:ascii="Calibri" w:eastAsia="MS Mincho" w:hAnsi="Calibri" w:cs="Calibri"/>
          <w:b/>
          <w:kern w:val="0"/>
          <w:sz w:val="28"/>
          <w:szCs w:val="22"/>
          <w:lang w:val="fr-FR" w:eastAsia="ja-JP"/>
          <w14:ligatures w14:val="none"/>
        </w:rPr>
      </w:pPr>
      <w:r w:rsidRPr="00D86A0E">
        <w:rPr>
          <w:rFonts w:ascii="Calibri" w:eastAsia="MS Mincho" w:hAnsi="Calibri" w:cs="Calibri"/>
          <w:b/>
          <w:kern w:val="0"/>
          <w:sz w:val="28"/>
          <w:szCs w:val="22"/>
          <w:lang w:val="fr-FR" w:eastAsia="ja-JP"/>
          <w14:ligatures w14:val="none"/>
        </w:rPr>
        <w:t>2.0 Politiques</w:t>
      </w:r>
    </w:p>
    <w:p w14:paraId="3DDD1567" w14:textId="77777777" w:rsidR="00D86A0E" w:rsidRPr="00D86A0E" w:rsidRDefault="00D86A0E" w:rsidP="00D86A0E">
      <w:pPr>
        <w:spacing w:line="259" w:lineRule="auto"/>
        <w:jc w:val="both"/>
        <w:rPr>
          <w:rFonts w:ascii="Calibri" w:eastAsia="MS Mincho" w:hAnsi="Calibri" w:cs="Calibri"/>
          <w:b/>
          <w:kern w:val="0"/>
          <w:sz w:val="28"/>
          <w:szCs w:val="22"/>
          <w:lang w:val="fr-FR" w:eastAsia="ja-JP"/>
          <w14:ligatures w14:val="none"/>
        </w:rPr>
      </w:pPr>
      <w:r w:rsidRPr="00D86A0E">
        <w:rPr>
          <w:rFonts w:ascii="Calibri" w:eastAsia="MS Mincho" w:hAnsi="Calibri" w:cs="Calibri"/>
          <w:b/>
          <w:kern w:val="0"/>
          <w:sz w:val="28"/>
          <w:szCs w:val="22"/>
          <w:lang w:val="fr-FR" w:eastAsia="ja-JP"/>
          <w14:ligatures w14:val="none"/>
        </w:rPr>
        <w:t xml:space="preserve">Ouverture et clôture de comptes bancaires </w:t>
      </w:r>
    </w:p>
    <w:p w14:paraId="658AD32D" w14:textId="77777777" w:rsidR="00D86A0E" w:rsidRPr="00D86A0E" w:rsidRDefault="00D86A0E" w:rsidP="00D86A0E">
      <w:pPr>
        <w:numPr>
          <w:ilvl w:val="0"/>
          <w:numId w:val="1"/>
        </w:numPr>
        <w:shd w:val="clear" w:color="auto" w:fill="FFFFFF"/>
        <w:spacing w:after="24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Conformément à la Règle financière 125 du PNUD, l’Administrateur a délégué l’autorité de gérer et d’exploiter les comptes bancaires du PNUD au Trésorier. Par conséquent, seul le Trésorier est habilité à ouvrir et à clore les comptes bancaires du PNUD, que ce soit au Siège ou aux Bureaux de pays, sauf en cas de situations d’urgence sur le plan local, auxquels cas le Représentant peut prendre des mesures pour ouvrir ou clore un compte bancaire.</w:t>
      </w:r>
    </w:p>
    <w:p w14:paraId="19D45F7C" w14:textId="77777777" w:rsidR="00D86A0E" w:rsidRPr="00D86A0E" w:rsidRDefault="00D86A0E" w:rsidP="00D86A0E">
      <w:pPr>
        <w:shd w:val="clear" w:color="auto" w:fill="FFFFFF"/>
        <w:spacing w:after="240" w:line="240" w:lineRule="auto"/>
        <w:ind w:left="720"/>
        <w:contextualSpacing/>
        <w:jc w:val="both"/>
        <w:textAlignment w:val="top"/>
        <w:rPr>
          <w:rFonts w:ascii="Calibri" w:eastAsia="Times New Roman" w:hAnsi="Calibri" w:cs="Calibri"/>
          <w:color w:val="333333"/>
          <w:kern w:val="0"/>
          <w:sz w:val="22"/>
          <w:szCs w:val="22"/>
          <w:lang w:val="fr-FR" w:eastAsia="ja-JP"/>
          <w14:ligatures w14:val="none"/>
        </w:rPr>
      </w:pPr>
    </w:p>
    <w:p w14:paraId="035FCE60" w14:textId="77777777" w:rsidR="00D86A0E" w:rsidRPr="00D86A0E" w:rsidRDefault="00D86A0E" w:rsidP="00D86A0E">
      <w:pPr>
        <w:numPr>
          <w:ilvl w:val="0"/>
          <w:numId w:val="1"/>
        </w:numPr>
        <w:shd w:val="clear" w:color="auto" w:fill="FFFFFF"/>
        <w:spacing w:after="24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Il existe deux types de comptes bancaires à savoir : le compte des devises convertibles et le compte des devises non convertibles. Les devises convertibles sont celles susceptibles d’être converties librement en d’autres devises. Les devises non convertibles sont celles qui ne peuvent être échangées librement en raison des règlements gouvernementaux ou de la banque centrale.</w:t>
      </w:r>
    </w:p>
    <w:p w14:paraId="0D7CE071" w14:textId="77777777" w:rsidR="00D86A0E" w:rsidRPr="00D86A0E" w:rsidRDefault="00D86A0E" w:rsidP="00D86A0E">
      <w:pPr>
        <w:shd w:val="clear" w:color="auto" w:fill="FFFFFF"/>
        <w:spacing w:after="240" w:line="240" w:lineRule="auto"/>
        <w:ind w:left="720"/>
        <w:contextualSpacing/>
        <w:jc w:val="both"/>
        <w:textAlignment w:val="top"/>
        <w:rPr>
          <w:rFonts w:ascii="Calibri" w:eastAsia="Times New Roman" w:hAnsi="Calibri" w:cs="Calibri"/>
          <w:color w:val="333333"/>
          <w:kern w:val="0"/>
          <w:sz w:val="22"/>
          <w:szCs w:val="22"/>
          <w:lang w:val="fr-FR" w:eastAsia="ja-JP"/>
          <w14:ligatures w14:val="none"/>
        </w:rPr>
      </w:pPr>
    </w:p>
    <w:p w14:paraId="0ABAFEEF" w14:textId="77777777" w:rsidR="00D86A0E" w:rsidRPr="00D86A0E" w:rsidRDefault="00D86A0E" w:rsidP="00D86A0E">
      <w:pPr>
        <w:numPr>
          <w:ilvl w:val="0"/>
          <w:numId w:val="1"/>
        </w:numPr>
        <w:shd w:val="clear" w:color="auto" w:fill="FFFFFF"/>
        <w:spacing w:after="24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Sous réserve de la Règle financière 125.01 et de la Règle 125.02, les principes suivants doivent être respectés</w:t>
      </w:r>
      <w:r w:rsidRPr="00D86A0E">
        <w:rPr>
          <w:rFonts w:ascii="Calibri" w:eastAsia="Times New Roman" w:hAnsi="Calibri" w:cs="Calibri"/>
          <w:color w:val="333333"/>
          <w:kern w:val="0"/>
          <w:sz w:val="22"/>
          <w:szCs w:val="22"/>
          <w:vertAlign w:val="superscript"/>
          <w:lang w:val="en-GB" w:eastAsia="ja-JP"/>
          <w14:ligatures w14:val="none"/>
        </w:rPr>
        <w:footnoteReference w:id="1"/>
      </w:r>
      <w:r w:rsidRPr="00D86A0E">
        <w:rPr>
          <w:rFonts w:ascii="Calibri" w:eastAsia="MS Mincho" w:hAnsi="Calibri" w:cs="Calibri"/>
          <w:color w:val="333333"/>
          <w:kern w:val="0"/>
          <w:sz w:val="22"/>
          <w:szCs w:val="22"/>
          <w:lang w:val="fr-FR" w:eastAsia="ja-JP"/>
          <w14:ligatures w14:val="none"/>
        </w:rPr>
        <w:t xml:space="preserve"> : </w:t>
      </w:r>
    </w:p>
    <w:p w14:paraId="42D2CCEC"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La Trésorerie crée et consigne l’ensemble des informations de compte bancaire du PNUD (les comptes bancaires du Siège et des Bureaux de pays) dans Quantum.</w:t>
      </w:r>
    </w:p>
    <w:p w14:paraId="2C0C591F"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En principe, les Bureaux de pays ne devraient gérer que deux comptes bancaires :</w:t>
      </w:r>
    </w:p>
    <w:p w14:paraId="70C3B680"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kern w:val="0"/>
          <w:sz w:val="22"/>
          <w:szCs w:val="22"/>
          <w:lang w:val="fr-FR" w:eastAsia="ja-JP"/>
          <w14:ligatures w14:val="none"/>
        </w:rPr>
        <w:t>Un compte de devise locale pouvant être convertible ou non convertible et un compte de devise étrangère convertible (par exemple, les Comptes à solde zéro constitués de dollars américains ou d’euros).</w:t>
      </w:r>
    </w:p>
    <w:p w14:paraId="1F3D4E34"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 xml:space="preserve">En raison des accords spéciaux conclus entre le PNUD et les bailleurs de fonds, des règlements du contrôle des changes ou des pratiques opérationnelles à l’échelle locale, il peut être nécessaire pour certains Bureaux de pays de gérer un compte local en dollar américain ou en euros ainsi que d’autres comptes de devise locale. Ces comptes seront ouverts et tenus que si cela est nécessaire pour assurer le bon fonctionnement du bureau. Les comptes locaux spéciaux de la BID (Banque interaméricaine de développement) dans certains bureaux d’Amérique latine sont des exemples de comptes ouverts en raison des accords conclus avec les bailleurs de fonds. Ces types de comptes sont des exceptions au paragraphe C de la règle susmentionnée. </w:t>
      </w:r>
    </w:p>
    <w:p w14:paraId="0DEDE48E"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Les comptes bancaires distincts réservés aux modalités de mise en œuvre nationales (NEX) ne sont PAS autorisés. Lorsque les partenaires NEX sollicitent des comptes bancaires, ces derniers doivent être ouverts et gérés par lesdits partenaires et non par le PNUD. Les fonctionnaires du PNUD ne doivent pas faire office de signataires de ces comptes bancaires et le PNUD doit s’abstenir de fournir des lettres d’ouverture ou de clôture de compte à la banque au nom du projet.</w:t>
      </w:r>
    </w:p>
    <w:p w14:paraId="7A65CFE2"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 xml:space="preserve">La Trésorerie peut autoriser, à titre exceptionnel, l’ouverture d’un compte bancaire aux fins des exigences du projet DEX. Les comptes consacrés au projet DEX sont gérés de la même façon que les comptes bancaires du PNUD gérés par le Représentant. Pour en apprendre </w:t>
      </w:r>
      <w:r w:rsidRPr="00D86A0E">
        <w:rPr>
          <w:rFonts w:ascii="Calibri" w:eastAsia="MS Mincho" w:hAnsi="Calibri" w:cs="Calibri"/>
          <w:color w:val="333333"/>
          <w:kern w:val="0"/>
          <w:sz w:val="22"/>
          <w:szCs w:val="22"/>
          <w:lang w:val="fr-FR" w:eastAsia="ja-JP"/>
          <w14:ligatures w14:val="none"/>
        </w:rPr>
        <w:lastRenderedPageBreak/>
        <w:t>davantage ou pour solliciter un compte bancaire dans le cadre du projet DEX, veuillez contacter la Trésorerie.</w:t>
      </w:r>
    </w:p>
    <w:p w14:paraId="2EE50910" w14:textId="77777777" w:rsidR="00D86A0E" w:rsidRPr="00D86A0E" w:rsidRDefault="00D86A0E" w:rsidP="00D86A0E">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D86A0E">
        <w:rPr>
          <w:rFonts w:ascii="Calibri" w:eastAsia="MS Mincho" w:hAnsi="Calibri" w:cs="Calibri"/>
          <w:color w:val="333333"/>
          <w:kern w:val="0"/>
          <w:sz w:val="22"/>
          <w:szCs w:val="22"/>
          <w:lang w:val="fr-FR" w:eastAsia="ja-JP"/>
          <w14:ligatures w14:val="none"/>
        </w:rPr>
        <w:t xml:space="preserve">En cas de situations d’urgences à l’échelle locale (p. ex., la fermeture soudaine de la banque où le Bureau du PNUD détient son compte), le Représentant peut ouvrir un nouveau compte bancaire auprès d’une autre banque locale pour éviter toute perturbation majeure des opérations locales et pour sauvegarder les actifs financiers du PNUD. Dans ces cas, le Trésorier doit être avisé d’une telle mesure dès que possible, et ce, après l’ouverture du compte. </w:t>
      </w:r>
    </w:p>
    <w:p w14:paraId="23997D50" w14:textId="77777777" w:rsidR="00D86A0E" w:rsidRPr="00D86A0E" w:rsidRDefault="00D86A0E" w:rsidP="00D86A0E">
      <w:pPr>
        <w:shd w:val="clear" w:color="auto" w:fill="FFFFFF"/>
        <w:spacing w:after="0" w:line="240" w:lineRule="auto"/>
        <w:ind w:left="1080"/>
        <w:contextualSpacing/>
        <w:jc w:val="both"/>
        <w:textAlignment w:val="top"/>
        <w:rPr>
          <w:rFonts w:ascii="Calibri" w:eastAsia="Times New Roman" w:hAnsi="Calibri" w:cs="Calibri"/>
          <w:color w:val="333333"/>
          <w:kern w:val="0"/>
          <w:sz w:val="22"/>
          <w:szCs w:val="22"/>
          <w:lang w:val="fr-FR" w:eastAsia="ja-JP"/>
          <w14:ligatures w14:val="none"/>
        </w:rPr>
      </w:pPr>
    </w:p>
    <w:p w14:paraId="52691903" w14:textId="77777777" w:rsidR="00D86A0E" w:rsidRPr="00D86A0E" w:rsidRDefault="00D86A0E" w:rsidP="00D86A0E">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D86A0E">
        <w:rPr>
          <w:rFonts w:ascii="Calibri" w:eastAsia="MS Mincho" w:hAnsi="Calibri" w:cs="Calibri"/>
          <w:kern w:val="0"/>
          <w:sz w:val="22"/>
          <w:szCs w:val="22"/>
          <w:lang w:val="fr-FR" w:eastAsia="ja-JP"/>
          <w14:ligatures w14:val="none"/>
        </w:rPr>
        <w:t xml:space="preserve">Les comptes bancaires sans activité de reçu ou de versement, autre que la publication des intérêts ou des frais de service, pendant une période de six mois doivent être examinés deux fois par an en juin et en décembre et être clôturés.  Une décision de garder un compte ouvert et actif alors qu’il n’a pas d’activité pendant une période de six mois doit être documentée et envoyée au Service de la trésorerie.  Le Service de la trésorerie prendra une décision définitive sur la clôture du compte. </w:t>
      </w:r>
    </w:p>
    <w:p w14:paraId="24F175B6" w14:textId="77777777" w:rsidR="00D86A0E" w:rsidRPr="00D86A0E" w:rsidRDefault="00D86A0E" w:rsidP="00D86A0E">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E3D96FD" w14:textId="07586798" w:rsidR="00D86A0E" w:rsidRPr="00D86A0E" w:rsidRDefault="00D86A0E" w:rsidP="00D86A0E">
      <w:pPr>
        <w:numPr>
          <w:ilvl w:val="0"/>
          <w:numId w:val="1"/>
        </w:numPr>
        <w:shd w:val="clear" w:color="auto" w:fill="FFFFFF"/>
        <w:spacing w:after="0" w:line="240" w:lineRule="auto"/>
        <w:contextualSpacing/>
        <w:jc w:val="both"/>
        <w:textAlignment w:val="top"/>
        <w:rPr>
          <w:rFonts w:ascii="Calibri" w:eastAsia="Times New Roman" w:hAnsi="Calibri" w:cs="Calibri"/>
          <w:color w:val="FF0000"/>
          <w:kern w:val="0"/>
          <w:sz w:val="22"/>
          <w:szCs w:val="22"/>
          <w:lang w:val="fr-FR" w:eastAsia="ja-JP"/>
          <w14:ligatures w14:val="none"/>
        </w:rPr>
      </w:pPr>
      <w:r w:rsidRPr="00D86A0E">
        <w:rPr>
          <w:rFonts w:ascii="Calibri" w:eastAsia="MS Mincho" w:hAnsi="Calibri" w:cs="Calibri"/>
          <w:kern w:val="0"/>
          <w:sz w:val="22"/>
          <w:szCs w:val="22"/>
          <w:lang w:val="fr-FR" w:eastAsia="ja-JP"/>
          <w14:ligatures w14:val="none"/>
        </w:rPr>
        <w:t xml:space="preserve">Une fois que la décision de clôturer un compte actif a été prise, le compte est gardé ouvert pendant une période de trois à six mois pour permettre l’enregistrement de toute transaction non publiée.  </w:t>
      </w:r>
    </w:p>
    <w:p w14:paraId="5DC2FDBF" w14:textId="77777777" w:rsidR="00D86A0E" w:rsidRDefault="00D86A0E" w:rsidP="00D86A0E">
      <w:pPr>
        <w:shd w:val="clear" w:color="auto" w:fill="FFFFFF"/>
        <w:spacing w:after="0" w:line="240" w:lineRule="auto"/>
        <w:contextualSpacing/>
        <w:jc w:val="both"/>
        <w:textAlignment w:val="top"/>
        <w:rPr>
          <w:rFonts w:ascii="Calibri" w:eastAsia="Times New Roman" w:hAnsi="Calibri" w:cs="Calibri"/>
          <w:b/>
          <w:color w:val="333333"/>
          <w:kern w:val="0"/>
          <w:sz w:val="22"/>
          <w:szCs w:val="22"/>
          <w:lang w:val="en-GB" w:eastAsia="ja-JP"/>
          <w14:ligatures w14:val="none"/>
        </w:rPr>
      </w:pPr>
    </w:p>
    <w:p w14:paraId="4141E380" w14:textId="77777777" w:rsidR="00D86A0E" w:rsidRDefault="00D86A0E" w:rsidP="00D86A0E">
      <w:pPr>
        <w:shd w:val="clear" w:color="auto" w:fill="FFFFFF"/>
        <w:spacing w:after="0" w:line="240" w:lineRule="auto"/>
        <w:contextualSpacing/>
        <w:jc w:val="both"/>
        <w:textAlignment w:val="top"/>
        <w:rPr>
          <w:rFonts w:ascii="Calibri" w:eastAsia="Times New Roman" w:hAnsi="Calibri" w:cs="Calibri"/>
          <w:b/>
          <w:color w:val="333333"/>
          <w:kern w:val="0"/>
          <w:sz w:val="22"/>
          <w:szCs w:val="22"/>
          <w:lang w:val="en-GB" w:eastAsia="ja-JP"/>
          <w14:ligatures w14:val="none"/>
        </w:rPr>
      </w:pPr>
    </w:p>
    <w:p w14:paraId="2DA433DA" w14:textId="77777777" w:rsidR="00D86A0E" w:rsidRPr="00880B43" w:rsidRDefault="00D86A0E" w:rsidP="00D86A0E">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AE3FB6">
        <w:rPr>
          <w:rFonts w:ascii="Calibri" w:eastAsia="MS Mincho" w:hAnsi="Calibri" w:cs="Times New Roman"/>
          <w:b/>
          <w:bCs/>
          <w:i/>
          <w:iCs/>
          <w:color w:val="212121"/>
          <w:kern w:val="0"/>
          <w:sz w:val="22"/>
          <w:szCs w:val="22"/>
          <w:u w:val="single"/>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0F65F7E2" w14:textId="77777777" w:rsidR="00D86A0E" w:rsidRPr="00880B43" w:rsidRDefault="00D86A0E" w:rsidP="00D86A0E">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55E349BB" w14:textId="77777777" w:rsidR="00D86A0E" w:rsidRDefault="00D86A0E" w:rsidP="00D86A0E">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3878D7F0" w14:textId="77777777" w:rsidR="00D86A0E" w:rsidRPr="00D86A0E" w:rsidRDefault="00D86A0E" w:rsidP="00AE3FB6">
      <w:pPr>
        <w:shd w:val="clear" w:color="auto" w:fill="FFFFFF"/>
        <w:spacing w:after="0" w:line="240" w:lineRule="auto"/>
        <w:contextualSpacing/>
        <w:jc w:val="both"/>
        <w:textAlignment w:val="top"/>
        <w:rPr>
          <w:rFonts w:ascii="Calibri" w:eastAsia="Times New Roman" w:hAnsi="Calibri" w:cs="Calibri"/>
          <w:b/>
          <w:color w:val="333333"/>
          <w:kern w:val="0"/>
          <w:sz w:val="22"/>
          <w:szCs w:val="22"/>
          <w:lang w:val="en-GB" w:eastAsia="ja-JP"/>
          <w14:ligatures w14:val="none"/>
        </w:rPr>
      </w:pPr>
    </w:p>
    <w:p w14:paraId="23949BA4" w14:textId="77777777" w:rsidR="00DA504D" w:rsidRPr="00AE3FB6" w:rsidRDefault="00DA504D">
      <w:pPr>
        <w:rPr>
          <w:rFonts w:ascii="Calibri" w:hAnsi="Calibri" w:cs="Calibri"/>
        </w:rPr>
      </w:pPr>
    </w:p>
    <w:sectPr w:rsidR="00DA504D" w:rsidRPr="00AE3FB6" w:rsidSect="00D86A0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D682" w14:textId="77777777" w:rsidR="00275541" w:rsidRDefault="00275541" w:rsidP="00D86A0E">
      <w:pPr>
        <w:spacing w:after="0" w:line="240" w:lineRule="auto"/>
      </w:pPr>
      <w:r>
        <w:separator/>
      </w:r>
    </w:p>
  </w:endnote>
  <w:endnote w:type="continuationSeparator" w:id="0">
    <w:p w14:paraId="335FCC8D" w14:textId="77777777" w:rsidR="00275541" w:rsidRDefault="00275541" w:rsidP="00D86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EBE0" w14:textId="3FC34790" w:rsidR="00D86A0E" w:rsidRPr="00AE3FB6" w:rsidRDefault="00D86A0E">
    <w:pPr>
      <w:pStyle w:val="Footer"/>
      <w:rPr>
        <w:rFonts w:ascii="Calibri" w:hAnsi="Calibri" w:cs="Calibri"/>
      </w:rPr>
    </w:pPr>
    <w:r w:rsidRPr="00AE3FB6">
      <w:rPr>
        <w:rFonts w:ascii="Calibri" w:hAnsi="Calibri" w:cs="Calibri"/>
      </w:rPr>
      <w:t xml:space="preserve">Page </w:t>
    </w:r>
    <w:r w:rsidRPr="00AE3FB6">
      <w:rPr>
        <w:rFonts w:ascii="Calibri" w:hAnsi="Calibri" w:cs="Calibri"/>
        <w:b/>
      </w:rPr>
      <w:fldChar w:fldCharType="begin"/>
    </w:r>
    <w:r w:rsidRPr="00AE3FB6">
      <w:rPr>
        <w:rFonts w:ascii="Calibri" w:hAnsi="Calibri" w:cs="Calibri"/>
        <w:b/>
      </w:rPr>
      <w:instrText xml:space="preserve"> PAGE  \* Arabic  \* MERGEFORMAT </w:instrText>
    </w:r>
    <w:r w:rsidRPr="00AE3FB6">
      <w:rPr>
        <w:rFonts w:ascii="Calibri" w:hAnsi="Calibri" w:cs="Calibri"/>
        <w:b/>
      </w:rPr>
      <w:fldChar w:fldCharType="separate"/>
    </w:r>
    <w:r w:rsidRPr="00AE3FB6">
      <w:rPr>
        <w:rFonts w:ascii="Calibri" w:hAnsi="Calibri" w:cs="Calibri"/>
        <w:b/>
        <w:noProof/>
      </w:rPr>
      <w:t>2</w:t>
    </w:r>
    <w:r w:rsidRPr="00AE3FB6">
      <w:rPr>
        <w:rFonts w:ascii="Calibri" w:hAnsi="Calibri" w:cs="Calibri"/>
        <w:b/>
      </w:rPr>
      <w:fldChar w:fldCharType="end"/>
    </w:r>
    <w:r w:rsidRPr="00AE3FB6">
      <w:rPr>
        <w:rFonts w:ascii="Calibri" w:hAnsi="Calibri" w:cs="Calibri"/>
      </w:rPr>
      <w:t xml:space="preserve"> sur </w:t>
    </w:r>
    <w:r w:rsidRPr="00AE3FB6">
      <w:rPr>
        <w:rFonts w:ascii="Calibri" w:hAnsi="Calibri" w:cs="Calibri"/>
        <w:b/>
      </w:rPr>
      <w:fldChar w:fldCharType="begin"/>
    </w:r>
    <w:r w:rsidRPr="00AE3FB6">
      <w:rPr>
        <w:rFonts w:ascii="Calibri" w:hAnsi="Calibri" w:cs="Calibri"/>
        <w:b/>
      </w:rPr>
      <w:instrText xml:space="preserve"> NUMPAGES  \* Arabic  \* MERGEFORMAT </w:instrText>
    </w:r>
    <w:r w:rsidRPr="00AE3FB6">
      <w:rPr>
        <w:rFonts w:ascii="Calibri" w:hAnsi="Calibri" w:cs="Calibri"/>
        <w:b/>
      </w:rPr>
      <w:fldChar w:fldCharType="separate"/>
    </w:r>
    <w:r w:rsidRPr="00AE3FB6">
      <w:rPr>
        <w:rFonts w:ascii="Calibri" w:hAnsi="Calibri" w:cs="Calibri"/>
        <w:b/>
        <w:noProof/>
      </w:rPr>
      <w:t>5</w:t>
    </w:r>
    <w:r w:rsidRPr="00AE3FB6">
      <w:rPr>
        <w:rFonts w:ascii="Calibri" w:hAnsi="Calibri" w:cs="Calibri"/>
        <w:b/>
      </w:rPr>
      <w:fldChar w:fldCharType="end"/>
    </w:r>
    <w:r w:rsidRPr="00AE3FB6">
      <w:rPr>
        <w:rFonts w:ascii="Calibri" w:hAnsi="Calibri" w:cs="Calibri"/>
      </w:rPr>
      <w:ptab w:relativeTo="margin" w:alignment="center" w:leader="none"/>
    </w:r>
    <w:r w:rsidRPr="00AE3FB6">
      <w:rPr>
        <w:rFonts w:ascii="Calibri" w:hAnsi="Calibri" w:cs="Calibri"/>
      </w:rPr>
      <w:t xml:space="preserve">Date d’entrée en vigueur : 18/07/2019 </w:t>
    </w:r>
    <w:r w:rsidRPr="00AE3FB6">
      <w:rPr>
        <w:rFonts w:ascii="Calibri" w:hAnsi="Calibri" w:cs="Calibri"/>
      </w:rPr>
      <w:ptab w:relativeTo="margin" w:alignment="right" w:leader="none"/>
    </w:r>
    <w:r>
      <w:rPr>
        <w:rFonts w:ascii="Calibri" w:hAnsi="Calibri" w:cs="Calibri"/>
      </w:rPr>
      <w:t>V</w:t>
    </w:r>
    <w:r w:rsidRPr="00AE3FB6">
      <w:rPr>
        <w:rFonts w:ascii="Calibri" w:hAnsi="Calibri" w:cs="Calibri"/>
      </w:rPr>
      <w:t>ersion</w:t>
    </w:r>
    <w:r>
      <w:rPr>
        <w:rFonts w:ascii="Calibri" w:hAnsi="Calibri" w:cs="Calibri"/>
      </w:rPr>
      <w:t xml:space="preserve"> #</w:t>
    </w:r>
    <w:r w:rsidRPr="00AE3FB6">
      <w:rPr>
        <w:rFonts w:ascii="Calibri" w:hAnsi="Calibri" w:cs="Calibri"/>
      </w:rPr>
      <w:t xml:space="preserve"> : </w:t>
    </w:r>
    <w:sdt>
      <w:sdtPr>
        <w:rPr>
          <w:rFonts w:ascii="Calibri" w:hAnsi="Calibri" w:cs="Calibri"/>
        </w:rPr>
        <w:alias w:val="VersionPOPPRefItem"/>
        <w:tag w:val="UNDP_POPP_REFITEM_VERSION"/>
        <w:id w:val="2132823057"/>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2FA2DFC-B7DF-453E-9044-9E40595BEA32}"/>
        <w:text/>
      </w:sdtPr>
      <w:sdtContent>
        <w:r w:rsidRPr="00AE3FB6">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C256" w14:textId="77777777" w:rsidR="00275541" w:rsidRDefault="00275541" w:rsidP="00D86A0E">
      <w:pPr>
        <w:spacing w:after="0" w:line="240" w:lineRule="auto"/>
      </w:pPr>
      <w:r>
        <w:separator/>
      </w:r>
    </w:p>
  </w:footnote>
  <w:footnote w:type="continuationSeparator" w:id="0">
    <w:p w14:paraId="4FE8275E" w14:textId="77777777" w:rsidR="00275541" w:rsidRDefault="00275541" w:rsidP="00D86A0E">
      <w:pPr>
        <w:spacing w:after="0" w:line="240" w:lineRule="auto"/>
      </w:pPr>
      <w:r>
        <w:continuationSeparator/>
      </w:r>
    </w:p>
  </w:footnote>
  <w:footnote w:id="1">
    <w:p w14:paraId="0C3C4360" w14:textId="77777777" w:rsidR="00D86A0E" w:rsidRPr="00AE3FB6" w:rsidRDefault="00D86A0E" w:rsidP="00D86A0E">
      <w:pPr>
        <w:pStyle w:val="FootnoteText"/>
        <w:rPr>
          <w:rFonts w:ascii="Calibri" w:hAnsi="Calibri" w:cs="Calibri"/>
        </w:rPr>
      </w:pPr>
      <w:r w:rsidRPr="00AE3FB6">
        <w:rPr>
          <w:rStyle w:val="FootnoteReference"/>
          <w:rFonts w:ascii="Calibri" w:hAnsi="Calibri" w:cs="Calibri"/>
        </w:rPr>
        <w:footnoteRef/>
      </w:r>
      <w:r w:rsidRPr="00AE3FB6">
        <w:rPr>
          <w:rFonts w:ascii="Calibri" w:hAnsi="Calibri" w:cs="Calibri"/>
        </w:rPr>
        <w:t xml:space="preserve"> Règle 125.01 : Le Trésorier et le Bureau des services de gestion sont habilités à élire la banque ou les banques dans lesquelles les fonds du PNUD et ceux administrés par l’Organisation seront déposés. La désignation d’une banque couvre toutes les succursales de cette banque. Le Trésorier promulgue les critères sous-tendant la qualification de ces banques.</w:t>
      </w:r>
    </w:p>
    <w:p w14:paraId="7EF15EF6" w14:textId="77777777" w:rsidR="00D86A0E" w:rsidRPr="00AE3FB6" w:rsidRDefault="00D86A0E" w:rsidP="00D86A0E">
      <w:pPr>
        <w:pStyle w:val="FootnoteText"/>
        <w:rPr>
          <w:rFonts w:ascii="Calibri" w:hAnsi="Calibri" w:cs="Calibri"/>
        </w:rPr>
      </w:pPr>
    </w:p>
    <w:p w14:paraId="0CD50034" w14:textId="77777777" w:rsidR="00D86A0E" w:rsidRDefault="00D86A0E" w:rsidP="00D86A0E">
      <w:pPr>
        <w:pStyle w:val="FootnoteText"/>
      </w:pPr>
      <w:r w:rsidRPr="00AE3FB6">
        <w:rPr>
          <w:rFonts w:ascii="Calibri" w:hAnsi="Calibri" w:cs="Calibri"/>
        </w:rPr>
        <w:t>Règle 125.02 : Le Trésorier définit les critères d’ouverture de comptes bancaires dans les situations d’urgence.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181D" w14:textId="300EB85B" w:rsidR="00D86A0E" w:rsidRDefault="00D86A0E" w:rsidP="0041260A">
    <w:pPr>
      <w:pStyle w:val="Header"/>
      <w:ind w:left="9360" w:right="43"/>
      <w:jc w:val="right"/>
    </w:pPr>
    <w:r>
      <w:rPr>
        <w:noProof/>
      </w:rPr>
      <w:drawing>
        <wp:anchor distT="0" distB="0" distL="114300" distR="114300" simplePos="0" relativeHeight="251659264" behindDoc="0" locked="0" layoutInCell="1" allowOverlap="1" wp14:anchorId="02FBFFE6" wp14:editId="214B7E9F">
          <wp:simplePos x="0" y="0"/>
          <wp:positionH relativeFrom="rightMargin">
            <wp:align>left</wp:align>
          </wp:positionH>
          <wp:positionV relativeFrom="paragraph">
            <wp:posOffset>-121920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63EBBB2" w14:textId="77777777" w:rsidR="00D86A0E" w:rsidRDefault="00D86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5455"/>
    <w:multiLevelType w:val="hybridMultilevel"/>
    <w:tmpl w:val="36049FAC"/>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F4E2651"/>
    <w:multiLevelType w:val="multilevel"/>
    <w:tmpl w:val="87CE83CA"/>
    <w:lvl w:ilvl="0">
      <w:start w:val="1"/>
      <w:numFmt w:val="decimal"/>
      <w:lvlText w:val="%1."/>
      <w:lvlJc w:val="left"/>
      <w:pPr>
        <w:ind w:left="720" w:hanging="360"/>
      </w:pPr>
      <w:rPr>
        <w:color w:val="auto"/>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53610306">
    <w:abstractNumId w:val="1"/>
  </w:num>
  <w:num w:numId="2" w16cid:durableId="1936474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0E"/>
    <w:rsid w:val="00275541"/>
    <w:rsid w:val="002F6382"/>
    <w:rsid w:val="004630FD"/>
    <w:rsid w:val="00AE3FB6"/>
    <w:rsid w:val="00C61B9D"/>
    <w:rsid w:val="00D86A0E"/>
    <w:rsid w:val="00D95E5B"/>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95A3"/>
  <w15:chartTrackingRefBased/>
  <w15:docId w15:val="{510816D9-52C3-473F-B284-02B0D95D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A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A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A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A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A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A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A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A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A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A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A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A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A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A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A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A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A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A0E"/>
    <w:rPr>
      <w:rFonts w:eastAsiaTheme="majorEastAsia" w:cstheme="majorBidi"/>
      <w:color w:val="272727" w:themeColor="text1" w:themeTint="D8"/>
    </w:rPr>
  </w:style>
  <w:style w:type="paragraph" w:styleId="Title">
    <w:name w:val="Title"/>
    <w:basedOn w:val="Normal"/>
    <w:next w:val="Normal"/>
    <w:link w:val="TitleChar"/>
    <w:uiPriority w:val="10"/>
    <w:qFormat/>
    <w:rsid w:val="00D86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A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A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A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A0E"/>
    <w:pPr>
      <w:spacing w:before="160"/>
      <w:jc w:val="center"/>
    </w:pPr>
    <w:rPr>
      <w:i/>
      <w:iCs/>
      <w:color w:val="404040" w:themeColor="text1" w:themeTint="BF"/>
    </w:rPr>
  </w:style>
  <w:style w:type="character" w:customStyle="1" w:styleId="QuoteChar">
    <w:name w:val="Quote Char"/>
    <w:basedOn w:val="DefaultParagraphFont"/>
    <w:link w:val="Quote"/>
    <w:uiPriority w:val="29"/>
    <w:rsid w:val="00D86A0E"/>
    <w:rPr>
      <w:i/>
      <w:iCs/>
      <w:color w:val="404040" w:themeColor="text1" w:themeTint="BF"/>
    </w:rPr>
  </w:style>
  <w:style w:type="paragraph" w:styleId="ListParagraph">
    <w:name w:val="List Paragraph"/>
    <w:basedOn w:val="Normal"/>
    <w:uiPriority w:val="34"/>
    <w:qFormat/>
    <w:rsid w:val="00D86A0E"/>
    <w:pPr>
      <w:ind w:left="720"/>
      <w:contextualSpacing/>
    </w:pPr>
  </w:style>
  <w:style w:type="character" w:styleId="IntenseEmphasis">
    <w:name w:val="Intense Emphasis"/>
    <w:basedOn w:val="DefaultParagraphFont"/>
    <w:uiPriority w:val="21"/>
    <w:qFormat/>
    <w:rsid w:val="00D86A0E"/>
    <w:rPr>
      <w:i/>
      <w:iCs/>
      <w:color w:val="0F4761" w:themeColor="accent1" w:themeShade="BF"/>
    </w:rPr>
  </w:style>
  <w:style w:type="paragraph" w:styleId="IntenseQuote">
    <w:name w:val="Intense Quote"/>
    <w:basedOn w:val="Normal"/>
    <w:next w:val="Normal"/>
    <w:link w:val="IntenseQuoteChar"/>
    <w:uiPriority w:val="30"/>
    <w:qFormat/>
    <w:rsid w:val="00D86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A0E"/>
    <w:rPr>
      <w:i/>
      <w:iCs/>
      <w:color w:val="0F4761" w:themeColor="accent1" w:themeShade="BF"/>
    </w:rPr>
  </w:style>
  <w:style w:type="character" w:styleId="IntenseReference">
    <w:name w:val="Intense Reference"/>
    <w:basedOn w:val="DefaultParagraphFont"/>
    <w:uiPriority w:val="32"/>
    <w:qFormat/>
    <w:rsid w:val="00D86A0E"/>
    <w:rPr>
      <w:b/>
      <w:bCs/>
      <w:smallCaps/>
      <w:color w:val="0F4761" w:themeColor="accent1" w:themeShade="BF"/>
      <w:spacing w:val="5"/>
    </w:rPr>
  </w:style>
  <w:style w:type="paragraph" w:styleId="FootnoteText">
    <w:name w:val="footnote text"/>
    <w:basedOn w:val="Normal"/>
    <w:link w:val="FootnoteTextChar"/>
    <w:uiPriority w:val="99"/>
    <w:semiHidden/>
    <w:unhideWhenUsed/>
    <w:rsid w:val="00D86A0E"/>
    <w:pPr>
      <w:spacing w:after="0" w:line="240" w:lineRule="auto"/>
    </w:pPr>
    <w:rPr>
      <w:rFonts w:eastAsia="MS Mincho"/>
      <w:kern w:val="0"/>
      <w:sz w:val="20"/>
      <w:szCs w:val="20"/>
      <w:lang w:val="fr-FR" w:eastAsia="ja-JP"/>
      <w14:ligatures w14:val="none"/>
    </w:rPr>
  </w:style>
  <w:style w:type="character" w:customStyle="1" w:styleId="FootnoteTextChar">
    <w:name w:val="Footnote Text Char"/>
    <w:basedOn w:val="DefaultParagraphFont"/>
    <w:link w:val="FootnoteText"/>
    <w:uiPriority w:val="99"/>
    <w:semiHidden/>
    <w:rsid w:val="00D86A0E"/>
    <w:rPr>
      <w:rFonts w:eastAsia="MS Mincho"/>
      <w:kern w:val="0"/>
      <w:sz w:val="20"/>
      <w:szCs w:val="20"/>
      <w:lang w:val="fr-FR" w:eastAsia="ja-JP"/>
      <w14:ligatures w14:val="none"/>
    </w:rPr>
  </w:style>
  <w:style w:type="character" w:styleId="FootnoteReference">
    <w:name w:val="footnote reference"/>
    <w:basedOn w:val="DefaultParagraphFont"/>
    <w:uiPriority w:val="99"/>
    <w:semiHidden/>
    <w:unhideWhenUsed/>
    <w:rsid w:val="00D86A0E"/>
    <w:rPr>
      <w:vertAlign w:val="superscript"/>
    </w:rPr>
  </w:style>
  <w:style w:type="paragraph" w:styleId="Header">
    <w:name w:val="header"/>
    <w:basedOn w:val="Normal"/>
    <w:link w:val="HeaderChar"/>
    <w:uiPriority w:val="99"/>
    <w:unhideWhenUsed/>
    <w:rsid w:val="00D86A0E"/>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HeaderChar">
    <w:name w:val="Header Char"/>
    <w:basedOn w:val="DefaultParagraphFont"/>
    <w:link w:val="Header"/>
    <w:uiPriority w:val="99"/>
    <w:rsid w:val="00D86A0E"/>
    <w:rPr>
      <w:rFonts w:eastAsia="MS Mincho"/>
      <w:kern w:val="0"/>
      <w:sz w:val="22"/>
      <w:szCs w:val="22"/>
      <w:lang w:val="fr-FR" w:eastAsia="ja-JP"/>
      <w14:ligatures w14:val="none"/>
    </w:rPr>
  </w:style>
  <w:style w:type="paragraph" w:styleId="Footer">
    <w:name w:val="footer"/>
    <w:basedOn w:val="Normal"/>
    <w:link w:val="FooterChar"/>
    <w:uiPriority w:val="99"/>
    <w:unhideWhenUsed/>
    <w:rsid w:val="00D86A0E"/>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FooterChar">
    <w:name w:val="Footer Char"/>
    <w:basedOn w:val="DefaultParagraphFont"/>
    <w:link w:val="Footer"/>
    <w:uiPriority w:val="99"/>
    <w:rsid w:val="00D86A0E"/>
    <w:rPr>
      <w:rFonts w:eastAsia="MS Mincho"/>
      <w:kern w:val="0"/>
      <w:sz w:val="22"/>
      <w:szCs w:val="22"/>
      <w:lang w:val="fr-FR" w:eastAsia="ja-JP"/>
      <w14:ligatures w14:val="none"/>
    </w:rPr>
  </w:style>
  <w:style w:type="paragraph" w:styleId="Revision">
    <w:name w:val="Revision"/>
    <w:hidden/>
    <w:uiPriority w:val="99"/>
    <w:semiHidden/>
    <w:rsid w:val="00D86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39530-7AA3-4C62-999F-C183A0C9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684</Words>
  <Characters>3899</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2026-06-11T14:40:00Z</dcterms:created>
  <dcterms:modified xsi:type="dcterms:W3CDTF">2026-06-11T14:45:00Z</dcterms:modified>
</cp:coreProperties>
</file>