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9DFA" w14:textId="77777777" w:rsidR="0044398E" w:rsidRDefault="0044398E" w:rsidP="0044398E">
      <w:pPr>
        <w:jc w:val="both"/>
        <w:rPr>
          <w:b/>
          <w:sz w:val="28"/>
          <w:lang w:val="en-GB"/>
        </w:rPr>
      </w:pPr>
      <w:r>
        <w:rPr>
          <w:b/>
          <w:sz w:val="28"/>
          <w:lang w:val="en-GB"/>
        </w:rPr>
        <w:t>2.0 Policies</w:t>
      </w:r>
    </w:p>
    <w:p w14:paraId="7BCE3338" w14:textId="77777777" w:rsidR="0044398E" w:rsidRPr="006630B0" w:rsidRDefault="0044398E" w:rsidP="0044398E">
      <w:pPr>
        <w:jc w:val="both"/>
        <w:rPr>
          <w:b/>
          <w:sz w:val="28"/>
          <w:lang w:val="en-GB"/>
        </w:rPr>
      </w:pPr>
      <w:r w:rsidRPr="006630B0">
        <w:rPr>
          <w:b/>
          <w:sz w:val="28"/>
          <w:lang w:val="en-GB"/>
        </w:rPr>
        <w:t xml:space="preserve">Opening and Closing Bank Accounts </w:t>
      </w:r>
    </w:p>
    <w:p w14:paraId="308FDC69"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In accordance with UNDP Financial Rule 125, the Administrator has delegated to the Treasurer the authority to manage and operate UNDP’S bank accounts. Consequently, only the Treasurer has the authority to open and close UNDP bank accounts whether at Headquarters or in Country Offices, except in cases of local emergencies when a Representative may act to open or close a bank account.</w:t>
      </w:r>
    </w:p>
    <w:p w14:paraId="1A0785BC" w14:textId="77777777" w:rsidR="0044398E" w:rsidRPr="00B607A9" w:rsidRDefault="0044398E" w:rsidP="0044398E">
      <w:pPr>
        <w:pStyle w:val="ListParagraph"/>
        <w:shd w:val="clear" w:color="auto" w:fill="FFFFFF"/>
        <w:spacing w:after="240" w:line="240" w:lineRule="auto"/>
        <w:jc w:val="both"/>
        <w:textAlignment w:val="top"/>
        <w:rPr>
          <w:rFonts w:eastAsia="Times New Roman" w:cs="Arial"/>
          <w:lang w:val="en-GB"/>
        </w:rPr>
      </w:pPr>
    </w:p>
    <w:p w14:paraId="2DA22BC1"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There are two types of bank accounts: convertible currency accounts and non-convertible currency accounts. Convertible currencies are those that are freely convertible to other currencies. Non-convertible currencies are those that are not freely exchangeable due to government or central bank regulations.</w:t>
      </w:r>
    </w:p>
    <w:p w14:paraId="41755644" w14:textId="77777777" w:rsidR="0044398E" w:rsidRPr="00B607A9" w:rsidRDefault="0044398E" w:rsidP="0044398E">
      <w:pPr>
        <w:pStyle w:val="ListParagraph"/>
        <w:shd w:val="clear" w:color="auto" w:fill="FFFFFF"/>
        <w:spacing w:after="240" w:line="240" w:lineRule="auto"/>
        <w:jc w:val="both"/>
        <w:textAlignment w:val="top"/>
        <w:rPr>
          <w:rFonts w:eastAsia="Times New Roman" w:cs="Arial"/>
          <w:lang w:val="en-GB"/>
        </w:rPr>
      </w:pPr>
    </w:p>
    <w:p w14:paraId="4D7B4FA9"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The following must be observed, as per Financial Rule 125.01, and Rule 125.02</w:t>
      </w:r>
      <w:r w:rsidRPr="00B607A9">
        <w:rPr>
          <w:rStyle w:val="FootnoteReference"/>
          <w:rFonts w:eastAsia="Times New Roman" w:cs="Arial"/>
          <w:lang w:val="en-GB"/>
        </w:rPr>
        <w:footnoteReference w:id="2"/>
      </w:r>
      <w:r w:rsidRPr="00B607A9">
        <w:rPr>
          <w:rFonts w:eastAsia="Times New Roman" w:cs="Arial"/>
          <w:lang w:val="en-GB"/>
        </w:rPr>
        <w:t xml:space="preserve">: </w:t>
      </w:r>
    </w:p>
    <w:p w14:paraId="0EABE1E3" w14:textId="1D8564CC"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Treasury shall create and maintain all UNDP bank account (both Headquarters and Country Offices bank accounts) information in </w:t>
      </w:r>
      <w:r w:rsidR="00573784">
        <w:rPr>
          <w:rFonts w:eastAsia="Times New Roman" w:cs="Arial"/>
          <w:lang w:val="en-GB"/>
        </w:rPr>
        <w:t>Quantum</w:t>
      </w:r>
      <w:r w:rsidRPr="00B607A9">
        <w:rPr>
          <w:rFonts w:eastAsia="Times New Roman" w:cs="Arial"/>
          <w:lang w:val="en-GB"/>
        </w:rPr>
        <w:t>.</w:t>
      </w:r>
    </w:p>
    <w:p w14:paraId="73056C9F"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Ideally, country offices shall operate only two bank accounts; </w:t>
      </w:r>
    </w:p>
    <w:p w14:paraId="32250194"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A local currency account which could be convertible or non-convertible and one external convertible currency account, (e.g., US Dollars or Euros Zero Balance Accounts).</w:t>
      </w:r>
    </w:p>
    <w:p w14:paraId="50BA614F"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Because of special agreements between UNDP and its donors, local exchange control regulations or local business practices, it may be necessary for some country offices to operate a local US Dollar or Euro account as well as additional local currency accounts. These accounts will only be opened and maintained if necessary for the smooth functioning of the office. Special IDB (Inter-American Development Bank) local accounts in some Latin American offices are examples of accounts opened because of agreements with donors. These types of accounts are exceptions to the rule in C above. </w:t>
      </w:r>
    </w:p>
    <w:p w14:paraId="1933E5AC"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Separate bank accounts for National Implementation (NIM) are NOT permitted. Where NIM partners require bank accounts, these accounts must be opened and operated by these partners and not by UNDP. UNDP staff should not serve as signatories on these bank accounts, nor should UNDP provide account opening or closing letters to the bank on behalf of the project.</w:t>
      </w:r>
    </w:p>
    <w:p w14:paraId="76FEC661"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Treasury may exceptionally authorize a bank account for DIM project requirements. DIM project accounts are managed exactly the same as UNDP Representative bank accounts. For further information or to request a DIM project bank account, please contact Treasury.</w:t>
      </w:r>
    </w:p>
    <w:p w14:paraId="270D81B5"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In cases of local emergencies (e.g., sudden closure of the bank where the UNDP Office holds its account) the Representative may open a new bank account with another local bank in order to prevent major disruptions to local operations and to safeguard UNDP’s financial </w:t>
      </w:r>
      <w:r w:rsidRPr="00B607A9">
        <w:rPr>
          <w:rFonts w:eastAsia="Times New Roman" w:cs="Arial"/>
          <w:lang w:val="en-GB"/>
        </w:rPr>
        <w:lastRenderedPageBreak/>
        <w:t xml:space="preserve">assets. In these cases, the Treasurer must be advised of this action as soon as possible after the account is opened. </w:t>
      </w:r>
    </w:p>
    <w:p w14:paraId="4C35CA01" w14:textId="77777777" w:rsidR="0044398E" w:rsidRPr="00B607A9" w:rsidRDefault="0044398E" w:rsidP="0044398E">
      <w:pPr>
        <w:pStyle w:val="ListParagraph"/>
        <w:shd w:val="clear" w:color="auto" w:fill="FFFFFF"/>
        <w:spacing w:after="0" w:line="240" w:lineRule="auto"/>
        <w:ind w:left="1080"/>
        <w:jc w:val="both"/>
        <w:textAlignment w:val="top"/>
        <w:rPr>
          <w:rFonts w:eastAsia="Times New Roman" w:cs="Arial"/>
          <w:lang w:val="en-GB"/>
        </w:rPr>
      </w:pPr>
    </w:p>
    <w:p w14:paraId="14F3D60C" w14:textId="77777777" w:rsidR="0044398E" w:rsidRDefault="0044398E" w:rsidP="0044398E">
      <w:pPr>
        <w:pStyle w:val="ListParagraph"/>
        <w:numPr>
          <w:ilvl w:val="0"/>
          <w:numId w:val="3"/>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Bank accounts with no activity of receipts and and/or disbursements, other than posting of the interest and/or service charges, for a period of 6 month should be reviewed semi-annually in June and December and should be closed.  A decision to keep account open and active despite no activity for a period of 6 month must be documented and sent to the Treasurer.  Treasurer will make a final decision on account closing. </w:t>
      </w:r>
    </w:p>
    <w:p w14:paraId="3CD53D36" w14:textId="77777777" w:rsidR="0044398E" w:rsidRDefault="0044398E" w:rsidP="0044398E">
      <w:pPr>
        <w:pStyle w:val="ListParagraph"/>
        <w:shd w:val="clear" w:color="auto" w:fill="FFFFFF"/>
        <w:spacing w:after="0" w:line="240" w:lineRule="auto"/>
        <w:jc w:val="both"/>
        <w:textAlignment w:val="top"/>
        <w:rPr>
          <w:rFonts w:eastAsia="Times New Roman" w:cs="Arial"/>
          <w:lang w:val="en-GB"/>
        </w:rPr>
      </w:pPr>
    </w:p>
    <w:p w14:paraId="79E01DCB" w14:textId="6967592F" w:rsidR="00164138" w:rsidRPr="0044398E" w:rsidRDefault="0044398E" w:rsidP="0044398E">
      <w:pPr>
        <w:pStyle w:val="ListParagraph"/>
        <w:numPr>
          <w:ilvl w:val="0"/>
          <w:numId w:val="3"/>
        </w:numPr>
        <w:shd w:val="clear" w:color="auto" w:fill="FFFFFF"/>
        <w:spacing w:after="0" w:line="240" w:lineRule="auto"/>
        <w:jc w:val="both"/>
        <w:textAlignment w:val="top"/>
        <w:rPr>
          <w:rFonts w:eastAsia="Times New Roman" w:cs="Arial"/>
          <w:lang w:val="en-GB"/>
        </w:rPr>
      </w:pPr>
      <w:r w:rsidRPr="0044398E">
        <w:rPr>
          <w:rFonts w:eastAsia="Times New Roman" w:cs="Arial"/>
          <w:lang w:val="en-GB"/>
        </w:rPr>
        <w:t xml:space="preserve">After a decision is made to close an active account, the account is kept open for a period of 3 to 6 months to allow recording of any unposted transactions.  </w:t>
      </w:r>
    </w:p>
    <w:sectPr w:rsidR="00164138" w:rsidRPr="004439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325A" w14:textId="77777777" w:rsidR="00635902" w:rsidRDefault="00635902" w:rsidP="008451B4">
      <w:pPr>
        <w:spacing w:after="0" w:line="240" w:lineRule="auto"/>
      </w:pPr>
      <w:r>
        <w:separator/>
      </w:r>
    </w:p>
  </w:endnote>
  <w:endnote w:type="continuationSeparator" w:id="0">
    <w:p w14:paraId="7A3635A2" w14:textId="77777777" w:rsidR="00635902" w:rsidRDefault="00635902" w:rsidP="008451B4">
      <w:pPr>
        <w:spacing w:after="0" w:line="240" w:lineRule="auto"/>
      </w:pPr>
      <w:r>
        <w:continuationSeparator/>
      </w:r>
    </w:p>
  </w:endnote>
  <w:endnote w:type="continuationNotice" w:id="1">
    <w:p w14:paraId="6F56A00F" w14:textId="77777777" w:rsidR="00381212" w:rsidRDefault="00381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420E" w14:textId="77777777" w:rsidR="00CB7268" w:rsidRDefault="00CB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1DD1" w14:textId="4B80D6CE" w:rsidR="00635902" w:rsidRDefault="00635902">
    <w:pPr>
      <w:pStyle w:val="Footer"/>
    </w:pPr>
    <w:r>
      <w:t xml:space="preserve">Page </w:t>
    </w:r>
    <w:r>
      <w:rPr>
        <w:b/>
      </w:rPr>
      <w:fldChar w:fldCharType="begin"/>
    </w:r>
    <w:r>
      <w:rPr>
        <w:b/>
      </w:rPr>
      <w:instrText xml:space="preserve"> PAGE  \* Arabic  \* MERGEFORMAT </w:instrText>
    </w:r>
    <w:r>
      <w:rPr>
        <w:b/>
      </w:rPr>
      <w:fldChar w:fldCharType="separate"/>
    </w:r>
    <w:r w:rsidR="006E28A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28AE">
      <w:rPr>
        <w:b/>
        <w:noProof/>
      </w:rPr>
      <w:t>2</w:t>
    </w:r>
    <w:r>
      <w:rPr>
        <w:b/>
      </w:rPr>
      <w:fldChar w:fldCharType="end"/>
    </w:r>
    <w:r>
      <w:ptab w:relativeTo="margin" w:alignment="center" w:leader="none"/>
    </w:r>
    <w:r w:rsidRPr="006630B0">
      <w:t>Effective Date:</w:t>
    </w:r>
    <w:r>
      <w:t xml:space="preserve"> </w:t>
    </w:r>
    <w:sdt>
      <w:sdtPr>
        <w:alias w:val="Effective Date"/>
        <w:tag w:val="UNDP_POPP_EFFECTIVEDATE"/>
        <w:id w:val="1501225490"/>
        <w:placeholder>
          <w:docPart w:val="592F5B42527E48CC8737C52D78D2605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02FA2DFC-B7DF-453E-9044-9E40595BEA32}"/>
        <w:date w:fullDate="2019-07-18T00:00:00Z">
          <w:dateFormat w:val="dd/MM/yyyy"/>
          <w:lid w:val="en-US"/>
          <w:storeMappedDataAs w:val="dateTime"/>
          <w:calendar w:val="gregorian"/>
        </w:date>
      </w:sdtPr>
      <w:sdtEndPr/>
      <w:sdtContent>
        <w:r w:rsidR="006E28AE">
          <w:t>18/07/2019</w:t>
        </w:r>
      </w:sdtContent>
    </w:sdt>
    <w:r>
      <w:ptab w:relativeTo="margin" w:alignment="right" w:leader="none"/>
    </w:r>
    <w:r w:rsidRPr="006630B0">
      <w:t>Version #:</w:t>
    </w:r>
    <w:r>
      <w:t xml:space="preserve"> </w:t>
    </w:r>
    <w:sdt>
      <w:sdtPr>
        <w:alias w:val="POPPRefItemVersion"/>
        <w:tag w:val="UNDP_POPP_REFITEM_VERSION"/>
        <w:id w:val="2132823057"/>
        <w:placeholder>
          <w:docPart w:val="F6F5084B563146BC9645DDB3D2DC84D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2FA2DFC-B7DF-453E-9044-9E40595BEA32}"/>
        <w:text/>
      </w:sdtPr>
      <w:sdtEndPr/>
      <w:sdtContent>
        <w:r w:rsidR="006E28AE">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A720" w14:textId="77777777" w:rsidR="00CB7268" w:rsidRDefault="00CB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984F" w14:textId="77777777" w:rsidR="00635902" w:rsidRDefault="00635902" w:rsidP="008451B4">
      <w:pPr>
        <w:spacing w:after="0" w:line="240" w:lineRule="auto"/>
      </w:pPr>
      <w:r>
        <w:separator/>
      </w:r>
    </w:p>
  </w:footnote>
  <w:footnote w:type="continuationSeparator" w:id="0">
    <w:p w14:paraId="6362DE90" w14:textId="77777777" w:rsidR="00635902" w:rsidRDefault="00635902" w:rsidP="008451B4">
      <w:pPr>
        <w:spacing w:after="0" w:line="240" w:lineRule="auto"/>
      </w:pPr>
      <w:r>
        <w:continuationSeparator/>
      </w:r>
    </w:p>
  </w:footnote>
  <w:footnote w:type="continuationNotice" w:id="1">
    <w:p w14:paraId="2FC3DDCD" w14:textId="77777777" w:rsidR="00381212" w:rsidRDefault="00381212">
      <w:pPr>
        <w:spacing w:after="0" w:line="240" w:lineRule="auto"/>
      </w:pPr>
    </w:p>
  </w:footnote>
  <w:footnote w:id="2">
    <w:p w14:paraId="071252CE" w14:textId="77777777" w:rsidR="00635902" w:rsidRDefault="00635902" w:rsidP="0044398E">
      <w:pPr>
        <w:pStyle w:val="FootnoteText"/>
      </w:pPr>
      <w:r>
        <w:rPr>
          <w:rStyle w:val="FootnoteReference"/>
        </w:rPr>
        <w:footnoteRef/>
      </w:r>
      <w:r>
        <w:t xml:space="preserve"> Rule 125.01: The Treasurer, Bureau for Management Services is authorized to designate the bank or banks in which UNDP funds and UNDP administered funds will be deposited and maintained. The designation of a bank shall cover all branches of that bank. The Treasurer shall promulgate criteria for the qualification of such banks.</w:t>
      </w:r>
    </w:p>
    <w:p w14:paraId="64FF5770" w14:textId="77777777" w:rsidR="00635902" w:rsidRDefault="00635902" w:rsidP="0044398E">
      <w:pPr>
        <w:pStyle w:val="FootnoteText"/>
      </w:pPr>
    </w:p>
    <w:p w14:paraId="32CA6324" w14:textId="77777777" w:rsidR="00635902" w:rsidRDefault="00635902" w:rsidP="0044398E">
      <w:pPr>
        <w:pStyle w:val="FootnoteText"/>
      </w:pPr>
      <w:r>
        <w:t>Rule 125.02: The Treasurer shall establish criteria for the opening of bank accounts in emergency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7352" w14:textId="77777777" w:rsidR="00CB7268" w:rsidRDefault="00CB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1CE5" w14:textId="5D1136DC" w:rsidR="00635902" w:rsidRDefault="00635902" w:rsidP="0041260A">
    <w:pPr>
      <w:pStyle w:val="Header"/>
      <w:ind w:left="9360" w:right="43"/>
      <w:jc w:val="right"/>
    </w:pPr>
    <w:r>
      <w:rPr>
        <w:noProof/>
        <w:lang w:eastAsia="en-US"/>
      </w:rPr>
      <w:drawing>
        <wp:inline distT="0" distB="0" distL="0" distR="0" wp14:anchorId="46F68783" wp14:editId="7FF7D470">
          <wp:extent cx="304165" cy="6110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2907"/>
                  <a:stretch/>
                </pic:blipFill>
                <pic:spPr bwMode="auto">
                  <a:xfrm>
                    <a:off x="0" y="0"/>
                    <a:ext cx="315068" cy="632947"/>
                  </a:xfrm>
                  <a:prstGeom prst="rect">
                    <a:avLst/>
                  </a:prstGeom>
                  <a:ln>
                    <a:noFill/>
                  </a:ln>
                  <a:extLst>
                    <a:ext uri="{53640926-AAD7-44D8-BBD7-CCE9431645EC}">
                      <a14:shadowObscured xmlns:a14="http://schemas.microsoft.com/office/drawing/2010/main"/>
                    </a:ext>
                  </a:extLst>
                </pic:spPr>
              </pic:pic>
            </a:graphicData>
          </a:graphic>
        </wp:inline>
      </w:drawing>
    </w:r>
  </w:p>
  <w:p w14:paraId="038515FD" w14:textId="77777777" w:rsidR="00635902" w:rsidRDefault="0063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914F" w14:textId="77777777" w:rsidR="00CB7268" w:rsidRDefault="00CB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455"/>
    <w:multiLevelType w:val="hybridMultilevel"/>
    <w:tmpl w:val="36049F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8F4F85"/>
    <w:multiLevelType w:val="multilevel"/>
    <w:tmpl w:val="E4B8E6B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2" w15:restartNumberingAfterBreak="0">
    <w:nsid w:val="4F4E2651"/>
    <w:multiLevelType w:val="hybridMultilevel"/>
    <w:tmpl w:val="62A0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50B51"/>
    <w:multiLevelType w:val="hybridMultilevel"/>
    <w:tmpl w:val="8A4E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4051356">
    <w:abstractNumId w:val="1"/>
  </w:num>
  <w:num w:numId="2" w16cid:durableId="1472019049">
    <w:abstractNumId w:val="3"/>
  </w:num>
  <w:num w:numId="3" w16cid:durableId="824592951">
    <w:abstractNumId w:val="2"/>
  </w:num>
  <w:num w:numId="4" w16cid:durableId="187854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38"/>
    <w:rsid w:val="00164138"/>
    <w:rsid w:val="00191115"/>
    <w:rsid w:val="00292F75"/>
    <w:rsid w:val="00381212"/>
    <w:rsid w:val="0041260A"/>
    <w:rsid w:val="0044398E"/>
    <w:rsid w:val="004C344A"/>
    <w:rsid w:val="00547871"/>
    <w:rsid w:val="00573784"/>
    <w:rsid w:val="005A6397"/>
    <w:rsid w:val="00635902"/>
    <w:rsid w:val="006630B0"/>
    <w:rsid w:val="006E28AE"/>
    <w:rsid w:val="007A59A1"/>
    <w:rsid w:val="007E5F1A"/>
    <w:rsid w:val="008451B4"/>
    <w:rsid w:val="008720A0"/>
    <w:rsid w:val="00942C0E"/>
    <w:rsid w:val="00A075E3"/>
    <w:rsid w:val="00A2358F"/>
    <w:rsid w:val="00B32A40"/>
    <w:rsid w:val="00CB7268"/>
    <w:rsid w:val="00E20F6A"/>
    <w:rsid w:val="00E36DC0"/>
    <w:rsid w:val="00F1317C"/>
    <w:rsid w:val="00FB0951"/>
    <w:rsid w:val="00FD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01DBC"/>
  <w15:docId w15:val="{3B6795A3-33BF-4ED9-B035-BF40C36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15"/>
    <w:pPr>
      <w:ind w:left="720"/>
      <w:contextualSpacing/>
    </w:pPr>
  </w:style>
  <w:style w:type="paragraph" w:styleId="FootnoteText">
    <w:name w:val="footnote text"/>
    <w:basedOn w:val="Normal"/>
    <w:link w:val="FootnoteTextChar"/>
    <w:uiPriority w:val="99"/>
    <w:semiHidden/>
    <w:unhideWhenUsed/>
    <w:rsid w:val="00845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B4"/>
    <w:rPr>
      <w:sz w:val="20"/>
      <w:szCs w:val="20"/>
    </w:rPr>
  </w:style>
  <w:style w:type="character" w:styleId="FootnoteReference">
    <w:name w:val="footnote reference"/>
    <w:basedOn w:val="DefaultParagraphFont"/>
    <w:uiPriority w:val="99"/>
    <w:semiHidden/>
    <w:unhideWhenUsed/>
    <w:rsid w:val="008451B4"/>
    <w:rPr>
      <w:vertAlign w:val="superscript"/>
    </w:rPr>
  </w:style>
  <w:style w:type="paragraph" w:styleId="Header">
    <w:name w:val="header"/>
    <w:basedOn w:val="Normal"/>
    <w:link w:val="HeaderChar"/>
    <w:uiPriority w:val="99"/>
    <w:unhideWhenUsed/>
    <w:rsid w:val="008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B4"/>
  </w:style>
  <w:style w:type="paragraph" w:styleId="Footer">
    <w:name w:val="footer"/>
    <w:basedOn w:val="Normal"/>
    <w:link w:val="FooterChar"/>
    <w:uiPriority w:val="99"/>
    <w:unhideWhenUsed/>
    <w:rsid w:val="008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B4"/>
  </w:style>
  <w:style w:type="character" w:styleId="PlaceholderText">
    <w:name w:val="Placeholder Text"/>
    <w:basedOn w:val="DefaultParagraphFont"/>
    <w:uiPriority w:val="99"/>
    <w:semiHidden/>
    <w:rsid w:val="00942C0E"/>
    <w:rPr>
      <w:color w:val="808080"/>
    </w:rPr>
  </w:style>
  <w:style w:type="paragraph" w:styleId="BalloonText">
    <w:name w:val="Balloon Text"/>
    <w:basedOn w:val="Normal"/>
    <w:link w:val="BalloonTextChar"/>
    <w:uiPriority w:val="99"/>
    <w:semiHidden/>
    <w:unhideWhenUsed/>
    <w:rsid w:val="006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2675">
      <w:bodyDiv w:val="1"/>
      <w:marLeft w:val="0"/>
      <w:marRight w:val="0"/>
      <w:marTop w:val="0"/>
      <w:marBottom w:val="0"/>
      <w:divBdr>
        <w:top w:val="none" w:sz="0" w:space="0" w:color="auto"/>
        <w:left w:val="none" w:sz="0" w:space="0" w:color="auto"/>
        <w:bottom w:val="none" w:sz="0" w:space="0" w:color="auto"/>
        <w:right w:val="none" w:sz="0" w:space="0" w:color="auto"/>
      </w:divBdr>
      <w:divsChild>
        <w:div w:id="361908057">
          <w:marLeft w:val="0"/>
          <w:marRight w:val="0"/>
          <w:marTop w:val="0"/>
          <w:marBottom w:val="0"/>
          <w:divBdr>
            <w:top w:val="none" w:sz="0" w:space="0" w:color="auto"/>
            <w:left w:val="none" w:sz="0" w:space="0" w:color="auto"/>
            <w:bottom w:val="none" w:sz="0" w:space="0" w:color="auto"/>
            <w:right w:val="none" w:sz="0" w:space="0" w:color="auto"/>
          </w:divBdr>
          <w:divsChild>
            <w:div w:id="551623816">
              <w:marLeft w:val="0"/>
              <w:marRight w:val="0"/>
              <w:marTop w:val="0"/>
              <w:marBottom w:val="0"/>
              <w:divBdr>
                <w:top w:val="none" w:sz="0" w:space="0" w:color="auto"/>
                <w:left w:val="none" w:sz="0" w:space="0" w:color="auto"/>
                <w:bottom w:val="none" w:sz="0" w:space="0" w:color="auto"/>
                <w:right w:val="none" w:sz="0" w:space="0" w:color="auto"/>
              </w:divBdr>
              <w:divsChild>
                <w:div w:id="1295793657">
                  <w:marLeft w:val="0"/>
                  <w:marRight w:val="0"/>
                  <w:marTop w:val="0"/>
                  <w:marBottom w:val="300"/>
                  <w:divBdr>
                    <w:top w:val="none" w:sz="0" w:space="0" w:color="auto"/>
                    <w:left w:val="none" w:sz="0" w:space="0" w:color="auto"/>
                    <w:bottom w:val="none" w:sz="0" w:space="0" w:color="auto"/>
                    <w:right w:val="none" w:sz="0" w:space="0" w:color="auto"/>
                  </w:divBdr>
                  <w:divsChild>
                    <w:div w:id="1962609143">
                      <w:marLeft w:val="2325"/>
                      <w:marRight w:val="0"/>
                      <w:marTop w:val="0"/>
                      <w:marBottom w:val="0"/>
                      <w:divBdr>
                        <w:top w:val="none" w:sz="0" w:space="0" w:color="auto"/>
                        <w:left w:val="none" w:sz="0" w:space="0" w:color="auto"/>
                        <w:bottom w:val="none" w:sz="0" w:space="0" w:color="auto"/>
                        <w:right w:val="none" w:sz="0" w:space="0" w:color="auto"/>
                      </w:divBdr>
                      <w:divsChild>
                        <w:div w:id="712117695">
                          <w:marLeft w:val="0"/>
                          <w:marRight w:val="0"/>
                          <w:marTop w:val="0"/>
                          <w:marBottom w:val="0"/>
                          <w:divBdr>
                            <w:top w:val="none" w:sz="0" w:space="0" w:color="auto"/>
                            <w:left w:val="none" w:sz="0" w:space="0" w:color="auto"/>
                            <w:bottom w:val="none" w:sz="0" w:space="0" w:color="auto"/>
                            <w:right w:val="none" w:sz="0" w:space="0" w:color="auto"/>
                          </w:divBdr>
                          <w:divsChild>
                            <w:div w:id="527527775">
                              <w:marLeft w:val="0"/>
                              <w:marRight w:val="0"/>
                              <w:marTop w:val="0"/>
                              <w:marBottom w:val="0"/>
                              <w:divBdr>
                                <w:top w:val="none" w:sz="0" w:space="0" w:color="auto"/>
                                <w:left w:val="none" w:sz="0" w:space="0" w:color="auto"/>
                                <w:bottom w:val="none" w:sz="0" w:space="0" w:color="auto"/>
                                <w:right w:val="none" w:sz="0" w:space="0" w:color="auto"/>
                              </w:divBdr>
                              <w:divsChild>
                                <w:div w:id="1011295709">
                                  <w:marLeft w:val="0"/>
                                  <w:marRight w:val="0"/>
                                  <w:marTop w:val="0"/>
                                  <w:marBottom w:val="0"/>
                                  <w:divBdr>
                                    <w:top w:val="none" w:sz="0" w:space="0" w:color="auto"/>
                                    <w:left w:val="none" w:sz="0" w:space="0" w:color="auto"/>
                                    <w:bottom w:val="none" w:sz="0" w:space="0" w:color="auto"/>
                                    <w:right w:val="none" w:sz="0" w:space="0" w:color="auto"/>
                                  </w:divBdr>
                                  <w:divsChild>
                                    <w:div w:id="120421703">
                                      <w:marLeft w:val="0"/>
                                      <w:marRight w:val="0"/>
                                      <w:marTop w:val="0"/>
                                      <w:marBottom w:val="0"/>
                                      <w:divBdr>
                                        <w:top w:val="none" w:sz="0" w:space="0" w:color="auto"/>
                                        <w:left w:val="none" w:sz="0" w:space="0" w:color="auto"/>
                                        <w:bottom w:val="none" w:sz="0" w:space="0" w:color="auto"/>
                                        <w:right w:val="none" w:sz="0" w:space="0" w:color="auto"/>
                                      </w:divBdr>
                                      <w:divsChild>
                                        <w:div w:id="1702315356">
                                          <w:marLeft w:val="0"/>
                                          <w:marRight w:val="-3525"/>
                                          <w:marTop w:val="0"/>
                                          <w:marBottom w:val="0"/>
                                          <w:divBdr>
                                            <w:top w:val="none" w:sz="0" w:space="0" w:color="auto"/>
                                            <w:left w:val="none" w:sz="0" w:space="0" w:color="auto"/>
                                            <w:bottom w:val="none" w:sz="0" w:space="0" w:color="auto"/>
                                            <w:right w:val="none" w:sz="0" w:space="0" w:color="auto"/>
                                          </w:divBdr>
                                          <w:divsChild>
                                            <w:div w:id="1439443740">
                                              <w:marLeft w:val="0"/>
                                              <w:marRight w:val="3225"/>
                                              <w:marTop w:val="0"/>
                                              <w:marBottom w:val="0"/>
                                              <w:divBdr>
                                                <w:top w:val="none" w:sz="0" w:space="0" w:color="auto"/>
                                                <w:left w:val="none" w:sz="0" w:space="0" w:color="auto"/>
                                                <w:bottom w:val="none" w:sz="0" w:space="0" w:color="auto"/>
                                                <w:right w:val="none" w:sz="0" w:space="0" w:color="auto"/>
                                              </w:divBdr>
                                              <w:divsChild>
                                                <w:div w:id="1792481754">
                                                  <w:marLeft w:val="15"/>
                                                  <w:marRight w:val="15"/>
                                                  <w:marTop w:val="15"/>
                                                  <w:marBottom w:val="15"/>
                                                  <w:divBdr>
                                                    <w:top w:val="none" w:sz="0" w:space="0" w:color="auto"/>
                                                    <w:left w:val="none" w:sz="0" w:space="0" w:color="auto"/>
                                                    <w:bottom w:val="none" w:sz="0" w:space="0" w:color="auto"/>
                                                    <w:right w:val="none" w:sz="0" w:space="0" w:color="auto"/>
                                                  </w:divBdr>
                                                  <w:divsChild>
                                                    <w:div w:id="752973103">
                                                      <w:marLeft w:val="0"/>
                                                      <w:marRight w:val="0"/>
                                                      <w:marTop w:val="0"/>
                                                      <w:marBottom w:val="0"/>
                                                      <w:divBdr>
                                                        <w:top w:val="none" w:sz="0" w:space="0" w:color="auto"/>
                                                        <w:left w:val="none" w:sz="0" w:space="0" w:color="auto"/>
                                                        <w:bottom w:val="none" w:sz="0" w:space="0" w:color="auto"/>
                                                        <w:right w:val="none" w:sz="0" w:space="0" w:color="auto"/>
                                                      </w:divBdr>
                                                      <w:divsChild>
                                                        <w:div w:id="2097745570">
                                                          <w:marLeft w:val="0"/>
                                                          <w:marRight w:val="0"/>
                                                          <w:marTop w:val="0"/>
                                                          <w:marBottom w:val="0"/>
                                                          <w:divBdr>
                                                            <w:top w:val="none" w:sz="0" w:space="0" w:color="auto"/>
                                                            <w:left w:val="none" w:sz="0" w:space="0" w:color="auto"/>
                                                            <w:bottom w:val="none" w:sz="0" w:space="0" w:color="auto"/>
                                                            <w:right w:val="none" w:sz="0" w:space="0" w:color="auto"/>
                                                          </w:divBdr>
                                                        </w:div>
                                                        <w:div w:id="1962150507">
                                                          <w:marLeft w:val="0"/>
                                                          <w:marRight w:val="0"/>
                                                          <w:marTop w:val="0"/>
                                                          <w:marBottom w:val="0"/>
                                                          <w:divBdr>
                                                            <w:top w:val="none" w:sz="0" w:space="0" w:color="auto"/>
                                                            <w:left w:val="none" w:sz="0" w:space="0" w:color="auto"/>
                                                            <w:bottom w:val="none" w:sz="0" w:space="0" w:color="auto"/>
                                                            <w:right w:val="none" w:sz="0" w:space="0" w:color="auto"/>
                                                          </w:divBdr>
                                                        </w:div>
                                                      </w:divsChild>
                                                    </w:div>
                                                    <w:div w:id="811753862">
                                                      <w:marLeft w:val="0"/>
                                                      <w:marRight w:val="0"/>
                                                      <w:marTop w:val="0"/>
                                                      <w:marBottom w:val="0"/>
                                                      <w:divBdr>
                                                        <w:top w:val="none" w:sz="0" w:space="0" w:color="auto"/>
                                                        <w:left w:val="none" w:sz="0" w:space="0" w:color="auto"/>
                                                        <w:bottom w:val="none" w:sz="0" w:space="0" w:color="auto"/>
                                                        <w:right w:val="none" w:sz="0" w:space="0" w:color="auto"/>
                                                      </w:divBdr>
                                                    </w:div>
                                                    <w:div w:id="1827627117">
                                                      <w:marLeft w:val="0"/>
                                                      <w:marRight w:val="0"/>
                                                      <w:marTop w:val="0"/>
                                                      <w:marBottom w:val="0"/>
                                                      <w:divBdr>
                                                        <w:top w:val="none" w:sz="0" w:space="0" w:color="auto"/>
                                                        <w:left w:val="none" w:sz="0" w:space="0" w:color="auto"/>
                                                        <w:bottom w:val="none" w:sz="0" w:space="0" w:color="auto"/>
                                                        <w:right w:val="none" w:sz="0" w:space="0" w:color="auto"/>
                                                      </w:divBdr>
                                                    </w:div>
                                                    <w:div w:id="1476485533">
                                                      <w:marLeft w:val="0"/>
                                                      <w:marRight w:val="0"/>
                                                      <w:marTop w:val="0"/>
                                                      <w:marBottom w:val="0"/>
                                                      <w:divBdr>
                                                        <w:top w:val="none" w:sz="0" w:space="0" w:color="auto"/>
                                                        <w:left w:val="none" w:sz="0" w:space="0" w:color="auto"/>
                                                        <w:bottom w:val="none" w:sz="0" w:space="0" w:color="auto"/>
                                                        <w:right w:val="none" w:sz="0" w:space="0" w:color="auto"/>
                                                      </w:divBdr>
                                                    </w:div>
                                                    <w:div w:id="1475100699">
                                                      <w:marLeft w:val="0"/>
                                                      <w:marRight w:val="0"/>
                                                      <w:marTop w:val="0"/>
                                                      <w:marBottom w:val="0"/>
                                                      <w:divBdr>
                                                        <w:top w:val="none" w:sz="0" w:space="0" w:color="auto"/>
                                                        <w:left w:val="none" w:sz="0" w:space="0" w:color="auto"/>
                                                        <w:bottom w:val="none" w:sz="0" w:space="0" w:color="auto"/>
                                                        <w:right w:val="none" w:sz="0" w:space="0" w:color="auto"/>
                                                      </w:divBdr>
                                                      <w:divsChild>
                                                        <w:div w:id="1759400224">
                                                          <w:marLeft w:val="0"/>
                                                          <w:marRight w:val="0"/>
                                                          <w:marTop w:val="0"/>
                                                          <w:marBottom w:val="0"/>
                                                          <w:divBdr>
                                                            <w:top w:val="none" w:sz="0" w:space="0" w:color="auto"/>
                                                            <w:left w:val="none" w:sz="0" w:space="0" w:color="auto"/>
                                                            <w:bottom w:val="none" w:sz="0" w:space="0" w:color="auto"/>
                                                            <w:right w:val="none" w:sz="0" w:space="0" w:color="auto"/>
                                                          </w:divBdr>
                                                        </w:div>
                                                        <w:div w:id="1472554677">
                                                          <w:marLeft w:val="0"/>
                                                          <w:marRight w:val="0"/>
                                                          <w:marTop w:val="0"/>
                                                          <w:marBottom w:val="0"/>
                                                          <w:divBdr>
                                                            <w:top w:val="none" w:sz="0" w:space="0" w:color="auto"/>
                                                            <w:left w:val="none" w:sz="0" w:space="0" w:color="auto"/>
                                                            <w:bottom w:val="none" w:sz="0" w:space="0" w:color="auto"/>
                                                            <w:right w:val="none" w:sz="0" w:space="0" w:color="auto"/>
                                                          </w:divBdr>
                                                        </w:div>
                                                        <w:div w:id="1112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F5B42527E48CC8737C52D78D26050"/>
        <w:category>
          <w:name w:val="General"/>
          <w:gallery w:val="placeholder"/>
        </w:category>
        <w:types>
          <w:type w:val="bbPlcHdr"/>
        </w:types>
        <w:behaviors>
          <w:behavior w:val="content"/>
        </w:behaviors>
        <w:guid w:val="{6CD480D5-ACA8-4986-9EDC-F5F8ADC7BD97}"/>
      </w:docPartPr>
      <w:docPartBody>
        <w:p w:rsidR="00971EBC" w:rsidRDefault="00E8287D">
          <w:r w:rsidRPr="00EC38FF">
            <w:rPr>
              <w:rStyle w:val="PlaceholderText"/>
            </w:rPr>
            <w:t>[Effective Date]</w:t>
          </w:r>
        </w:p>
      </w:docPartBody>
    </w:docPart>
    <w:docPart>
      <w:docPartPr>
        <w:name w:val="F6F5084B563146BC9645DDB3D2DC84D1"/>
        <w:category>
          <w:name w:val="General"/>
          <w:gallery w:val="placeholder"/>
        </w:category>
        <w:types>
          <w:type w:val="bbPlcHdr"/>
        </w:types>
        <w:behaviors>
          <w:behavior w:val="content"/>
        </w:behaviors>
        <w:guid w:val="{D19EB2AF-092A-4A79-B9B9-435A6958D66B}"/>
      </w:docPartPr>
      <w:docPartBody>
        <w:p w:rsidR="00971EBC" w:rsidRDefault="00E8287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88"/>
    <w:rsid w:val="002618B8"/>
    <w:rsid w:val="004A2B0E"/>
    <w:rsid w:val="00680C88"/>
    <w:rsid w:val="00971EBC"/>
    <w:rsid w:val="00E8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13B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2019-07-17T22:00:00+00:00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Opening and Closing Bank Accounts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POPP-11-2048</_dlc_DocId>
    <_dlc_DocIdUrl xmlns="8264c5cc-ec60-4b56-8111-ce635d3d139a">
      <Url>https://popp.undp.org/_layouts/15/DocIdRedir.aspx?ID=POPP-11-2048</Url>
      <Description>POPP-11-2048</Description>
    </_dlc_DocIdUrl>
    <UNDP_POPP_REFITEM_VERSION xmlns="8264c5cc-ec60-4b56-8111-ce635d3d139a">2</UNDP_POPP_REFITEM_VERSION>
    <DLCPolicyLabelLock xmlns="e560140e-7b2f-4392-90df-e7567e3021a3" xsi:nil="true"/>
    <DLCPolicyLabelClientValue xmlns="e560140e-7b2f-4392-90df-e7567e3021a3">Effective Date: 18/07/2019                                                Version #: 2.0</DLCPolicyLabelClientValue>
    <UNDP_POPP_LASTMODIFIED xmlns="8264c5cc-ec60-4b56-8111-ce635d3d139a" xsi:nil="true"/>
    <DLCPolicyLabelValue xmlns="e560140e-7b2f-4392-90df-e7567e3021a3">Effective Date: 18/07/2019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384E3-28FD-40E4-9E2A-56DAD242EBDD}">
  <ds:schemaRefs>
    <ds:schemaRef ds:uri="http://schemas.openxmlformats.org/officeDocument/2006/bibliography"/>
  </ds:schemaRefs>
</ds:datastoreItem>
</file>

<file path=customXml/itemProps2.xml><?xml version="1.0" encoding="utf-8"?>
<ds:datastoreItem xmlns:ds="http://schemas.openxmlformats.org/officeDocument/2006/customXml" ds:itemID="{02FA2DFC-B7DF-453E-9044-9E40595BEA32}">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264c5cc-ec60-4b56-8111-ce635d3d139a"/>
    <ds:schemaRef ds:uri="e560140e-7b2f-4392-90df-e7567e3021a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F114858-4246-4C45-A7CD-FD6B78B5C2D4}">
  <ds:schemaRefs>
    <ds:schemaRef ds:uri="office.server.policy"/>
  </ds:schemaRefs>
</ds:datastoreItem>
</file>

<file path=customXml/itemProps4.xml><?xml version="1.0" encoding="utf-8"?>
<ds:datastoreItem xmlns:ds="http://schemas.openxmlformats.org/officeDocument/2006/customXml" ds:itemID="{3882F50D-6032-4F00-B4ED-CCDC4774C571}">
  <ds:schemaRefs>
    <ds:schemaRef ds:uri="http://schemas.microsoft.com/sharepoint/v3/contenttype/forms"/>
  </ds:schemaRefs>
</ds:datastoreItem>
</file>

<file path=customXml/itemProps5.xml><?xml version="1.0" encoding="utf-8"?>
<ds:datastoreItem xmlns:ds="http://schemas.openxmlformats.org/officeDocument/2006/customXml" ds:itemID="{9F7C7515-ADFC-4F8A-8635-C8D27A9CB3AE}">
  <ds:schemaRefs>
    <ds:schemaRef ds:uri="http://schemas.microsoft.com/sharepoint/events"/>
  </ds:schemaRefs>
</ds:datastoreItem>
</file>

<file path=customXml/itemProps6.xml><?xml version="1.0" encoding="utf-8"?>
<ds:datastoreItem xmlns:ds="http://schemas.openxmlformats.org/officeDocument/2006/customXml" ds:itemID="{BCA59BBE-69E9-4AE5-9987-DEB3E5BF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15</cp:revision>
  <dcterms:created xsi:type="dcterms:W3CDTF">2016-07-07T15:19:00Z</dcterms:created>
  <dcterms:modified xsi:type="dcterms:W3CDTF">2023-01-07T20:30:00Z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7e62ab66-a045-41b6-972c-bcd20031338a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