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FA9C1" w14:textId="77777777" w:rsidR="00F633FB" w:rsidRPr="000D5B7F" w:rsidRDefault="003B5AE2">
      <w:pPr>
        <w:spacing w:after="0" w:line="259" w:lineRule="auto"/>
        <w:ind w:left="0" w:firstLine="0"/>
        <w:jc w:val="left"/>
        <w:rPr>
          <w:rFonts w:asciiTheme="minorHAnsi" w:hAnsiTheme="minorHAnsi"/>
          <w:lang w:val="en-GB"/>
        </w:rPr>
      </w:pPr>
      <w:r w:rsidRPr="000D5B7F">
        <w:rPr>
          <w:rFonts w:asciiTheme="minorHAnsi" w:hAnsiTheme="minorHAnsi"/>
          <w:b/>
          <w:sz w:val="28"/>
          <w:lang w:val="en-GB"/>
        </w:rPr>
        <w:t xml:space="preserve">Petty Cash Fund for Management Project (PCF)  </w:t>
      </w:r>
      <w:r w:rsidRPr="000D5B7F">
        <w:rPr>
          <w:rFonts w:asciiTheme="minorHAnsi" w:hAnsiTheme="minorHAnsi"/>
          <w:lang w:val="en-GB"/>
        </w:rPr>
        <w:t xml:space="preserve"> </w:t>
      </w:r>
    </w:p>
    <w:p w14:paraId="5B7A8D67" w14:textId="77777777" w:rsidR="003434EB" w:rsidRPr="000D5B7F" w:rsidRDefault="003B5AE2"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hAnsiTheme="minorHAnsi"/>
          <w:lang w:val="en-GB"/>
        </w:rPr>
        <w:t xml:space="preserve"> </w:t>
      </w:r>
      <w:r w:rsidR="003434EB" w:rsidRPr="000D5B7F">
        <w:rPr>
          <w:rFonts w:asciiTheme="minorHAnsi" w:eastAsia="Times New Roman" w:hAnsiTheme="minorHAnsi" w:cs="Arial"/>
        </w:rPr>
        <w:t xml:space="preserve">PCF is the cash balance kept in the safe in a CO’s main office or a HQ unit to meet small expenses for management projects where the use of cheque or electronic funds transfer (EFT) is inefficient. </w:t>
      </w:r>
    </w:p>
    <w:p w14:paraId="078F9EA9"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2BC65EA3"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The maximum PCF balance is $2500 (or local currency equivalent) per CO or HQ Unit. However, this does not warrant an automatic establishment of PCF nor at the maximum level if there are alternative ways to pay small expenses without using cash. The CO management must determine the need and level which are based on business requirements. The general rule for choosing the appropriate level is the amount sufficient for one month PCF requirement. </w:t>
      </w:r>
    </w:p>
    <w:p w14:paraId="74295141" w14:textId="77777777" w:rsidR="003434EB" w:rsidRPr="000D5B7F" w:rsidRDefault="003434EB" w:rsidP="003434EB">
      <w:pPr>
        <w:pStyle w:val="ListParagraph"/>
        <w:rPr>
          <w:rFonts w:asciiTheme="minorHAnsi" w:eastAsia="Times New Roman" w:hAnsiTheme="minorHAnsi" w:cs="Arial"/>
        </w:rPr>
      </w:pPr>
    </w:p>
    <w:p w14:paraId="701F13BC"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PCF is maintained on an imprest basis. The imprest basis begins by establishing a lump sum amount as the PCF beginning balance. When the PCF balance reaches 20% of the initial balance, it is replenished by an amount of cash needed to bring the PCF back to the original balance. </w:t>
      </w:r>
    </w:p>
    <w:p w14:paraId="73450D81" w14:textId="77777777" w:rsidR="003434EB" w:rsidRPr="000D5B7F" w:rsidRDefault="003434EB" w:rsidP="003434EB">
      <w:pPr>
        <w:spacing w:before="100" w:beforeAutospacing="1" w:after="100" w:afterAutospacing="1" w:line="240" w:lineRule="auto"/>
        <w:rPr>
          <w:rFonts w:asciiTheme="minorHAnsi" w:eastAsia="Times New Roman" w:hAnsiTheme="minorHAnsi" w:cs="Arial"/>
          <w:u w:val="single"/>
        </w:rPr>
      </w:pPr>
      <w:r w:rsidRPr="000D5B7F">
        <w:rPr>
          <w:rFonts w:asciiTheme="minorHAnsi" w:eastAsia="Times New Roman" w:hAnsiTheme="minorHAnsi" w:cs="Arial"/>
          <w:u w:val="single"/>
        </w:rPr>
        <w:t xml:space="preserve">Authority to Establish the PCF and Level </w:t>
      </w:r>
    </w:p>
    <w:p w14:paraId="3B23F198" w14:textId="5913EE8F"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The Treasurer delegates his/her authority for establishing PCF to the Head of Office, up to the PCF max</w:t>
      </w:r>
      <w:r w:rsidR="00D77E2A">
        <w:rPr>
          <w:rFonts w:asciiTheme="minorHAnsi" w:eastAsia="Times New Roman" w:hAnsiTheme="minorHAnsi" w:cs="Arial"/>
        </w:rPr>
        <w:t>imum level for normal business.</w:t>
      </w:r>
    </w:p>
    <w:p w14:paraId="6CF82510"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06B2D6A5" w14:textId="28353004"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Any CO with PCF requirement above $2,500 must seek Treasurer’s approval in advance by submitting an Annex 5 with detailed justifications. The Treasurer will evaluate such request, in addition to the consideration of the CO’s business needs, the CO’s track record of compliance with internal control framework (‘ICF’) and POPP Guidelines, particularly in the areas of adherence of </w:t>
      </w:r>
      <w:r w:rsidR="009F764C">
        <w:rPr>
          <w:rFonts w:asciiTheme="minorHAnsi" w:eastAsia="Times New Roman" w:hAnsiTheme="minorHAnsi" w:cs="Arial"/>
        </w:rPr>
        <w:t>monitoring</w:t>
      </w:r>
      <w:r w:rsidRPr="000D5B7F">
        <w:rPr>
          <w:rFonts w:asciiTheme="minorHAnsi" w:eastAsia="Times New Roman" w:hAnsiTheme="minorHAnsi" w:cs="Arial"/>
        </w:rPr>
        <w:t xml:space="preserve">, reconciliation, and year-end procedures for PCF, and make the decision to authorize the higher level requested, </w:t>
      </w:r>
    </w:p>
    <w:p w14:paraId="15E126ED" w14:textId="77777777" w:rsidR="003434EB" w:rsidRPr="000D5B7F" w:rsidRDefault="003434EB" w:rsidP="003434EB">
      <w:pPr>
        <w:spacing w:before="100" w:beforeAutospacing="1" w:after="100" w:afterAutospacing="1" w:line="240" w:lineRule="auto"/>
        <w:rPr>
          <w:rFonts w:asciiTheme="minorHAnsi" w:eastAsia="Times New Roman" w:hAnsiTheme="minorHAnsi" w:cs="Arial"/>
          <w:b/>
          <w:i/>
        </w:rPr>
      </w:pPr>
      <w:r w:rsidRPr="000D5B7F">
        <w:rPr>
          <w:rFonts w:asciiTheme="minorHAnsi" w:eastAsia="Times New Roman" w:hAnsiTheme="minorHAnsi" w:cs="Arial"/>
          <w:b/>
          <w:i/>
        </w:rPr>
        <w:t xml:space="preserve">Caution: Failure to accurately and timely record PCF expenses and reconcile GL PCF Account 16105 may lead to delay or denial of the request until the internal control issues are resolved. </w:t>
      </w:r>
    </w:p>
    <w:p w14:paraId="799F014D" w14:textId="77777777" w:rsidR="003434EB" w:rsidRPr="000D5B7F" w:rsidRDefault="003434EB" w:rsidP="003434EB">
      <w:pPr>
        <w:spacing w:before="100" w:beforeAutospacing="1" w:after="100" w:afterAutospacing="1" w:line="240" w:lineRule="auto"/>
        <w:rPr>
          <w:rFonts w:asciiTheme="minorHAnsi" w:eastAsia="Times New Roman" w:hAnsiTheme="minorHAnsi" w:cs="Arial"/>
          <w:u w:val="single"/>
        </w:rPr>
      </w:pPr>
      <w:r w:rsidRPr="000D5B7F">
        <w:rPr>
          <w:rFonts w:asciiTheme="minorHAnsi" w:eastAsia="Times New Roman" w:hAnsiTheme="minorHAnsi" w:cs="Arial"/>
          <w:u w:val="single"/>
        </w:rPr>
        <w:t xml:space="preserve">Qualifying Expenses for PCF </w:t>
      </w:r>
    </w:p>
    <w:p w14:paraId="6401D172"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Expenses qualified to be paid from PCF are as follows:</w:t>
      </w:r>
    </w:p>
    <w:p w14:paraId="34CCE09A"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 </w:t>
      </w:r>
    </w:p>
    <w:p w14:paraId="32D133C9" w14:textId="77777777" w:rsidR="003434EB" w:rsidRPr="000D5B7F" w:rsidRDefault="003434EB" w:rsidP="003434EB">
      <w:pPr>
        <w:pStyle w:val="ListParagraph"/>
        <w:numPr>
          <w:ilvl w:val="1"/>
          <w:numId w:val="21"/>
        </w:numPr>
        <w:spacing w:before="100" w:beforeAutospacing="1" w:after="100" w:afterAutospacing="1" w:line="240" w:lineRule="auto"/>
        <w:ind w:left="1080"/>
        <w:jc w:val="left"/>
        <w:rPr>
          <w:rFonts w:asciiTheme="minorHAnsi" w:eastAsia="Times New Roman" w:hAnsiTheme="minorHAnsi" w:cs="Arial"/>
        </w:rPr>
      </w:pPr>
      <w:r w:rsidRPr="000D5B7F">
        <w:rPr>
          <w:rFonts w:asciiTheme="minorHAnsi" w:eastAsia="Times New Roman" w:hAnsiTheme="minorHAnsi" w:cs="Arial"/>
        </w:rPr>
        <w:t>Small purchases for office’s management operations (not programmes), and</w:t>
      </w:r>
    </w:p>
    <w:p w14:paraId="1EBC7692" w14:textId="77777777" w:rsidR="003434EB" w:rsidRPr="000D5B7F" w:rsidRDefault="003434EB" w:rsidP="003434EB">
      <w:pPr>
        <w:pStyle w:val="ListParagraph"/>
        <w:numPr>
          <w:ilvl w:val="1"/>
          <w:numId w:val="21"/>
        </w:numPr>
        <w:spacing w:before="100" w:beforeAutospacing="1" w:after="100" w:afterAutospacing="1" w:line="240" w:lineRule="auto"/>
        <w:ind w:left="1080"/>
        <w:jc w:val="left"/>
        <w:rPr>
          <w:rFonts w:asciiTheme="minorHAnsi" w:eastAsia="Times New Roman" w:hAnsiTheme="minorHAnsi" w:cs="Arial"/>
        </w:rPr>
      </w:pPr>
      <w:r w:rsidRPr="000D5B7F">
        <w:rPr>
          <w:rFonts w:asciiTheme="minorHAnsi" w:eastAsia="Times New Roman" w:hAnsiTheme="minorHAnsi" w:cs="Arial"/>
        </w:rPr>
        <w:t xml:space="preserve">Each such purchase not to exceed US$250 equivalent. Any request for a purchase exceeding $250 will need to be submitted to Treasury for exceptional approval. </w:t>
      </w:r>
    </w:p>
    <w:p w14:paraId="3F1D7CA1" w14:textId="77777777" w:rsidR="003434EB" w:rsidRPr="000D5B7F" w:rsidRDefault="003434EB" w:rsidP="003434EB">
      <w:pPr>
        <w:spacing w:before="100" w:beforeAutospacing="1" w:after="100" w:afterAutospacing="1" w:line="240" w:lineRule="auto"/>
        <w:rPr>
          <w:rFonts w:asciiTheme="minorHAnsi" w:eastAsia="Times New Roman" w:hAnsiTheme="minorHAnsi" w:cs="Arial"/>
          <w:b/>
          <w:i/>
        </w:rPr>
      </w:pPr>
      <w:r w:rsidRPr="000D5B7F">
        <w:rPr>
          <w:rFonts w:asciiTheme="minorHAnsi" w:eastAsia="Times New Roman" w:hAnsiTheme="minorHAnsi" w:cs="Arial"/>
          <w:b/>
          <w:i/>
        </w:rPr>
        <w:t xml:space="preserve">Caution: Salary and benefit payments including overtime, advances and allowances cannot be made from the PCF regardless of amount. These payments must be entered in Global Payroll without exception. </w:t>
      </w:r>
    </w:p>
    <w:p w14:paraId="6943122A" w14:textId="77777777" w:rsidR="003434EB" w:rsidRPr="000D5B7F" w:rsidRDefault="003434EB" w:rsidP="003434EB">
      <w:pPr>
        <w:spacing w:before="100" w:beforeAutospacing="1" w:after="100" w:afterAutospacing="1" w:line="240" w:lineRule="auto"/>
        <w:rPr>
          <w:rFonts w:asciiTheme="minorHAnsi" w:eastAsia="Times New Roman" w:hAnsiTheme="minorHAnsi" w:cs="Arial"/>
          <w:u w:val="single"/>
        </w:rPr>
      </w:pPr>
      <w:r w:rsidRPr="000D5B7F">
        <w:rPr>
          <w:rFonts w:asciiTheme="minorHAnsi" w:eastAsia="Times New Roman" w:hAnsiTheme="minorHAnsi" w:cs="Arial"/>
          <w:u w:val="single"/>
        </w:rPr>
        <w:t xml:space="preserve">PCF Custodian Appointment </w:t>
      </w:r>
    </w:p>
    <w:p w14:paraId="4D1CC1C1"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The Head of Office appoints the PCF Custodian with the following Appointment criteria:</w:t>
      </w:r>
    </w:p>
    <w:p w14:paraId="6341E38D" w14:textId="17CD93CD" w:rsidR="003434EB" w:rsidRPr="000D5B7F" w:rsidRDefault="003434EB" w:rsidP="00126DC6">
      <w:pPr>
        <w:pStyle w:val="ListParagraph"/>
        <w:tabs>
          <w:tab w:val="left" w:pos="7350"/>
        </w:tabs>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 </w:t>
      </w:r>
      <w:r w:rsidR="00126DC6">
        <w:rPr>
          <w:rFonts w:asciiTheme="minorHAnsi" w:eastAsia="Times New Roman" w:hAnsiTheme="minorHAnsi" w:cs="Arial"/>
        </w:rPr>
        <w:tab/>
      </w:r>
    </w:p>
    <w:p w14:paraId="71C37B46" w14:textId="77777777" w:rsidR="003434EB" w:rsidRPr="000D5B7F" w:rsidRDefault="003434EB" w:rsidP="003434EB">
      <w:pPr>
        <w:pStyle w:val="ListParagraph"/>
        <w:numPr>
          <w:ilvl w:val="1"/>
          <w:numId w:val="21"/>
        </w:numPr>
        <w:spacing w:before="100" w:beforeAutospacing="1" w:after="100" w:afterAutospacing="1" w:line="240" w:lineRule="auto"/>
        <w:ind w:left="1080"/>
        <w:jc w:val="left"/>
        <w:rPr>
          <w:rFonts w:asciiTheme="minorHAnsi" w:eastAsia="Times New Roman" w:hAnsiTheme="minorHAnsi" w:cs="Arial"/>
        </w:rPr>
      </w:pPr>
      <w:r w:rsidRPr="000D5B7F">
        <w:rPr>
          <w:rFonts w:asciiTheme="minorHAnsi" w:eastAsia="Times New Roman" w:hAnsiTheme="minorHAnsi" w:cs="Arial"/>
        </w:rPr>
        <w:t xml:space="preserve">Staff holds UNDP Fixed Term Contract (FT). </w:t>
      </w:r>
    </w:p>
    <w:p w14:paraId="735D3193" w14:textId="77777777" w:rsidR="003434EB" w:rsidRPr="000D5B7F" w:rsidRDefault="003434EB" w:rsidP="003434EB">
      <w:pPr>
        <w:pStyle w:val="ListParagraph"/>
        <w:numPr>
          <w:ilvl w:val="1"/>
          <w:numId w:val="21"/>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Staff is competent to fulfill the responsibilities including safeguarding, proper use of, accounting for, and physical counting of the PCF and maintaining PCF Register. </w:t>
      </w:r>
    </w:p>
    <w:p w14:paraId="5943CC10" w14:textId="77777777" w:rsidR="003434EB" w:rsidRPr="000D5B7F" w:rsidRDefault="003434EB" w:rsidP="003434EB">
      <w:pPr>
        <w:pStyle w:val="ListParagraph"/>
        <w:numPr>
          <w:ilvl w:val="1"/>
          <w:numId w:val="21"/>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lastRenderedPageBreak/>
        <w:t xml:space="preserve">Staff agrees to the terms and conditions of Petty Cash Custodian Appointment Form and signs the document (see Annex 1) including that any losses in the PCF are to be reimbursed to UNDP by the PCF Custodian or a deduction shall be taken from his/her salary. </w:t>
      </w:r>
    </w:p>
    <w:p w14:paraId="18F85ECD" w14:textId="77777777" w:rsidR="003434EB" w:rsidRPr="000D5B7F" w:rsidRDefault="003434EB" w:rsidP="003434EB">
      <w:pPr>
        <w:spacing w:before="100" w:beforeAutospacing="1" w:after="100" w:afterAutospacing="1" w:line="240" w:lineRule="auto"/>
        <w:rPr>
          <w:rFonts w:asciiTheme="minorHAnsi" w:eastAsia="Times New Roman" w:hAnsiTheme="minorHAnsi" w:cs="Arial"/>
          <w:u w:val="single"/>
        </w:rPr>
      </w:pPr>
      <w:r w:rsidRPr="000D5B7F">
        <w:rPr>
          <w:rFonts w:asciiTheme="minorHAnsi" w:eastAsia="Times New Roman" w:hAnsiTheme="minorHAnsi" w:cs="Arial"/>
          <w:u w:val="single"/>
        </w:rPr>
        <w:t xml:space="preserve">Physical Security for PCF </w:t>
      </w:r>
    </w:p>
    <w:p w14:paraId="0B59A1E9"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The DRR (Operations) or Operations Manager ensures the physical security for PCF as follows: </w:t>
      </w:r>
    </w:p>
    <w:p w14:paraId="08A52D68"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43CBA661" w14:textId="77777777" w:rsidR="003434EB" w:rsidRPr="000D5B7F" w:rsidRDefault="003434EB" w:rsidP="003434EB">
      <w:pPr>
        <w:pStyle w:val="ListParagraph"/>
        <w:numPr>
          <w:ilvl w:val="1"/>
          <w:numId w:val="22"/>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The CO must have a safe with strong security features. </w:t>
      </w:r>
    </w:p>
    <w:p w14:paraId="76BAA888" w14:textId="77777777" w:rsidR="003434EB" w:rsidRPr="000D5B7F" w:rsidRDefault="003434EB" w:rsidP="003434EB">
      <w:pPr>
        <w:pStyle w:val="ListParagraph"/>
        <w:numPr>
          <w:ilvl w:val="1"/>
          <w:numId w:val="22"/>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The safe is to be placed in a room with limited access by authorized personnel only. </w:t>
      </w:r>
    </w:p>
    <w:p w14:paraId="71E06CAE" w14:textId="77777777" w:rsidR="003434EB" w:rsidRPr="000D5B7F" w:rsidRDefault="003434EB" w:rsidP="003434EB">
      <w:pPr>
        <w:pStyle w:val="ListParagraph"/>
        <w:numPr>
          <w:ilvl w:val="1"/>
          <w:numId w:val="22"/>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Cash must be kept in the safe at all times. </w:t>
      </w:r>
    </w:p>
    <w:p w14:paraId="49B6320B" w14:textId="77777777" w:rsidR="003434EB" w:rsidRPr="000D5B7F" w:rsidRDefault="003434EB" w:rsidP="003434EB">
      <w:pPr>
        <w:spacing w:before="100" w:beforeAutospacing="1" w:after="100" w:afterAutospacing="1" w:line="240" w:lineRule="auto"/>
        <w:rPr>
          <w:rFonts w:asciiTheme="minorHAnsi" w:eastAsia="Times New Roman" w:hAnsiTheme="minorHAnsi" w:cs="Arial"/>
          <w:u w:val="single"/>
        </w:rPr>
      </w:pPr>
      <w:r w:rsidRPr="000D5B7F">
        <w:rPr>
          <w:rFonts w:asciiTheme="minorHAnsi" w:eastAsia="Times New Roman" w:hAnsiTheme="minorHAnsi" w:cs="Arial"/>
          <w:u w:val="single"/>
        </w:rPr>
        <w:t xml:space="preserve">PCF Custodian Responsibilities </w:t>
      </w:r>
    </w:p>
    <w:p w14:paraId="6DAA99F3"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Custodian Responsibilities are the following:</w:t>
      </w:r>
    </w:p>
    <w:p w14:paraId="44E0E3D5"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 </w:t>
      </w:r>
    </w:p>
    <w:p w14:paraId="0291333B" w14:textId="10E40C97" w:rsidR="003434EB" w:rsidRPr="000D5B7F" w:rsidRDefault="00AA7B30"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Pr>
          <w:rFonts w:asciiTheme="minorHAnsi" w:eastAsia="Times New Roman" w:hAnsiTheme="minorHAnsi" w:cs="Arial"/>
        </w:rPr>
        <w:t>P</w:t>
      </w:r>
      <w:r w:rsidR="003434EB" w:rsidRPr="000D5B7F">
        <w:rPr>
          <w:rFonts w:asciiTheme="minorHAnsi" w:eastAsia="Times New Roman" w:hAnsiTheme="minorHAnsi" w:cs="Arial"/>
        </w:rPr>
        <w:t xml:space="preserve">lace the cash </w:t>
      </w:r>
      <w:r>
        <w:rPr>
          <w:rFonts w:asciiTheme="minorHAnsi" w:eastAsia="Times New Roman" w:hAnsiTheme="minorHAnsi" w:cs="Arial"/>
        </w:rPr>
        <w:t xml:space="preserve">received </w:t>
      </w:r>
      <w:r w:rsidR="003434EB" w:rsidRPr="000D5B7F">
        <w:rPr>
          <w:rFonts w:asciiTheme="minorHAnsi" w:eastAsia="Times New Roman" w:hAnsiTheme="minorHAnsi" w:cs="Arial"/>
        </w:rPr>
        <w:t xml:space="preserve">for PCF initial funding and subsequent replenishment in the office safe. </w:t>
      </w:r>
    </w:p>
    <w:p w14:paraId="1767118A" w14:textId="77777777"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Maintain the PCF Register to record all activities in the PCF (see Annex 2). Use pre-sequentially numbered PCF Voucher for each disbursement made from the PCF. </w:t>
      </w:r>
    </w:p>
    <w:p w14:paraId="681889F7" w14:textId="77777777"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Ensure each PCF Voucher is filled out for accounting/budget purposes and properly approved and has an invoice/receipt as the supporting document. </w:t>
      </w:r>
    </w:p>
    <w:p w14:paraId="1071A75E" w14:textId="77777777"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Count PCF balance after each disbursement and replenishment to ensure the amount is equal to the running balance on the PCF Register under supervision of the Operations Manager </w:t>
      </w:r>
    </w:p>
    <w:p w14:paraId="732E846E" w14:textId="77777777"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Make every reasonable effort to prevent theft, for example, including maintenance of PCF in secured location (i.e., office safe), requiring two keys to enter the safe room and the presence of two persons when safe is opened. </w:t>
      </w:r>
    </w:p>
    <w:p w14:paraId="5A9B7482" w14:textId="77777777"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Request the replenishment when PCF balance reaches 20% of the initial opening balance. </w:t>
      </w:r>
    </w:p>
    <w:p w14:paraId="18D18582" w14:textId="77777777" w:rsidR="003434EB" w:rsidRPr="000D5B7F" w:rsidRDefault="003434EB" w:rsidP="003434EB">
      <w:pPr>
        <w:spacing w:before="100" w:beforeAutospacing="1" w:after="100" w:afterAutospacing="1" w:line="240" w:lineRule="auto"/>
        <w:rPr>
          <w:rFonts w:asciiTheme="minorHAnsi" w:eastAsia="Times New Roman" w:hAnsiTheme="minorHAnsi" w:cs="Arial"/>
          <w:u w:val="single"/>
        </w:rPr>
      </w:pPr>
      <w:r w:rsidRPr="000D5B7F">
        <w:rPr>
          <w:rFonts w:asciiTheme="minorHAnsi" w:eastAsia="Times New Roman" w:hAnsiTheme="minorHAnsi" w:cs="Arial"/>
          <w:u w:val="single"/>
        </w:rPr>
        <w:t xml:space="preserve">Initial Funding and Subsequent Replenishment for PCF </w:t>
      </w:r>
    </w:p>
    <w:p w14:paraId="13325D10" w14:textId="61348099" w:rsidR="007E0288" w:rsidRDefault="003434EB" w:rsidP="007E0288">
      <w:pPr>
        <w:spacing w:after="0" w:line="240" w:lineRule="auto"/>
        <w:ind w:firstLine="720"/>
        <w:rPr>
          <w:rFonts w:asciiTheme="minorHAnsi" w:eastAsia="Times New Roman" w:hAnsiTheme="minorHAnsi" w:cs="Arial"/>
        </w:rPr>
      </w:pPr>
      <w:r w:rsidRPr="000D5B7F">
        <w:rPr>
          <w:rFonts w:asciiTheme="minorHAnsi" w:eastAsia="Times New Roman" w:hAnsiTheme="minorHAnsi" w:cs="Arial"/>
        </w:rPr>
        <w:t xml:space="preserve">Initial funding of PCF is done by a </w:t>
      </w:r>
      <w:r w:rsidR="00EF7CDC">
        <w:rPr>
          <w:rFonts w:asciiTheme="minorHAnsi" w:eastAsia="Times New Roman" w:hAnsiTheme="minorHAnsi" w:cs="Arial"/>
        </w:rPr>
        <w:t>Permanent Prepayment</w:t>
      </w:r>
      <w:r w:rsidRPr="000D5B7F">
        <w:rPr>
          <w:rFonts w:asciiTheme="minorHAnsi" w:eastAsia="Times New Roman" w:hAnsiTheme="minorHAnsi" w:cs="Arial"/>
        </w:rPr>
        <w:t xml:space="preserve"> </w:t>
      </w:r>
      <w:r w:rsidR="00C2771A">
        <w:rPr>
          <w:rFonts w:asciiTheme="minorHAnsi" w:eastAsia="Times New Roman" w:hAnsiTheme="minorHAnsi" w:cs="Arial"/>
        </w:rPr>
        <w:t xml:space="preserve">Invoice </w:t>
      </w:r>
      <w:r w:rsidRPr="000D5B7F">
        <w:rPr>
          <w:rFonts w:asciiTheme="minorHAnsi" w:eastAsia="Times New Roman" w:hAnsiTheme="minorHAnsi" w:cs="Arial"/>
        </w:rPr>
        <w:t>payable to the PCF Custodian as the “</w:t>
      </w:r>
      <w:r w:rsidR="007F3229">
        <w:rPr>
          <w:rFonts w:asciiTheme="minorHAnsi" w:eastAsia="Times New Roman" w:hAnsiTheme="minorHAnsi" w:cs="Arial"/>
        </w:rPr>
        <w:t>Supplier</w:t>
      </w:r>
      <w:r w:rsidRPr="000D5B7F">
        <w:rPr>
          <w:rFonts w:asciiTheme="minorHAnsi" w:eastAsia="Times New Roman" w:hAnsiTheme="minorHAnsi" w:cs="Arial"/>
        </w:rPr>
        <w:t>”</w:t>
      </w:r>
      <w:r w:rsidR="007E0288">
        <w:rPr>
          <w:rFonts w:asciiTheme="minorHAnsi" w:eastAsia="Times New Roman" w:hAnsiTheme="minorHAnsi" w:cs="Arial"/>
        </w:rPr>
        <w:t xml:space="preserve"> </w:t>
      </w:r>
      <w:r w:rsidR="00C2771A">
        <w:rPr>
          <w:rFonts w:asciiTheme="minorHAnsi" w:eastAsia="Times New Roman" w:hAnsiTheme="minorHAnsi" w:cs="Arial"/>
        </w:rPr>
        <w:t>recorded against</w:t>
      </w:r>
      <w:r w:rsidR="007E0288" w:rsidRPr="007E0288">
        <w:rPr>
          <w:rFonts w:asciiTheme="minorHAnsi" w:eastAsia="Times New Roman" w:hAnsiTheme="minorHAnsi" w:cs="Arial"/>
        </w:rPr>
        <w:t xml:space="preserve"> </w:t>
      </w:r>
    </w:p>
    <w:p w14:paraId="396C3DC6" w14:textId="76256220" w:rsidR="007E0288" w:rsidRPr="000D5B7F" w:rsidRDefault="007E0288" w:rsidP="007E0288">
      <w:pPr>
        <w:spacing w:after="0" w:line="240" w:lineRule="auto"/>
        <w:ind w:firstLine="720"/>
        <w:rPr>
          <w:rFonts w:asciiTheme="minorHAnsi" w:eastAsia="Times New Roman" w:hAnsiTheme="minorHAnsi" w:cs="Arial"/>
        </w:rPr>
      </w:pPr>
      <w:r w:rsidRPr="000D5B7F">
        <w:rPr>
          <w:rFonts w:asciiTheme="minorHAnsi" w:eastAsia="Times New Roman" w:hAnsiTheme="minorHAnsi" w:cs="Arial"/>
        </w:rPr>
        <w:t xml:space="preserve">Debit GL Account: </w:t>
      </w:r>
      <w:r w:rsidRPr="000D5B7F">
        <w:rPr>
          <w:rFonts w:asciiTheme="minorHAnsi" w:eastAsia="Times New Roman" w:hAnsiTheme="minorHAnsi" w:cs="Arial"/>
        </w:rPr>
        <w:tab/>
        <w:t xml:space="preserve">16105 - Petty Cash Fund PCF </w:t>
      </w:r>
    </w:p>
    <w:p w14:paraId="088AB24B" w14:textId="54975EDC" w:rsidR="007E0288" w:rsidRPr="000D5B7F" w:rsidRDefault="007E0288" w:rsidP="007E0288">
      <w:pPr>
        <w:spacing w:after="0" w:line="240" w:lineRule="auto"/>
        <w:rPr>
          <w:rFonts w:asciiTheme="minorHAnsi" w:eastAsia="Times New Roman" w:hAnsiTheme="minorHAnsi" w:cs="Arial"/>
        </w:rPr>
      </w:pPr>
      <w:r>
        <w:rPr>
          <w:rFonts w:asciiTheme="minorHAnsi" w:eastAsia="Times New Roman" w:hAnsiTheme="minorHAnsi" w:cs="Arial"/>
        </w:rPr>
        <w:tab/>
      </w:r>
      <w:r>
        <w:rPr>
          <w:rFonts w:asciiTheme="minorHAnsi" w:eastAsia="Times New Roman" w:hAnsiTheme="minorHAnsi" w:cs="Arial"/>
        </w:rPr>
        <w:tab/>
      </w:r>
      <w:r w:rsidRPr="000D5B7F">
        <w:rPr>
          <w:rFonts w:asciiTheme="minorHAnsi" w:eastAsia="Times New Roman" w:hAnsiTheme="minorHAnsi" w:cs="Arial"/>
        </w:rPr>
        <w:tab/>
        <w:t xml:space="preserve">Operating Unit: </w:t>
      </w:r>
      <w:r w:rsidRPr="000D5B7F">
        <w:rPr>
          <w:rFonts w:asciiTheme="minorHAnsi" w:eastAsia="Times New Roman" w:hAnsiTheme="minorHAnsi" w:cs="Arial"/>
        </w:rPr>
        <w:tab/>
      </w:r>
      <w:r w:rsidRPr="000D5B7F">
        <w:rPr>
          <w:rFonts w:asciiTheme="minorHAnsi" w:eastAsia="Times New Roman" w:hAnsiTheme="minorHAnsi" w:cs="Arial"/>
        </w:rPr>
        <w:tab/>
        <w:t xml:space="preserve">CO’s operating unit </w:t>
      </w:r>
    </w:p>
    <w:p w14:paraId="4BE6A729" w14:textId="77777777" w:rsidR="007E0288" w:rsidRPr="000D5B7F" w:rsidRDefault="007E0288" w:rsidP="00E3311D">
      <w:pPr>
        <w:pStyle w:val="Heading2"/>
      </w:pPr>
      <w:r w:rsidRPr="000D5B7F">
        <w:t xml:space="preserve">Fund Code: </w:t>
      </w:r>
      <w:r w:rsidRPr="000D5B7F">
        <w:tab/>
      </w:r>
      <w:r w:rsidRPr="000D5B7F">
        <w:tab/>
        <w:t xml:space="preserve">00001 for GL acct 16105 always </w:t>
      </w:r>
    </w:p>
    <w:p w14:paraId="6AA7A769" w14:textId="7FEEC4E2" w:rsidR="007E0288" w:rsidRDefault="007E0288" w:rsidP="007E0288">
      <w:pPr>
        <w:spacing w:after="0" w:line="240" w:lineRule="auto"/>
        <w:ind w:firstLine="720"/>
        <w:rPr>
          <w:rFonts w:asciiTheme="minorHAnsi" w:eastAsia="Times New Roman" w:hAnsiTheme="minorHAnsi" w:cs="Arial"/>
        </w:rPr>
      </w:pPr>
      <w:r w:rsidRPr="000D5B7F">
        <w:rPr>
          <w:rFonts w:asciiTheme="minorHAnsi" w:eastAsia="Times New Roman" w:hAnsiTheme="minorHAnsi" w:cs="Arial"/>
        </w:rPr>
        <w:t xml:space="preserve">Department: </w:t>
      </w:r>
      <w:r w:rsidRPr="000D5B7F">
        <w:rPr>
          <w:rFonts w:asciiTheme="minorHAnsi" w:eastAsia="Times New Roman" w:hAnsiTheme="minorHAnsi" w:cs="Arial"/>
        </w:rPr>
        <w:tab/>
      </w:r>
      <w:r w:rsidRPr="000D5B7F">
        <w:rPr>
          <w:rFonts w:asciiTheme="minorHAnsi" w:eastAsia="Times New Roman" w:hAnsiTheme="minorHAnsi" w:cs="Arial"/>
        </w:rPr>
        <w:tab/>
        <w:t xml:space="preserve">Respective department </w:t>
      </w:r>
    </w:p>
    <w:p w14:paraId="6472F530" w14:textId="708C27C1" w:rsidR="007E0288" w:rsidRPr="00BE0A85" w:rsidRDefault="007E0288" w:rsidP="007E0288">
      <w:pPr>
        <w:spacing w:after="0" w:line="240" w:lineRule="auto"/>
        <w:ind w:firstLine="720"/>
        <w:rPr>
          <w:rFonts w:asciiTheme="minorHAnsi" w:eastAsia="Times New Roman" w:hAnsiTheme="minorHAnsi" w:cs="Arial"/>
        </w:rPr>
      </w:pPr>
      <w:r>
        <w:rPr>
          <w:rFonts w:asciiTheme="minorHAnsi" w:eastAsia="Times New Roman" w:hAnsiTheme="minorHAnsi" w:cs="Arial"/>
        </w:rPr>
        <w:t>Supplier</w:t>
      </w:r>
      <w:r>
        <w:rPr>
          <w:rFonts w:asciiTheme="minorHAnsi" w:eastAsia="Times New Roman" w:hAnsiTheme="minorHAnsi" w:cs="Arial"/>
        </w:rPr>
        <w:tab/>
      </w:r>
      <w:r w:rsidRPr="00BE0A85">
        <w:rPr>
          <w:rFonts w:asciiTheme="minorHAnsi" w:eastAsia="Times New Roman" w:hAnsiTheme="minorHAnsi" w:cs="Arial"/>
        </w:rPr>
        <w:t xml:space="preserve">: </w:t>
      </w:r>
      <w:r w:rsidRPr="00BE0A85">
        <w:rPr>
          <w:rFonts w:asciiTheme="minorHAnsi" w:eastAsia="Times New Roman" w:hAnsiTheme="minorHAnsi" w:cs="Arial"/>
        </w:rPr>
        <w:tab/>
      </w:r>
      <w:r w:rsidR="00C2771A">
        <w:rPr>
          <w:rFonts w:asciiTheme="minorHAnsi" w:eastAsia="Times New Roman" w:hAnsiTheme="minorHAnsi" w:cs="Arial"/>
        </w:rPr>
        <w:t xml:space="preserve">PCF </w:t>
      </w:r>
      <w:r w:rsidRPr="00BE0A85">
        <w:rPr>
          <w:rFonts w:asciiTheme="minorHAnsi" w:eastAsia="Times New Roman" w:hAnsiTheme="minorHAnsi" w:cs="Arial"/>
        </w:rPr>
        <w:t xml:space="preserve">Custodian’s  </w:t>
      </w:r>
      <w:r>
        <w:rPr>
          <w:rFonts w:asciiTheme="minorHAnsi" w:eastAsia="Times New Roman" w:hAnsiTheme="minorHAnsi" w:cs="Arial"/>
        </w:rPr>
        <w:t xml:space="preserve">Staff/Supplier </w:t>
      </w:r>
      <w:r w:rsidRPr="00BE0A85">
        <w:rPr>
          <w:rFonts w:asciiTheme="minorHAnsi" w:eastAsia="Times New Roman" w:hAnsiTheme="minorHAnsi" w:cs="Arial"/>
        </w:rPr>
        <w:t xml:space="preserve">ID </w:t>
      </w:r>
    </w:p>
    <w:p w14:paraId="38FB7D61" w14:textId="3636506A" w:rsidR="003434EB" w:rsidRPr="000D5B7F" w:rsidRDefault="007E0288"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Pr>
          <w:rFonts w:asciiTheme="minorHAnsi" w:eastAsia="Times New Roman" w:hAnsiTheme="minorHAnsi" w:cs="Arial"/>
        </w:rPr>
        <w:t xml:space="preserve"> </w:t>
      </w:r>
      <w:r w:rsidR="003434EB" w:rsidRPr="000D5B7F">
        <w:rPr>
          <w:rFonts w:asciiTheme="minorHAnsi" w:eastAsia="Times New Roman" w:hAnsiTheme="minorHAnsi" w:cs="Arial"/>
        </w:rPr>
        <w:t xml:space="preserve">. The supporting document for the </w:t>
      </w:r>
      <w:r w:rsidR="00EF7CDC">
        <w:rPr>
          <w:rFonts w:asciiTheme="minorHAnsi" w:eastAsia="Times New Roman" w:hAnsiTheme="minorHAnsi" w:cs="Arial"/>
        </w:rPr>
        <w:t>Invoice</w:t>
      </w:r>
      <w:r w:rsidR="003434EB" w:rsidRPr="000D5B7F">
        <w:rPr>
          <w:rFonts w:asciiTheme="minorHAnsi" w:eastAsia="Times New Roman" w:hAnsiTheme="minorHAnsi" w:cs="Arial"/>
        </w:rPr>
        <w:t xml:space="preserve"> is the approval from the Head of Office or Treasurer, as applicable. </w:t>
      </w:r>
    </w:p>
    <w:p w14:paraId="2305D213"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158E298" w14:textId="6DFDD453"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Subsequent replenishment is done by </w:t>
      </w:r>
      <w:r w:rsidR="00AA7B30">
        <w:rPr>
          <w:rFonts w:asciiTheme="minorHAnsi" w:eastAsia="Times New Roman" w:hAnsiTheme="minorHAnsi" w:cs="Arial"/>
        </w:rPr>
        <w:t>Payment Voucher</w:t>
      </w:r>
      <w:r w:rsidRPr="000D5B7F">
        <w:rPr>
          <w:rFonts w:asciiTheme="minorHAnsi" w:eastAsia="Times New Roman" w:hAnsiTheme="minorHAnsi" w:cs="Arial"/>
        </w:rPr>
        <w:t xml:space="preserve"> payable to the PCF Custodian. The amount of the subsequent replenishment should equal the amount of the total disbursements made during the period prior to the replenishment. The </w:t>
      </w:r>
      <w:r w:rsidR="009F764C">
        <w:rPr>
          <w:rFonts w:asciiTheme="minorHAnsi" w:eastAsia="Times New Roman" w:hAnsiTheme="minorHAnsi" w:cs="Arial"/>
        </w:rPr>
        <w:t xml:space="preserve">relevant vouchers and </w:t>
      </w:r>
      <w:r w:rsidRPr="000D5B7F">
        <w:rPr>
          <w:rFonts w:asciiTheme="minorHAnsi" w:eastAsia="Times New Roman" w:hAnsiTheme="minorHAnsi" w:cs="Arial"/>
        </w:rPr>
        <w:t xml:space="preserve">attached invoice/receipts serve as the supporting document for the subsequent replenishment. </w:t>
      </w:r>
    </w:p>
    <w:p w14:paraId="39F9A3D5" w14:textId="77777777" w:rsidR="003434EB" w:rsidRPr="000D5B7F" w:rsidRDefault="003434EB" w:rsidP="003434EB">
      <w:pPr>
        <w:pStyle w:val="ListParagraph"/>
        <w:rPr>
          <w:rFonts w:asciiTheme="minorHAnsi" w:eastAsia="Times New Roman" w:hAnsiTheme="minorHAnsi" w:cs="Arial"/>
        </w:rPr>
      </w:pPr>
    </w:p>
    <w:p w14:paraId="390EE836" w14:textId="1F1B475E"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After the subsequent replenishment, the PCF balance </w:t>
      </w:r>
      <w:r w:rsidR="009F764C">
        <w:rPr>
          <w:rFonts w:asciiTheme="minorHAnsi" w:eastAsia="Times New Roman" w:hAnsiTheme="minorHAnsi" w:cs="Arial"/>
        </w:rPr>
        <w:t xml:space="preserve">held in office safe </w:t>
      </w:r>
      <w:r w:rsidRPr="000D5B7F">
        <w:rPr>
          <w:rFonts w:asciiTheme="minorHAnsi" w:eastAsia="Times New Roman" w:hAnsiTheme="minorHAnsi" w:cs="Arial"/>
        </w:rPr>
        <w:t xml:space="preserve">should equal to the initial opening balance. For subsequent replenishment to the PCF, the Finance Manager or Operations Manager (other than the PCF Custodian) must review, certify and approve (as the case may be): </w:t>
      </w:r>
    </w:p>
    <w:p w14:paraId="0BEF448D" w14:textId="77777777" w:rsidR="003434EB" w:rsidRPr="000D5B7F" w:rsidRDefault="003434EB" w:rsidP="003434EB">
      <w:pPr>
        <w:pStyle w:val="ListParagraph"/>
        <w:rPr>
          <w:rFonts w:asciiTheme="minorHAnsi" w:eastAsia="Times New Roman" w:hAnsiTheme="minorHAnsi" w:cs="Arial"/>
        </w:rPr>
      </w:pPr>
    </w:p>
    <w:p w14:paraId="75257C08" w14:textId="26888716" w:rsidR="003434EB" w:rsidRPr="000D5B7F" w:rsidRDefault="00AA7B30" w:rsidP="003434EB">
      <w:pPr>
        <w:pStyle w:val="ListParagraph"/>
        <w:numPr>
          <w:ilvl w:val="1"/>
          <w:numId w:val="24"/>
        </w:numPr>
        <w:spacing w:before="100" w:beforeAutospacing="1" w:after="100" w:afterAutospacing="1" w:line="240" w:lineRule="auto"/>
        <w:ind w:left="1080"/>
        <w:rPr>
          <w:rFonts w:asciiTheme="minorHAnsi" w:eastAsia="Times New Roman" w:hAnsiTheme="minorHAnsi" w:cs="Arial"/>
        </w:rPr>
      </w:pPr>
      <w:r>
        <w:rPr>
          <w:rFonts w:asciiTheme="minorHAnsi" w:eastAsia="Times New Roman" w:hAnsiTheme="minorHAnsi" w:cs="Arial"/>
        </w:rPr>
        <w:t xml:space="preserve">Upload Spreadsheet list </w:t>
      </w:r>
      <w:r w:rsidR="003434EB" w:rsidRPr="000D5B7F">
        <w:rPr>
          <w:rFonts w:asciiTheme="minorHAnsi" w:eastAsia="Times New Roman" w:hAnsiTheme="minorHAnsi" w:cs="Arial"/>
        </w:rPr>
        <w:t>created by PCF Custodian for recording PCF disbursements, relevant supporting documents for charged expenses</w:t>
      </w:r>
      <w:r w:rsidR="007E0288">
        <w:rPr>
          <w:rFonts w:asciiTheme="minorHAnsi" w:eastAsia="Times New Roman" w:hAnsiTheme="minorHAnsi" w:cs="Arial"/>
        </w:rPr>
        <w:t xml:space="preserve"> against relevant 7xxxx</w:t>
      </w:r>
      <w:r w:rsidR="00C2771A">
        <w:rPr>
          <w:rFonts w:asciiTheme="minorHAnsi" w:eastAsia="Times New Roman" w:hAnsiTheme="minorHAnsi" w:cs="Arial"/>
        </w:rPr>
        <w:t xml:space="preserve"> expense accounts</w:t>
      </w:r>
      <w:r w:rsidR="003434EB" w:rsidRPr="000D5B7F">
        <w:rPr>
          <w:rFonts w:asciiTheme="minorHAnsi" w:eastAsia="Times New Roman" w:hAnsiTheme="minorHAnsi" w:cs="Arial"/>
        </w:rPr>
        <w:t xml:space="preserve">, and observance of the $250 limit for each disbursement ( </w:t>
      </w:r>
    </w:p>
    <w:p w14:paraId="3A14428E" w14:textId="77777777" w:rsidR="003434EB" w:rsidRPr="000D5B7F" w:rsidRDefault="003434EB" w:rsidP="003434EB">
      <w:pPr>
        <w:pStyle w:val="ListParagraph"/>
        <w:numPr>
          <w:ilvl w:val="1"/>
          <w:numId w:val="24"/>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Physical count to ensure the PCF balance in the safe equals to the balance on the PCF Register. </w:t>
      </w:r>
    </w:p>
    <w:p w14:paraId="364A20F8" w14:textId="47ECF1B0" w:rsidR="003434EB" w:rsidRPr="000D5B7F" w:rsidRDefault="003434EB" w:rsidP="003434EB">
      <w:pPr>
        <w:pStyle w:val="ListParagraph"/>
        <w:numPr>
          <w:ilvl w:val="1"/>
          <w:numId w:val="24"/>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PCF reconciliation to ensure that GL PCF Account 16105 balance is the same as the actual cash in the safe (after the APJV is posted) and on the PCF Register. </w:t>
      </w:r>
    </w:p>
    <w:p w14:paraId="54DFACB3" w14:textId="5EB32D75" w:rsidR="003434EB" w:rsidRPr="000D5B7F" w:rsidRDefault="009F764C" w:rsidP="003434EB">
      <w:pPr>
        <w:pStyle w:val="ListParagraph"/>
        <w:numPr>
          <w:ilvl w:val="1"/>
          <w:numId w:val="24"/>
        </w:numPr>
        <w:spacing w:before="100" w:beforeAutospacing="1" w:after="100" w:afterAutospacing="1" w:line="240" w:lineRule="auto"/>
        <w:ind w:left="1080"/>
        <w:rPr>
          <w:rFonts w:asciiTheme="minorHAnsi" w:eastAsia="Times New Roman" w:hAnsiTheme="minorHAnsi" w:cs="Arial"/>
        </w:rPr>
      </w:pPr>
      <w:r>
        <w:rPr>
          <w:rFonts w:asciiTheme="minorHAnsi" w:eastAsia="Times New Roman" w:hAnsiTheme="minorHAnsi" w:cs="Arial"/>
        </w:rPr>
        <w:t xml:space="preserve">Payment Voucher </w:t>
      </w:r>
      <w:r w:rsidR="003434EB" w:rsidRPr="000D5B7F">
        <w:rPr>
          <w:rFonts w:asciiTheme="minorHAnsi" w:eastAsia="Times New Roman" w:hAnsiTheme="minorHAnsi" w:cs="Arial"/>
        </w:rPr>
        <w:t xml:space="preserve"> to pay the PCF Custodian as the replenishment for the PCF. </w:t>
      </w:r>
    </w:p>
    <w:p w14:paraId="23F12A5E" w14:textId="77777777" w:rsidR="003434EB" w:rsidRPr="000D5B7F" w:rsidRDefault="003434EB" w:rsidP="003434EB">
      <w:pPr>
        <w:spacing w:before="100" w:beforeAutospacing="1" w:after="100" w:afterAutospacing="1" w:line="240" w:lineRule="auto"/>
        <w:rPr>
          <w:rFonts w:asciiTheme="minorHAnsi" w:eastAsia="Times New Roman" w:hAnsiTheme="minorHAnsi" w:cs="Arial"/>
          <w:u w:val="single"/>
        </w:rPr>
      </w:pPr>
      <w:r w:rsidRPr="000D5B7F">
        <w:rPr>
          <w:rFonts w:asciiTheme="minorHAnsi" w:eastAsia="Times New Roman" w:hAnsiTheme="minorHAnsi" w:cs="Arial"/>
          <w:u w:val="single"/>
        </w:rPr>
        <w:t xml:space="preserve">Internal Controls for PCF </w:t>
      </w:r>
    </w:p>
    <w:p w14:paraId="75F31BBB" w14:textId="13E6F8B2" w:rsidR="003434EB"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Separation of duties should be maintained at all times. </w:t>
      </w:r>
    </w:p>
    <w:p w14:paraId="1EDF87F4" w14:textId="69A85A84" w:rsidR="009F764C" w:rsidRPr="000D5B7F" w:rsidRDefault="008919EB" w:rsidP="00E3311D">
      <w:pPr>
        <w:pStyle w:val="ListParagraph"/>
        <w:spacing w:before="100" w:beforeAutospacing="1" w:after="100" w:afterAutospacing="1" w:line="240" w:lineRule="auto"/>
        <w:ind w:left="360" w:firstLine="0"/>
        <w:rPr>
          <w:rFonts w:asciiTheme="minorHAnsi" w:eastAsia="Times New Roman" w:hAnsiTheme="minorHAnsi" w:cs="Arial"/>
        </w:rPr>
      </w:pPr>
      <w:r>
        <w:rPr>
          <w:rFonts w:asciiTheme="minorHAnsi" w:eastAsia="Times New Roman" w:hAnsiTheme="minorHAnsi" w:cs="Arial"/>
        </w:rPr>
        <w:t>d</w:t>
      </w:r>
    </w:p>
    <w:p w14:paraId="0A7BCEFF" w14:textId="5B55B2EF"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Pre-sequentially numbered PCF Vouchers must be used (either in paper form or in spreadsheet form with password control) to request the PCF disbursements; the proper approval obtained, and full Chart of Accounts (COA) indicated. </w:t>
      </w:r>
    </w:p>
    <w:p w14:paraId="4AC0BC11" w14:textId="01BE6A9F"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5EFBB130"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Invoice/receipt for small purchases should be attached to each PCF Voucher. </w:t>
      </w:r>
    </w:p>
    <w:p w14:paraId="78C9768B" w14:textId="77777777" w:rsidR="003434EB" w:rsidRPr="000D5B7F" w:rsidRDefault="003434EB" w:rsidP="003434EB">
      <w:pPr>
        <w:pStyle w:val="ListParagraph"/>
        <w:rPr>
          <w:rFonts w:asciiTheme="minorHAnsi" w:eastAsia="Times New Roman" w:hAnsiTheme="minorHAnsi" w:cs="Arial"/>
        </w:rPr>
      </w:pPr>
    </w:p>
    <w:p w14:paraId="192F639A"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4A0CBEA5"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PCF Register must be maintained on per transaction basis and issued on the close of business of the last day of the month or prior to each replenishment period with no further alteration. A new PCF Register must be created for a new month or a new replenishment period. </w:t>
      </w:r>
    </w:p>
    <w:p w14:paraId="65FAA684"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5BD30957"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AAA report for GL Account 16105 must be generated for each month end or each replenishment period to compare the balance in the PCF safe and PCF Register should be reviewed by Operations Manager or DRR (O). </w:t>
      </w:r>
    </w:p>
    <w:p w14:paraId="4A1A4451"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6CBBBEF9"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Operations Manager must perform a physical cash count at the month end or prior to each replenishment request, whichever comes first, and sign the PCF Count Form (see Annex 3 - Cash Count Form. The signature on the PCF Count Form certifies that the balance in the safe equals to the balance in the PCF Register and the balance in the GL Account 16105. </w:t>
      </w:r>
    </w:p>
    <w:p w14:paraId="799A57B5"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123A155"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Any discrepancies identified in the steps 17 to 19 must be investigated and resolved within seven (7) days. The Head of Office should be notified of the discrepancy and the resolution. </w:t>
      </w:r>
    </w:p>
    <w:p w14:paraId="3EF106FB"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FA5A180"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Steps from 17 to 20 constitute the monthly PCF reconciliation to be performed every month without exception. </w:t>
      </w:r>
    </w:p>
    <w:p w14:paraId="50318EEE"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2E456B30" w14:textId="4B672610" w:rsidR="003434EB" w:rsidRPr="00CA0E60" w:rsidRDefault="003434EB" w:rsidP="00CA0E60">
      <w:pPr>
        <w:spacing w:before="100" w:beforeAutospacing="1" w:after="100" w:afterAutospacing="1" w:line="240" w:lineRule="auto"/>
        <w:rPr>
          <w:rFonts w:asciiTheme="minorHAnsi" w:eastAsia="Times New Roman" w:hAnsiTheme="minorHAnsi" w:cs="Arial"/>
          <w:b/>
          <w:i/>
        </w:rPr>
      </w:pPr>
      <w:r w:rsidRPr="00CA0E60">
        <w:rPr>
          <w:rFonts w:asciiTheme="minorHAnsi" w:eastAsia="Times New Roman" w:hAnsiTheme="minorHAnsi" w:cs="Arial"/>
        </w:rPr>
        <w:t xml:space="preserve">On or before 31 December of each year, the CO must </w:t>
      </w:r>
      <w:r w:rsidR="00CA0E60" w:rsidRPr="00CA0E60">
        <w:rPr>
          <w:rFonts w:asciiTheme="minorHAnsi" w:eastAsia="Times New Roman" w:hAnsiTheme="minorHAnsi" w:cs="Arial"/>
        </w:rPr>
        <w:t>upload the last Sprea</w:t>
      </w:r>
      <w:r w:rsidR="008919EB">
        <w:rPr>
          <w:rFonts w:asciiTheme="minorHAnsi" w:eastAsia="Times New Roman" w:hAnsiTheme="minorHAnsi" w:cs="Arial"/>
        </w:rPr>
        <w:t>d</w:t>
      </w:r>
      <w:r w:rsidR="00CA0E60" w:rsidRPr="00CA0E60">
        <w:rPr>
          <w:rFonts w:asciiTheme="minorHAnsi" w:eastAsia="Times New Roman" w:hAnsiTheme="minorHAnsi" w:cs="Arial"/>
        </w:rPr>
        <w:t xml:space="preserve">sheet </w:t>
      </w:r>
      <w:r w:rsidR="00CA0E60">
        <w:rPr>
          <w:rFonts w:asciiTheme="minorHAnsi" w:eastAsia="Times New Roman" w:hAnsiTheme="minorHAnsi" w:cs="Arial"/>
        </w:rPr>
        <w:t xml:space="preserve">for recorded expenses </w:t>
      </w:r>
      <w:r w:rsidR="00CA0E60" w:rsidRPr="00CA0E60">
        <w:rPr>
          <w:rFonts w:asciiTheme="minorHAnsi" w:eastAsia="Times New Roman" w:hAnsiTheme="minorHAnsi" w:cs="Arial"/>
        </w:rPr>
        <w:t xml:space="preserve">and </w:t>
      </w:r>
      <w:r w:rsidRPr="00CA0E60">
        <w:rPr>
          <w:rFonts w:asciiTheme="minorHAnsi" w:eastAsia="Times New Roman" w:hAnsiTheme="minorHAnsi" w:cs="Arial"/>
        </w:rPr>
        <w:t>deposit the PCF balance</w:t>
      </w:r>
      <w:r w:rsidR="008919EB">
        <w:rPr>
          <w:rFonts w:asciiTheme="minorHAnsi" w:eastAsia="Times New Roman" w:hAnsiTheme="minorHAnsi" w:cs="Arial"/>
        </w:rPr>
        <w:t xml:space="preserve"> kept</w:t>
      </w:r>
      <w:r w:rsidRPr="00CA0E60">
        <w:rPr>
          <w:rFonts w:asciiTheme="minorHAnsi" w:eastAsia="Times New Roman" w:hAnsiTheme="minorHAnsi" w:cs="Arial"/>
        </w:rPr>
        <w:t xml:space="preserve"> in the safe into the CO’s bank account</w:t>
      </w:r>
      <w:r w:rsidR="00CA0E60" w:rsidRPr="00CA0E60">
        <w:rPr>
          <w:rFonts w:asciiTheme="minorHAnsi" w:eastAsia="Times New Roman" w:hAnsiTheme="minorHAnsi" w:cs="Arial"/>
        </w:rPr>
        <w:t xml:space="preserve">.  </w:t>
      </w:r>
      <w:bookmarkStart w:id="0" w:name="_Hlk119602543"/>
      <w:r w:rsidR="00CA0E60" w:rsidRPr="00CA0E60">
        <w:rPr>
          <w:rFonts w:asciiTheme="minorHAnsi" w:eastAsia="Times New Roman" w:hAnsiTheme="minorHAnsi" w:cs="Arial"/>
        </w:rPr>
        <w:t>GSS</w:t>
      </w:r>
      <w:r w:rsidR="008919EB">
        <w:rPr>
          <w:rFonts w:asciiTheme="minorHAnsi" w:eastAsia="Times New Roman" w:hAnsiTheme="minorHAnsi" w:cs="Arial"/>
        </w:rPr>
        <w:t>C</w:t>
      </w:r>
      <w:r w:rsidR="00CA0E60" w:rsidRPr="00CA0E60">
        <w:rPr>
          <w:rFonts w:asciiTheme="minorHAnsi" w:eastAsia="Times New Roman" w:hAnsiTheme="minorHAnsi" w:cs="Arial"/>
        </w:rPr>
        <w:t xml:space="preserve"> will take the necessary steps to ensure liquidation of the </w:t>
      </w:r>
      <w:r w:rsidR="00CA0E60">
        <w:rPr>
          <w:rFonts w:asciiTheme="minorHAnsi" w:eastAsia="Times New Roman" w:hAnsiTheme="minorHAnsi" w:cs="Arial"/>
        </w:rPr>
        <w:t xml:space="preserve">prepayment </w:t>
      </w:r>
      <w:r w:rsidR="008919EB">
        <w:rPr>
          <w:rFonts w:asciiTheme="minorHAnsi" w:eastAsia="Times New Roman" w:hAnsiTheme="minorHAnsi" w:cs="Arial"/>
        </w:rPr>
        <w:t xml:space="preserve">issued </w:t>
      </w:r>
      <w:r w:rsidR="00CA0E60">
        <w:rPr>
          <w:rFonts w:asciiTheme="minorHAnsi" w:eastAsia="Times New Roman" w:hAnsiTheme="minorHAnsi" w:cs="Arial"/>
        </w:rPr>
        <w:t xml:space="preserve">for </w:t>
      </w:r>
      <w:r w:rsidR="00CA0E60" w:rsidRPr="00CA0E60">
        <w:rPr>
          <w:rFonts w:asciiTheme="minorHAnsi" w:eastAsia="Times New Roman" w:hAnsiTheme="minorHAnsi" w:cs="Arial"/>
        </w:rPr>
        <w:t>PCF</w:t>
      </w:r>
      <w:r w:rsidR="00CA0E60">
        <w:rPr>
          <w:rFonts w:asciiTheme="minorHAnsi" w:eastAsia="Times New Roman" w:hAnsiTheme="minorHAnsi" w:cs="Arial"/>
        </w:rPr>
        <w:t xml:space="preserve"> under </w:t>
      </w:r>
      <w:r w:rsidR="00CA0E60" w:rsidRPr="00CA0E60">
        <w:rPr>
          <w:rFonts w:asciiTheme="minorHAnsi" w:eastAsia="Times New Roman" w:hAnsiTheme="minorHAnsi" w:cs="Arial"/>
        </w:rPr>
        <w:t>GL Account 16105.</w:t>
      </w:r>
      <w:bookmarkEnd w:id="0"/>
      <w:r w:rsidRPr="00CA0E60">
        <w:rPr>
          <w:rFonts w:asciiTheme="minorHAnsi" w:eastAsia="Times New Roman" w:hAnsiTheme="minorHAnsi" w:cs="Arial"/>
          <w:b/>
          <w:i/>
        </w:rPr>
        <w:t xml:space="preserve">Caution: If the CO does not deposit the PCF balance in the safe into the bank account at the year-end, the office must notify Treasury and explain the circumstances preventing this action. </w:t>
      </w:r>
    </w:p>
    <w:p w14:paraId="7AD2B111" w14:textId="77777777" w:rsidR="003434EB" w:rsidRPr="000D5B7F" w:rsidRDefault="003434EB" w:rsidP="003434EB">
      <w:pPr>
        <w:spacing w:after="0" w:line="240" w:lineRule="auto"/>
        <w:ind w:firstLine="720"/>
        <w:rPr>
          <w:rFonts w:asciiTheme="minorHAnsi" w:eastAsia="Times New Roman" w:hAnsiTheme="minorHAnsi" w:cs="Arial"/>
        </w:rPr>
      </w:pPr>
    </w:p>
    <w:p w14:paraId="7FDFD5DA" w14:textId="21265E41" w:rsidR="003434EB" w:rsidRPr="000D5B7F" w:rsidRDefault="003434EB" w:rsidP="003434EB">
      <w:pPr>
        <w:spacing w:before="100" w:beforeAutospacing="1" w:after="100" w:afterAutospacing="1" w:line="240" w:lineRule="auto"/>
        <w:rPr>
          <w:rFonts w:asciiTheme="minorHAnsi" w:eastAsia="Times New Roman" w:hAnsiTheme="minorHAnsi" w:cs="Arial"/>
          <w:b/>
          <w:i/>
        </w:rPr>
      </w:pPr>
      <w:r w:rsidRPr="000D5B7F">
        <w:rPr>
          <w:rFonts w:asciiTheme="minorHAnsi" w:eastAsia="Times New Roman" w:hAnsiTheme="minorHAnsi" w:cs="Arial"/>
          <w:b/>
          <w:i/>
        </w:rPr>
        <w:lastRenderedPageBreak/>
        <w:t>Caution: All transactions in PCF (</w:t>
      </w:r>
      <w:r w:rsidR="007E0288">
        <w:rPr>
          <w:rFonts w:asciiTheme="minorHAnsi" w:eastAsia="Times New Roman" w:hAnsiTheme="minorHAnsi" w:cs="Arial"/>
          <w:b/>
          <w:i/>
        </w:rPr>
        <w:t>Invoices, Credit Memo</w:t>
      </w:r>
      <w:r w:rsidR="00C2771A">
        <w:rPr>
          <w:rFonts w:asciiTheme="minorHAnsi" w:eastAsia="Times New Roman" w:hAnsiTheme="minorHAnsi" w:cs="Arial"/>
          <w:b/>
          <w:i/>
        </w:rPr>
        <w:t xml:space="preserve">s) </w:t>
      </w:r>
      <w:r w:rsidRPr="000D5B7F">
        <w:rPr>
          <w:rFonts w:asciiTheme="minorHAnsi" w:eastAsia="Times New Roman" w:hAnsiTheme="minorHAnsi" w:cs="Arial"/>
          <w:b/>
          <w:i/>
        </w:rPr>
        <w:t xml:space="preserve">) must be recorded in the currency code in </w:t>
      </w:r>
      <w:r w:rsidR="007F3229">
        <w:rPr>
          <w:rFonts w:asciiTheme="minorHAnsi" w:eastAsia="Times New Roman" w:hAnsiTheme="minorHAnsi" w:cs="Arial"/>
          <w:b/>
          <w:i/>
        </w:rPr>
        <w:t>Quantum</w:t>
      </w:r>
      <w:r w:rsidRPr="000D5B7F">
        <w:rPr>
          <w:rFonts w:asciiTheme="minorHAnsi" w:eastAsia="Times New Roman" w:hAnsiTheme="minorHAnsi" w:cs="Arial"/>
          <w:b/>
          <w:i/>
        </w:rPr>
        <w:t xml:space="preserve"> that matches the actual currency in which the PCF is held. Using incorrect currency code in </w:t>
      </w:r>
      <w:r w:rsidR="007F3229">
        <w:rPr>
          <w:rFonts w:asciiTheme="minorHAnsi" w:eastAsia="Times New Roman" w:hAnsiTheme="minorHAnsi" w:cs="Arial"/>
          <w:b/>
          <w:i/>
        </w:rPr>
        <w:t>Quantum</w:t>
      </w:r>
      <w:r w:rsidRPr="000D5B7F">
        <w:rPr>
          <w:rFonts w:asciiTheme="minorHAnsi" w:eastAsia="Times New Roman" w:hAnsiTheme="minorHAnsi" w:cs="Arial"/>
          <w:b/>
          <w:i/>
        </w:rPr>
        <w:t xml:space="preserve"> will lead to inaccurate valuation of the PCF in the financial statements. </w:t>
      </w:r>
    </w:p>
    <w:p w14:paraId="491C15FD" w14:textId="5A69D063" w:rsidR="003434EB" w:rsidRPr="000D5B7F" w:rsidRDefault="003434EB" w:rsidP="003434EB">
      <w:pPr>
        <w:spacing w:before="100" w:beforeAutospacing="1" w:after="100" w:afterAutospacing="1" w:line="240" w:lineRule="auto"/>
        <w:rPr>
          <w:rFonts w:asciiTheme="minorHAnsi" w:eastAsia="Times New Roman" w:hAnsiTheme="minorHAnsi" w:cs="Arial"/>
          <w:b/>
          <w:i/>
        </w:rPr>
      </w:pPr>
      <w:r w:rsidRPr="000D5B7F">
        <w:rPr>
          <w:rFonts w:asciiTheme="minorHAnsi" w:eastAsia="Times New Roman" w:hAnsiTheme="minorHAnsi" w:cs="Arial"/>
          <w:b/>
          <w:i/>
        </w:rPr>
        <w:t>. FX gain/loss adjustment entries are monitored by GSS</w:t>
      </w:r>
      <w:r w:rsidR="00AC0F7D">
        <w:rPr>
          <w:rFonts w:asciiTheme="minorHAnsi" w:eastAsia="Times New Roman" w:hAnsiTheme="minorHAnsi" w:cs="Arial"/>
          <w:b/>
          <w:i/>
        </w:rPr>
        <w:t>C</w:t>
      </w:r>
      <w:r w:rsidRPr="000D5B7F">
        <w:rPr>
          <w:rFonts w:asciiTheme="minorHAnsi" w:eastAsia="Times New Roman" w:hAnsiTheme="minorHAnsi" w:cs="Arial"/>
          <w:b/>
          <w:i/>
        </w:rPr>
        <w:t xml:space="preserve"> Cash Management team on a monthly basis.</w:t>
      </w:r>
    </w:p>
    <w:p w14:paraId="5584663F" w14:textId="77777777" w:rsidR="003434EB" w:rsidRPr="000D5B7F" w:rsidRDefault="003434EB" w:rsidP="003434EB">
      <w:pPr>
        <w:spacing w:before="100" w:beforeAutospacing="1" w:after="100" w:afterAutospacing="1" w:line="240" w:lineRule="auto"/>
        <w:rPr>
          <w:rFonts w:asciiTheme="minorHAnsi" w:eastAsia="Times New Roman" w:hAnsiTheme="minorHAnsi" w:cs="Arial"/>
          <w:u w:val="single"/>
        </w:rPr>
      </w:pPr>
      <w:r w:rsidRPr="000D5B7F">
        <w:rPr>
          <w:rFonts w:asciiTheme="minorHAnsi" w:eastAsia="Times New Roman" w:hAnsiTheme="minorHAnsi" w:cs="Arial"/>
          <w:u w:val="single"/>
        </w:rPr>
        <w:t xml:space="preserve">PCF Reconciliation and Year-End Closure </w:t>
      </w:r>
    </w:p>
    <w:p w14:paraId="535368D6"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Steps in Section 17 to 20 constitute the monthly PCF reconciliation to be performed every month without exception, including the year-end closure. </w:t>
      </w:r>
    </w:p>
    <w:p w14:paraId="41E9AD70"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CAF7768"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If the CO follows the Guidelines and Procedures herein, the AAA report for GL 16105 at 31 December should show the balance to be zero in local currency. </w:t>
      </w:r>
    </w:p>
    <w:p w14:paraId="3284A2D4" w14:textId="77777777" w:rsidR="003434EB" w:rsidRPr="000D5B7F" w:rsidRDefault="003434EB" w:rsidP="003434EB">
      <w:pPr>
        <w:pStyle w:val="ListParagraph"/>
        <w:rPr>
          <w:rFonts w:asciiTheme="minorHAnsi" w:eastAsia="Times New Roman" w:hAnsiTheme="minorHAnsi" w:cs="Arial"/>
        </w:rPr>
      </w:pPr>
    </w:p>
    <w:p w14:paraId="256774E3"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The DRR (O) must review the monthly PCF reconciliation results, complete and sign the Year-end PCF Certification and PCF Count Form. These two documents must be uploaded into the designated SharePoint on or before 31 January as part of the routine year end closing procedures. </w:t>
      </w:r>
    </w:p>
    <w:p w14:paraId="0CFBE217" w14:textId="77777777" w:rsidR="003434EB" w:rsidRPr="000D5B7F" w:rsidRDefault="003434EB" w:rsidP="003434EB">
      <w:pPr>
        <w:spacing w:before="100" w:beforeAutospacing="1" w:after="100" w:afterAutospacing="1" w:line="240" w:lineRule="auto"/>
        <w:rPr>
          <w:rFonts w:asciiTheme="minorHAnsi" w:eastAsia="Times New Roman" w:hAnsiTheme="minorHAnsi" w:cs="Arial"/>
          <w:b/>
          <w:i/>
        </w:rPr>
      </w:pPr>
      <w:r w:rsidRPr="000D5B7F">
        <w:rPr>
          <w:rFonts w:asciiTheme="minorHAnsi" w:eastAsia="Times New Roman" w:hAnsiTheme="minorHAnsi" w:cs="Arial"/>
          <w:b/>
          <w:i/>
        </w:rPr>
        <w:t xml:space="preserve">Caution: Pay attention to the currency in GL. Reconciliation is to be done for the currency in which the PCF is held. Typically, this means local currency. The CO should not reconcile the USD balance. </w:t>
      </w:r>
    </w:p>
    <w:p w14:paraId="361D339E" w14:textId="77777777" w:rsidR="003434EB" w:rsidRPr="000D5B7F" w:rsidRDefault="003434EB" w:rsidP="003434EB">
      <w:pPr>
        <w:spacing w:before="100" w:beforeAutospacing="1" w:after="100" w:afterAutospacing="1" w:line="240" w:lineRule="auto"/>
        <w:rPr>
          <w:rFonts w:asciiTheme="minorHAnsi" w:eastAsia="Times New Roman" w:hAnsiTheme="minorHAnsi" w:cs="Arial"/>
          <w:b/>
          <w:i/>
        </w:rPr>
      </w:pPr>
      <w:r w:rsidRPr="000D5B7F">
        <w:rPr>
          <w:rFonts w:asciiTheme="minorHAnsi" w:eastAsia="Times New Roman" w:hAnsiTheme="minorHAnsi" w:cs="Arial"/>
          <w:b/>
          <w:i/>
        </w:rPr>
        <w:t xml:space="preserve">Caution: The DRR (O) is accountable for the accuracy and consistency of the balances in AAA report, in PCF Register, and in the safe. </w:t>
      </w:r>
    </w:p>
    <w:p w14:paraId="19521522" w14:textId="77777777" w:rsidR="003434EB" w:rsidRPr="000D5B7F" w:rsidRDefault="003434EB" w:rsidP="003434EB">
      <w:pPr>
        <w:spacing w:before="100" w:beforeAutospacing="1" w:after="100" w:afterAutospacing="1" w:line="240" w:lineRule="auto"/>
        <w:rPr>
          <w:rFonts w:asciiTheme="minorHAnsi" w:eastAsia="Times New Roman" w:hAnsiTheme="minorHAnsi" w:cs="Arial"/>
          <w:u w:val="single"/>
        </w:rPr>
      </w:pPr>
      <w:r w:rsidRPr="000D5B7F">
        <w:rPr>
          <w:rFonts w:asciiTheme="minorHAnsi" w:eastAsia="Times New Roman" w:hAnsiTheme="minorHAnsi" w:cs="Arial"/>
          <w:u w:val="single"/>
        </w:rPr>
        <w:t xml:space="preserve">PCF Monitoring </w:t>
      </w:r>
    </w:p>
    <w:p w14:paraId="7D017FEE"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0D5B7F">
        <w:rPr>
          <w:rFonts w:asciiTheme="minorHAnsi" w:eastAsia="Times New Roman" w:hAnsiTheme="minorHAnsi" w:cs="Arial"/>
        </w:rPr>
        <w:t xml:space="preserve">The Head of Office is responsible for ensuring routine monitoring of GL Account 16105 for data quality and completeness. CO compliance with the Guidelines and Procedures should ensure: </w:t>
      </w:r>
    </w:p>
    <w:p w14:paraId="3D95D1B6"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79AFD86"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The PCF level not to exceed the authorized level by the Head of Office or Treasurer at any time. </w:t>
      </w:r>
    </w:p>
    <w:p w14:paraId="4FFCBF51"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The per disbursement limit not to exceed USD250 equivalent. </w:t>
      </w:r>
    </w:p>
    <w:p w14:paraId="2E4464C3"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The expenses are recorded on a monthly basis or at each replenishment period. </w:t>
      </w:r>
    </w:p>
    <w:p w14:paraId="10DA5A9E"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No GLJE should be used. </w:t>
      </w:r>
    </w:p>
    <w:p w14:paraId="23D327B5"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All transactions recorded are in the currency for which the initial PCF balance is established. </w:t>
      </w:r>
    </w:p>
    <w:p w14:paraId="76A70917"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sidRPr="000D5B7F">
        <w:rPr>
          <w:rFonts w:asciiTheme="minorHAnsi" w:eastAsia="Times New Roman" w:hAnsiTheme="minorHAnsi" w:cs="Arial"/>
        </w:rPr>
        <w:t xml:space="preserve">At 31 December, balance in AAA report for GL 16105 in local currency is zero. </w:t>
      </w:r>
    </w:p>
    <w:p w14:paraId="0114BC5B" w14:textId="77777777" w:rsidR="003434EB" w:rsidRPr="000D5B7F" w:rsidRDefault="003434EB" w:rsidP="003434EB">
      <w:pPr>
        <w:spacing w:before="100" w:beforeAutospacing="1" w:after="100" w:afterAutospacing="1" w:line="240" w:lineRule="auto"/>
        <w:rPr>
          <w:rFonts w:asciiTheme="minorHAnsi" w:eastAsia="Times New Roman" w:hAnsiTheme="minorHAnsi" w:cs="Arial"/>
          <w:b/>
          <w:i/>
        </w:rPr>
      </w:pPr>
      <w:r w:rsidRPr="000D5B7F">
        <w:rPr>
          <w:rFonts w:asciiTheme="minorHAnsi" w:eastAsia="Times New Roman" w:hAnsiTheme="minorHAnsi" w:cs="Arial"/>
          <w:b/>
          <w:i/>
        </w:rPr>
        <w:t xml:space="preserve">Caution: Strictly following the procedures are critically important to ensure UNDP cash assets </w:t>
      </w:r>
    </w:p>
    <w:p w14:paraId="138AB26C" w14:textId="77777777" w:rsidR="003434EB" w:rsidRPr="000D5B7F" w:rsidRDefault="003434EB" w:rsidP="003434EB">
      <w:pPr>
        <w:pStyle w:val="NormalWeb"/>
        <w:rPr>
          <w:rFonts w:asciiTheme="minorHAnsi" w:hAnsiTheme="minorHAnsi" w:cs="Arial"/>
          <w:color w:val="333333"/>
          <w:sz w:val="22"/>
          <w:szCs w:val="22"/>
        </w:rPr>
      </w:pPr>
      <w:r w:rsidRPr="000D5B7F">
        <w:rPr>
          <w:rFonts w:asciiTheme="minorHAnsi" w:hAnsiTheme="minorHAnsi" w:cs="Arial"/>
          <w:color w:val="333333"/>
          <w:sz w:val="22"/>
          <w:szCs w:val="22"/>
        </w:rPr>
        <w:t> </w:t>
      </w:r>
    </w:p>
    <w:p w14:paraId="2CB0DD74" w14:textId="26B41773" w:rsidR="00F633FB" w:rsidRPr="000D5B7F" w:rsidRDefault="00F633FB" w:rsidP="003434EB">
      <w:pPr>
        <w:ind w:left="0" w:firstLine="0"/>
        <w:rPr>
          <w:rFonts w:asciiTheme="minorHAnsi" w:eastAsia="Times New Roman" w:hAnsiTheme="minorHAnsi" w:cs="Arial"/>
          <w:color w:val="333333"/>
        </w:rPr>
      </w:pPr>
    </w:p>
    <w:sectPr w:rsidR="00F633FB" w:rsidRPr="000D5B7F">
      <w:headerReference w:type="even" r:id="rId12"/>
      <w:headerReference w:type="default" r:id="rId13"/>
      <w:footerReference w:type="even" r:id="rId14"/>
      <w:footerReference w:type="default" r:id="rId15"/>
      <w:headerReference w:type="first" r:id="rId16"/>
      <w:footerReference w:type="first" r:id="rId17"/>
      <w:pgSz w:w="11906" w:h="16838"/>
      <w:pgMar w:top="1481" w:right="795" w:bottom="1499" w:left="1702"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F0039" w14:textId="77777777" w:rsidR="008C044F" w:rsidRDefault="008C044F">
      <w:pPr>
        <w:spacing w:after="0" w:line="240" w:lineRule="auto"/>
      </w:pPr>
      <w:r>
        <w:separator/>
      </w:r>
    </w:p>
  </w:endnote>
  <w:endnote w:type="continuationSeparator" w:id="0">
    <w:p w14:paraId="580A8617" w14:textId="77777777" w:rsidR="008C044F" w:rsidRDefault="008C0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25677" w14:textId="77777777" w:rsidR="00F633FB" w:rsidRDefault="003B5AE2">
    <w:pPr>
      <w:spacing w:after="0" w:line="259" w:lineRule="auto"/>
      <w:ind w:left="304" w:firstLine="0"/>
      <w:jc w:val="center"/>
    </w:pPr>
    <w:r>
      <w:fldChar w:fldCharType="begin"/>
    </w:r>
    <w:r>
      <w:instrText xml:space="preserve"> PAGE   \* MERGEFORMAT </w:instrText>
    </w:r>
    <w:r>
      <w:fldChar w:fldCharType="separate"/>
    </w:r>
    <w:r>
      <w:t>1</w:t>
    </w:r>
    <w:r>
      <w:fldChar w:fldCharType="end"/>
    </w:r>
    <w:r>
      <w:t xml:space="preserve"> </w:t>
    </w:r>
  </w:p>
  <w:p w14:paraId="22C01C30" w14:textId="77777777" w:rsidR="00F633FB" w:rsidRDefault="003B5AE2">
    <w:pPr>
      <w:spacing w:after="0" w:line="259" w:lineRule="auto"/>
      <w:ind w:left="36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BC993" w14:textId="4E157204" w:rsidR="00F633FB" w:rsidRDefault="00B6544F">
    <w:pPr>
      <w:spacing w:after="0" w:line="259" w:lineRule="auto"/>
      <w:ind w:left="360" w:firstLine="0"/>
      <w:jc w:val="left"/>
    </w:pPr>
    <w:r>
      <w:t xml:space="preserve">Page </w:t>
    </w:r>
    <w:r>
      <w:rPr>
        <w:b/>
      </w:rPr>
      <w:fldChar w:fldCharType="begin"/>
    </w:r>
    <w:r>
      <w:rPr>
        <w:b/>
      </w:rPr>
      <w:instrText xml:space="preserve"> PAGE  \* Arabic  \* MERGEFORMAT </w:instrText>
    </w:r>
    <w:r>
      <w:rPr>
        <w:b/>
      </w:rPr>
      <w:fldChar w:fldCharType="separate"/>
    </w:r>
    <w:r w:rsidR="00F51DF6">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F51DF6">
      <w:rPr>
        <w:b/>
        <w:noProof/>
      </w:rPr>
      <w:t>5</w:t>
    </w:r>
    <w:r>
      <w:rPr>
        <w:b/>
      </w:rPr>
      <w:fldChar w:fldCharType="end"/>
    </w:r>
    <w:r>
      <w:ptab w:relativeTo="margin" w:alignment="center" w:leader="none"/>
    </w:r>
    <w:r w:rsidRPr="00B6544F">
      <w:t>Effective Date:</w:t>
    </w:r>
    <w:r>
      <w:t xml:space="preserve"> </w:t>
    </w:r>
    <w:r w:rsidR="008330A9" w:rsidRPr="008330A9">
      <w:t>01/09/2018</w:t>
    </w:r>
    <w:r w:rsidR="008330A9" w:rsidRPr="008330A9">
      <w:t xml:space="preserve"> </w:t>
    </w:r>
    <w:r>
      <w:ptab w:relativeTo="margin" w:alignment="right" w:leader="none"/>
    </w:r>
    <w:r w:rsidRPr="00B6544F">
      <w:t>Version #:</w:t>
    </w:r>
    <w:r>
      <w:t xml:space="preserve"> </w:t>
    </w:r>
    <w:sdt>
      <w:sdtPr>
        <w:alias w:val="POPPRefItemVersion"/>
        <w:tag w:val="UNDP_POPP_REFITEM_VERSION"/>
        <w:id w:val="1547335208"/>
        <w:placeholder>
          <w:docPart w:val="ABA512390FC348D8B51319D861499B2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A393459-9B39-4674-8838-0BF3D514FB6E}"/>
        <w:text/>
      </w:sdtPr>
      <w:sdtContent>
        <w:r w:rsidR="003E1D45">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77FC3" w14:textId="77777777" w:rsidR="00F633FB" w:rsidRDefault="003B5AE2">
    <w:pPr>
      <w:spacing w:after="0" w:line="259" w:lineRule="auto"/>
      <w:ind w:left="304" w:firstLine="0"/>
      <w:jc w:val="center"/>
    </w:pPr>
    <w:r>
      <w:fldChar w:fldCharType="begin"/>
    </w:r>
    <w:r>
      <w:instrText xml:space="preserve"> PAGE   \* MERGEFORMAT </w:instrText>
    </w:r>
    <w:r>
      <w:fldChar w:fldCharType="separate"/>
    </w:r>
    <w:r>
      <w:t>1</w:t>
    </w:r>
    <w:r>
      <w:fldChar w:fldCharType="end"/>
    </w:r>
    <w:r>
      <w:t xml:space="preserve"> </w:t>
    </w:r>
  </w:p>
  <w:p w14:paraId="4F1FD74F" w14:textId="77777777" w:rsidR="00F633FB" w:rsidRDefault="003B5AE2">
    <w:pPr>
      <w:spacing w:after="0" w:line="259" w:lineRule="auto"/>
      <w:ind w:left="36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32B49" w14:textId="77777777" w:rsidR="008C044F" w:rsidRDefault="008C044F">
      <w:pPr>
        <w:spacing w:after="0" w:line="240" w:lineRule="auto"/>
      </w:pPr>
      <w:r>
        <w:separator/>
      </w:r>
    </w:p>
  </w:footnote>
  <w:footnote w:type="continuationSeparator" w:id="0">
    <w:p w14:paraId="716483DC" w14:textId="77777777" w:rsidR="008C044F" w:rsidRDefault="008C0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D2122" w14:textId="77777777" w:rsidR="003E1D45" w:rsidRDefault="003E1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DA762" w14:textId="6E59CDB9" w:rsidR="003B5AE2" w:rsidRDefault="003B5AE2" w:rsidP="003B5AE2">
    <w:pPr>
      <w:pStyle w:val="Header"/>
      <w:jc w:val="right"/>
    </w:pPr>
    <w:r>
      <w:rPr>
        <w:noProof/>
      </w:rPr>
      <w:drawing>
        <wp:inline distT="0" distB="0" distL="0" distR="0" wp14:anchorId="38BCE545" wp14:editId="1D40CA72">
          <wp:extent cx="290354" cy="57204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722" b="18621"/>
                  <a:stretch/>
                </pic:blipFill>
                <pic:spPr bwMode="auto">
                  <a:xfrm>
                    <a:off x="0" y="0"/>
                    <a:ext cx="294710" cy="580624"/>
                  </a:xfrm>
                  <a:prstGeom prst="rect">
                    <a:avLst/>
                  </a:prstGeom>
                  <a:ln>
                    <a:noFill/>
                  </a:ln>
                  <a:extLst>
                    <a:ext uri="{53640926-AAD7-44D8-BBD7-CCE9431645EC}">
                      <a14:shadowObscured xmlns:a14="http://schemas.microsoft.com/office/drawing/2010/main"/>
                    </a:ext>
                  </a:extLst>
                </pic:spPr>
              </pic:pic>
            </a:graphicData>
          </a:graphic>
        </wp:inline>
      </w:drawing>
    </w:r>
  </w:p>
  <w:p w14:paraId="465685F8" w14:textId="77777777" w:rsidR="003B5AE2" w:rsidRDefault="003B5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CD2F9" w14:textId="77777777" w:rsidR="003E1D45" w:rsidRDefault="003E1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501F"/>
    <w:multiLevelType w:val="hybridMultilevel"/>
    <w:tmpl w:val="13DC6700"/>
    <w:lvl w:ilvl="0" w:tplc="CB7E56A2">
      <w:start w:val="1"/>
      <w:numFmt w:val="lowerRoman"/>
      <w:lvlText w:val="%1."/>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688778">
      <w:start w:val="1"/>
      <w:numFmt w:val="lowerLetter"/>
      <w:lvlText w:val="%2"/>
      <w:lvlJc w:val="left"/>
      <w:pPr>
        <w:ind w:left="2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48B026">
      <w:start w:val="1"/>
      <w:numFmt w:val="lowerRoman"/>
      <w:lvlText w:val="%3"/>
      <w:lvlJc w:val="left"/>
      <w:pPr>
        <w:ind w:left="2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24AA02">
      <w:start w:val="1"/>
      <w:numFmt w:val="decimal"/>
      <w:lvlText w:val="%4"/>
      <w:lvlJc w:val="left"/>
      <w:pPr>
        <w:ind w:left="3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C4D0B0">
      <w:start w:val="1"/>
      <w:numFmt w:val="lowerLetter"/>
      <w:lvlText w:val="%5"/>
      <w:lvlJc w:val="left"/>
      <w:pPr>
        <w:ind w:left="4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6E7FA4">
      <w:start w:val="1"/>
      <w:numFmt w:val="lowerRoman"/>
      <w:lvlText w:val="%6"/>
      <w:lvlJc w:val="left"/>
      <w:pPr>
        <w:ind w:left="5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E616C6">
      <w:start w:val="1"/>
      <w:numFmt w:val="decimal"/>
      <w:lvlText w:val="%7"/>
      <w:lvlJc w:val="left"/>
      <w:pPr>
        <w:ind w:left="5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54B87C">
      <w:start w:val="1"/>
      <w:numFmt w:val="lowerLetter"/>
      <w:lvlText w:val="%8"/>
      <w:lvlJc w:val="left"/>
      <w:pPr>
        <w:ind w:left="6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8CA6B0">
      <w:start w:val="1"/>
      <w:numFmt w:val="lowerRoman"/>
      <w:lvlText w:val="%9"/>
      <w:lvlJc w:val="left"/>
      <w:pPr>
        <w:ind w:left="7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C54D15"/>
    <w:multiLevelType w:val="hybridMultilevel"/>
    <w:tmpl w:val="B68A3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D2906"/>
    <w:multiLevelType w:val="hybridMultilevel"/>
    <w:tmpl w:val="E6447A86"/>
    <w:lvl w:ilvl="0" w:tplc="D7A2039E">
      <w:start w:val="1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E4DDC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340C2C">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AC17E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568DA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E4277C">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385DE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7AA8C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902B48">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B9275E"/>
    <w:multiLevelType w:val="hybridMultilevel"/>
    <w:tmpl w:val="EC68E26C"/>
    <w:lvl w:ilvl="0" w:tplc="CD36342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A69CF"/>
    <w:multiLevelType w:val="hybridMultilevel"/>
    <w:tmpl w:val="14B0094C"/>
    <w:lvl w:ilvl="0" w:tplc="2CEEF428">
      <w:start w:val="1"/>
      <w:numFmt w:val="lowerRoman"/>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90A3A4">
      <w:start w:val="1"/>
      <w:numFmt w:val="lowerLetter"/>
      <w:lvlText w:val="%2"/>
      <w:lvlJc w:val="left"/>
      <w:pPr>
        <w:ind w:left="1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05B9A">
      <w:start w:val="1"/>
      <w:numFmt w:val="lowerRoman"/>
      <w:lvlText w:val="%3"/>
      <w:lvlJc w:val="left"/>
      <w:pPr>
        <w:ind w:left="2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CA3F70">
      <w:start w:val="1"/>
      <w:numFmt w:val="decimal"/>
      <w:lvlText w:val="%4"/>
      <w:lvlJc w:val="left"/>
      <w:pPr>
        <w:ind w:left="3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ACA86">
      <w:start w:val="1"/>
      <w:numFmt w:val="lowerLetter"/>
      <w:lvlText w:val="%5"/>
      <w:lvlJc w:val="left"/>
      <w:pPr>
        <w:ind w:left="3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0E8B28">
      <w:start w:val="1"/>
      <w:numFmt w:val="lowerRoman"/>
      <w:lvlText w:val="%6"/>
      <w:lvlJc w:val="left"/>
      <w:pPr>
        <w:ind w:left="4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721908">
      <w:start w:val="1"/>
      <w:numFmt w:val="decimal"/>
      <w:lvlText w:val="%7"/>
      <w:lvlJc w:val="left"/>
      <w:pPr>
        <w:ind w:left="5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842388">
      <w:start w:val="1"/>
      <w:numFmt w:val="lowerLetter"/>
      <w:lvlText w:val="%8"/>
      <w:lvlJc w:val="left"/>
      <w:pPr>
        <w:ind w:left="5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FCDB82">
      <w:start w:val="1"/>
      <w:numFmt w:val="lowerRoman"/>
      <w:lvlText w:val="%9"/>
      <w:lvlJc w:val="left"/>
      <w:pPr>
        <w:ind w:left="6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0645FD"/>
    <w:multiLevelType w:val="hybridMultilevel"/>
    <w:tmpl w:val="98F6C502"/>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8196200"/>
    <w:multiLevelType w:val="hybridMultilevel"/>
    <w:tmpl w:val="29BA480A"/>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F5B246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D6738"/>
    <w:multiLevelType w:val="hybridMultilevel"/>
    <w:tmpl w:val="58227CC2"/>
    <w:lvl w:ilvl="0" w:tplc="BAD4F9FC">
      <w:start w:val="1"/>
      <w:numFmt w:val="lowerRoman"/>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CE354E">
      <w:start w:val="1"/>
      <w:numFmt w:val="lowerLetter"/>
      <w:lvlText w:val="%2"/>
      <w:lvlJc w:val="left"/>
      <w:pPr>
        <w:ind w:left="1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02B66A">
      <w:start w:val="1"/>
      <w:numFmt w:val="lowerRoman"/>
      <w:lvlText w:val="%3"/>
      <w:lvlJc w:val="left"/>
      <w:pPr>
        <w:ind w:left="2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940A6A">
      <w:start w:val="1"/>
      <w:numFmt w:val="decimal"/>
      <w:lvlText w:val="%4"/>
      <w:lvlJc w:val="left"/>
      <w:pPr>
        <w:ind w:left="3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124F3E">
      <w:start w:val="1"/>
      <w:numFmt w:val="lowerLetter"/>
      <w:lvlText w:val="%5"/>
      <w:lvlJc w:val="left"/>
      <w:pPr>
        <w:ind w:left="3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F8FC56">
      <w:start w:val="1"/>
      <w:numFmt w:val="lowerRoman"/>
      <w:lvlText w:val="%6"/>
      <w:lvlJc w:val="left"/>
      <w:pPr>
        <w:ind w:left="4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0C1D0A">
      <w:start w:val="1"/>
      <w:numFmt w:val="decimal"/>
      <w:lvlText w:val="%7"/>
      <w:lvlJc w:val="left"/>
      <w:pPr>
        <w:ind w:left="5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448172">
      <w:start w:val="1"/>
      <w:numFmt w:val="lowerLetter"/>
      <w:lvlText w:val="%8"/>
      <w:lvlJc w:val="left"/>
      <w:pPr>
        <w:ind w:left="5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1AB950">
      <w:start w:val="1"/>
      <w:numFmt w:val="lowerRoman"/>
      <w:lvlText w:val="%9"/>
      <w:lvlJc w:val="left"/>
      <w:pPr>
        <w:ind w:left="6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570606"/>
    <w:multiLevelType w:val="hybridMultilevel"/>
    <w:tmpl w:val="C4AEBB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000493"/>
    <w:multiLevelType w:val="hybridMultilevel"/>
    <w:tmpl w:val="3552E87E"/>
    <w:lvl w:ilvl="0" w:tplc="EBE07496">
      <w:start w:val="1"/>
      <w:numFmt w:val="lowerRoman"/>
      <w:lvlText w:val="%1."/>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A82566">
      <w:start w:val="1"/>
      <w:numFmt w:val="lowerLetter"/>
      <w:lvlText w:val="%2"/>
      <w:lvlJc w:val="left"/>
      <w:pPr>
        <w:ind w:left="2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18C94C">
      <w:start w:val="1"/>
      <w:numFmt w:val="lowerRoman"/>
      <w:lvlText w:val="%3"/>
      <w:lvlJc w:val="left"/>
      <w:pPr>
        <w:ind w:left="3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04E176">
      <w:start w:val="1"/>
      <w:numFmt w:val="decimal"/>
      <w:lvlText w:val="%4"/>
      <w:lvlJc w:val="left"/>
      <w:pPr>
        <w:ind w:left="3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528618">
      <w:start w:val="1"/>
      <w:numFmt w:val="lowerLetter"/>
      <w:lvlText w:val="%5"/>
      <w:lvlJc w:val="left"/>
      <w:pPr>
        <w:ind w:left="4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5CA326">
      <w:start w:val="1"/>
      <w:numFmt w:val="lowerRoman"/>
      <w:lvlText w:val="%6"/>
      <w:lvlJc w:val="left"/>
      <w:pPr>
        <w:ind w:left="5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A61700">
      <w:start w:val="1"/>
      <w:numFmt w:val="decimal"/>
      <w:lvlText w:val="%7"/>
      <w:lvlJc w:val="left"/>
      <w:pPr>
        <w:ind w:left="5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22EA20">
      <w:start w:val="1"/>
      <w:numFmt w:val="lowerLetter"/>
      <w:lvlText w:val="%8"/>
      <w:lvlJc w:val="left"/>
      <w:pPr>
        <w:ind w:left="6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024A18">
      <w:start w:val="1"/>
      <w:numFmt w:val="lowerRoman"/>
      <w:lvlText w:val="%9"/>
      <w:lvlJc w:val="left"/>
      <w:pPr>
        <w:ind w:left="7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51E246E"/>
    <w:multiLevelType w:val="hybridMultilevel"/>
    <w:tmpl w:val="8BE2C784"/>
    <w:lvl w:ilvl="0" w:tplc="04090019">
      <w:start w:val="1"/>
      <w:numFmt w:val="lowerLetter"/>
      <w:lvlText w:val="%1."/>
      <w:lvlJc w:val="left"/>
      <w:pPr>
        <w:ind w:left="1286"/>
      </w:pPr>
      <w:rPr>
        <w:b w:val="0"/>
        <w:i w:val="0"/>
        <w:strike w:val="0"/>
        <w:dstrike w:val="0"/>
        <w:color w:val="000000"/>
        <w:sz w:val="22"/>
        <w:szCs w:val="22"/>
        <w:u w:val="none" w:color="000000"/>
        <w:bdr w:val="none" w:sz="0" w:space="0" w:color="auto"/>
        <w:shd w:val="clear" w:color="auto" w:fill="auto"/>
        <w:vertAlign w:val="baseline"/>
      </w:rPr>
    </w:lvl>
    <w:lvl w:ilvl="1" w:tplc="E0688778">
      <w:start w:val="1"/>
      <w:numFmt w:val="lowerLetter"/>
      <w:lvlText w:val="%2"/>
      <w:lvlJc w:val="left"/>
      <w:pPr>
        <w:ind w:left="1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48B026">
      <w:start w:val="1"/>
      <w:numFmt w:val="lowerRoman"/>
      <w:lvlText w:val="%3"/>
      <w:lvlJc w:val="left"/>
      <w:pPr>
        <w:ind w:left="2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24AA02">
      <w:start w:val="1"/>
      <w:numFmt w:val="decimal"/>
      <w:lvlText w:val="%4"/>
      <w:lvlJc w:val="left"/>
      <w:pPr>
        <w:ind w:left="3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C4D0B0">
      <w:start w:val="1"/>
      <w:numFmt w:val="lowerLetter"/>
      <w:lvlText w:val="%5"/>
      <w:lvlJc w:val="left"/>
      <w:pPr>
        <w:ind w:left="3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6E7FA4">
      <w:start w:val="1"/>
      <w:numFmt w:val="lowerRoman"/>
      <w:lvlText w:val="%6"/>
      <w:lvlJc w:val="left"/>
      <w:pPr>
        <w:ind w:left="4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E616C6">
      <w:start w:val="1"/>
      <w:numFmt w:val="decimal"/>
      <w:lvlText w:val="%7"/>
      <w:lvlJc w:val="left"/>
      <w:pPr>
        <w:ind w:left="5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54B87C">
      <w:start w:val="1"/>
      <w:numFmt w:val="lowerLetter"/>
      <w:lvlText w:val="%8"/>
      <w:lvlJc w:val="left"/>
      <w:pPr>
        <w:ind w:left="6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8CA6B0">
      <w:start w:val="1"/>
      <w:numFmt w:val="lowerRoman"/>
      <w:lvlText w:val="%9"/>
      <w:lvlJc w:val="left"/>
      <w:pPr>
        <w:ind w:left="6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7952FB1"/>
    <w:multiLevelType w:val="hybridMultilevel"/>
    <w:tmpl w:val="A362945C"/>
    <w:lvl w:ilvl="0" w:tplc="F1304096">
      <w:start w:val="2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9C46CE">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121300">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FE08B4">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9EBCC6">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A8CDF4">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D682BE">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2A7D98">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7CB1D4">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BF7389"/>
    <w:multiLevelType w:val="hybridMultilevel"/>
    <w:tmpl w:val="57AE2F00"/>
    <w:lvl w:ilvl="0" w:tplc="A0427E1E">
      <w:start w:val="5"/>
      <w:numFmt w:val="lowerRoman"/>
      <w:lvlText w:val="%1."/>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282406">
      <w:start w:val="1"/>
      <w:numFmt w:val="lowerLetter"/>
      <w:lvlText w:val="%2"/>
      <w:lvlJc w:val="left"/>
      <w:pPr>
        <w:ind w:left="1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76E65C">
      <w:start w:val="1"/>
      <w:numFmt w:val="lowerRoman"/>
      <w:lvlText w:val="%3"/>
      <w:lvlJc w:val="left"/>
      <w:pPr>
        <w:ind w:left="2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9832FE">
      <w:start w:val="1"/>
      <w:numFmt w:val="decimal"/>
      <w:lvlText w:val="%4"/>
      <w:lvlJc w:val="left"/>
      <w:pPr>
        <w:ind w:left="3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1A0DEA">
      <w:start w:val="1"/>
      <w:numFmt w:val="lowerLetter"/>
      <w:lvlText w:val="%5"/>
      <w:lvlJc w:val="left"/>
      <w:pPr>
        <w:ind w:left="3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361368">
      <w:start w:val="1"/>
      <w:numFmt w:val="lowerRoman"/>
      <w:lvlText w:val="%6"/>
      <w:lvlJc w:val="left"/>
      <w:pPr>
        <w:ind w:left="4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2AA6A">
      <w:start w:val="1"/>
      <w:numFmt w:val="decimal"/>
      <w:lvlText w:val="%7"/>
      <w:lvlJc w:val="left"/>
      <w:pPr>
        <w:ind w:left="5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C25EB8">
      <w:start w:val="1"/>
      <w:numFmt w:val="lowerLetter"/>
      <w:lvlText w:val="%8"/>
      <w:lvlJc w:val="left"/>
      <w:pPr>
        <w:ind w:left="5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3E4AC4">
      <w:start w:val="1"/>
      <w:numFmt w:val="lowerRoman"/>
      <w:lvlText w:val="%9"/>
      <w:lvlJc w:val="left"/>
      <w:pPr>
        <w:ind w:left="6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AF83830"/>
    <w:multiLevelType w:val="hybridMultilevel"/>
    <w:tmpl w:val="6F1CF180"/>
    <w:lvl w:ilvl="0" w:tplc="860634F4">
      <w:start w:val="1"/>
      <w:numFmt w:val="lowerRoman"/>
      <w:lvlText w:val="%1."/>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004E34">
      <w:start w:val="1"/>
      <w:numFmt w:val="lowerLetter"/>
      <w:lvlText w:val="%2"/>
      <w:lvlJc w:val="left"/>
      <w:pPr>
        <w:ind w:left="1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34B572">
      <w:start w:val="1"/>
      <w:numFmt w:val="lowerRoman"/>
      <w:lvlText w:val="%3"/>
      <w:lvlJc w:val="left"/>
      <w:pPr>
        <w:ind w:left="2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780A3E">
      <w:start w:val="1"/>
      <w:numFmt w:val="decimal"/>
      <w:lvlText w:val="%4"/>
      <w:lvlJc w:val="left"/>
      <w:pPr>
        <w:ind w:left="3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0CBA54">
      <w:start w:val="1"/>
      <w:numFmt w:val="lowerLetter"/>
      <w:lvlText w:val="%5"/>
      <w:lvlJc w:val="left"/>
      <w:pPr>
        <w:ind w:left="3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FE6990">
      <w:start w:val="1"/>
      <w:numFmt w:val="lowerRoman"/>
      <w:lvlText w:val="%6"/>
      <w:lvlJc w:val="left"/>
      <w:pPr>
        <w:ind w:left="4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7A74D4">
      <w:start w:val="1"/>
      <w:numFmt w:val="decimal"/>
      <w:lvlText w:val="%7"/>
      <w:lvlJc w:val="left"/>
      <w:pPr>
        <w:ind w:left="5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4EEE68">
      <w:start w:val="1"/>
      <w:numFmt w:val="lowerLetter"/>
      <w:lvlText w:val="%8"/>
      <w:lvlJc w:val="left"/>
      <w:pPr>
        <w:ind w:left="5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B87234">
      <w:start w:val="1"/>
      <w:numFmt w:val="lowerRoman"/>
      <w:lvlText w:val="%9"/>
      <w:lvlJc w:val="left"/>
      <w:pPr>
        <w:ind w:left="6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8C2988"/>
    <w:multiLevelType w:val="hybridMultilevel"/>
    <w:tmpl w:val="72C8CC8C"/>
    <w:lvl w:ilvl="0" w:tplc="0409000F">
      <w:start w:val="1"/>
      <w:numFmt w:val="decimal"/>
      <w:lvlText w:val="%1."/>
      <w:lvlJc w:val="left"/>
      <w:pPr>
        <w:ind w:left="81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406AA"/>
    <w:multiLevelType w:val="hybridMultilevel"/>
    <w:tmpl w:val="92100D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1C2A01"/>
    <w:multiLevelType w:val="hybridMultilevel"/>
    <w:tmpl w:val="24401868"/>
    <w:lvl w:ilvl="0" w:tplc="04090019">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5F494933"/>
    <w:multiLevelType w:val="hybridMultilevel"/>
    <w:tmpl w:val="F2007984"/>
    <w:lvl w:ilvl="0" w:tplc="5282A76A">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FCC28E2">
      <w:start w:val="1"/>
      <w:numFmt w:val="lowerLetter"/>
      <w:lvlText w:val="%2"/>
      <w:lvlJc w:val="left"/>
      <w:pPr>
        <w:ind w:left="142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B66468E">
      <w:start w:val="1"/>
      <w:numFmt w:val="lowerRoman"/>
      <w:lvlText w:val="%3"/>
      <w:lvlJc w:val="left"/>
      <w:pPr>
        <w:ind w:left="214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0686AB5C">
      <w:start w:val="1"/>
      <w:numFmt w:val="decimal"/>
      <w:lvlText w:val="%4"/>
      <w:lvlJc w:val="left"/>
      <w:pPr>
        <w:ind w:left="286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2C6F658">
      <w:start w:val="1"/>
      <w:numFmt w:val="lowerLetter"/>
      <w:lvlText w:val="%5"/>
      <w:lvlJc w:val="left"/>
      <w:pPr>
        <w:ind w:left="358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9AAC77C">
      <w:start w:val="1"/>
      <w:numFmt w:val="lowerRoman"/>
      <w:lvlText w:val="%6"/>
      <w:lvlJc w:val="left"/>
      <w:pPr>
        <w:ind w:left="430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68AE830">
      <w:start w:val="1"/>
      <w:numFmt w:val="decimal"/>
      <w:lvlText w:val="%7"/>
      <w:lvlJc w:val="left"/>
      <w:pPr>
        <w:ind w:left="502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6BE93D6">
      <w:start w:val="1"/>
      <w:numFmt w:val="lowerLetter"/>
      <w:lvlText w:val="%8"/>
      <w:lvlJc w:val="left"/>
      <w:pPr>
        <w:ind w:left="574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7A2F72A">
      <w:start w:val="1"/>
      <w:numFmt w:val="lowerRoman"/>
      <w:lvlText w:val="%9"/>
      <w:lvlJc w:val="left"/>
      <w:pPr>
        <w:ind w:left="646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8" w15:restartNumberingAfterBreak="0">
    <w:nsid w:val="60E902D3"/>
    <w:multiLevelType w:val="hybridMultilevel"/>
    <w:tmpl w:val="20BC11D4"/>
    <w:lvl w:ilvl="0" w:tplc="5AE80058">
      <w:start w:val="1"/>
      <w:numFmt w:val="lowerRoman"/>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D80752">
      <w:start w:val="1"/>
      <w:numFmt w:val="lowerLetter"/>
      <w:lvlText w:val="%2"/>
      <w:lvlJc w:val="left"/>
      <w:pPr>
        <w:ind w:left="1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6816F0">
      <w:start w:val="1"/>
      <w:numFmt w:val="lowerRoman"/>
      <w:lvlText w:val="%3"/>
      <w:lvlJc w:val="left"/>
      <w:pPr>
        <w:ind w:left="2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F208DA">
      <w:start w:val="1"/>
      <w:numFmt w:val="decimal"/>
      <w:lvlText w:val="%4"/>
      <w:lvlJc w:val="left"/>
      <w:pPr>
        <w:ind w:left="3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A6BAE">
      <w:start w:val="1"/>
      <w:numFmt w:val="lowerLetter"/>
      <w:lvlText w:val="%5"/>
      <w:lvlJc w:val="left"/>
      <w:pPr>
        <w:ind w:left="3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7EF3CE">
      <w:start w:val="1"/>
      <w:numFmt w:val="lowerRoman"/>
      <w:lvlText w:val="%6"/>
      <w:lvlJc w:val="left"/>
      <w:pPr>
        <w:ind w:left="4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D0997E">
      <w:start w:val="1"/>
      <w:numFmt w:val="decimal"/>
      <w:lvlText w:val="%7"/>
      <w:lvlJc w:val="left"/>
      <w:pPr>
        <w:ind w:left="5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FA4030">
      <w:start w:val="1"/>
      <w:numFmt w:val="lowerLetter"/>
      <w:lvlText w:val="%8"/>
      <w:lvlJc w:val="left"/>
      <w:pPr>
        <w:ind w:left="5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0A61E2">
      <w:start w:val="1"/>
      <w:numFmt w:val="lowerRoman"/>
      <w:lvlText w:val="%9"/>
      <w:lvlJc w:val="left"/>
      <w:pPr>
        <w:ind w:left="6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1392232"/>
    <w:multiLevelType w:val="hybridMultilevel"/>
    <w:tmpl w:val="359624DC"/>
    <w:lvl w:ilvl="0" w:tplc="590A4D00">
      <w:start w:val="4"/>
      <w:numFmt w:val="lowerRoman"/>
      <w:lvlText w:val="%1."/>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F276B8">
      <w:start w:val="1"/>
      <w:numFmt w:val="lowerLetter"/>
      <w:lvlText w:val="%2"/>
      <w:lvlJc w:val="left"/>
      <w:pPr>
        <w:ind w:left="1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F6F1F2">
      <w:start w:val="1"/>
      <w:numFmt w:val="lowerRoman"/>
      <w:lvlText w:val="%3"/>
      <w:lvlJc w:val="left"/>
      <w:pPr>
        <w:ind w:left="2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404004">
      <w:start w:val="1"/>
      <w:numFmt w:val="decimal"/>
      <w:lvlText w:val="%4"/>
      <w:lvlJc w:val="left"/>
      <w:pPr>
        <w:ind w:left="3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A05D70">
      <w:start w:val="1"/>
      <w:numFmt w:val="lowerLetter"/>
      <w:lvlText w:val="%5"/>
      <w:lvlJc w:val="left"/>
      <w:pPr>
        <w:ind w:left="3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84DCB6">
      <w:start w:val="1"/>
      <w:numFmt w:val="lowerRoman"/>
      <w:lvlText w:val="%6"/>
      <w:lvlJc w:val="left"/>
      <w:pPr>
        <w:ind w:left="4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F43A0C">
      <w:start w:val="1"/>
      <w:numFmt w:val="decimal"/>
      <w:lvlText w:val="%7"/>
      <w:lvlJc w:val="left"/>
      <w:pPr>
        <w:ind w:left="5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B2A052">
      <w:start w:val="1"/>
      <w:numFmt w:val="lowerLetter"/>
      <w:lvlText w:val="%8"/>
      <w:lvlJc w:val="left"/>
      <w:pPr>
        <w:ind w:left="5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A8AEA">
      <w:start w:val="1"/>
      <w:numFmt w:val="lowerRoman"/>
      <w:lvlText w:val="%9"/>
      <w:lvlJc w:val="left"/>
      <w:pPr>
        <w:ind w:left="6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8B5735"/>
    <w:multiLevelType w:val="hybridMultilevel"/>
    <w:tmpl w:val="A72E0150"/>
    <w:lvl w:ilvl="0" w:tplc="93440FFC">
      <w:start w:val="4"/>
      <w:numFmt w:val="decimal"/>
      <w:lvlText w:val="%1."/>
      <w:lvlJc w:val="left"/>
      <w:pPr>
        <w:ind w:left="71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B94B0E4">
      <w:start w:val="1"/>
      <w:numFmt w:val="lowerLetter"/>
      <w:lvlText w:val="%2"/>
      <w:lvlJc w:val="left"/>
      <w:pPr>
        <w:ind w:left="141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54EC566">
      <w:start w:val="1"/>
      <w:numFmt w:val="lowerRoman"/>
      <w:lvlText w:val="%3"/>
      <w:lvlJc w:val="left"/>
      <w:pPr>
        <w:ind w:left="213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7B88438">
      <w:start w:val="1"/>
      <w:numFmt w:val="decimal"/>
      <w:lvlText w:val="%4"/>
      <w:lvlJc w:val="left"/>
      <w:pPr>
        <w:ind w:left="285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CAA19CC">
      <w:start w:val="1"/>
      <w:numFmt w:val="lowerLetter"/>
      <w:lvlText w:val="%5"/>
      <w:lvlJc w:val="left"/>
      <w:pPr>
        <w:ind w:left="357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6025D3C">
      <w:start w:val="1"/>
      <w:numFmt w:val="lowerRoman"/>
      <w:lvlText w:val="%6"/>
      <w:lvlJc w:val="left"/>
      <w:pPr>
        <w:ind w:left="429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43BAB28C">
      <w:start w:val="1"/>
      <w:numFmt w:val="decimal"/>
      <w:lvlText w:val="%7"/>
      <w:lvlJc w:val="left"/>
      <w:pPr>
        <w:ind w:left="501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48428B8">
      <w:start w:val="1"/>
      <w:numFmt w:val="lowerLetter"/>
      <w:lvlText w:val="%8"/>
      <w:lvlJc w:val="left"/>
      <w:pPr>
        <w:ind w:left="573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5CA265A">
      <w:start w:val="1"/>
      <w:numFmt w:val="lowerRoman"/>
      <w:lvlText w:val="%9"/>
      <w:lvlJc w:val="left"/>
      <w:pPr>
        <w:ind w:left="645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1" w15:restartNumberingAfterBreak="0">
    <w:nsid w:val="64500D61"/>
    <w:multiLevelType w:val="hybridMultilevel"/>
    <w:tmpl w:val="C4AEBB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67692D"/>
    <w:multiLevelType w:val="hybridMultilevel"/>
    <w:tmpl w:val="6F941200"/>
    <w:lvl w:ilvl="0" w:tplc="F8D4978C">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CCF0A2">
      <w:start w:val="1"/>
      <w:numFmt w:val="lowerRoman"/>
      <w:lvlText w:val="%2."/>
      <w:lvlJc w:val="left"/>
      <w:pPr>
        <w:ind w:left="1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70F3FC">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001ACA">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141DCC">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DEEE3C">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B648F8">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52F1A0">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00FB44">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1D951DC"/>
    <w:multiLevelType w:val="hybridMultilevel"/>
    <w:tmpl w:val="68C48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114A51"/>
    <w:multiLevelType w:val="hybridMultilevel"/>
    <w:tmpl w:val="34B8DEAA"/>
    <w:lvl w:ilvl="0" w:tplc="D244F07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529892">
    <w:abstractNumId w:val="17"/>
  </w:num>
  <w:num w:numId="2" w16cid:durableId="1993898903">
    <w:abstractNumId w:val="20"/>
  </w:num>
  <w:num w:numId="3" w16cid:durableId="937911543">
    <w:abstractNumId w:val="9"/>
  </w:num>
  <w:num w:numId="4" w16cid:durableId="1252549819">
    <w:abstractNumId w:val="0"/>
  </w:num>
  <w:num w:numId="5" w16cid:durableId="707068018">
    <w:abstractNumId w:val="4"/>
  </w:num>
  <w:num w:numId="6" w16cid:durableId="154032480">
    <w:abstractNumId w:val="7"/>
  </w:num>
  <w:num w:numId="7" w16cid:durableId="1244293096">
    <w:abstractNumId w:val="19"/>
  </w:num>
  <w:num w:numId="8" w16cid:durableId="1523594535">
    <w:abstractNumId w:val="22"/>
  </w:num>
  <w:num w:numId="9" w16cid:durableId="275723867">
    <w:abstractNumId w:val="2"/>
  </w:num>
  <w:num w:numId="10" w16cid:durableId="421074875">
    <w:abstractNumId w:val="13"/>
  </w:num>
  <w:num w:numId="11" w16cid:durableId="1237472110">
    <w:abstractNumId w:val="11"/>
  </w:num>
  <w:num w:numId="12" w16cid:durableId="1917789013">
    <w:abstractNumId w:val="18"/>
  </w:num>
  <w:num w:numId="13" w16cid:durableId="186331783">
    <w:abstractNumId w:val="12"/>
  </w:num>
  <w:num w:numId="14" w16cid:durableId="620695735">
    <w:abstractNumId w:val="15"/>
  </w:num>
  <w:num w:numId="15" w16cid:durableId="520701314">
    <w:abstractNumId w:val="10"/>
  </w:num>
  <w:num w:numId="16" w16cid:durableId="1342901674">
    <w:abstractNumId w:val="21"/>
  </w:num>
  <w:num w:numId="17" w16cid:durableId="2090349726">
    <w:abstractNumId w:val="8"/>
  </w:num>
  <w:num w:numId="18" w16cid:durableId="1111431682">
    <w:abstractNumId w:val="23"/>
  </w:num>
  <w:num w:numId="19" w16cid:durableId="571238133">
    <w:abstractNumId w:val="16"/>
  </w:num>
  <w:num w:numId="20" w16cid:durableId="1771899653">
    <w:abstractNumId w:val="14"/>
  </w:num>
  <w:num w:numId="21" w16cid:durableId="1972666206">
    <w:abstractNumId w:val="24"/>
  </w:num>
  <w:num w:numId="22" w16cid:durableId="1056010086">
    <w:abstractNumId w:val="3"/>
  </w:num>
  <w:num w:numId="23" w16cid:durableId="1718240224">
    <w:abstractNumId w:val="5"/>
  </w:num>
  <w:num w:numId="24" w16cid:durableId="1136676868">
    <w:abstractNumId w:val="1"/>
  </w:num>
  <w:num w:numId="25" w16cid:durableId="486242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FB"/>
    <w:rsid w:val="0009202D"/>
    <w:rsid w:val="000C764C"/>
    <w:rsid w:val="000D5B7F"/>
    <w:rsid w:val="00126DC6"/>
    <w:rsid w:val="003434EB"/>
    <w:rsid w:val="003A42C9"/>
    <w:rsid w:val="003B5AE2"/>
    <w:rsid w:val="003E1D45"/>
    <w:rsid w:val="006C4774"/>
    <w:rsid w:val="00724A83"/>
    <w:rsid w:val="00771DBF"/>
    <w:rsid w:val="007E0288"/>
    <w:rsid w:val="007F3229"/>
    <w:rsid w:val="008330A9"/>
    <w:rsid w:val="00860D69"/>
    <w:rsid w:val="008919EB"/>
    <w:rsid w:val="008C044F"/>
    <w:rsid w:val="009B1114"/>
    <w:rsid w:val="009F764C"/>
    <w:rsid w:val="00AA7B30"/>
    <w:rsid w:val="00AC0F7D"/>
    <w:rsid w:val="00B44295"/>
    <w:rsid w:val="00B6544F"/>
    <w:rsid w:val="00C070D7"/>
    <w:rsid w:val="00C2771A"/>
    <w:rsid w:val="00CA0E60"/>
    <w:rsid w:val="00D77E2A"/>
    <w:rsid w:val="00DF7EDC"/>
    <w:rsid w:val="00E3311D"/>
    <w:rsid w:val="00EF7CDC"/>
    <w:rsid w:val="00F51DF6"/>
    <w:rsid w:val="00F6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B7A06"/>
  <w15:docId w15:val="{99B925D2-09B3-4A71-AD5E-FE27B9D7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88"/>
    <w:pPr>
      <w:spacing w:after="5" w:line="248" w:lineRule="auto"/>
      <w:ind w:left="356"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716" w:hanging="10"/>
      <w:outlineLvl w:val="0"/>
    </w:pPr>
    <w:rPr>
      <w:rFonts w:ascii="Calibri" w:eastAsia="Calibri" w:hAnsi="Calibri" w:cs="Calibri"/>
      <w:b/>
      <w:color w:val="000000"/>
    </w:rPr>
  </w:style>
  <w:style w:type="paragraph" w:styleId="Heading2">
    <w:name w:val="heading 2"/>
    <w:basedOn w:val="Normal"/>
    <w:next w:val="Normal"/>
    <w:link w:val="Heading2Char"/>
    <w:uiPriority w:val="9"/>
    <w:unhideWhenUsed/>
    <w:qFormat/>
    <w:rsid w:val="00C2771A"/>
    <w:pPr>
      <w:keepNext/>
      <w:spacing w:after="0" w:line="240" w:lineRule="auto"/>
      <w:ind w:firstLine="720"/>
      <w:outlineLvl w:val="1"/>
    </w:pPr>
    <w:rPr>
      <w:rFonts w:asciiTheme="minorHAnsi" w:eastAsia="Times New Roman" w:hAnsiTheme="minorHAns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B5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AE2"/>
    <w:rPr>
      <w:rFonts w:ascii="Calibri" w:eastAsia="Calibri" w:hAnsi="Calibri" w:cs="Calibri"/>
      <w:color w:val="000000"/>
    </w:rPr>
  </w:style>
  <w:style w:type="character" w:styleId="PlaceholderText">
    <w:name w:val="Placeholder Text"/>
    <w:basedOn w:val="DefaultParagraphFont"/>
    <w:uiPriority w:val="99"/>
    <w:semiHidden/>
    <w:rsid w:val="003B5AE2"/>
    <w:rPr>
      <w:color w:val="808080"/>
    </w:rPr>
  </w:style>
  <w:style w:type="paragraph" w:styleId="ListParagraph">
    <w:name w:val="List Paragraph"/>
    <w:basedOn w:val="Normal"/>
    <w:uiPriority w:val="34"/>
    <w:qFormat/>
    <w:rsid w:val="00C070D7"/>
    <w:pPr>
      <w:ind w:left="720"/>
      <w:contextualSpacing/>
    </w:pPr>
  </w:style>
  <w:style w:type="paragraph" w:styleId="BalloonText">
    <w:name w:val="Balloon Text"/>
    <w:basedOn w:val="Normal"/>
    <w:link w:val="BalloonTextChar"/>
    <w:uiPriority w:val="99"/>
    <w:semiHidden/>
    <w:unhideWhenUsed/>
    <w:rsid w:val="00B65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44F"/>
    <w:rPr>
      <w:rFonts w:ascii="Tahoma" w:eastAsia="Calibri" w:hAnsi="Tahoma" w:cs="Tahoma"/>
      <w:color w:val="000000"/>
      <w:sz w:val="16"/>
      <w:szCs w:val="16"/>
    </w:rPr>
  </w:style>
  <w:style w:type="paragraph" w:styleId="NormalWeb">
    <w:name w:val="Normal (Web)"/>
    <w:basedOn w:val="Normal"/>
    <w:uiPriority w:val="99"/>
    <w:unhideWhenUsed/>
    <w:rsid w:val="003434E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Heading2Char">
    <w:name w:val="Heading 2 Char"/>
    <w:basedOn w:val="DefaultParagraphFont"/>
    <w:link w:val="Heading2"/>
    <w:uiPriority w:val="9"/>
    <w:rsid w:val="00C2771A"/>
    <w:rPr>
      <w:rFonts w:eastAsia="Times New Roman" w:cs="Arial"/>
      <w:color w:val="000000"/>
    </w:rPr>
  </w:style>
  <w:style w:type="paragraph" w:styleId="Revision">
    <w:name w:val="Revision"/>
    <w:hidden/>
    <w:uiPriority w:val="99"/>
    <w:semiHidden/>
    <w:rsid w:val="00771DBF"/>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A512390FC348D8B51319D861499B2B"/>
        <w:category>
          <w:name w:val="General"/>
          <w:gallery w:val="placeholder"/>
        </w:category>
        <w:types>
          <w:type w:val="bbPlcHdr"/>
        </w:types>
        <w:behaviors>
          <w:behavior w:val="content"/>
        </w:behaviors>
        <w:guid w:val="{46B35919-C46C-4807-9A54-8C6C0701EA4B}"/>
      </w:docPartPr>
      <w:docPartBody>
        <w:p w:rsidR="00F515EF" w:rsidRDefault="00A87BE3">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C16"/>
    <w:rsid w:val="001F0CFA"/>
    <w:rsid w:val="0043398F"/>
    <w:rsid w:val="00724A83"/>
    <w:rsid w:val="00A87BE3"/>
    <w:rsid w:val="00D22C16"/>
    <w:rsid w:val="00F515EF"/>
    <w:rsid w:val="00F6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EB4D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B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5</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Petty Cash Fund for Management Project (PCF)</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2025-12-30T23:00:00+00:00</UNDP_POPP_PLANNED_REVIEWDATE>
    <UNDP_POPP_LASTMODIFIED xmlns="8264c5cc-ec60-4b56-8111-ce635d3d139a" xsi:nil="true"/>
    <UNDP_POPP_REJECT_COMMENTS xmlns="8264c5cc-ec60-4b56-8111-ce635d3d139a" xsi:nil="true"/>
    <DLCPolicyLabelValue xmlns="e560140e-7b2f-4392-90df-e7567e3021a3">Effective Date: 01/09/2018                                                Version #: 5</DLCPolicyLabelValue>
    <UNDP_POPP_EFFECTIVEDATE xmlns="8264c5cc-ec60-4b56-8111-ce635d3d139a">2018-08-31T22:00:00+00:00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POPP-11-2161</_dlc_DocId>
    <_dlc_DocIdUrl xmlns="8264c5cc-ec60-4b56-8111-ce635d3d139a">
      <Url>https://popp.undp.org/_layouts/15/DocIdRedir.aspx?ID=POPP-11-2161</Url>
      <Description>POPP-11-2161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393459-9B39-4674-8838-0BF3D514FB6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B9068F38-7F52-4A63-8BDA-F492126B28E0}">
  <ds:schemaRefs>
    <ds:schemaRef ds:uri="http://schemas.microsoft.com/sharepoint/v3/contenttype/forms"/>
  </ds:schemaRefs>
</ds:datastoreItem>
</file>

<file path=customXml/itemProps3.xml><?xml version="1.0" encoding="utf-8"?>
<ds:datastoreItem xmlns:ds="http://schemas.openxmlformats.org/officeDocument/2006/customXml" ds:itemID="{0885F967-A702-4D10-88F0-A0A1C01A858A}">
  <ds:schemaRefs>
    <ds:schemaRef ds:uri="office.server.policy"/>
  </ds:schemaRefs>
</ds:datastoreItem>
</file>

<file path=customXml/itemProps4.xml><?xml version="1.0" encoding="utf-8"?>
<ds:datastoreItem xmlns:ds="http://schemas.openxmlformats.org/officeDocument/2006/customXml" ds:itemID="{7027EF7A-FE63-49EF-B71C-F5A7275F5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7A7A83-572A-4C23-87A1-E6510135979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4</cp:revision>
  <dcterms:created xsi:type="dcterms:W3CDTF">2023-01-07T20:56:00Z</dcterms:created>
  <dcterms:modified xsi:type="dcterms:W3CDTF">2024-05-28T09:35:00Z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bcbdef95-5bf3-429d-817f-d5c833e08f27</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