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50F74" w14:textId="44823C47" w:rsidR="00DD3E98" w:rsidRPr="0008326F" w:rsidRDefault="00DD3E98" w:rsidP="0077038C">
      <w:pPr>
        <w:spacing w:after="0" w:line="240" w:lineRule="auto"/>
        <w:rPr>
          <w:b/>
          <w:sz w:val="28"/>
          <w:szCs w:val="28"/>
        </w:rPr>
      </w:pPr>
      <w:r>
        <w:rPr>
          <w:b/>
          <w:sz w:val="28"/>
          <w:szCs w:val="28"/>
        </w:rPr>
        <w:t xml:space="preserve">Liquidité en caisse pour les projets </w:t>
      </w:r>
      <w:r w:rsidR="0038568E">
        <w:rPr>
          <w:b/>
          <w:sz w:val="28"/>
          <w:szCs w:val="28"/>
        </w:rPr>
        <w:t>DIM</w:t>
      </w:r>
      <w:r w:rsidR="00CC7509">
        <w:rPr>
          <w:b/>
          <w:sz w:val="28"/>
          <w:szCs w:val="28"/>
        </w:rPr>
        <w:t xml:space="preserve"> </w:t>
      </w:r>
      <w:r>
        <w:rPr>
          <w:b/>
          <w:sz w:val="28"/>
          <w:szCs w:val="28"/>
        </w:rPr>
        <w:t xml:space="preserve">(PCH) </w:t>
      </w:r>
    </w:p>
    <w:p w14:paraId="08EDDA9E" w14:textId="77777777" w:rsidR="00DD3E98" w:rsidRPr="0008326F" w:rsidRDefault="00DD3E98" w:rsidP="0077038C">
      <w:pPr>
        <w:spacing w:after="0" w:line="240" w:lineRule="auto"/>
      </w:pPr>
      <w:r>
        <w:t xml:space="preserve"> </w:t>
      </w:r>
    </w:p>
    <w:p w14:paraId="2EAA431E" w14:textId="6C3B7CDE" w:rsidR="005821CD" w:rsidRPr="0008326F" w:rsidRDefault="005821CD" w:rsidP="4950DA7B">
      <w:pPr>
        <w:pStyle w:val="ListParagraph"/>
        <w:numPr>
          <w:ilvl w:val="2"/>
          <w:numId w:val="23"/>
        </w:numPr>
        <w:spacing w:before="100" w:beforeAutospacing="1" w:after="100" w:afterAutospacing="1" w:line="240" w:lineRule="auto"/>
        <w:ind w:left="360"/>
        <w:jc w:val="both"/>
        <w:rPr>
          <w:rFonts w:eastAsia="Times New Roman" w:cs="Arial"/>
        </w:rPr>
      </w:pPr>
      <w:r>
        <w:t xml:space="preserve">La liquidité en caisse pour les projets (PCH, Project Cash on Hand) est une avance de fonds perpétuelle faite au bureau ou au site des projets </w:t>
      </w:r>
      <w:r w:rsidR="0038568E">
        <w:t>DIM</w:t>
      </w:r>
      <w:r w:rsidR="00F438E2">
        <w:t xml:space="preserve"> </w:t>
      </w:r>
      <w:r>
        <w:t xml:space="preserve">qui se trouve dans une région éloignée et dont les besoins en matière de versement pour un projet ne peuvent être satisfaits par le siège </w:t>
      </w:r>
      <w:r w:rsidR="003C7C10">
        <w:t xml:space="preserve">principal </w:t>
      </w:r>
      <w:r>
        <w:t xml:space="preserve">du Bureau de pays </w:t>
      </w:r>
      <w:r w:rsidR="00843B34">
        <w:t xml:space="preserve">ni </w:t>
      </w:r>
      <w:r>
        <w:t xml:space="preserve">par chèque ou transfert électronique de fonds (TEF) ni par le Fonds de petite caisse pour un projet (PPCF) ou tout autre arrangement bancaire. Un bureau de projet </w:t>
      </w:r>
      <w:r w:rsidR="0038568E">
        <w:t>DIM</w:t>
      </w:r>
      <w:r w:rsidR="0065739A">
        <w:t xml:space="preserve"> </w:t>
      </w:r>
      <w:r>
        <w:t xml:space="preserve">qui répond à certains critères et qui a des besoins de trésorerie mensuels supérieurs à 2 500 dollars pour un projet peut opter pour un arrangement  PCH. </w:t>
      </w:r>
    </w:p>
    <w:p w14:paraId="467224C8" w14:textId="34A350F8" w:rsidR="4950DA7B" w:rsidRDefault="4950DA7B" w:rsidP="4950DA7B">
      <w:pPr>
        <w:spacing w:beforeAutospacing="1" w:afterAutospacing="1" w:line="240" w:lineRule="auto"/>
        <w:jc w:val="both"/>
      </w:pPr>
    </w:p>
    <w:p w14:paraId="351FDC12" w14:textId="4132526D" w:rsidR="7F07E3F7" w:rsidRDefault="7F07E3F7" w:rsidP="4950DA7B">
      <w:pPr>
        <w:spacing w:beforeAutospacing="1" w:afterAutospacing="1" w:line="240" w:lineRule="auto"/>
        <w:ind w:left="360"/>
        <w:jc w:val="both"/>
      </w:pPr>
      <w:r>
        <w:t>Note : Cette disposition est également applicable à l'"Appui à la mise en œuvre nationale" lorsque les modalités de mise en œuvre sont définies conformément à la politique des "</w:t>
      </w:r>
      <w:hyperlink r:id="rId12">
        <w:r w:rsidRPr="4950DA7B">
          <w:rPr>
            <w:rStyle w:val="Hyperlink"/>
          </w:rPr>
          <w:t xml:space="preserve">Services d'appui </w:t>
        </w:r>
        <w:r w:rsidR="00B44D5B">
          <w:rPr>
            <w:rStyle w:val="Hyperlink"/>
          </w:rPr>
          <w:t xml:space="preserve">du PNUD </w:t>
        </w:r>
        <w:r w:rsidRPr="4950DA7B">
          <w:rPr>
            <w:rStyle w:val="Hyperlink"/>
          </w:rPr>
          <w:t>à la mise en œuvre nationale</w:t>
        </w:r>
      </w:hyperlink>
      <w:r>
        <w:t>".</w:t>
      </w:r>
    </w:p>
    <w:p w14:paraId="54DDA47F"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55FC8ABB" w14:textId="4C73A9BE"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Le solde maximum des PCH est de 5 000 dollars (ou l’équivalent en devise local</w:t>
      </w:r>
      <w:r w:rsidR="00B44D5B">
        <w:t>e</w:t>
      </w:r>
      <w:r>
        <w:t xml:space="preserve">) par projet </w:t>
      </w:r>
      <w:r w:rsidR="0038568E">
        <w:t>DIM</w:t>
      </w:r>
      <w:r w:rsidR="00B44D5B">
        <w:t>DIM</w:t>
      </w:r>
      <w:r>
        <w:t xml:space="preserve">.  Toutefois, cela ne justifie pas l’établissement automatique d’un PCH ni d’un niveau maximal s’il existe d’autres moyens de payer pour de petites dépenses relatives au projet sans utiliser de l’argent en espèce. La direction du Bureau de pays doit déterminer les besoins et le plafond en fonction des exigences opérationnelles. La règle générale pour choisir le niveau approprié est le montant suffisant pour répondre aux besoins en matière de PCH pendant un mois. </w:t>
      </w:r>
    </w:p>
    <w:p w14:paraId="546305AB" w14:textId="77777777" w:rsidR="005821CD" w:rsidRPr="0008326F" w:rsidRDefault="005821CD" w:rsidP="005821CD">
      <w:pPr>
        <w:pStyle w:val="ListParagraph"/>
        <w:rPr>
          <w:rFonts w:eastAsia="Times New Roman" w:cs="Arial"/>
        </w:rPr>
      </w:pPr>
    </w:p>
    <w:p w14:paraId="75DD53E0" w14:textId="6AE063DC"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Dans des circonstances particulières où les besoins mensuels du projet dépassent 5 000 dollars, seul le Représentant résident (sans délégation</w:t>
      </w:r>
      <w:r w:rsidR="00913F60">
        <w:t xml:space="preserve"> </w:t>
      </w:r>
      <w:r w:rsidR="00694A59">
        <w:t>ultérieure</w:t>
      </w:r>
      <w:r>
        <w:t xml:space="preserve">) peut approuver une limite maximale de 25 000 dollars pour des PCH.  La nécessité d’une telle circonstance particulière et </w:t>
      </w:r>
      <w:r w:rsidR="00016B13">
        <w:t xml:space="preserve">les </w:t>
      </w:r>
      <w:r>
        <w:t>mesure</w:t>
      </w:r>
      <w:r w:rsidR="00016B13">
        <w:t>s</w:t>
      </w:r>
      <w:r>
        <w:t xml:space="preserve"> de sauvegarde appropriée</w:t>
      </w:r>
      <w:r w:rsidR="00016B13">
        <w:t>s</w:t>
      </w:r>
      <w:r>
        <w:t xml:space="preserve"> </w:t>
      </w:r>
      <w:r w:rsidR="00E56519">
        <w:t xml:space="preserve">à prendre </w:t>
      </w:r>
      <w:r>
        <w:t>pour la sûreté et la sécurité de l’argent en espèce doi</w:t>
      </w:r>
      <w:r w:rsidR="00310848">
        <w:t>vent</w:t>
      </w:r>
      <w:r>
        <w:t xml:space="preserve"> être documentée</w:t>
      </w:r>
      <w:r w:rsidR="00310848">
        <w:t>s</w:t>
      </w:r>
      <w:r>
        <w:t xml:space="preserve"> par le RR (Représentant résident).</w:t>
      </w:r>
    </w:p>
    <w:p w14:paraId="46E7A1A6" w14:textId="77777777" w:rsidR="005821CD" w:rsidRPr="0008326F" w:rsidRDefault="005821CD" w:rsidP="005821CD">
      <w:pPr>
        <w:pStyle w:val="ListParagraph"/>
        <w:rPr>
          <w:rFonts w:eastAsia="Times New Roman" w:cs="Arial"/>
        </w:rPr>
      </w:pPr>
    </w:p>
    <w:p w14:paraId="3F313F16"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La détermination du niveau approprié pour des PCH est fondée sur le plan de travail annuel, les prévisions des dépenses relatives au projet, la capacité du personnel, le nombre d’employés sous contrat à durée déterminée travaillant au bureau du projet, les contrôles internes et les risques de sécurité. </w:t>
      </w:r>
    </w:p>
    <w:p w14:paraId="5F4E0A67" w14:textId="77777777" w:rsidR="005821CD" w:rsidRPr="0008326F" w:rsidRDefault="005821CD" w:rsidP="005821CD">
      <w:pPr>
        <w:pStyle w:val="ListParagraph"/>
        <w:rPr>
          <w:rFonts w:eastAsia="Times New Roman" w:cs="Arial"/>
        </w:rPr>
      </w:pPr>
    </w:p>
    <w:p w14:paraId="4FF20256" w14:textId="3D63D0C7" w:rsidR="005821CD" w:rsidRPr="0008326F" w:rsidRDefault="005821CD" w:rsidP="005821CD">
      <w:pPr>
        <w:pStyle w:val="ListParagraph"/>
        <w:numPr>
          <w:ilvl w:val="2"/>
          <w:numId w:val="23"/>
        </w:numPr>
        <w:spacing w:before="100" w:beforeAutospacing="1" w:after="100" w:afterAutospacing="1" w:line="240" w:lineRule="auto"/>
        <w:ind w:left="360"/>
        <w:rPr>
          <w:rFonts w:eastAsia="Times New Roman" w:cs="Arial"/>
        </w:rPr>
      </w:pPr>
      <w:r>
        <w:t xml:space="preserve">La </w:t>
      </w:r>
      <w:r w:rsidR="005957C4">
        <w:t xml:space="preserve">gestion </w:t>
      </w:r>
      <w:r>
        <w:t xml:space="preserve">des PCH est identique à celle du PPCF, mis à part les quelques différences présentées ci-dessous : </w:t>
      </w:r>
    </w:p>
    <w:p w14:paraId="12506CD2" w14:textId="77777777" w:rsidR="005821CD" w:rsidRPr="0008326F" w:rsidRDefault="005821CD" w:rsidP="005821CD">
      <w:pPr>
        <w:pStyle w:val="ListParagraph"/>
        <w:rPr>
          <w:rFonts w:eastAsia="Times New Roman" w:cs="Arial"/>
        </w:rPr>
      </w:pPr>
    </w:p>
    <w:p w14:paraId="326B6405" w14:textId="64562705" w:rsidR="005821CD" w:rsidRPr="0008326F" w:rsidRDefault="005821CD" w:rsidP="005821CD">
      <w:pPr>
        <w:pStyle w:val="ListParagraph"/>
        <w:numPr>
          <w:ilvl w:val="1"/>
          <w:numId w:val="22"/>
        </w:numPr>
        <w:spacing w:before="100" w:beforeAutospacing="1" w:after="100" w:afterAutospacing="1" w:line="240" w:lineRule="auto"/>
        <w:ind w:left="1080"/>
        <w:jc w:val="both"/>
        <w:rPr>
          <w:rFonts w:eastAsia="Times New Roman" w:cs="Arial"/>
        </w:rPr>
      </w:pPr>
      <w:r>
        <w:t xml:space="preserve">Le Bureau de pays doit documenter les arrangements concernant les PCH pour le bureau/site éloigné du projet </w:t>
      </w:r>
      <w:r w:rsidR="0038568E">
        <w:t>DIM</w:t>
      </w:r>
      <w:r w:rsidR="005957C4">
        <w:t xml:space="preserve"> </w:t>
      </w:r>
      <w:r>
        <w:t xml:space="preserve">avec un niveau de PCH spécifique et rationnel pour le montant identifié. </w:t>
      </w:r>
    </w:p>
    <w:p w14:paraId="5CE8E257" w14:textId="77777777" w:rsidR="005821CD" w:rsidRPr="0008326F" w:rsidRDefault="005821CD" w:rsidP="005821CD">
      <w:pPr>
        <w:pStyle w:val="ListParagraph"/>
        <w:numPr>
          <w:ilvl w:val="1"/>
          <w:numId w:val="22"/>
        </w:numPr>
        <w:spacing w:before="100" w:beforeAutospacing="1" w:after="100" w:afterAutospacing="1" w:line="240" w:lineRule="auto"/>
        <w:ind w:left="1080"/>
        <w:jc w:val="both"/>
        <w:rPr>
          <w:rFonts w:eastAsia="Times New Roman" w:cs="Arial"/>
        </w:rPr>
      </w:pPr>
      <w:r>
        <w:t xml:space="preserve">Les PCH N’exemptent PAS le Bureau de pays ni le bureau de projet de suivre toutes les règles et procédures applicables en matière d’approvisionnement. Cela signifie que même si l’argent en espèce est utilisé pour payer des biens et des services, le choix du fournisseur </w:t>
      </w:r>
      <w:r>
        <w:lastRenderedPageBreak/>
        <w:t xml:space="preserve">doit être soumis à toutes les règles et procédures applicables en matière d’approvisionnement. </w:t>
      </w:r>
    </w:p>
    <w:p w14:paraId="6D400B3B" w14:textId="77777777" w:rsidR="005821CD" w:rsidRPr="0008326F" w:rsidRDefault="005821CD" w:rsidP="005821CD">
      <w:pPr>
        <w:pStyle w:val="ListParagraph"/>
        <w:numPr>
          <w:ilvl w:val="1"/>
          <w:numId w:val="22"/>
        </w:numPr>
        <w:spacing w:before="100" w:beforeAutospacing="1" w:after="100" w:afterAutospacing="1" w:line="240" w:lineRule="auto"/>
        <w:ind w:left="1080"/>
        <w:jc w:val="both"/>
        <w:rPr>
          <w:rFonts w:eastAsia="Times New Roman" w:cs="Arial"/>
        </w:rPr>
      </w:pPr>
      <w:r>
        <w:t xml:space="preserve">Le Gestionnaire de projet (GP titulaire d’un contrat à durée déterminée) sur le site éloigné du projet, agissant comme première autorité, peut demander le réapprovisionnement pour des PCH, sous réserve que certaines conditions de contrôle interne soient remplies (voir Contrôle interne pour les PCH). </w:t>
      </w:r>
    </w:p>
    <w:p w14:paraId="4CFBB84A" w14:textId="72444FC8" w:rsidR="005821CD" w:rsidRPr="0008326F" w:rsidRDefault="005821CD" w:rsidP="7A033E06">
      <w:pPr>
        <w:spacing w:before="100" w:beforeAutospacing="1" w:after="100" w:afterAutospacing="1" w:line="240" w:lineRule="auto"/>
        <w:jc w:val="both"/>
        <w:rPr>
          <w:rFonts w:eastAsia="Times New Roman" w:cs="Arial"/>
          <w:b/>
          <w:bCs/>
          <w:i/>
          <w:iCs/>
        </w:rPr>
      </w:pPr>
      <w:r w:rsidRPr="7A033E06">
        <w:rPr>
          <w:b/>
          <w:bCs/>
          <w:i/>
          <w:iCs/>
        </w:rPr>
        <w:t xml:space="preserve">Attention : Pour les projets </w:t>
      </w:r>
      <w:r w:rsidR="0038568E">
        <w:rPr>
          <w:b/>
          <w:bCs/>
          <w:i/>
          <w:iCs/>
        </w:rPr>
        <w:t>DIM</w:t>
      </w:r>
      <w:r w:rsidR="003819EE" w:rsidRPr="7A033E06">
        <w:rPr>
          <w:b/>
          <w:bCs/>
          <w:i/>
          <w:iCs/>
        </w:rPr>
        <w:t xml:space="preserve"> </w:t>
      </w:r>
      <w:r w:rsidRPr="7A033E06">
        <w:rPr>
          <w:b/>
          <w:bCs/>
          <w:i/>
          <w:iCs/>
        </w:rPr>
        <w:t xml:space="preserve">dont les besoins mensuels de liquidités sont supérieurs à 25 000 dollars, le Bureau de pays doit utiliser le système bancaire ou d’autres solutions au lieu de conserver une somme importante d’argent dans le bureau de projet. Cela suppose des consultations avec la Trésorerie pour ouvrir le compte bancaire du projet, ou s’arranger avec le prestataire de services local ou le convoyeur de fonds pour répondre aux besoins d’espèces. </w:t>
      </w:r>
    </w:p>
    <w:p w14:paraId="6121EF2F" w14:textId="69CF2EE5" w:rsidR="7A033E06" w:rsidRDefault="7A033E06" w:rsidP="7A033E06">
      <w:pPr>
        <w:spacing w:beforeAutospacing="1" w:afterAutospacing="1" w:line="240" w:lineRule="auto"/>
        <w:jc w:val="both"/>
        <w:rPr>
          <w:b/>
          <w:bCs/>
          <w:i/>
          <w:iCs/>
        </w:rPr>
      </w:pPr>
    </w:p>
    <w:p w14:paraId="6FD9D169" w14:textId="77777777" w:rsidR="005821CD" w:rsidRPr="0008326F" w:rsidRDefault="005821CD" w:rsidP="7A033E06">
      <w:pPr>
        <w:spacing w:before="100" w:beforeAutospacing="1" w:after="100" w:afterAutospacing="1" w:line="240" w:lineRule="auto"/>
        <w:rPr>
          <w:rFonts w:eastAsia="Times New Roman" w:cs="Arial"/>
          <w:u w:val="single"/>
        </w:rPr>
      </w:pPr>
      <w:r w:rsidRPr="7A033E06">
        <w:rPr>
          <w:u w:val="single"/>
        </w:rPr>
        <w:t xml:space="preserve">Autorité d’établir les PCH et le niveau </w:t>
      </w:r>
    </w:p>
    <w:p w14:paraId="4C3CB6A7" w14:textId="25FF710B" w:rsidR="7A033E06" w:rsidRDefault="7A033E06" w:rsidP="7A033E06">
      <w:pPr>
        <w:spacing w:beforeAutospacing="1" w:afterAutospacing="1" w:line="240" w:lineRule="auto"/>
        <w:rPr>
          <w:u w:val="single"/>
        </w:rPr>
      </w:pPr>
    </w:p>
    <w:p w14:paraId="1243A3E1"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Le Trésorier délègue son autorité d’établir les PCH au Représentant résident, jusqu’au niveau maximal de PCH pour les activités normales. Le Représentant résident doit aviser le Trésorier de l’établissement initial des PCH et du niveau. </w:t>
      </w:r>
    </w:p>
    <w:p w14:paraId="47F2B698"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4553C67A" w14:textId="7177E9B3"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Tout Bureau de pays dont les besoins en matière de PCH sont supérieurs à 25 000 dollars pour un projet </w:t>
      </w:r>
      <w:r w:rsidR="0038568E">
        <w:t>DIM</w:t>
      </w:r>
      <w:r>
        <w:t xml:space="preserve"> doit obtenir au préalable l’approbation du Trésorier en soumettant un exemplaire de l’annexe 5 accompagnée de justifications détaillées. Le Trésorier évaluera cette demande, et prendra en compte les besoins opérationnels du projet, les acquis du Bureau de pays en matière de conformité au dispositif de contrôle interne (« ICF », internal control framework) et aux directives du POPP, particulièrement en ce qui concerne le respect des procédures comptables, de rapprochement et de fin d’exercice du PC</w:t>
      </w:r>
      <w:r w:rsidR="00C4607A">
        <w:t>H</w:t>
      </w:r>
      <w:r>
        <w:t xml:space="preserve">, et prendra la décision d’autoriser le niveau supérieur demandé, </w:t>
      </w:r>
    </w:p>
    <w:p w14:paraId="39F20752" w14:textId="77777777" w:rsidR="005821CD" w:rsidRPr="0008326F" w:rsidRDefault="005821CD" w:rsidP="7A033E06">
      <w:pPr>
        <w:spacing w:before="100" w:beforeAutospacing="1" w:after="100" w:afterAutospacing="1" w:line="240" w:lineRule="auto"/>
        <w:jc w:val="both"/>
        <w:rPr>
          <w:rFonts w:eastAsia="Times New Roman" w:cs="Arial"/>
          <w:b/>
          <w:bCs/>
          <w:i/>
          <w:iCs/>
        </w:rPr>
      </w:pPr>
      <w:r w:rsidRPr="7A033E06">
        <w:rPr>
          <w:b/>
          <w:bCs/>
          <w:i/>
          <w:iCs/>
        </w:rPr>
        <w:t xml:space="preserve">Attention : Le fait de ne pas enregistrer les dépenses liées aux PCH dans les délais et de façon exacte et de rapprocher le compte GL 16107 peut entraîner le report ou le rejet de la demande jusqu’à la résolution des problèmes de contrôle interne. </w:t>
      </w:r>
    </w:p>
    <w:p w14:paraId="682A6ACF" w14:textId="1FAE34DF" w:rsidR="7A033E06" w:rsidRDefault="7A033E06" w:rsidP="7A033E06">
      <w:pPr>
        <w:spacing w:beforeAutospacing="1" w:afterAutospacing="1" w:line="240" w:lineRule="auto"/>
        <w:jc w:val="both"/>
        <w:rPr>
          <w:b/>
          <w:bCs/>
          <w:i/>
          <w:iCs/>
        </w:rPr>
      </w:pPr>
    </w:p>
    <w:p w14:paraId="150F95D4" w14:textId="204D795B"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Le Représentant résident doit documenter les informations suivantes pour les arrangements concernant les PCH avec le bureau/le site éloigné du projet </w:t>
      </w:r>
      <w:r w:rsidR="0038568E">
        <w:t>DIM</w:t>
      </w:r>
      <w:r>
        <w:t xml:space="preserve">. </w:t>
      </w:r>
    </w:p>
    <w:p w14:paraId="11F3B2F8"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4D259C79" w14:textId="77777777" w:rsidR="005821CD" w:rsidRPr="0008326F" w:rsidRDefault="005821CD" w:rsidP="005821CD">
      <w:pPr>
        <w:pStyle w:val="ListParagraph"/>
        <w:numPr>
          <w:ilvl w:val="0"/>
          <w:numId w:val="24"/>
        </w:numPr>
        <w:spacing w:before="100" w:beforeAutospacing="1" w:after="100" w:afterAutospacing="1" w:line="240" w:lineRule="auto"/>
        <w:ind w:left="1080"/>
        <w:jc w:val="both"/>
        <w:rPr>
          <w:rFonts w:eastAsia="Times New Roman" w:cs="Arial"/>
        </w:rPr>
      </w:pPr>
      <w:r>
        <w:t xml:space="preserve">Les efforts déployés par le bureau pour trouver d’autres options et résultats, y compris l’évaluation de l’environnement bancaire local, afin de démontrer qu’il n’existe pas d’autres options viables </w:t>
      </w:r>
    </w:p>
    <w:p w14:paraId="36F0B9A1" w14:textId="2F9B4310" w:rsidR="005821CD" w:rsidRPr="0008326F" w:rsidRDefault="005821CD" w:rsidP="005821CD">
      <w:pPr>
        <w:pStyle w:val="ListParagraph"/>
        <w:numPr>
          <w:ilvl w:val="0"/>
          <w:numId w:val="24"/>
        </w:numPr>
        <w:spacing w:before="100" w:beforeAutospacing="1" w:after="100" w:afterAutospacing="1" w:line="240" w:lineRule="auto"/>
        <w:ind w:left="1080"/>
        <w:rPr>
          <w:rFonts w:eastAsia="Times New Roman" w:cs="Arial"/>
        </w:rPr>
      </w:pPr>
      <w:r>
        <w:t>Capacité du personnel et disponibilité d’</w:t>
      </w:r>
      <w:r w:rsidR="00AF73EF">
        <w:t>Quantum</w:t>
      </w:r>
      <w:r>
        <w:t xml:space="preserve"> sur le site du projet afin d’enregistrer les versements relatifs au projet tous les mois. </w:t>
      </w:r>
    </w:p>
    <w:p w14:paraId="4C0E3000" w14:textId="77777777" w:rsidR="005821CD" w:rsidRPr="0008326F" w:rsidRDefault="005821CD" w:rsidP="005821CD">
      <w:pPr>
        <w:pStyle w:val="ListParagraph"/>
        <w:numPr>
          <w:ilvl w:val="0"/>
          <w:numId w:val="24"/>
        </w:numPr>
        <w:spacing w:before="100" w:beforeAutospacing="1" w:after="100" w:afterAutospacing="1" w:line="240" w:lineRule="auto"/>
        <w:ind w:left="1080"/>
        <w:rPr>
          <w:rFonts w:eastAsia="Times New Roman" w:cs="Arial"/>
        </w:rPr>
      </w:pPr>
      <w:r>
        <w:t xml:space="preserve">Proposition d’un dispositif de contrôle interne pour assurer la séparation des tâches. </w:t>
      </w:r>
    </w:p>
    <w:p w14:paraId="57545A06" w14:textId="77777777" w:rsidR="005821CD" w:rsidRPr="0008326F" w:rsidRDefault="005821CD" w:rsidP="005821CD">
      <w:pPr>
        <w:pStyle w:val="ListParagraph"/>
        <w:numPr>
          <w:ilvl w:val="0"/>
          <w:numId w:val="24"/>
        </w:numPr>
        <w:spacing w:before="100" w:beforeAutospacing="1" w:after="100" w:afterAutospacing="1" w:line="240" w:lineRule="auto"/>
        <w:ind w:left="1080"/>
        <w:rPr>
          <w:rFonts w:eastAsia="Times New Roman" w:cs="Arial"/>
        </w:rPr>
      </w:pPr>
      <w:r>
        <w:lastRenderedPageBreak/>
        <w:t xml:space="preserve">Besoin mensuel de liquidités pour le projet (prévision des dépenses) pour justifier le niveau de PCH choisi. </w:t>
      </w:r>
    </w:p>
    <w:p w14:paraId="5A0E72D7" w14:textId="77777777" w:rsidR="005821CD" w:rsidRPr="0008326F" w:rsidRDefault="005821CD" w:rsidP="005821CD">
      <w:pPr>
        <w:pStyle w:val="ListParagraph"/>
        <w:numPr>
          <w:ilvl w:val="0"/>
          <w:numId w:val="24"/>
        </w:numPr>
        <w:spacing w:before="100" w:beforeAutospacing="1" w:after="100" w:afterAutospacing="1" w:line="240" w:lineRule="auto"/>
        <w:ind w:left="1080"/>
        <w:jc w:val="both"/>
        <w:rPr>
          <w:rFonts w:eastAsia="Times New Roman" w:cs="Arial"/>
        </w:rPr>
      </w:pPr>
      <w:r>
        <w:t xml:space="preserve">Évaluation de la sécurité du bureau/du site de projet et de l’itinéraire pour le financement initial et le réapprovisionnement ultérieur afin de minimiser les risques personnels pour le Dépositaire des PCH et les risques financiers pour le PNUD. </w:t>
      </w:r>
    </w:p>
    <w:p w14:paraId="77589A10" w14:textId="77777777" w:rsidR="005821CD" w:rsidRPr="0008326F" w:rsidRDefault="005821CD" w:rsidP="005821CD">
      <w:pPr>
        <w:pStyle w:val="ListParagraph"/>
        <w:numPr>
          <w:ilvl w:val="0"/>
          <w:numId w:val="24"/>
        </w:numPr>
        <w:spacing w:before="100" w:beforeAutospacing="1" w:after="100" w:afterAutospacing="1" w:line="240" w:lineRule="auto"/>
        <w:ind w:left="1080"/>
        <w:jc w:val="both"/>
        <w:rPr>
          <w:rFonts w:eastAsia="Times New Roman" w:cs="Arial"/>
        </w:rPr>
      </w:pPr>
      <w:r>
        <w:t xml:space="preserve">Acquisition d’un coffre-fort avec un dispositif de sécurité renforcé et disponibilité d’une pièce verrouillée avec des garanties de sécurité. </w:t>
      </w:r>
    </w:p>
    <w:p w14:paraId="1D1B5099" w14:textId="77777777" w:rsidR="005821CD" w:rsidRPr="0008326F" w:rsidRDefault="005821CD" w:rsidP="005821CD">
      <w:pPr>
        <w:pStyle w:val="ListParagraph"/>
        <w:spacing w:before="100" w:beforeAutospacing="1" w:after="100" w:afterAutospacing="1" w:line="240" w:lineRule="auto"/>
        <w:ind w:left="1080"/>
        <w:jc w:val="both"/>
        <w:rPr>
          <w:rFonts w:eastAsia="Times New Roman" w:cs="Arial"/>
        </w:rPr>
      </w:pPr>
    </w:p>
    <w:p w14:paraId="3BEFCFEE"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Le RR évaluera cette demande en fonction des besoins du projet, de la situation du secteur bancaire dans la région éloignée, de la capacité du personnel du projet et de la sécurité du site, ainsi que des dossiers de conformité du Bureau de pays au dispositif de contrôle interne et les directives concernant le type de règlement en espèces existant, le cas échéant, notamment en ce qui concerne le respect des procédures comptables, de rapprochement et de clôture de fin d’exercice, et prendra la décision d’approuver le niveau des PCH. </w:t>
      </w:r>
    </w:p>
    <w:p w14:paraId="7A08A8D6" w14:textId="77777777" w:rsidR="005821CD" w:rsidRPr="0008326F" w:rsidRDefault="005821CD" w:rsidP="7A033E06">
      <w:pPr>
        <w:spacing w:before="100" w:beforeAutospacing="1" w:after="100" w:afterAutospacing="1" w:line="240" w:lineRule="auto"/>
        <w:jc w:val="both"/>
        <w:rPr>
          <w:rFonts w:eastAsia="Times New Roman" w:cs="Arial"/>
          <w:b/>
          <w:bCs/>
          <w:i/>
          <w:iCs/>
        </w:rPr>
      </w:pPr>
      <w:r w:rsidRPr="7A033E06">
        <w:rPr>
          <w:b/>
          <w:bCs/>
          <w:i/>
          <w:iCs/>
        </w:rPr>
        <w:t xml:space="preserve">Attention : Le fait de ne pas enregistrer tout type de règlement en espèce dans les délais et de façon exacte et de rapprocher les comptes GL correspondants peut entraîner un retard dans l’approbation jusqu’à la résolution des problèmes de contrôle interne. </w:t>
      </w:r>
    </w:p>
    <w:p w14:paraId="742ECEDE" w14:textId="51825A0C" w:rsidR="7A033E06" w:rsidRDefault="7A033E06" w:rsidP="7A033E06">
      <w:pPr>
        <w:spacing w:beforeAutospacing="1" w:afterAutospacing="1" w:line="240" w:lineRule="auto"/>
        <w:jc w:val="both"/>
        <w:rPr>
          <w:b/>
          <w:bCs/>
          <w:i/>
          <w:iCs/>
        </w:rPr>
      </w:pPr>
    </w:p>
    <w:p w14:paraId="39420F9B" w14:textId="77777777" w:rsidR="005821CD" w:rsidRPr="0008326F" w:rsidRDefault="005821CD" w:rsidP="7A033E06">
      <w:pPr>
        <w:spacing w:before="100" w:beforeAutospacing="1" w:after="100" w:afterAutospacing="1" w:line="240" w:lineRule="auto"/>
        <w:rPr>
          <w:rFonts w:eastAsia="Times New Roman" w:cs="Arial"/>
          <w:u w:val="single"/>
        </w:rPr>
      </w:pPr>
      <w:r w:rsidRPr="7A033E06">
        <w:rPr>
          <w:u w:val="single"/>
        </w:rPr>
        <w:t xml:space="preserve">Dépenses admissibles pour des PCH </w:t>
      </w:r>
    </w:p>
    <w:p w14:paraId="1820E618" w14:textId="011898BB" w:rsidR="7A033E06" w:rsidRDefault="7A033E06" w:rsidP="7A033E06">
      <w:pPr>
        <w:spacing w:beforeAutospacing="1" w:afterAutospacing="1" w:line="240" w:lineRule="auto"/>
        <w:rPr>
          <w:u w:val="single"/>
        </w:rPr>
      </w:pPr>
    </w:p>
    <w:p w14:paraId="365D7C82" w14:textId="57355F50"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Les dépenses liées au projet </w:t>
      </w:r>
      <w:r w:rsidR="0038568E">
        <w:t>DIM</w:t>
      </w:r>
      <w:r>
        <w:t xml:space="preserve"> et ne pouvant être payées par le siège social. </w:t>
      </w:r>
    </w:p>
    <w:p w14:paraId="3B7E60D7"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Aucune limite de montant pour chaque paiement. </w:t>
      </w:r>
    </w:p>
    <w:p w14:paraId="7A55FB3B"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Les règles et les procédures d’approvisionnement doivent être respectées pour tous les versements relatifs au projet. </w:t>
      </w:r>
    </w:p>
    <w:p w14:paraId="4F94128D" w14:textId="77777777" w:rsidR="005821CD" w:rsidRPr="0008326F" w:rsidRDefault="005821CD" w:rsidP="7A033E06">
      <w:pPr>
        <w:spacing w:before="100" w:beforeAutospacing="1" w:after="100" w:afterAutospacing="1" w:line="240" w:lineRule="auto"/>
        <w:jc w:val="both"/>
        <w:rPr>
          <w:rFonts w:eastAsia="Times New Roman" w:cs="Arial"/>
          <w:b/>
          <w:bCs/>
          <w:i/>
          <w:iCs/>
        </w:rPr>
      </w:pPr>
      <w:r w:rsidRPr="7A033E06">
        <w:rPr>
          <w:b/>
          <w:bCs/>
          <w:i/>
          <w:iCs/>
        </w:rPr>
        <w:t xml:space="preserve">Attention : Le salaire et les paiements de prestation, y compris les heures supplémentaires, les avances et les allocations, ne peuvent être versés comme PCH, peu importe le montant. Ces paiements doivent être enregistrés au service central des états de paie sans exception. </w:t>
      </w:r>
    </w:p>
    <w:p w14:paraId="344FC0F1" w14:textId="0C99E9DD" w:rsidR="7A033E06" w:rsidRDefault="7A033E06" w:rsidP="7A033E06">
      <w:pPr>
        <w:spacing w:beforeAutospacing="1" w:afterAutospacing="1" w:line="240" w:lineRule="auto"/>
        <w:jc w:val="both"/>
        <w:rPr>
          <w:b/>
          <w:bCs/>
          <w:i/>
          <w:iCs/>
        </w:rPr>
      </w:pPr>
    </w:p>
    <w:p w14:paraId="7E987878" w14:textId="77777777" w:rsidR="005821CD" w:rsidRPr="0008326F" w:rsidRDefault="005821CD" w:rsidP="7A033E06">
      <w:pPr>
        <w:spacing w:before="100" w:beforeAutospacing="1" w:after="100" w:afterAutospacing="1" w:line="240" w:lineRule="auto"/>
        <w:rPr>
          <w:rFonts w:eastAsia="Times New Roman" w:cs="Arial"/>
          <w:u w:val="single"/>
        </w:rPr>
      </w:pPr>
      <w:r w:rsidRPr="7A033E06">
        <w:rPr>
          <w:u w:val="single"/>
        </w:rPr>
        <w:t xml:space="preserve">Nomination d’un Dépositaire d’une PCH </w:t>
      </w:r>
    </w:p>
    <w:p w14:paraId="4F395AD0" w14:textId="173F0C36" w:rsidR="7A033E06" w:rsidRDefault="7A033E06" w:rsidP="7A033E06">
      <w:pPr>
        <w:spacing w:beforeAutospacing="1" w:afterAutospacing="1" w:line="240" w:lineRule="auto"/>
        <w:rPr>
          <w:u w:val="single"/>
        </w:rPr>
      </w:pPr>
    </w:p>
    <w:p w14:paraId="3A529E36"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Le Représentant résident nomme le Dépositaire d’une PCH selon les critères d’engagement suivants :</w:t>
      </w:r>
    </w:p>
    <w:p w14:paraId="0E8C58F5"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393D7297" w14:textId="197E1575" w:rsidR="005821CD" w:rsidRPr="0008326F" w:rsidRDefault="005821CD" w:rsidP="005821CD">
      <w:pPr>
        <w:pStyle w:val="ListParagraph"/>
        <w:numPr>
          <w:ilvl w:val="0"/>
          <w:numId w:val="25"/>
        </w:numPr>
        <w:spacing w:before="100" w:beforeAutospacing="1" w:after="100" w:afterAutospacing="1" w:line="240" w:lineRule="auto"/>
        <w:ind w:left="1080"/>
        <w:jc w:val="both"/>
        <w:rPr>
          <w:rFonts w:eastAsia="Times New Roman" w:cs="Arial"/>
        </w:rPr>
      </w:pPr>
      <w:r>
        <w:t>Le personnel est titulaire d’un contrat à durée déterminée du PNUD. Seul le Représentant résident (sans délégation</w:t>
      </w:r>
      <w:r w:rsidR="009C2F30">
        <w:t xml:space="preserve"> ultérieure</w:t>
      </w:r>
      <w:r>
        <w:t>) peut nommer un titulaire de contrat de service</w:t>
      </w:r>
      <w:r w:rsidR="00AF73EF">
        <w:t>s de personnel(NPSA/IPSA)</w:t>
      </w:r>
      <w:r>
        <w:t xml:space="preserve"> comme Dépositaire jusqu’à un montant limit</w:t>
      </w:r>
      <w:r w:rsidR="009C2F30">
        <w:t>e</w:t>
      </w:r>
      <w:r>
        <w:t xml:space="preserve"> de 2 500 dollars seulement.</w:t>
      </w:r>
    </w:p>
    <w:p w14:paraId="0561DE8E" w14:textId="77777777" w:rsidR="005821CD" w:rsidRPr="0008326F" w:rsidRDefault="005821CD" w:rsidP="005821CD">
      <w:pPr>
        <w:pStyle w:val="ListParagraph"/>
        <w:numPr>
          <w:ilvl w:val="0"/>
          <w:numId w:val="25"/>
        </w:numPr>
        <w:spacing w:before="100" w:beforeAutospacing="1" w:after="100" w:afterAutospacing="1" w:line="240" w:lineRule="auto"/>
        <w:ind w:left="1080"/>
        <w:jc w:val="both"/>
        <w:rPr>
          <w:rFonts w:eastAsia="Times New Roman" w:cs="Arial"/>
        </w:rPr>
      </w:pPr>
      <w:r>
        <w:lastRenderedPageBreak/>
        <w:t xml:space="preserve">Le personnel a les compétences nécessaires pour s’acquitter de ses responsabilités, notamment en ce qui concerne la protection, l’utilisation appropriée, la comptabilité, l’inventaire physique et à la tenue du Registre des PCH. </w:t>
      </w:r>
    </w:p>
    <w:p w14:paraId="16A39CF2" w14:textId="1505489D" w:rsidR="005821CD" w:rsidRPr="0008326F" w:rsidRDefault="005821CD" w:rsidP="005821CD">
      <w:pPr>
        <w:pStyle w:val="ListParagraph"/>
        <w:numPr>
          <w:ilvl w:val="0"/>
          <w:numId w:val="25"/>
        </w:numPr>
        <w:spacing w:before="100" w:beforeAutospacing="1" w:after="100" w:afterAutospacing="1" w:line="240" w:lineRule="auto"/>
        <w:ind w:left="1080"/>
        <w:jc w:val="both"/>
        <w:rPr>
          <w:rFonts w:eastAsia="Times New Roman" w:cs="Arial"/>
        </w:rPr>
      </w:pPr>
      <w:r>
        <w:t xml:space="preserve">Le personnel accepte les conditions générales de la Lettre relative à l’engagement et la déclaration du Dépositaire des espèces en caisse pour les projets et signe le document (Annexe 1 – Formulaire relatif à l’engagement du Dépositaire des espèces en caisse pour les projets – à modifier pour les PCH par l’utilisateur), y compris toute perte aux PCH, qui doit être remboursée au PNUD par le Dépositaire des PCH ou </w:t>
      </w:r>
      <w:r w:rsidR="00F612A9">
        <w:t>une retenue doit être faite sur</w:t>
      </w:r>
      <w:r w:rsidR="00F612A9">
        <w:br/>
      </w:r>
      <w:r>
        <w:t xml:space="preserve">son salaire. </w:t>
      </w:r>
    </w:p>
    <w:p w14:paraId="1DC89B9A" w14:textId="39323DF3" w:rsidR="00F612A9" w:rsidRDefault="00F612A9" w:rsidP="005821CD">
      <w:pPr>
        <w:spacing w:before="100" w:beforeAutospacing="1" w:after="100" w:afterAutospacing="1" w:line="240" w:lineRule="auto"/>
        <w:rPr>
          <w:rFonts w:eastAsia="Times New Roman" w:cs="Arial"/>
          <w:u w:val="single"/>
        </w:rPr>
      </w:pPr>
    </w:p>
    <w:p w14:paraId="34061273" w14:textId="77777777" w:rsidR="005821CD" w:rsidRPr="0008326F" w:rsidRDefault="005821CD" w:rsidP="7A033E06">
      <w:pPr>
        <w:spacing w:before="100" w:beforeAutospacing="1" w:after="100" w:afterAutospacing="1" w:line="240" w:lineRule="auto"/>
        <w:rPr>
          <w:rFonts w:eastAsia="Times New Roman" w:cs="Arial"/>
          <w:u w:val="single"/>
        </w:rPr>
      </w:pPr>
      <w:r w:rsidRPr="7A033E06">
        <w:rPr>
          <w:u w:val="single"/>
        </w:rPr>
        <w:t xml:space="preserve">Responsabilités d’un Dépositaire d’une PCH </w:t>
      </w:r>
    </w:p>
    <w:p w14:paraId="3CA0310C" w14:textId="62AF915F" w:rsidR="7A033E06" w:rsidRDefault="7A033E06" w:rsidP="7A033E06">
      <w:pPr>
        <w:spacing w:beforeAutospacing="1" w:afterAutospacing="1" w:line="240" w:lineRule="auto"/>
        <w:rPr>
          <w:u w:val="single"/>
        </w:rPr>
      </w:pPr>
    </w:p>
    <w:p w14:paraId="67FEA5C2"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Les responsabilités du Dépositaire sont les suivantes :</w:t>
      </w:r>
    </w:p>
    <w:p w14:paraId="2F29F778"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297A6E5E" w14:textId="77777777" w:rsidR="005C07CB" w:rsidRPr="005C07CB" w:rsidRDefault="005C07CB" w:rsidP="005821CD">
      <w:pPr>
        <w:pStyle w:val="ListParagraph"/>
        <w:numPr>
          <w:ilvl w:val="0"/>
          <w:numId w:val="26"/>
        </w:numPr>
        <w:spacing w:before="100" w:beforeAutospacing="1" w:after="100" w:afterAutospacing="1" w:line="240" w:lineRule="auto"/>
        <w:ind w:left="1080"/>
        <w:jc w:val="both"/>
        <w:rPr>
          <w:rFonts w:eastAsia="Times New Roman" w:cs="Arial"/>
        </w:rPr>
      </w:pPr>
      <w:r>
        <w:t>P</w:t>
      </w:r>
      <w:r w:rsidR="005821CD">
        <w:t xml:space="preserve">lacer l’argent en espèce pour le financement initial des PCH et le réapprovisionnement ultérieur, dans le coffre-fort du bureau de projet, en présence d’un deuxième agent. </w:t>
      </w:r>
    </w:p>
    <w:p w14:paraId="780770F6" w14:textId="3F9FFC40"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t xml:space="preserve">Conserver le Registre des PCH pour enregistrer toutes les activités dans les PCH (voir Annexe 2 – Caisse enregistreuse des PCH). </w:t>
      </w:r>
    </w:p>
    <w:p w14:paraId="50857A50" w14:textId="77777777"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t xml:space="preserve">Conserver le solde quotidien des PCH et le solde mensuel moyen dans le Registre des PCH à des fins d’assurance. </w:t>
      </w:r>
    </w:p>
    <w:p w14:paraId="2BB22D19" w14:textId="77777777"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t xml:space="preserve">Utiliser les pièces justificatives des PCH numérotés au préalable pour chaque versement effectué à partir des PCH. </w:t>
      </w:r>
    </w:p>
    <w:p w14:paraId="6D78F058" w14:textId="77777777"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t xml:space="preserve">S’assurer que ces pièces justificatives de PCH soient remplies aux fins de la comptabilité ou à des fins budgétaires, qu’elles soient dûment approuvées et accompagnées d’une facture/d’un reçu à titre de document justificatif. </w:t>
      </w:r>
    </w:p>
    <w:p w14:paraId="53A95F1F" w14:textId="77777777"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t xml:space="preserve">Compter le solde des PCH après chaque versement et après chaque réapprovisionnement pour s’assurer que le montant est toujours égal au solde courant noté dans le Registre des PCF. </w:t>
      </w:r>
    </w:p>
    <w:p w14:paraId="23B30B8B" w14:textId="77777777" w:rsidR="005821CD" w:rsidRPr="0008326F" w:rsidRDefault="005821CD" w:rsidP="005821CD">
      <w:pPr>
        <w:pStyle w:val="ListParagraph"/>
        <w:numPr>
          <w:ilvl w:val="0"/>
          <w:numId w:val="26"/>
        </w:numPr>
        <w:spacing w:before="100" w:beforeAutospacing="1" w:after="100" w:afterAutospacing="1" w:line="240" w:lineRule="auto"/>
        <w:ind w:left="1080"/>
        <w:jc w:val="both"/>
        <w:rPr>
          <w:rFonts w:eastAsia="Times New Roman" w:cs="Arial"/>
        </w:rPr>
      </w:pPr>
      <w:r>
        <w:t xml:space="preserve">Déployer tous les efforts raisonnables pour empêcher le vol, par exemple, y compris l’entretien de l’emplacement sécurisé des PCF (c.-à-d. le coffre-fort du bureau), en exigeant la présence de deux personnes lorsque le coffre est ouvert. </w:t>
      </w:r>
    </w:p>
    <w:p w14:paraId="26CEA0D3" w14:textId="41D872CE" w:rsidR="005821CD" w:rsidRPr="0008326F" w:rsidRDefault="005821CD" w:rsidP="7A033E06">
      <w:pPr>
        <w:pStyle w:val="ListParagraph"/>
        <w:numPr>
          <w:ilvl w:val="0"/>
          <w:numId w:val="26"/>
        </w:numPr>
        <w:spacing w:before="100" w:beforeAutospacing="1" w:after="100" w:afterAutospacing="1" w:line="240" w:lineRule="auto"/>
        <w:ind w:left="1080"/>
        <w:jc w:val="both"/>
        <w:rPr>
          <w:rFonts w:eastAsia="Times New Roman" w:cs="Arial"/>
        </w:rPr>
      </w:pPr>
      <w:r>
        <w:t xml:space="preserve">Demander au siège </w:t>
      </w:r>
      <w:r w:rsidR="00C331F7">
        <w:t xml:space="preserve">principal </w:t>
      </w:r>
      <w:r>
        <w:t xml:space="preserve">du Bureau de pays de se réapprovisionner lorsque le solde des PCH atteint 20 % du solde initial d’ouverture (ou un niveau de pourcentage préapprouvé, voir aussi le paragraphe 16 -19 « Financement initial et réapprovisionnement ultérieur pour des PCH »). </w:t>
      </w:r>
    </w:p>
    <w:p w14:paraId="31D12F55" w14:textId="67606277" w:rsidR="7A033E06" w:rsidRDefault="7A033E06" w:rsidP="7A033E06">
      <w:pPr>
        <w:spacing w:beforeAutospacing="1" w:afterAutospacing="1" w:line="240" w:lineRule="auto"/>
        <w:ind w:left="360"/>
        <w:jc w:val="both"/>
      </w:pPr>
    </w:p>
    <w:p w14:paraId="2F2C9CDC" w14:textId="7CE0B464" w:rsidR="005821CD" w:rsidRDefault="005821CD" w:rsidP="7A033E06">
      <w:pPr>
        <w:spacing w:beforeAutospacing="1" w:afterAutospacing="1" w:line="240" w:lineRule="auto"/>
        <w:rPr>
          <w:rFonts w:eastAsia="Times New Roman" w:cs="Arial"/>
          <w:u w:val="single"/>
        </w:rPr>
      </w:pPr>
      <w:r w:rsidRPr="7A033E06">
        <w:rPr>
          <w:u w:val="single"/>
        </w:rPr>
        <w:t xml:space="preserve">Sécurité physique pour les PCH </w:t>
      </w:r>
    </w:p>
    <w:p w14:paraId="7F480AC8" w14:textId="70D83B25" w:rsidR="7A033E06" w:rsidRDefault="7A033E06" w:rsidP="7A033E06">
      <w:pPr>
        <w:spacing w:beforeAutospacing="1" w:afterAutospacing="1" w:line="240" w:lineRule="auto"/>
        <w:rPr>
          <w:u w:val="single"/>
        </w:rPr>
      </w:pPr>
    </w:p>
    <w:p w14:paraId="754E0FA7"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lastRenderedPageBreak/>
        <w:t>Le RRA/O (Représentant résident adjoint/Opérations) ou le Directeur des opérations est responsable de la sécurité physique des PCF comme suit :</w:t>
      </w:r>
    </w:p>
    <w:p w14:paraId="4EBB7C6B"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09A0ED5D" w14:textId="77777777" w:rsidR="005821CD" w:rsidRPr="0008326F" w:rsidRDefault="005821CD" w:rsidP="005821CD">
      <w:pPr>
        <w:pStyle w:val="ListParagraph"/>
        <w:numPr>
          <w:ilvl w:val="0"/>
          <w:numId w:val="27"/>
        </w:numPr>
        <w:spacing w:before="100" w:beforeAutospacing="1" w:after="100" w:afterAutospacing="1" w:line="240" w:lineRule="auto"/>
        <w:ind w:left="1080"/>
        <w:jc w:val="both"/>
        <w:rPr>
          <w:rFonts w:eastAsia="Times New Roman" w:cs="Arial"/>
        </w:rPr>
      </w:pPr>
      <w:r>
        <w:t xml:space="preserve">Le bureau de projet doit disposer d’un coffre-fort doté d’un dispositif de sécurité renforcé. </w:t>
      </w:r>
    </w:p>
    <w:p w14:paraId="7DBED01D" w14:textId="77777777" w:rsidR="005821CD" w:rsidRPr="0008326F" w:rsidRDefault="005821CD" w:rsidP="005821CD">
      <w:pPr>
        <w:pStyle w:val="ListParagraph"/>
        <w:numPr>
          <w:ilvl w:val="0"/>
          <w:numId w:val="27"/>
        </w:numPr>
        <w:spacing w:before="100" w:beforeAutospacing="1" w:after="100" w:afterAutospacing="1" w:line="240" w:lineRule="auto"/>
        <w:ind w:left="1080"/>
        <w:jc w:val="both"/>
        <w:rPr>
          <w:rFonts w:eastAsia="Times New Roman" w:cs="Arial"/>
        </w:rPr>
      </w:pPr>
      <w:r>
        <w:t xml:space="preserve">Le coffre-fort doit être placé dans une pièce verrouillée avec des garanties de sécurité et l’accès est limité au personnel autorisé. </w:t>
      </w:r>
    </w:p>
    <w:p w14:paraId="1C42E5BE" w14:textId="77777777" w:rsidR="005821CD" w:rsidRPr="0008326F" w:rsidRDefault="005821CD" w:rsidP="005821CD">
      <w:pPr>
        <w:pStyle w:val="ListParagraph"/>
        <w:numPr>
          <w:ilvl w:val="0"/>
          <w:numId w:val="27"/>
        </w:numPr>
        <w:spacing w:before="100" w:beforeAutospacing="1" w:after="100" w:afterAutospacing="1" w:line="240" w:lineRule="auto"/>
        <w:ind w:left="1080"/>
        <w:jc w:val="both"/>
        <w:rPr>
          <w:rFonts w:eastAsia="Times New Roman" w:cs="Arial"/>
        </w:rPr>
      </w:pPr>
      <w:r>
        <w:t xml:space="preserve">L’argent en espèce doit rester dans le coffre-fort tout le temps. </w:t>
      </w:r>
    </w:p>
    <w:p w14:paraId="4D747194" w14:textId="77777777" w:rsidR="005821CD" w:rsidRPr="0008326F" w:rsidRDefault="005821CD" w:rsidP="7A033E06">
      <w:pPr>
        <w:pStyle w:val="ListParagraph"/>
        <w:numPr>
          <w:ilvl w:val="0"/>
          <w:numId w:val="27"/>
        </w:numPr>
        <w:spacing w:before="100" w:beforeAutospacing="1" w:after="100" w:afterAutospacing="1" w:line="240" w:lineRule="auto"/>
        <w:ind w:left="1080"/>
        <w:jc w:val="both"/>
        <w:rPr>
          <w:rFonts w:eastAsia="Times New Roman" w:cs="Arial"/>
        </w:rPr>
      </w:pPr>
      <w:r>
        <w:t xml:space="preserve">Organiser et sécuriser l’itinéraire de voyage pour le financement initial et les réapprovisionnements ultérieurs. </w:t>
      </w:r>
    </w:p>
    <w:p w14:paraId="650C4355" w14:textId="67DC06EF" w:rsidR="7A033E06" w:rsidRDefault="7A033E06" w:rsidP="7A033E06">
      <w:pPr>
        <w:spacing w:beforeAutospacing="1" w:afterAutospacing="1" w:line="240" w:lineRule="auto"/>
        <w:ind w:left="360"/>
        <w:jc w:val="both"/>
      </w:pPr>
    </w:p>
    <w:p w14:paraId="07362684" w14:textId="77777777" w:rsidR="005821CD" w:rsidRPr="0008326F" w:rsidRDefault="005821CD" w:rsidP="7A033E06">
      <w:pPr>
        <w:spacing w:before="100" w:beforeAutospacing="1" w:after="100" w:afterAutospacing="1" w:line="240" w:lineRule="auto"/>
        <w:rPr>
          <w:rFonts w:eastAsia="Times New Roman" w:cs="Arial"/>
          <w:u w:val="single"/>
        </w:rPr>
      </w:pPr>
      <w:r w:rsidRPr="7A033E06">
        <w:rPr>
          <w:u w:val="single"/>
        </w:rPr>
        <w:t xml:space="preserve">Financement initial et réapprovisionnement ultérieur pour des PCH </w:t>
      </w:r>
    </w:p>
    <w:p w14:paraId="34996D31" w14:textId="6A74D220" w:rsidR="7A033E06" w:rsidRDefault="7A033E06" w:rsidP="7A033E06">
      <w:pPr>
        <w:spacing w:beforeAutospacing="1" w:afterAutospacing="1" w:line="240" w:lineRule="auto"/>
        <w:rPr>
          <w:u w:val="single"/>
        </w:rPr>
      </w:pPr>
    </w:p>
    <w:p w14:paraId="43705112" w14:textId="02DD6E5F" w:rsidR="005821CD" w:rsidRPr="0008326F" w:rsidRDefault="005C07CB" w:rsidP="005821CD">
      <w:pPr>
        <w:pStyle w:val="ListParagraph"/>
        <w:numPr>
          <w:ilvl w:val="2"/>
          <w:numId w:val="23"/>
        </w:numPr>
        <w:spacing w:before="100" w:beforeAutospacing="1" w:after="100" w:afterAutospacing="1" w:line="240" w:lineRule="auto"/>
        <w:ind w:left="360"/>
        <w:jc w:val="both"/>
        <w:rPr>
          <w:rFonts w:eastAsia="Times New Roman" w:cs="Arial"/>
        </w:rPr>
      </w:pPr>
      <w:r w:rsidRPr="005C07CB">
        <w:t>Le financement initial de la PCH est effectué par une facture de prépaiement permanent payable au dépositaire de la PCH en tant que "fournisseur", enregistrée sur le compte de la PCH.</w:t>
      </w:r>
      <w:r w:rsidR="005821CD">
        <w:t xml:space="preserve">. </w:t>
      </w:r>
    </w:p>
    <w:p w14:paraId="2B336D37" w14:textId="77777777" w:rsidR="005C07CB" w:rsidRPr="005C07CB" w:rsidRDefault="005C07CB" w:rsidP="005C07CB">
      <w:pPr>
        <w:pStyle w:val="ListParagraph"/>
        <w:spacing w:before="100" w:beforeAutospacing="1" w:after="100" w:afterAutospacing="1" w:line="240" w:lineRule="auto"/>
        <w:ind w:left="360"/>
        <w:jc w:val="both"/>
        <w:rPr>
          <w:rFonts w:eastAsia="Times New Roman" w:cs="Arial"/>
        </w:rPr>
      </w:pPr>
      <w:r w:rsidRPr="005C07CB">
        <w:rPr>
          <w:rFonts w:eastAsia="Times New Roman" w:cs="Arial"/>
        </w:rPr>
        <w:t xml:space="preserve">Débit du compte GL : </w:t>
      </w:r>
      <w:r w:rsidRPr="005C07CB">
        <w:rPr>
          <w:rFonts w:eastAsia="Times New Roman" w:cs="Arial"/>
        </w:rPr>
        <w:tab/>
        <w:t xml:space="preserve">16107 - Encaisse de projet PCH </w:t>
      </w:r>
    </w:p>
    <w:p w14:paraId="6EF1A521" w14:textId="77777777" w:rsidR="005C07CB" w:rsidRPr="005C07CB" w:rsidRDefault="005C07CB" w:rsidP="005C07CB">
      <w:pPr>
        <w:pStyle w:val="ListParagraph"/>
        <w:spacing w:before="100" w:beforeAutospacing="1" w:after="100" w:afterAutospacing="1" w:line="240" w:lineRule="auto"/>
        <w:ind w:left="360"/>
        <w:jc w:val="both"/>
        <w:rPr>
          <w:rFonts w:eastAsia="Times New Roman" w:cs="Arial"/>
        </w:rPr>
      </w:pPr>
      <w:r w:rsidRPr="005C07CB">
        <w:rPr>
          <w:rFonts w:eastAsia="Times New Roman" w:cs="Arial"/>
        </w:rPr>
        <w:tab/>
        <w:t xml:space="preserve">Unité opérationnelle : </w:t>
      </w:r>
      <w:r w:rsidRPr="005C07CB">
        <w:rPr>
          <w:rFonts w:eastAsia="Times New Roman" w:cs="Arial"/>
        </w:rPr>
        <w:tab/>
      </w:r>
      <w:r w:rsidRPr="005C07CB">
        <w:rPr>
          <w:rFonts w:eastAsia="Times New Roman" w:cs="Arial"/>
        </w:rPr>
        <w:tab/>
        <w:t xml:space="preserve">Unité opérationnelle du CO </w:t>
      </w:r>
    </w:p>
    <w:p w14:paraId="4758CE23" w14:textId="77777777" w:rsidR="005C07CB" w:rsidRPr="005C07CB" w:rsidRDefault="005C07CB" w:rsidP="005C07CB">
      <w:pPr>
        <w:pStyle w:val="ListParagraph"/>
        <w:spacing w:before="100" w:beforeAutospacing="1" w:after="100" w:afterAutospacing="1" w:line="240" w:lineRule="auto"/>
        <w:ind w:left="360"/>
        <w:jc w:val="both"/>
        <w:rPr>
          <w:rFonts w:eastAsia="Times New Roman" w:cs="Arial"/>
        </w:rPr>
      </w:pPr>
      <w:r w:rsidRPr="005C07CB">
        <w:rPr>
          <w:rFonts w:eastAsia="Times New Roman" w:cs="Arial"/>
        </w:rPr>
        <w:tab/>
        <w:t xml:space="preserve">Code du fonds : </w:t>
      </w:r>
      <w:r w:rsidRPr="005C07CB">
        <w:rPr>
          <w:rFonts w:eastAsia="Times New Roman" w:cs="Arial"/>
        </w:rPr>
        <w:tab/>
      </w:r>
      <w:r w:rsidRPr="005C07CB">
        <w:rPr>
          <w:rFonts w:eastAsia="Times New Roman" w:cs="Arial"/>
        </w:rPr>
        <w:tab/>
        <w:t xml:space="preserve">Code de fonds du projet concerné </w:t>
      </w:r>
    </w:p>
    <w:p w14:paraId="34E8E4F7" w14:textId="77777777" w:rsidR="005C07CB" w:rsidRPr="005C07CB" w:rsidRDefault="005C07CB" w:rsidP="005C07CB">
      <w:pPr>
        <w:pStyle w:val="ListParagraph"/>
        <w:spacing w:before="100" w:beforeAutospacing="1" w:after="100" w:afterAutospacing="1" w:line="240" w:lineRule="auto"/>
        <w:ind w:left="360"/>
        <w:jc w:val="both"/>
        <w:rPr>
          <w:rFonts w:eastAsia="Times New Roman" w:cs="Arial"/>
        </w:rPr>
      </w:pPr>
      <w:r w:rsidRPr="005C07CB">
        <w:rPr>
          <w:rFonts w:eastAsia="Times New Roman" w:cs="Arial"/>
        </w:rPr>
        <w:tab/>
        <w:t xml:space="preserve">Département : </w:t>
      </w:r>
      <w:r w:rsidRPr="005C07CB">
        <w:rPr>
          <w:rFonts w:eastAsia="Times New Roman" w:cs="Arial"/>
        </w:rPr>
        <w:tab/>
      </w:r>
      <w:r w:rsidRPr="005C07CB">
        <w:rPr>
          <w:rFonts w:eastAsia="Times New Roman" w:cs="Arial"/>
        </w:rPr>
        <w:tab/>
        <w:t xml:space="preserve">Département respectif </w:t>
      </w:r>
    </w:p>
    <w:p w14:paraId="65A49FCF" w14:textId="77777777" w:rsidR="005C07CB" w:rsidRPr="005C07CB" w:rsidRDefault="005C07CB" w:rsidP="005C07CB">
      <w:pPr>
        <w:pStyle w:val="ListParagraph"/>
        <w:spacing w:before="100" w:beforeAutospacing="1" w:after="100" w:afterAutospacing="1" w:line="240" w:lineRule="auto"/>
        <w:ind w:left="360"/>
        <w:jc w:val="both"/>
        <w:rPr>
          <w:rFonts w:eastAsia="Times New Roman" w:cs="Arial"/>
        </w:rPr>
      </w:pPr>
      <w:r w:rsidRPr="005C07CB">
        <w:rPr>
          <w:rFonts w:eastAsia="Times New Roman" w:cs="Arial"/>
        </w:rPr>
        <w:tab/>
        <w:t xml:space="preserve">ID du projet : </w:t>
      </w:r>
      <w:r w:rsidRPr="005C07CB">
        <w:rPr>
          <w:rFonts w:eastAsia="Times New Roman" w:cs="Arial"/>
        </w:rPr>
        <w:tab/>
      </w:r>
      <w:r w:rsidRPr="005C07CB">
        <w:rPr>
          <w:rFonts w:eastAsia="Times New Roman" w:cs="Arial"/>
        </w:rPr>
        <w:tab/>
        <w:t xml:space="preserve">ID du projet concerné </w:t>
      </w:r>
    </w:p>
    <w:p w14:paraId="7793BE5C" w14:textId="77777777" w:rsidR="005C07CB" w:rsidRPr="005C07CB" w:rsidRDefault="005C07CB" w:rsidP="005C07CB">
      <w:pPr>
        <w:pStyle w:val="ListParagraph"/>
        <w:spacing w:before="100" w:beforeAutospacing="1" w:after="100" w:afterAutospacing="1" w:line="240" w:lineRule="auto"/>
        <w:ind w:left="360"/>
        <w:jc w:val="both"/>
        <w:rPr>
          <w:rFonts w:eastAsia="Times New Roman" w:cs="Arial"/>
        </w:rPr>
      </w:pPr>
      <w:r w:rsidRPr="005C07CB">
        <w:rPr>
          <w:rFonts w:eastAsia="Times New Roman" w:cs="Arial"/>
        </w:rPr>
        <w:tab/>
        <w:t xml:space="preserve">Impl. Agent : </w:t>
      </w:r>
      <w:r w:rsidRPr="005C07CB">
        <w:rPr>
          <w:rFonts w:eastAsia="Times New Roman" w:cs="Arial"/>
        </w:rPr>
        <w:tab/>
      </w:r>
      <w:r w:rsidRPr="005C07CB">
        <w:rPr>
          <w:rFonts w:eastAsia="Times New Roman" w:cs="Arial"/>
        </w:rPr>
        <w:tab/>
        <w:t xml:space="preserve">Selon le cas </w:t>
      </w:r>
    </w:p>
    <w:p w14:paraId="79FABA6B" w14:textId="77777777" w:rsidR="005C07CB" w:rsidRPr="005C07CB" w:rsidRDefault="005C07CB" w:rsidP="005C07CB">
      <w:pPr>
        <w:pStyle w:val="ListParagraph"/>
        <w:spacing w:before="100" w:beforeAutospacing="1" w:after="100" w:afterAutospacing="1" w:line="240" w:lineRule="auto"/>
        <w:ind w:left="360"/>
        <w:jc w:val="both"/>
        <w:rPr>
          <w:rFonts w:eastAsia="Times New Roman" w:cs="Arial"/>
        </w:rPr>
      </w:pPr>
      <w:r w:rsidRPr="005C07CB">
        <w:rPr>
          <w:rFonts w:eastAsia="Times New Roman" w:cs="Arial"/>
        </w:rPr>
        <w:tab/>
        <w:t xml:space="preserve">Donateur : </w:t>
      </w:r>
      <w:r w:rsidRPr="005C07CB">
        <w:rPr>
          <w:rFonts w:eastAsia="Times New Roman" w:cs="Arial"/>
        </w:rPr>
        <w:tab/>
      </w:r>
      <w:r w:rsidRPr="005C07CB">
        <w:rPr>
          <w:rFonts w:eastAsia="Times New Roman" w:cs="Arial"/>
        </w:rPr>
        <w:tab/>
      </w:r>
      <w:r w:rsidRPr="005C07CB">
        <w:rPr>
          <w:rFonts w:eastAsia="Times New Roman" w:cs="Arial"/>
        </w:rPr>
        <w:tab/>
        <w:t xml:space="preserve">Comme approprié </w:t>
      </w:r>
    </w:p>
    <w:p w14:paraId="46E30571" w14:textId="7E1984C9" w:rsidR="005821CD" w:rsidRDefault="005C07CB" w:rsidP="005C07CB">
      <w:pPr>
        <w:pStyle w:val="ListParagraph"/>
        <w:spacing w:before="100" w:beforeAutospacing="1" w:after="100" w:afterAutospacing="1" w:line="240" w:lineRule="auto"/>
        <w:ind w:left="360"/>
        <w:jc w:val="both"/>
        <w:rPr>
          <w:rFonts w:eastAsia="Times New Roman" w:cs="Arial"/>
        </w:rPr>
      </w:pPr>
      <w:r w:rsidRPr="005C07CB">
        <w:rPr>
          <w:rFonts w:eastAsia="Times New Roman" w:cs="Arial"/>
        </w:rPr>
        <w:tab/>
        <w:t xml:space="preserve">Fournisseur : </w:t>
      </w:r>
      <w:r w:rsidRPr="005C07CB">
        <w:rPr>
          <w:rFonts w:eastAsia="Times New Roman" w:cs="Arial"/>
        </w:rPr>
        <w:tab/>
      </w:r>
      <w:r w:rsidRPr="005C07CB">
        <w:rPr>
          <w:rFonts w:eastAsia="Times New Roman" w:cs="Arial"/>
        </w:rPr>
        <w:tab/>
        <w:t>ID personnel/fournisseur du dépositaire de PCH</w:t>
      </w:r>
    </w:p>
    <w:p w14:paraId="340805D0" w14:textId="32D3BA88" w:rsidR="005C07CB" w:rsidRDefault="005C07CB" w:rsidP="005C07CB">
      <w:pPr>
        <w:pStyle w:val="ListParagraph"/>
        <w:spacing w:before="100" w:beforeAutospacing="1" w:after="100" w:afterAutospacing="1" w:line="240" w:lineRule="auto"/>
        <w:ind w:left="360"/>
        <w:jc w:val="both"/>
        <w:rPr>
          <w:rFonts w:eastAsia="Times New Roman" w:cs="Arial"/>
        </w:rPr>
      </w:pPr>
    </w:p>
    <w:p w14:paraId="13D15843" w14:textId="43505F7F" w:rsidR="005C07CB" w:rsidRPr="005C07CB" w:rsidRDefault="005C07CB" w:rsidP="005821CD">
      <w:pPr>
        <w:pStyle w:val="ListParagraph"/>
        <w:numPr>
          <w:ilvl w:val="2"/>
          <w:numId w:val="23"/>
        </w:numPr>
        <w:spacing w:before="100" w:beforeAutospacing="1" w:after="100" w:afterAutospacing="1" w:line="240" w:lineRule="auto"/>
        <w:ind w:left="360"/>
        <w:jc w:val="both"/>
        <w:rPr>
          <w:rFonts w:eastAsia="Times New Roman" w:cs="Arial"/>
        </w:rPr>
      </w:pPr>
      <w:r w:rsidRPr="005C07CB">
        <w:rPr>
          <w:rFonts w:eastAsia="Times New Roman" w:cs="Arial"/>
        </w:rPr>
        <w:t>La pièce justificative de la facture est l'approbation du représentant résident ou du trésorier, selon le cas.</w:t>
      </w:r>
    </w:p>
    <w:p w14:paraId="0E549B18" w14:textId="5EF90F6B" w:rsidR="005821CD" w:rsidRPr="005C07CB" w:rsidRDefault="005821CD" w:rsidP="005821CD">
      <w:pPr>
        <w:pStyle w:val="ListParagraph"/>
        <w:numPr>
          <w:ilvl w:val="2"/>
          <w:numId w:val="23"/>
        </w:numPr>
        <w:spacing w:before="100" w:beforeAutospacing="1" w:after="100" w:afterAutospacing="1" w:line="240" w:lineRule="auto"/>
        <w:ind w:left="360"/>
        <w:jc w:val="both"/>
        <w:rPr>
          <w:rFonts w:eastAsia="Times New Roman" w:cs="Arial"/>
          <w:lang w:val="fr-CH"/>
        </w:rPr>
      </w:pPr>
      <w:r>
        <w:t>Le réapprovisionnement ultérieur est effectué grâce aux bordereaux de compte créditeur et aux factures sans bons de commande payable au Dépositaire des PCH. Le montant du réapprovisionnement ultérieur doit être égal au montant de l’APJV (voir Contrôle interne et comptabilité des PCH) qui enregistre le total des versements effectués pendant la période précédant la demande de réapprovisionnement. L’APJV et les factures/reçus correspondants servent de documents justificatifs pour le réapprovisionnement ultérieur</w:t>
      </w:r>
      <w:r w:rsidRPr="005C07CB">
        <w:rPr>
          <w:lang w:val="fr-CH"/>
        </w:rPr>
        <w:t xml:space="preserve">. </w:t>
      </w:r>
    </w:p>
    <w:p w14:paraId="5ECE8F6E" w14:textId="77777777" w:rsidR="005821CD" w:rsidRPr="005C07CB" w:rsidRDefault="005821CD" w:rsidP="005821CD">
      <w:pPr>
        <w:pStyle w:val="ListParagraph"/>
        <w:rPr>
          <w:rFonts w:eastAsia="Times New Roman" w:cs="Arial"/>
          <w:lang w:val="fr-CH"/>
        </w:rPr>
      </w:pPr>
    </w:p>
    <w:p w14:paraId="35615324" w14:textId="5BE027F5"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Après le réapprovisionnement ultérieur, le solde des PCH</w:t>
      </w:r>
      <w:r w:rsidR="005C07CB">
        <w:t xml:space="preserve"> </w:t>
      </w:r>
      <w:r w:rsidR="005C07CB" w:rsidRPr="005C07CB">
        <w:t>conservé dans le coffre-fort du bureau</w:t>
      </w:r>
      <w:r>
        <w:t xml:space="preserve"> devrait être égal au solde initial d’ouverture. </w:t>
      </w:r>
    </w:p>
    <w:p w14:paraId="71BF604B" w14:textId="77777777" w:rsidR="005821CD" w:rsidRPr="0008326F" w:rsidRDefault="005821CD" w:rsidP="005821CD">
      <w:pPr>
        <w:pStyle w:val="ListParagraph"/>
        <w:rPr>
          <w:rFonts w:eastAsia="Times New Roman" w:cs="Arial"/>
        </w:rPr>
      </w:pPr>
    </w:p>
    <w:p w14:paraId="55DE23BE"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Pour le réapprovisionnement ultérieur des PCH, le RRA/O ou le Directeur des opérations du siège social du Bureau de pays (autre que le Dépositaire des PCH) doit examiner, certifier et approuver (le cas échéant) :</w:t>
      </w:r>
    </w:p>
    <w:p w14:paraId="460E0BA9" w14:textId="77777777" w:rsidR="005821CD" w:rsidRPr="0008326F" w:rsidRDefault="005821CD" w:rsidP="005821CD">
      <w:pPr>
        <w:pStyle w:val="ListParagraph"/>
        <w:rPr>
          <w:rFonts w:eastAsia="Times New Roman" w:cs="Arial"/>
        </w:rPr>
      </w:pPr>
    </w:p>
    <w:p w14:paraId="23E231DB" w14:textId="31D12AF9" w:rsidR="005821CD" w:rsidRPr="0008326F" w:rsidRDefault="008C6378" w:rsidP="005821CD">
      <w:pPr>
        <w:pStyle w:val="ListParagraph"/>
        <w:numPr>
          <w:ilvl w:val="0"/>
          <w:numId w:val="28"/>
        </w:numPr>
        <w:spacing w:before="100" w:beforeAutospacing="1" w:after="100" w:afterAutospacing="1" w:line="240" w:lineRule="auto"/>
        <w:ind w:left="1080"/>
        <w:jc w:val="both"/>
        <w:rPr>
          <w:rFonts w:eastAsia="Times New Roman" w:cs="Arial"/>
        </w:rPr>
      </w:pPr>
      <w:r w:rsidRPr="008C6378">
        <w:t>Téléchargez la liste de la feuille de calcul créée par le dépositaire de PCH pour enregistrer les débours de PCH et les pièces justificatives pertinentes (pour les dépenses imputées aux comptes de dépenses 7xxxx pertinents).</w:t>
      </w:r>
      <w:r w:rsidR="005821CD">
        <w:t xml:space="preserve"> </w:t>
      </w:r>
    </w:p>
    <w:p w14:paraId="379F61C5" w14:textId="77777777" w:rsidR="005821CD" w:rsidRPr="0008326F" w:rsidRDefault="005821CD" w:rsidP="005821CD">
      <w:pPr>
        <w:pStyle w:val="ListParagraph"/>
        <w:numPr>
          <w:ilvl w:val="0"/>
          <w:numId w:val="28"/>
        </w:numPr>
        <w:spacing w:before="100" w:beforeAutospacing="1" w:after="100" w:afterAutospacing="1" w:line="240" w:lineRule="auto"/>
        <w:ind w:left="1080"/>
        <w:jc w:val="both"/>
        <w:rPr>
          <w:rFonts w:eastAsia="Times New Roman" w:cs="Arial"/>
        </w:rPr>
      </w:pPr>
      <w:r>
        <w:lastRenderedPageBreak/>
        <w:t xml:space="preserve">Inventaire physique effectué par le bureau de projet pour s’assurer que le solde des PCH dans le coffre-fort est identique au solde noté dans le Registre des PCH. </w:t>
      </w:r>
    </w:p>
    <w:p w14:paraId="787699C8" w14:textId="77777777" w:rsidR="005821CD" w:rsidRPr="0008326F" w:rsidRDefault="005821CD" w:rsidP="005821CD">
      <w:pPr>
        <w:pStyle w:val="ListParagraph"/>
        <w:numPr>
          <w:ilvl w:val="0"/>
          <w:numId w:val="28"/>
        </w:numPr>
        <w:spacing w:before="100" w:beforeAutospacing="1" w:after="100" w:afterAutospacing="1" w:line="240" w:lineRule="auto"/>
        <w:ind w:left="1080"/>
        <w:jc w:val="both"/>
        <w:rPr>
          <w:rFonts w:eastAsia="Times New Roman" w:cs="Arial"/>
        </w:rPr>
      </w:pPr>
      <w:r>
        <w:t xml:space="preserve">Le rapprochement des PCH pour s’assurer que le solde du compte GL 16107 des PCH est identique au montant réel de l’argent en espèce dans le coffre-fort (après enregistrement de l’APJV) et dans le registre des PCH. </w:t>
      </w:r>
    </w:p>
    <w:p w14:paraId="78F677FA" w14:textId="683CB4C3" w:rsidR="005821CD" w:rsidRPr="0008326F" w:rsidRDefault="008C6378" w:rsidP="005821CD">
      <w:pPr>
        <w:pStyle w:val="ListParagraph"/>
        <w:numPr>
          <w:ilvl w:val="0"/>
          <w:numId w:val="28"/>
        </w:numPr>
        <w:spacing w:before="100" w:beforeAutospacing="1" w:after="100" w:afterAutospacing="1" w:line="240" w:lineRule="auto"/>
        <w:ind w:left="1080"/>
        <w:jc w:val="both"/>
        <w:rPr>
          <w:rFonts w:eastAsia="Times New Roman" w:cs="Arial"/>
        </w:rPr>
      </w:pPr>
      <w:r w:rsidRPr="008C6378">
        <w:t>Voucher de paiement pour payer le dépositaire de la PCH en tant que réapprovisionnement pour la PCH.</w:t>
      </w:r>
      <w:r w:rsidR="005821CD">
        <w:t xml:space="preserve">. </w:t>
      </w:r>
    </w:p>
    <w:p w14:paraId="2265A86F" w14:textId="77777777" w:rsidR="005821CD" w:rsidRPr="0008326F" w:rsidRDefault="005821CD" w:rsidP="7A033E06">
      <w:pPr>
        <w:spacing w:before="100" w:beforeAutospacing="1" w:after="100" w:afterAutospacing="1" w:line="240" w:lineRule="auto"/>
        <w:jc w:val="both"/>
        <w:rPr>
          <w:rFonts w:eastAsia="Times New Roman" w:cs="Arial"/>
          <w:b/>
          <w:bCs/>
          <w:i/>
          <w:iCs/>
        </w:rPr>
      </w:pPr>
      <w:r w:rsidRPr="7A033E06">
        <w:rPr>
          <w:b/>
          <w:bCs/>
          <w:i/>
          <w:iCs/>
        </w:rPr>
        <w:t xml:space="preserve">Conseils : Une demande pour le réapprovisionnement ultérieur des PCH doit être envoyée lorsque le solde des PCH atteint 20 % du solde initial. Si le délai requis est plus long en raison des conditions locales particulières, le Chef de projet doit convenir avec le Directeur des opérations d’augmenter le pourcentage au niveau approprié, afin que les activités relatives au projet ne subissent pas de retombées négatives. L’important n’est pas d’avoir des soldes excédentaires de PCH sur le site pour atténuer les risques de sécurité et s’assurer que les contrôles internes sont strictement effectués pour réduire les risques financiers. </w:t>
      </w:r>
    </w:p>
    <w:p w14:paraId="66BE50A6" w14:textId="17E091D2" w:rsidR="7A033E06" w:rsidRDefault="7A033E06" w:rsidP="7A033E06">
      <w:pPr>
        <w:spacing w:beforeAutospacing="1" w:afterAutospacing="1" w:line="240" w:lineRule="auto"/>
        <w:jc w:val="both"/>
        <w:rPr>
          <w:b/>
          <w:bCs/>
          <w:i/>
          <w:iCs/>
        </w:rPr>
      </w:pPr>
    </w:p>
    <w:p w14:paraId="30FB727B" w14:textId="77777777" w:rsidR="005821CD" w:rsidRPr="0008326F" w:rsidRDefault="005821CD" w:rsidP="7A033E06">
      <w:pPr>
        <w:spacing w:before="100" w:beforeAutospacing="1" w:after="100" w:afterAutospacing="1" w:line="240" w:lineRule="auto"/>
        <w:rPr>
          <w:rFonts w:eastAsia="Times New Roman" w:cs="Arial"/>
          <w:u w:val="single"/>
        </w:rPr>
      </w:pPr>
      <w:r w:rsidRPr="7A033E06">
        <w:rPr>
          <w:u w:val="single"/>
        </w:rPr>
        <w:t xml:space="preserve">Contrôles internes pour les PCH </w:t>
      </w:r>
    </w:p>
    <w:p w14:paraId="52DC5E0F" w14:textId="2A33CF5C" w:rsidR="7A033E06" w:rsidRDefault="7A033E06" w:rsidP="7A033E06">
      <w:pPr>
        <w:spacing w:beforeAutospacing="1" w:afterAutospacing="1" w:line="240" w:lineRule="auto"/>
        <w:rPr>
          <w:u w:val="single"/>
        </w:rPr>
      </w:pPr>
    </w:p>
    <w:p w14:paraId="3963AF74"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La répartition des tâches devrait être maintenue en tout temps.</w:t>
      </w:r>
    </w:p>
    <w:p w14:paraId="404EB5A7"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269BB092"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Les pièces justificatives des PCH numérotées au préalable dans l’ordre doivent être utilisées pour demander les versements de PCH ; l’approbation appropriée obtenue et le plan comptable (PC) complet indiqué. </w:t>
      </w:r>
    </w:p>
    <w:p w14:paraId="3DD18FE8" w14:textId="77777777" w:rsidR="005821CD" w:rsidRPr="0008326F" w:rsidRDefault="005821CD" w:rsidP="005821CD">
      <w:pPr>
        <w:pStyle w:val="ListParagraph"/>
        <w:rPr>
          <w:rFonts w:eastAsia="Times New Roman" w:cs="Arial"/>
        </w:rPr>
      </w:pPr>
    </w:p>
    <w:p w14:paraId="2B8A79F8"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La facture ou le reçu de tout achat doit être joint à chaque pièce justificative des PCH. </w:t>
      </w:r>
    </w:p>
    <w:p w14:paraId="7A75EBE4"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06B27A8E"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08144CFE"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Le registre des PCH doit être tenu à jour pour chaque transaction et publié à la fermeture des bureaux le dernier jour du mois ou avant chaque période de réapprovisionnement, sans autre modification. Un nouveau Registre des PCH doit être créé pour un nouveau mois ou pour une nouvelle période de réapprovisionnement. </w:t>
      </w:r>
    </w:p>
    <w:p w14:paraId="0DDA509E"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0B53748D"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Un rapport d’analyse des activités de comptabilité (AAA, Accounts Activities Analysis) pour le compte GL 16107 doit être produit pour chaque fin de mois ou chaque période de réapprovisionnement afin de comparer le solde noté dans le Registre des PCH à celui du compte GL. </w:t>
      </w:r>
    </w:p>
    <w:p w14:paraId="1BAAECB6"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0747D165"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Le Directeur des opérations doit effectuer un inventaire physique de l’argent en espèces à la fin du mois ou avant chaque demande de réapprovisionnement, selon la première éventualité, et signer le Formulaire pour le calcul des PCH (voir Annexe 3 – Formulaire pour le calcul du contenu de la caisse des PCH [pour l’inventaire physique et le rapprochement mensuel et de fin d’exercice]). La signature apposée sur le Formulaire pour le calcul des PCH certifie que le solde du coffre-fort est identique au solde noté dans le Registre des PCH et au solde du compte GL 16107. Si le bureau de projet n’a pas </w:t>
      </w:r>
      <w:r>
        <w:lastRenderedPageBreak/>
        <w:t xml:space="preserve">de Directeur des opérations, le RRA/O désigne un agent indépendant des PCH pour effectuer l’inventaire physique mensuel. </w:t>
      </w:r>
    </w:p>
    <w:p w14:paraId="6938C9E9"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4607D5B0" w14:textId="4338BEA4" w:rsidR="005821CD" w:rsidRPr="003D074A" w:rsidRDefault="005821CD" w:rsidP="003D074A">
      <w:pPr>
        <w:pStyle w:val="ListParagraph"/>
        <w:numPr>
          <w:ilvl w:val="2"/>
          <w:numId w:val="23"/>
        </w:numPr>
        <w:spacing w:before="100" w:beforeAutospacing="1" w:after="100" w:afterAutospacing="1" w:line="240" w:lineRule="auto"/>
        <w:ind w:left="360"/>
        <w:jc w:val="both"/>
        <w:rPr>
          <w:rFonts w:eastAsia="Times New Roman" w:cs="Arial"/>
        </w:rPr>
      </w:pPr>
      <w:r>
        <w:t xml:space="preserve">Par ailleurs, des inventaires physiques inopinés doivent être effectués conjointement par le RRA/O ou le Directeur des opérations et le personnel/les agents désignés au siège social du Bureau de pays. Il est important de toujours utiliser le formulaire pour le calcul des PCH et de relever la date des inventaires physiques inopinés. De plus, le Dépositaire doit effectuer un inventaire quotidien de l’argent en espèces et un rapprochement avec un deuxième agent. Ces éléments peuvent être enregistrés dans la Caisse enregistreuse. </w:t>
      </w:r>
    </w:p>
    <w:p w14:paraId="359DA904"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7C69BD64"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Tout écart identifié aux étapes 24 à 27 doit faire l’objet d’une enquête et être résolu dans un délai de 7 jours. </w:t>
      </w:r>
    </w:p>
    <w:p w14:paraId="7F939558"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5BD54016"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Les étapes 24 à 28 constituent le rapprochement mensuel des PCH à effectuer tous les mois sans exception. </w:t>
      </w:r>
    </w:p>
    <w:p w14:paraId="1F087438"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p>
    <w:p w14:paraId="225F5539" w14:textId="68A50D30" w:rsidR="005821CD" w:rsidRPr="00A71130" w:rsidRDefault="00A71130" w:rsidP="005821CD">
      <w:pPr>
        <w:pStyle w:val="ListParagraph"/>
        <w:numPr>
          <w:ilvl w:val="2"/>
          <w:numId w:val="23"/>
        </w:numPr>
        <w:spacing w:before="100" w:beforeAutospacing="1" w:after="100" w:afterAutospacing="1" w:line="240" w:lineRule="auto"/>
        <w:ind w:left="360"/>
        <w:jc w:val="both"/>
        <w:rPr>
          <w:rFonts w:eastAsia="Times New Roman" w:cs="Arial"/>
          <w:lang w:val="fr-CH"/>
        </w:rPr>
      </w:pPr>
      <w:r w:rsidRPr="00A71130">
        <w:t>Au plus tard le 31 décembre de chaque année, le CO doit télécharger la dernière feuille de calcul des dépenses enregistrées et déposer le solde de la PCH détenue dans le coffre sur le compte bancaire du CO. GSSC prendra les mesures nécessaires pour assurer la liquidation du prépaiement émis pour la PCH au compte GL 16107.</w:t>
      </w:r>
      <w:r w:rsidR="005821CD" w:rsidRPr="00A71130">
        <w:rPr>
          <w:lang w:val="fr-CH"/>
        </w:rPr>
        <w:t xml:space="preserve">. </w:t>
      </w:r>
    </w:p>
    <w:p w14:paraId="3E552D1F" w14:textId="77777777" w:rsidR="005821CD" w:rsidRPr="0008326F" w:rsidRDefault="005821CD" w:rsidP="005821CD">
      <w:pPr>
        <w:spacing w:before="100" w:beforeAutospacing="1" w:after="100" w:afterAutospacing="1" w:line="240" w:lineRule="auto"/>
        <w:jc w:val="both"/>
        <w:rPr>
          <w:rFonts w:eastAsia="Times New Roman" w:cs="Arial"/>
          <w:b/>
          <w:i/>
        </w:rPr>
      </w:pPr>
      <w:r>
        <w:rPr>
          <w:b/>
          <w:i/>
        </w:rPr>
        <w:t xml:space="preserve">Attention : Si le Bureau de pays ne dépose pas le solde des PCH dans le coffre-fort du compte bancaire en fin d’exercice, le bureau doit en informer la Trésorerie et expliquer les raisons pour lesquelles aucune mesure n’a été prise. La Trésorerie publiera des directives sur les procédures de certification de fin d’exercice. </w:t>
      </w:r>
    </w:p>
    <w:p w14:paraId="1E3B128E" w14:textId="77777777" w:rsidR="00F612A9" w:rsidRDefault="00F612A9" w:rsidP="005821CD">
      <w:pPr>
        <w:spacing w:before="100" w:beforeAutospacing="1" w:after="100" w:afterAutospacing="1" w:line="240" w:lineRule="auto"/>
        <w:rPr>
          <w:u w:val="single"/>
        </w:rPr>
      </w:pPr>
      <w:r>
        <w:rPr>
          <w:u w:val="single"/>
        </w:rPr>
        <w:br w:type="page"/>
      </w:r>
    </w:p>
    <w:p w14:paraId="3B00C941" w14:textId="491EDE36" w:rsidR="005821CD" w:rsidRPr="0008326F" w:rsidRDefault="005821CD" w:rsidP="005821CD">
      <w:pPr>
        <w:spacing w:before="100" w:beforeAutospacing="1" w:after="100" w:afterAutospacing="1" w:line="240" w:lineRule="auto"/>
        <w:jc w:val="both"/>
        <w:rPr>
          <w:rFonts w:eastAsia="Times New Roman" w:cs="Arial"/>
          <w:b/>
          <w:i/>
        </w:rPr>
      </w:pPr>
      <w:r>
        <w:rPr>
          <w:b/>
          <w:i/>
        </w:rPr>
        <w:lastRenderedPageBreak/>
        <w:t>Attention : Toutes les transactions dans les PCH (</w:t>
      </w:r>
      <w:r w:rsidR="00A71130" w:rsidRPr="00A71130">
        <w:rPr>
          <w:b/>
          <w:i/>
        </w:rPr>
        <w:t>Factures, notes de crédit</w:t>
      </w:r>
      <w:r>
        <w:rPr>
          <w:b/>
          <w:i/>
        </w:rPr>
        <w:t xml:space="preserve">) doivent être enregistrées dans le code de devise dans </w:t>
      </w:r>
      <w:r w:rsidR="00A71130">
        <w:rPr>
          <w:b/>
          <w:i/>
        </w:rPr>
        <w:t>Quantum</w:t>
      </w:r>
      <w:r>
        <w:rPr>
          <w:b/>
          <w:i/>
        </w:rPr>
        <w:t xml:space="preserve"> qui correspond à la devise réelle dans laquelle les PCH sont maintenus. L’utilisation d’un code de devise incorrect dans </w:t>
      </w:r>
      <w:r w:rsidR="00A71130">
        <w:rPr>
          <w:b/>
          <w:i/>
        </w:rPr>
        <w:t>Quantum</w:t>
      </w:r>
      <w:r>
        <w:rPr>
          <w:b/>
          <w:i/>
        </w:rPr>
        <w:t xml:space="preserve"> conduira à une évaluation inexacte des PCH dans les états financiers. </w:t>
      </w:r>
    </w:p>
    <w:p w14:paraId="28359855" w14:textId="0DE3F73F" w:rsidR="005821CD" w:rsidRPr="0008326F" w:rsidRDefault="005821CD" w:rsidP="7A033E06">
      <w:pPr>
        <w:spacing w:before="100" w:beforeAutospacing="1" w:after="100" w:afterAutospacing="1" w:line="240" w:lineRule="auto"/>
        <w:jc w:val="both"/>
        <w:rPr>
          <w:rFonts w:eastAsia="Times New Roman" w:cs="Arial"/>
          <w:b/>
          <w:bCs/>
          <w:i/>
          <w:iCs/>
        </w:rPr>
      </w:pPr>
      <w:r w:rsidRPr="7A033E06">
        <w:rPr>
          <w:b/>
          <w:bCs/>
          <w:i/>
          <w:iCs/>
        </w:rPr>
        <w:t xml:space="preserve">Attention : </w:t>
      </w:r>
      <w:r w:rsidR="00A71130" w:rsidRPr="00A71130">
        <w:rPr>
          <w:b/>
          <w:bCs/>
          <w:i/>
          <w:iCs/>
        </w:rPr>
        <w:t>Les entrées d'ajustement des gains/pertes de change sont contrôlées par l'équipe de gestion de la trésorerie de GSSC sur une base mensuelle.</w:t>
      </w:r>
      <w:r w:rsidRPr="7A033E06">
        <w:rPr>
          <w:b/>
          <w:bCs/>
          <w:i/>
          <w:iCs/>
        </w:rPr>
        <w:t xml:space="preserve"> </w:t>
      </w:r>
    </w:p>
    <w:p w14:paraId="59E418AA" w14:textId="28736B08" w:rsidR="7A033E06" w:rsidRDefault="7A033E06" w:rsidP="7A033E06">
      <w:pPr>
        <w:spacing w:beforeAutospacing="1" w:afterAutospacing="1" w:line="240" w:lineRule="auto"/>
        <w:jc w:val="both"/>
        <w:rPr>
          <w:b/>
          <w:bCs/>
          <w:i/>
          <w:iCs/>
        </w:rPr>
      </w:pPr>
    </w:p>
    <w:p w14:paraId="2B21C6ED" w14:textId="77777777" w:rsidR="005821CD" w:rsidRPr="0008326F" w:rsidRDefault="005821CD" w:rsidP="7A033E06">
      <w:pPr>
        <w:spacing w:before="100" w:beforeAutospacing="1" w:after="100" w:afterAutospacing="1" w:line="240" w:lineRule="auto"/>
        <w:rPr>
          <w:rFonts w:eastAsia="Times New Roman" w:cs="Arial"/>
          <w:u w:val="single"/>
        </w:rPr>
      </w:pPr>
      <w:r w:rsidRPr="7A033E06">
        <w:rPr>
          <w:u w:val="single"/>
        </w:rPr>
        <w:t xml:space="preserve">Rapprochement des PCH et clôture de fin d’exercice </w:t>
      </w:r>
    </w:p>
    <w:p w14:paraId="79FE584A" w14:textId="032645E3" w:rsidR="7A033E06" w:rsidRDefault="7A033E06" w:rsidP="7A033E06">
      <w:pPr>
        <w:spacing w:beforeAutospacing="1" w:afterAutospacing="1" w:line="240" w:lineRule="auto"/>
        <w:rPr>
          <w:u w:val="single"/>
        </w:rPr>
      </w:pPr>
    </w:p>
    <w:p w14:paraId="49D947F7"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Les étapes 24 à 28 de la section Contrôles internes pour les PCH constituent le rapprochement mensuel des PCH qui doit être effectué tous les mois sans exception, y compris la clôture de fin d’exercice.</w:t>
      </w:r>
    </w:p>
    <w:p w14:paraId="2FAAAEB7"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41FD701B" w14:textId="6D7E1AA6" w:rsidR="005821CD" w:rsidRPr="00F612A9"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Si le siège </w:t>
      </w:r>
      <w:r w:rsidR="00A313D1">
        <w:t xml:space="preserve">principal </w:t>
      </w:r>
      <w:r>
        <w:t xml:space="preserve">du Bureau de pays et son bureau de projet suivent les directives et procédures du présent document, le rapport AAA pour le compte GL 16107 au 31 décembre doit indiquer que le solde est nul en devise locale. </w:t>
      </w:r>
    </w:p>
    <w:p w14:paraId="2560E65A" w14:textId="77777777" w:rsidR="00F612A9" w:rsidRPr="00F612A9" w:rsidRDefault="00F612A9" w:rsidP="00F612A9">
      <w:pPr>
        <w:pStyle w:val="ListParagraph"/>
        <w:rPr>
          <w:rFonts w:eastAsia="Times New Roman" w:cs="Arial"/>
        </w:rPr>
      </w:pPr>
    </w:p>
    <w:p w14:paraId="32C29C8B"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 xml:space="preserve">Le RRA/O doit examiner les résultats du rapprochement des PCH, remplir et signer le Certificat de fin d’exercice des PCH et le formulaire pour le calcul des PCH. Ces deux documents doivent être téléchargés dans le SharePoint désigné au plus tard le 31 janvier (voir Annexe 4 – Attestation de fin d’exercice pour les règlements en espèces) </w:t>
      </w:r>
    </w:p>
    <w:p w14:paraId="6EFC4713" w14:textId="77777777" w:rsidR="005821CD" w:rsidRPr="0008326F" w:rsidRDefault="005821CD" w:rsidP="005821CD">
      <w:pPr>
        <w:spacing w:before="100" w:beforeAutospacing="1" w:after="100" w:afterAutospacing="1" w:line="240" w:lineRule="auto"/>
        <w:jc w:val="both"/>
        <w:rPr>
          <w:rFonts w:eastAsia="Times New Roman" w:cs="Arial"/>
          <w:b/>
          <w:i/>
        </w:rPr>
      </w:pPr>
      <w:r>
        <w:rPr>
          <w:b/>
          <w:i/>
        </w:rPr>
        <w:t xml:space="preserve">Attention : Faites attention à la devise dans le GL. Le rapprochement doit être effectué pour la devise dans laquelle les PCH sont conservées. Généralement, il s’agit de la devise locale. Le Bureau de pays ne doit pas effectuer le rapprochement du solde en USD. </w:t>
      </w:r>
    </w:p>
    <w:p w14:paraId="5F3FA826" w14:textId="79492E35" w:rsidR="005821CD" w:rsidRPr="0008326F" w:rsidRDefault="005821CD" w:rsidP="005821CD">
      <w:pPr>
        <w:spacing w:before="100" w:beforeAutospacing="1" w:after="100" w:afterAutospacing="1" w:line="240" w:lineRule="auto"/>
        <w:jc w:val="both"/>
        <w:rPr>
          <w:rFonts w:eastAsia="Times New Roman" w:cs="Arial"/>
          <w:b/>
          <w:i/>
        </w:rPr>
      </w:pPr>
      <w:r>
        <w:rPr>
          <w:b/>
          <w:i/>
        </w:rPr>
        <w:t>Attention : Le RRA/O est responsable de l’exactitude et de l’uniformité des soldes du rapport AAA, du registre des PCH et du</w:t>
      </w:r>
      <w:r w:rsidR="00A313D1">
        <w:rPr>
          <w:b/>
          <w:i/>
        </w:rPr>
        <w:t xml:space="preserve"> contenu du</w:t>
      </w:r>
      <w:r>
        <w:rPr>
          <w:b/>
          <w:i/>
        </w:rPr>
        <w:t xml:space="preserve"> coffre-fort. </w:t>
      </w:r>
    </w:p>
    <w:p w14:paraId="2822AA93" w14:textId="3627DAB0" w:rsidR="005821CD" w:rsidRPr="0008326F" w:rsidRDefault="005821CD" w:rsidP="7A033E06">
      <w:pPr>
        <w:spacing w:before="100" w:beforeAutospacing="1" w:after="100" w:afterAutospacing="1" w:line="240" w:lineRule="auto"/>
        <w:rPr>
          <w:rFonts w:eastAsia="Times New Roman" w:cs="Arial"/>
          <w:u w:val="single"/>
        </w:rPr>
      </w:pPr>
      <w:r w:rsidRPr="7A033E06">
        <w:rPr>
          <w:u w:val="single"/>
        </w:rPr>
        <w:t xml:space="preserve">Suivie des PCH </w:t>
      </w:r>
    </w:p>
    <w:p w14:paraId="2D15BF3C" w14:textId="5C8FE06C" w:rsidR="7A033E06" w:rsidRDefault="7A033E06" w:rsidP="7A033E06">
      <w:pPr>
        <w:spacing w:beforeAutospacing="1" w:afterAutospacing="1" w:line="240" w:lineRule="auto"/>
        <w:rPr>
          <w:u w:val="single"/>
        </w:rPr>
      </w:pPr>
    </w:p>
    <w:p w14:paraId="54F68B0A" w14:textId="77777777" w:rsidR="005821CD" w:rsidRPr="0008326F" w:rsidRDefault="005821CD" w:rsidP="005821CD">
      <w:pPr>
        <w:pStyle w:val="ListParagraph"/>
        <w:numPr>
          <w:ilvl w:val="2"/>
          <w:numId w:val="23"/>
        </w:numPr>
        <w:spacing w:before="100" w:beforeAutospacing="1" w:after="100" w:afterAutospacing="1" w:line="240" w:lineRule="auto"/>
        <w:ind w:left="360"/>
        <w:jc w:val="both"/>
        <w:rPr>
          <w:rFonts w:eastAsia="Times New Roman" w:cs="Arial"/>
        </w:rPr>
      </w:pPr>
      <w:r>
        <w:t>Le Représentant résident est responsable d’assurer le suivi de routine, au moins une fois par mois, de la qualité et de l’exhaustivité des données du compte GL 16107. Le respect des directives et des procédures par le Bureau de pays devrait garantir les éléments suivants :</w:t>
      </w:r>
    </w:p>
    <w:p w14:paraId="1140DCF9" w14:textId="77777777" w:rsidR="005821CD" w:rsidRPr="0008326F" w:rsidRDefault="005821CD" w:rsidP="005821CD">
      <w:pPr>
        <w:pStyle w:val="ListParagraph"/>
        <w:spacing w:before="100" w:beforeAutospacing="1" w:after="100" w:afterAutospacing="1" w:line="240" w:lineRule="auto"/>
        <w:ind w:left="360"/>
        <w:jc w:val="both"/>
        <w:rPr>
          <w:rFonts w:eastAsia="Times New Roman" w:cs="Arial"/>
        </w:rPr>
      </w:pPr>
      <w:r>
        <w:t xml:space="preserve"> </w:t>
      </w:r>
    </w:p>
    <w:p w14:paraId="0069E3E0" w14:textId="77777777" w:rsidR="005821CD" w:rsidRPr="0008326F" w:rsidRDefault="005821CD" w:rsidP="005821CD">
      <w:pPr>
        <w:pStyle w:val="ListParagraph"/>
        <w:numPr>
          <w:ilvl w:val="0"/>
          <w:numId w:val="29"/>
        </w:numPr>
        <w:spacing w:before="100" w:beforeAutospacing="1" w:after="100" w:afterAutospacing="1" w:line="240" w:lineRule="auto"/>
        <w:ind w:left="1080"/>
        <w:rPr>
          <w:rFonts w:eastAsia="Times New Roman" w:cs="Arial"/>
        </w:rPr>
      </w:pPr>
      <w:r>
        <w:t xml:space="preserve">Le niveau des PCH ne doit jamais dépasser le niveau autorisé. </w:t>
      </w:r>
    </w:p>
    <w:p w14:paraId="7957AA50" w14:textId="77777777" w:rsidR="005821CD" w:rsidRPr="0008326F" w:rsidRDefault="005821CD" w:rsidP="005821CD">
      <w:pPr>
        <w:pStyle w:val="ListParagraph"/>
        <w:numPr>
          <w:ilvl w:val="0"/>
          <w:numId w:val="29"/>
        </w:numPr>
        <w:spacing w:before="100" w:beforeAutospacing="1" w:after="100" w:afterAutospacing="1" w:line="240" w:lineRule="auto"/>
        <w:ind w:left="1080"/>
        <w:rPr>
          <w:rFonts w:eastAsia="Times New Roman" w:cs="Arial"/>
        </w:rPr>
      </w:pPr>
      <w:r>
        <w:t xml:space="preserve">Les dépenses sont enregistrées tous les mois ou à chaque période de réapprovisionnement. </w:t>
      </w:r>
    </w:p>
    <w:p w14:paraId="332DCA22" w14:textId="77777777" w:rsidR="005821CD" w:rsidRPr="0008326F" w:rsidRDefault="005821CD" w:rsidP="005821CD">
      <w:pPr>
        <w:pStyle w:val="ListParagraph"/>
        <w:numPr>
          <w:ilvl w:val="0"/>
          <w:numId w:val="29"/>
        </w:numPr>
        <w:spacing w:before="100" w:beforeAutospacing="1" w:after="100" w:afterAutospacing="1" w:line="240" w:lineRule="auto"/>
        <w:ind w:left="1080"/>
        <w:rPr>
          <w:rFonts w:eastAsia="Times New Roman" w:cs="Arial"/>
        </w:rPr>
      </w:pPr>
      <w:r>
        <w:t xml:space="preserve">Aucune GLJE n’est utilisée. </w:t>
      </w:r>
    </w:p>
    <w:p w14:paraId="7EB04101" w14:textId="77777777" w:rsidR="005821CD" w:rsidRPr="0008326F" w:rsidRDefault="005821CD" w:rsidP="005821CD">
      <w:pPr>
        <w:pStyle w:val="ListParagraph"/>
        <w:numPr>
          <w:ilvl w:val="0"/>
          <w:numId w:val="29"/>
        </w:numPr>
        <w:spacing w:before="100" w:beforeAutospacing="1" w:after="100" w:afterAutospacing="1" w:line="240" w:lineRule="auto"/>
        <w:ind w:left="1080"/>
        <w:rPr>
          <w:rFonts w:eastAsia="Times New Roman" w:cs="Arial"/>
        </w:rPr>
      </w:pPr>
      <w:r>
        <w:lastRenderedPageBreak/>
        <w:t xml:space="preserve">Toutes les transactions enregistrées sont dans la devise pour laquelle le solde initial des PCH est établi. </w:t>
      </w:r>
    </w:p>
    <w:p w14:paraId="4ABACE94" w14:textId="77777777" w:rsidR="005821CD" w:rsidRPr="0008326F" w:rsidRDefault="005821CD" w:rsidP="7A033E06">
      <w:pPr>
        <w:pStyle w:val="ListParagraph"/>
        <w:numPr>
          <w:ilvl w:val="0"/>
          <w:numId w:val="29"/>
        </w:numPr>
        <w:spacing w:before="100" w:beforeAutospacing="1" w:after="100" w:afterAutospacing="1" w:line="240" w:lineRule="auto"/>
        <w:ind w:left="1080"/>
        <w:rPr>
          <w:rFonts w:eastAsia="Times New Roman" w:cs="Arial"/>
        </w:rPr>
      </w:pPr>
      <w:r>
        <w:t xml:space="preserve">Au 31 décembre, le solde du compte GL 16107 dans la devise locale est nul. </w:t>
      </w:r>
    </w:p>
    <w:p w14:paraId="5E8CDF30" w14:textId="43D8F98D" w:rsidR="7A033E06" w:rsidRDefault="7A033E06" w:rsidP="7A033E06">
      <w:pPr>
        <w:spacing w:beforeAutospacing="1" w:afterAutospacing="1" w:line="240" w:lineRule="auto"/>
        <w:ind w:left="360"/>
      </w:pPr>
    </w:p>
    <w:p w14:paraId="7B93F07C" w14:textId="77777777" w:rsidR="005821CD" w:rsidRPr="0008326F" w:rsidRDefault="005821CD" w:rsidP="005821CD">
      <w:pPr>
        <w:pStyle w:val="NormalWeb"/>
        <w:jc w:val="both"/>
        <w:rPr>
          <w:rFonts w:asciiTheme="minorHAnsi" w:hAnsiTheme="minorHAnsi" w:cs="Arial"/>
          <w:b/>
          <w:i/>
          <w:sz w:val="22"/>
          <w:szCs w:val="22"/>
        </w:rPr>
      </w:pPr>
      <w:r>
        <w:rPr>
          <w:rFonts w:asciiTheme="minorHAnsi" w:hAnsiTheme="minorHAnsi"/>
          <w:b/>
          <w:i/>
          <w:sz w:val="22"/>
          <w:szCs w:val="22"/>
        </w:rPr>
        <w:t xml:space="preserve">Attention : Les procédures doivent impérativement être suivies à la lettre pour que les avoirs en espèces du PNUD soient comptabilisés en temps opportun et avec exactitude. </w:t>
      </w:r>
    </w:p>
    <w:p w14:paraId="771548C8" w14:textId="77777777" w:rsidR="005821CD" w:rsidRPr="00F612A9" w:rsidRDefault="005821CD" w:rsidP="005821CD">
      <w:pPr>
        <w:pStyle w:val="ListParagraph"/>
        <w:spacing w:after="0" w:line="240" w:lineRule="auto"/>
      </w:pPr>
    </w:p>
    <w:p w14:paraId="0828689B" w14:textId="77777777" w:rsidR="005821CD" w:rsidRPr="00F612A9" w:rsidRDefault="005821CD" w:rsidP="005821CD">
      <w:pPr>
        <w:pStyle w:val="ListParagraph"/>
        <w:spacing w:after="0" w:line="240" w:lineRule="auto"/>
      </w:pPr>
    </w:p>
    <w:p w14:paraId="3AB60501" w14:textId="6E031D9A" w:rsidR="001742D0" w:rsidRPr="00F612A9" w:rsidRDefault="001742D0" w:rsidP="005821CD">
      <w:pPr>
        <w:spacing w:after="0" w:line="240" w:lineRule="auto"/>
        <w:rPr>
          <w:i/>
        </w:rPr>
      </w:pPr>
    </w:p>
    <w:sectPr w:rsidR="001742D0" w:rsidRPr="00F612A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E6F65" w14:textId="77777777" w:rsidR="0065038E" w:rsidRDefault="0065038E" w:rsidP="0077038C">
      <w:pPr>
        <w:spacing w:after="0" w:line="240" w:lineRule="auto"/>
      </w:pPr>
      <w:r>
        <w:separator/>
      </w:r>
    </w:p>
  </w:endnote>
  <w:endnote w:type="continuationSeparator" w:id="0">
    <w:p w14:paraId="3C137821" w14:textId="77777777" w:rsidR="0065038E" w:rsidRDefault="0065038E" w:rsidP="0077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C2ABB" w14:textId="77777777" w:rsidR="000A08EB" w:rsidRDefault="000A0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59EE1" w14:textId="5E2C2AF4" w:rsidR="0077038C" w:rsidRDefault="00BC4E64">
    <w:pPr>
      <w:pStyle w:val="Footer"/>
    </w:pPr>
    <w:r>
      <w:t xml:space="preserve">Page </w:t>
    </w:r>
    <w:r>
      <w:rPr>
        <w:b/>
      </w:rPr>
      <w:fldChar w:fldCharType="begin"/>
    </w:r>
    <w:r>
      <w:rPr>
        <w:b/>
      </w:rPr>
      <w:instrText xml:space="preserve"> PAGE  \* Arabic  \* MERGEFORMAT </w:instrText>
    </w:r>
    <w:r>
      <w:rPr>
        <w:b/>
      </w:rPr>
      <w:fldChar w:fldCharType="separate"/>
    </w:r>
    <w:r w:rsidR="00F612A9">
      <w:rPr>
        <w:b/>
        <w:noProof/>
      </w:rPr>
      <w:t>9</w:t>
    </w:r>
    <w:r>
      <w:rPr>
        <w:b/>
      </w:rPr>
      <w:fldChar w:fldCharType="end"/>
    </w:r>
    <w:r>
      <w:t xml:space="preserve"> sur </w:t>
    </w:r>
    <w:r>
      <w:rPr>
        <w:b/>
      </w:rPr>
      <w:fldChar w:fldCharType="begin"/>
    </w:r>
    <w:r>
      <w:rPr>
        <w:b/>
      </w:rPr>
      <w:instrText xml:space="preserve"> NUMPAGES  \* Arabic  \* MERGEFORMAT </w:instrText>
    </w:r>
    <w:r>
      <w:rPr>
        <w:b/>
      </w:rPr>
      <w:fldChar w:fldCharType="separate"/>
    </w:r>
    <w:r w:rsidR="00F612A9">
      <w:rPr>
        <w:b/>
        <w:noProof/>
      </w:rPr>
      <w:t>9</w:t>
    </w:r>
    <w:r>
      <w:rPr>
        <w:b/>
      </w:rPr>
      <w:fldChar w:fldCharType="end"/>
    </w:r>
    <w:r>
      <w:ptab w:relativeTo="margin" w:alignment="center" w:leader="none"/>
    </w:r>
    <w:r>
      <w:t xml:space="preserve">Date d’entrée en vigueur : </w:t>
    </w:r>
    <w:r w:rsidR="001A0C0F" w:rsidRPr="001A0C0F">
      <w:t>30/04/2021</w:t>
    </w:r>
    <w:r w:rsidR="001A0C0F" w:rsidRPr="001A0C0F">
      <w:t xml:space="preserve"> </w:t>
    </w:r>
    <w:r>
      <w:ptab w:relativeTo="margin" w:alignment="right" w:leader="none"/>
    </w:r>
    <w:r>
      <w:t xml:space="preserve">Numéro de version : </w:t>
    </w:r>
    <w:sdt>
      <w:sdtPr>
        <w:alias w:val="POPPRefItemVersion"/>
        <w:tag w:val="UNDP_POPP_REFITEM_VERSION"/>
        <w:id w:val="1720084542"/>
        <w:placeholder>
          <w:docPart w:val="E3B0E86933694CA5A432155C71599BC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29FFFF-EE90-4017-B69A-7ACC9DC31411}"/>
        <w:text/>
      </w:sdtPr>
      <w:sdtContent>
        <w:r w:rsidR="001A0C0F">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AD7B2" w14:textId="77777777" w:rsidR="000A08EB" w:rsidRDefault="000A0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E541A" w14:textId="77777777" w:rsidR="0065038E" w:rsidRDefault="0065038E" w:rsidP="0077038C">
      <w:pPr>
        <w:spacing w:after="0" w:line="240" w:lineRule="auto"/>
      </w:pPr>
      <w:r>
        <w:separator/>
      </w:r>
    </w:p>
  </w:footnote>
  <w:footnote w:type="continuationSeparator" w:id="0">
    <w:p w14:paraId="41E879B6" w14:textId="77777777" w:rsidR="0065038E" w:rsidRDefault="0065038E" w:rsidP="00770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F234" w14:textId="77777777" w:rsidR="000A08EB" w:rsidRDefault="000A0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5E5B4" w14:textId="0CF13DA7" w:rsidR="00030EB3" w:rsidRDefault="4950DA7B" w:rsidP="00030EB3">
    <w:pPr>
      <w:pStyle w:val="Header"/>
      <w:jc w:val="right"/>
    </w:pPr>
    <w:r>
      <w:rPr>
        <w:noProof/>
      </w:rPr>
      <w:drawing>
        <wp:inline distT="0" distB="0" distL="0" distR="0" wp14:anchorId="5E27DE46" wp14:editId="06A884B0">
          <wp:extent cx="304800" cy="585042"/>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rotWithShape="1">
                  <a:blip r:embed="rId1">
                    <a:extLst>
                      <a:ext uri="{28A0092B-C50C-407E-A947-70E740481C1C}">
                        <a14:useLocalDpi xmlns:a14="http://schemas.microsoft.com/office/drawing/2010/main" val="0"/>
                      </a:ext>
                    </a:extLst>
                  </a:blip>
                  <a:srcRect r="-18" b="16772"/>
                  <a:stretch/>
                </pic:blipFill>
                <pic:spPr bwMode="auto">
                  <a:xfrm>
                    <a:off x="0" y="0"/>
                    <a:ext cx="304855" cy="58514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762C0" w14:textId="77777777" w:rsidR="000A08EB" w:rsidRDefault="000A0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93DAC"/>
    <w:multiLevelType w:val="hybridMultilevel"/>
    <w:tmpl w:val="3B2EBB30"/>
    <w:lvl w:ilvl="0" w:tplc="C774459E">
      <w:start w:val="1"/>
      <w:numFmt w:val="lowerRoman"/>
      <w:lvlText w:val="%1."/>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5016F6">
      <w:start w:val="1"/>
      <w:numFmt w:val="lowerLetter"/>
      <w:lvlText w:val="%2"/>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DC6DAC">
      <w:start w:val="1"/>
      <w:numFmt w:val="lowerRoman"/>
      <w:lvlText w:val="%3"/>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2CEB60">
      <w:start w:val="1"/>
      <w:numFmt w:val="decimal"/>
      <w:lvlText w:val="%4"/>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28BC66">
      <w:start w:val="1"/>
      <w:numFmt w:val="lowerLetter"/>
      <w:lvlText w:val="%5"/>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3ED850">
      <w:start w:val="1"/>
      <w:numFmt w:val="lowerRoman"/>
      <w:lvlText w:val="%6"/>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52588C">
      <w:start w:val="1"/>
      <w:numFmt w:val="decimal"/>
      <w:lvlText w:val="%7"/>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CA4164">
      <w:start w:val="1"/>
      <w:numFmt w:val="lowerLetter"/>
      <w:lvlText w:val="%8"/>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4E7EBA">
      <w:start w:val="1"/>
      <w:numFmt w:val="lowerRoman"/>
      <w:lvlText w:val="%9"/>
      <w:lvlJc w:val="left"/>
      <w:pPr>
        <w:ind w:left="7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573BA2"/>
    <w:multiLevelType w:val="hybridMultilevel"/>
    <w:tmpl w:val="E85A81F2"/>
    <w:lvl w:ilvl="0" w:tplc="04090019">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49A6"/>
    <w:multiLevelType w:val="hybridMultilevel"/>
    <w:tmpl w:val="443412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041927"/>
    <w:multiLevelType w:val="hybridMultilevel"/>
    <w:tmpl w:val="4E6E35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4A56AE"/>
    <w:multiLevelType w:val="hybridMultilevel"/>
    <w:tmpl w:val="D73479DC"/>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317E5"/>
    <w:multiLevelType w:val="hybridMultilevel"/>
    <w:tmpl w:val="A928F3B8"/>
    <w:lvl w:ilvl="0" w:tplc="04090019">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86A95"/>
    <w:multiLevelType w:val="hybridMultilevel"/>
    <w:tmpl w:val="582AA2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624D91"/>
    <w:multiLevelType w:val="hybridMultilevel"/>
    <w:tmpl w:val="168EA1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5F475A"/>
    <w:multiLevelType w:val="hybridMultilevel"/>
    <w:tmpl w:val="0608B41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6451F"/>
    <w:multiLevelType w:val="hybridMultilevel"/>
    <w:tmpl w:val="E6DE59C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74367"/>
    <w:multiLevelType w:val="hybridMultilevel"/>
    <w:tmpl w:val="10F26416"/>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632D3"/>
    <w:multiLevelType w:val="hybridMultilevel"/>
    <w:tmpl w:val="2340BC70"/>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227AF"/>
    <w:multiLevelType w:val="hybridMultilevel"/>
    <w:tmpl w:val="256CF72A"/>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12F81"/>
    <w:multiLevelType w:val="hybridMultilevel"/>
    <w:tmpl w:val="5A666072"/>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C3815"/>
    <w:multiLevelType w:val="hybridMultilevel"/>
    <w:tmpl w:val="635415D2"/>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82734"/>
    <w:multiLevelType w:val="hybridMultilevel"/>
    <w:tmpl w:val="BCD01DB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30BED"/>
    <w:multiLevelType w:val="hybridMultilevel"/>
    <w:tmpl w:val="51AE149E"/>
    <w:lvl w:ilvl="0" w:tplc="04090019">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C1786"/>
    <w:multiLevelType w:val="hybridMultilevel"/>
    <w:tmpl w:val="4C106E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9E3916"/>
    <w:multiLevelType w:val="hybridMultilevel"/>
    <w:tmpl w:val="AEFCAF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F9047A6"/>
    <w:multiLevelType w:val="hybridMultilevel"/>
    <w:tmpl w:val="6B2AA172"/>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C6400"/>
    <w:multiLevelType w:val="hybridMultilevel"/>
    <w:tmpl w:val="50E024A2"/>
    <w:styleLink w:val="tat"/>
    <w:lvl w:ilvl="0" w:tplc="960498CA">
      <w:start w:val="1"/>
      <w:numFmt w:val="bullet"/>
      <w:lvlText w:val=""/>
      <w:lvlJc w:val="left"/>
      <w:pPr>
        <w:tabs>
          <w:tab w:val="num" w:pos="822"/>
        </w:tabs>
        <w:ind w:left="397" w:hanging="397"/>
      </w:pPr>
      <w:rPr>
        <w:rFonts w:ascii="Wingdings" w:hAnsi="Wingdings" w:hint="default"/>
      </w:rPr>
    </w:lvl>
    <w:lvl w:ilvl="1" w:tplc="07689B28">
      <w:start w:val="1"/>
      <w:numFmt w:val="bullet"/>
      <w:lvlText w:val=""/>
      <w:lvlJc w:val="left"/>
      <w:pPr>
        <w:tabs>
          <w:tab w:val="num" w:pos="900"/>
        </w:tabs>
        <w:ind w:left="900" w:hanging="360"/>
      </w:pPr>
      <w:rPr>
        <w:rFonts w:ascii="Wingdings" w:hAnsi="Wingdings" w:hint="default"/>
      </w:rPr>
    </w:lvl>
    <w:lvl w:ilvl="2" w:tplc="FB52311A">
      <w:start w:val="1"/>
      <w:numFmt w:val="bullet"/>
      <w:lvlText w:val=""/>
      <w:lvlJc w:val="left"/>
      <w:pPr>
        <w:tabs>
          <w:tab w:val="num" w:pos="1260"/>
        </w:tabs>
        <w:ind w:left="1260" w:hanging="360"/>
      </w:pPr>
      <w:rPr>
        <w:rFonts w:ascii="Wingdings" w:hAnsi="Wingdings" w:hint="default"/>
      </w:rPr>
    </w:lvl>
    <w:lvl w:ilvl="3" w:tplc="005C459A">
      <w:start w:val="1"/>
      <w:numFmt w:val="bullet"/>
      <w:lvlText w:val=""/>
      <w:lvlJc w:val="left"/>
      <w:pPr>
        <w:tabs>
          <w:tab w:val="num" w:pos="3305"/>
        </w:tabs>
        <w:ind w:left="3305" w:hanging="360"/>
      </w:pPr>
      <w:rPr>
        <w:rFonts w:ascii="Symbol" w:hAnsi="Symbol" w:hint="default"/>
      </w:rPr>
    </w:lvl>
    <w:lvl w:ilvl="4" w:tplc="90F23160">
      <w:start w:val="1"/>
      <w:numFmt w:val="bullet"/>
      <w:lvlText w:val="o"/>
      <w:lvlJc w:val="left"/>
      <w:pPr>
        <w:tabs>
          <w:tab w:val="num" w:pos="4025"/>
        </w:tabs>
        <w:ind w:left="4025" w:hanging="360"/>
      </w:pPr>
      <w:rPr>
        <w:rFonts w:ascii="Courier New" w:hAnsi="Courier New" w:hint="default"/>
      </w:rPr>
    </w:lvl>
    <w:lvl w:ilvl="5" w:tplc="AF06F65A">
      <w:start w:val="1"/>
      <w:numFmt w:val="bullet"/>
      <w:lvlText w:val=""/>
      <w:lvlJc w:val="left"/>
      <w:pPr>
        <w:tabs>
          <w:tab w:val="num" w:pos="4745"/>
        </w:tabs>
        <w:ind w:left="4745" w:hanging="360"/>
      </w:pPr>
      <w:rPr>
        <w:rFonts w:ascii="Wingdings" w:hAnsi="Wingdings" w:hint="default"/>
      </w:rPr>
    </w:lvl>
    <w:lvl w:ilvl="6" w:tplc="A6FCB92C">
      <w:start w:val="1"/>
      <w:numFmt w:val="bullet"/>
      <w:lvlText w:val=""/>
      <w:lvlJc w:val="left"/>
      <w:pPr>
        <w:tabs>
          <w:tab w:val="num" w:pos="5465"/>
        </w:tabs>
        <w:ind w:left="5465" w:hanging="360"/>
      </w:pPr>
      <w:rPr>
        <w:rFonts w:ascii="Symbol" w:hAnsi="Symbol" w:hint="default"/>
      </w:rPr>
    </w:lvl>
    <w:lvl w:ilvl="7" w:tplc="64EC45BC">
      <w:start w:val="1"/>
      <w:numFmt w:val="bullet"/>
      <w:lvlText w:val="o"/>
      <w:lvlJc w:val="left"/>
      <w:pPr>
        <w:tabs>
          <w:tab w:val="num" w:pos="6185"/>
        </w:tabs>
        <w:ind w:left="6185" w:hanging="360"/>
      </w:pPr>
      <w:rPr>
        <w:rFonts w:ascii="Courier New" w:hAnsi="Courier New" w:hint="default"/>
      </w:rPr>
    </w:lvl>
    <w:lvl w:ilvl="8" w:tplc="ABDE14DC">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77D73EA2"/>
    <w:multiLevelType w:val="hybridMultilevel"/>
    <w:tmpl w:val="28E43FCE"/>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375C7"/>
    <w:multiLevelType w:val="hybridMultilevel"/>
    <w:tmpl w:val="F0522C0E"/>
    <w:lvl w:ilvl="0" w:tplc="AD96000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F6E46"/>
    <w:multiLevelType w:val="hybridMultilevel"/>
    <w:tmpl w:val="A84884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0155D4"/>
    <w:multiLevelType w:val="hybridMultilevel"/>
    <w:tmpl w:val="E1CCF836"/>
    <w:lvl w:ilvl="0" w:tplc="04090017">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638108">
    <w:abstractNumId w:val="23"/>
  </w:num>
  <w:num w:numId="2" w16cid:durableId="2066710297">
    <w:abstractNumId w:val="23"/>
  </w:num>
  <w:num w:numId="3" w16cid:durableId="1849324068">
    <w:abstractNumId w:val="25"/>
  </w:num>
  <w:num w:numId="4" w16cid:durableId="1900945034">
    <w:abstractNumId w:val="27"/>
  </w:num>
  <w:num w:numId="5" w16cid:durableId="196284207">
    <w:abstractNumId w:val="15"/>
  </w:num>
  <w:num w:numId="6" w16cid:durableId="480074063">
    <w:abstractNumId w:val="12"/>
  </w:num>
  <w:num w:numId="7" w16cid:durableId="1832718252">
    <w:abstractNumId w:val="24"/>
  </w:num>
  <w:num w:numId="8" w16cid:durableId="1386949957">
    <w:abstractNumId w:val="11"/>
  </w:num>
  <w:num w:numId="9" w16cid:durableId="2013337421">
    <w:abstractNumId w:val="14"/>
  </w:num>
  <w:num w:numId="10" w16cid:durableId="928152745">
    <w:abstractNumId w:val="21"/>
  </w:num>
  <w:num w:numId="11" w16cid:durableId="2004384559">
    <w:abstractNumId w:val="0"/>
  </w:num>
  <w:num w:numId="12" w16cid:durableId="594437639">
    <w:abstractNumId w:val="3"/>
  </w:num>
  <w:num w:numId="13" w16cid:durableId="414741888">
    <w:abstractNumId w:val="26"/>
  </w:num>
  <w:num w:numId="14" w16cid:durableId="756246249">
    <w:abstractNumId w:val="13"/>
  </w:num>
  <w:num w:numId="15" w16cid:durableId="471487987">
    <w:abstractNumId w:val="1"/>
  </w:num>
  <w:num w:numId="16" w16cid:durableId="376900026">
    <w:abstractNumId w:val="8"/>
  </w:num>
  <w:num w:numId="17" w16cid:durableId="1415739463">
    <w:abstractNumId w:val="20"/>
  </w:num>
  <w:num w:numId="18" w16cid:durableId="1979455150">
    <w:abstractNumId w:val="7"/>
  </w:num>
  <w:num w:numId="19" w16cid:durableId="628047387">
    <w:abstractNumId w:val="5"/>
  </w:num>
  <w:num w:numId="20" w16cid:durableId="67772330">
    <w:abstractNumId w:val="2"/>
  </w:num>
  <w:num w:numId="21" w16cid:durableId="406196445">
    <w:abstractNumId w:val="17"/>
  </w:num>
  <w:num w:numId="22" w16cid:durableId="528953325">
    <w:abstractNumId w:val="19"/>
  </w:num>
  <w:num w:numId="23" w16cid:durableId="1526017939">
    <w:abstractNumId w:val="6"/>
  </w:num>
  <w:num w:numId="24" w16cid:durableId="1992442666">
    <w:abstractNumId w:val="10"/>
  </w:num>
  <w:num w:numId="25" w16cid:durableId="832136762">
    <w:abstractNumId w:val="4"/>
  </w:num>
  <w:num w:numId="26" w16cid:durableId="1077480739">
    <w:abstractNumId w:val="9"/>
  </w:num>
  <w:num w:numId="27" w16cid:durableId="1391032704">
    <w:abstractNumId w:val="18"/>
  </w:num>
  <w:num w:numId="28" w16cid:durableId="2064022029">
    <w:abstractNumId w:val="16"/>
  </w:num>
  <w:num w:numId="29" w16cid:durableId="12121838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E98"/>
    <w:rsid w:val="00016B13"/>
    <w:rsid w:val="00030EB3"/>
    <w:rsid w:val="0008326F"/>
    <w:rsid w:val="000A08EB"/>
    <w:rsid w:val="001742D0"/>
    <w:rsid w:val="001927CE"/>
    <w:rsid w:val="001A0C0F"/>
    <w:rsid w:val="002317A7"/>
    <w:rsid w:val="002569AE"/>
    <w:rsid w:val="00310848"/>
    <w:rsid w:val="003819EE"/>
    <w:rsid w:val="0038568E"/>
    <w:rsid w:val="003C7C10"/>
    <w:rsid w:val="003D074A"/>
    <w:rsid w:val="003E6C78"/>
    <w:rsid w:val="00400CE6"/>
    <w:rsid w:val="00443509"/>
    <w:rsid w:val="004554C9"/>
    <w:rsid w:val="004C6AF1"/>
    <w:rsid w:val="00542DED"/>
    <w:rsid w:val="00545D78"/>
    <w:rsid w:val="0055188A"/>
    <w:rsid w:val="00570EB1"/>
    <w:rsid w:val="005821CD"/>
    <w:rsid w:val="005957C4"/>
    <w:rsid w:val="005C07CB"/>
    <w:rsid w:val="005D7B5B"/>
    <w:rsid w:val="00611CB7"/>
    <w:rsid w:val="00635DA2"/>
    <w:rsid w:val="0065038E"/>
    <w:rsid w:val="0065739A"/>
    <w:rsid w:val="00694A59"/>
    <w:rsid w:val="006D495C"/>
    <w:rsid w:val="0077038C"/>
    <w:rsid w:val="0078158F"/>
    <w:rsid w:val="00843B34"/>
    <w:rsid w:val="008C6378"/>
    <w:rsid w:val="00913F60"/>
    <w:rsid w:val="009501AD"/>
    <w:rsid w:val="0097094B"/>
    <w:rsid w:val="009C2F30"/>
    <w:rsid w:val="00A313D1"/>
    <w:rsid w:val="00A71130"/>
    <w:rsid w:val="00A7396D"/>
    <w:rsid w:val="00AF73EF"/>
    <w:rsid w:val="00B377E8"/>
    <w:rsid w:val="00B44D5B"/>
    <w:rsid w:val="00B814B4"/>
    <w:rsid w:val="00BC4E64"/>
    <w:rsid w:val="00BE4FD3"/>
    <w:rsid w:val="00C04324"/>
    <w:rsid w:val="00C331F7"/>
    <w:rsid w:val="00C4607A"/>
    <w:rsid w:val="00C85A8B"/>
    <w:rsid w:val="00CC7509"/>
    <w:rsid w:val="00D87353"/>
    <w:rsid w:val="00DC0929"/>
    <w:rsid w:val="00DD3E98"/>
    <w:rsid w:val="00E32E1C"/>
    <w:rsid w:val="00E56519"/>
    <w:rsid w:val="00EF640A"/>
    <w:rsid w:val="00F438E2"/>
    <w:rsid w:val="00F612A9"/>
    <w:rsid w:val="00FE6588"/>
    <w:rsid w:val="08B1B22F"/>
    <w:rsid w:val="0D184ACF"/>
    <w:rsid w:val="3187CBC5"/>
    <w:rsid w:val="3979B54D"/>
    <w:rsid w:val="4950DA7B"/>
    <w:rsid w:val="7A033E06"/>
    <w:rsid w:val="7F07E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0DFB9"/>
  <w15:docId w15:val="{4B7887CF-EC93-4501-91C3-7CC4A446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t">
    <w:name w:val="tat"/>
    <w:uiPriority w:val="99"/>
    <w:rsid w:val="0055188A"/>
    <w:pPr>
      <w:numPr>
        <w:numId w:val="1"/>
      </w:numPr>
    </w:pPr>
  </w:style>
  <w:style w:type="paragraph" w:styleId="Header">
    <w:name w:val="header"/>
    <w:basedOn w:val="Normal"/>
    <w:link w:val="HeaderChar"/>
    <w:uiPriority w:val="99"/>
    <w:unhideWhenUsed/>
    <w:rsid w:val="0077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38C"/>
  </w:style>
  <w:style w:type="paragraph" w:styleId="Footer">
    <w:name w:val="footer"/>
    <w:basedOn w:val="Normal"/>
    <w:link w:val="FooterChar"/>
    <w:uiPriority w:val="99"/>
    <w:unhideWhenUsed/>
    <w:rsid w:val="0077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8C"/>
  </w:style>
  <w:style w:type="paragraph" w:styleId="ListParagraph">
    <w:name w:val="List Paragraph"/>
    <w:basedOn w:val="Normal"/>
    <w:uiPriority w:val="34"/>
    <w:qFormat/>
    <w:rsid w:val="0077038C"/>
    <w:pPr>
      <w:ind w:left="720"/>
      <w:contextualSpacing/>
    </w:pPr>
  </w:style>
  <w:style w:type="table" w:customStyle="1" w:styleId="TableGrid1">
    <w:name w:val="Table Grid1"/>
    <w:rsid w:val="0097094B"/>
    <w:pPr>
      <w:spacing w:after="0" w:line="240" w:lineRule="auto"/>
    </w:pPr>
    <w:rPr>
      <w:rFonts w:eastAsiaTheme="minorEastAsia"/>
      <w:lang w:eastAsia="ja-JP"/>
    </w:rPr>
    <w:tblPr>
      <w:tblCellMar>
        <w:top w:w="0" w:type="dxa"/>
        <w:left w:w="0" w:type="dxa"/>
        <w:bottom w:w="0" w:type="dxa"/>
        <w:right w:w="0" w:type="dxa"/>
      </w:tblCellMar>
    </w:tblPr>
  </w:style>
  <w:style w:type="character" w:styleId="Hyperlink">
    <w:name w:val="Hyperlink"/>
    <w:basedOn w:val="DefaultParagraphFont"/>
    <w:uiPriority w:val="99"/>
    <w:unhideWhenUsed/>
    <w:rsid w:val="00400CE6"/>
    <w:rPr>
      <w:color w:val="0000FF" w:themeColor="hyperlink"/>
      <w:u w:val="single"/>
    </w:rPr>
  </w:style>
  <w:style w:type="character" w:styleId="FollowedHyperlink">
    <w:name w:val="FollowedHyperlink"/>
    <w:basedOn w:val="DefaultParagraphFont"/>
    <w:uiPriority w:val="99"/>
    <w:semiHidden/>
    <w:unhideWhenUsed/>
    <w:rsid w:val="00400CE6"/>
    <w:rPr>
      <w:color w:val="800080" w:themeColor="followedHyperlink"/>
      <w:u w:val="single"/>
    </w:rPr>
  </w:style>
  <w:style w:type="character" w:styleId="PlaceholderText">
    <w:name w:val="Placeholder Text"/>
    <w:basedOn w:val="DefaultParagraphFont"/>
    <w:uiPriority w:val="99"/>
    <w:semiHidden/>
    <w:rsid w:val="00030EB3"/>
    <w:rPr>
      <w:color w:val="808080"/>
    </w:rPr>
  </w:style>
  <w:style w:type="paragraph" w:styleId="BalloonText">
    <w:name w:val="Balloon Text"/>
    <w:basedOn w:val="Normal"/>
    <w:link w:val="BalloonTextChar"/>
    <w:uiPriority w:val="99"/>
    <w:semiHidden/>
    <w:unhideWhenUsed/>
    <w:rsid w:val="00BC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E64"/>
    <w:rPr>
      <w:rFonts w:ascii="Tahoma" w:hAnsi="Tahoma" w:cs="Tahoma"/>
      <w:sz w:val="16"/>
      <w:szCs w:val="16"/>
    </w:rPr>
  </w:style>
  <w:style w:type="paragraph" w:styleId="NormalWeb">
    <w:name w:val="Normal (Web)"/>
    <w:basedOn w:val="Normal"/>
    <w:uiPriority w:val="99"/>
    <w:unhideWhenUsed/>
    <w:rsid w:val="005821C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C6A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fr/node/1170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3B0E86933694CA5A432155C71599BC2"/>
        <w:category>
          <w:name w:val="General"/>
          <w:gallery w:val="placeholder"/>
        </w:category>
        <w:types>
          <w:type w:val="bbPlcHdr"/>
        </w:types>
        <w:behaviors>
          <w:behavior w:val="content"/>
        </w:behaviors>
        <w:guid w:val="{A0EFF331-2766-499E-B796-5F16D76E9432}"/>
      </w:docPartPr>
      <w:docPartBody>
        <w:p w:rsidR="00235C14" w:rsidRDefault="00545D78">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25B"/>
    <w:rsid w:val="0014125B"/>
    <w:rsid w:val="001F51C6"/>
    <w:rsid w:val="00235C14"/>
    <w:rsid w:val="003A20DC"/>
    <w:rsid w:val="00545D78"/>
    <w:rsid w:val="00635DA2"/>
    <w:rsid w:val="00AD557B"/>
    <w:rsid w:val="00C80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0301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EFFECTIVEDATE xmlns="8264c5cc-ec60-4b56-8111-ce635d3d139a">2021-04-29T22:00:00+00:00</UNDP_POPP_EFFECTIVEDAT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POPP-11-3715</_dlc_DocId>
    <UNDP_POPP_TITLE_EN xmlns="8264c5cc-ec60-4b56-8111-ce635d3d139a">Project Cash on Hand for DIM Projects (PCH)</UNDP_POPP_TITLE_EN>
    <UNDP_POPP_ISACTIVE xmlns="8264c5cc-ec60-4b56-8111-ce635d3d139a">true</UNDP_POPP_ISACTIVE>
    <UNDP_POPP_FILEVERSION xmlns="8264c5cc-ec60-4b56-8111-ce635d3d139a">1536</UNDP_POPP_FILEVERSION>
    <TaxCatchAll xmlns="8264c5cc-ec60-4b56-8111-ce635d3d139a">
      <Value>350</Value>
    </TaxCatchAll>
    <_dlc_DocIdUrl xmlns="8264c5cc-ec60-4b56-8111-ce635d3d139a">
      <Url>https://popp.undp.org/_layouts/15/DocIdRedir.aspx?ID=POPP-11-3715</Url>
      <Description>POPP-11-3715</Description>
    </_dlc_DocIdUr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2023-04-30T22:00:00+00:00</UNDP_POPP_PLANNED_REVIEWDATE>
    <UNDP_POPP_REFITEM_VERSION xmlns="8264c5cc-ec60-4b56-8111-ce635d3d139a">7</UNDP_POPP_REFITEM_VERSION>
    <DLCPolicyLabelLock xmlns="e560140e-7b2f-4392-90df-e7567e3021a3" xsi:nil="true"/>
    <DLCPolicyLabelClientValue xmlns="e560140e-7b2f-4392-90df-e7567e3021a3">Effective Date: 30/04/2021                                                Version #: 6.0</DLCPolicyLabelClientValue>
    <UNDP_POPP_LASTMODIFIED xmlns="8264c5cc-ec60-4b56-8111-ce635d3d139a" xsi:nil="true"/>
    <DLCPolicyLabelValue xmlns="e560140e-7b2f-4392-90df-e7567e3021a3">Effective Date: 30/04/2021                                                Version #: 7</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9F0EF1-A9B2-4454-9BA9-D741EC343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A8D19-6A97-4117-BA16-5ADBDCF2A739}">
  <ds:schemaRefs>
    <ds:schemaRef ds:uri="http://schemas.microsoft.com/sharepoint/v3/contenttype/forms"/>
  </ds:schemaRefs>
</ds:datastoreItem>
</file>

<file path=customXml/itemProps3.xml><?xml version="1.0" encoding="utf-8"?>
<ds:datastoreItem xmlns:ds="http://schemas.openxmlformats.org/officeDocument/2006/customXml" ds:itemID="{159C933E-D12D-499B-B86B-4D65E4BDB8E7}">
  <ds:schemaRefs>
    <ds:schemaRef ds:uri="office.server.policy"/>
  </ds:schemaRefs>
</ds:datastoreItem>
</file>

<file path=customXml/itemProps4.xml><?xml version="1.0" encoding="utf-8"?>
<ds:datastoreItem xmlns:ds="http://schemas.openxmlformats.org/officeDocument/2006/customXml" ds:itemID="{8129FFFF-EE90-4017-B69A-7ACC9DC3141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D4D98EAF-3B26-4A94-B58C-E38D3C839F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Rybarova</dc:creator>
  <cp:lastModifiedBy>Pablo Morete</cp:lastModifiedBy>
  <cp:revision>4</cp:revision>
  <dcterms:created xsi:type="dcterms:W3CDTF">2022-10-05T09:48:00Z</dcterms:created>
  <dcterms:modified xsi:type="dcterms:W3CDTF">2024-09-16T16:02:00Z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350;#Financial Resources Management|682d4c54-a288-412d-bfec-ce5587bbd25c</vt:lpwstr>
  </property>
  <property fmtid="{D5CDD505-2E9C-101B-9397-08002B2CF9AE}" pid="4" name="POPPBusinessProcess">
    <vt:lpwstr/>
  </property>
  <property fmtid="{D5CDD505-2E9C-101B-9397-08002B2CF9AE}" pid="5" name="_dlc_DocIdItemGuid">
    <vt:lpwstr>bd156ac0-496b-43c0-8196-5c5493ea84d0</vt:lpwstr>
  </property>
</Properties>
</file>